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PANORAMA DA ESPOROTRICOSE FELINA NO RIO DE JANEIRO E BRASIL: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Natália Pietra Cerdeira¹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Maria Clara Cavaliere Carvalho¹, </w:t>
      </w:r>
      <w:r w:rsidDel="00000000" w:rsidR="00000000" w:rsidRPr="00000000">
        <w:rPr>
          <w:color w:val="202124"/>
          <w:rtl w:val="0"/>
        </w:rPr>
        <w:t xml:space="preserve">Helena Karyme Sampaio Teixeira</w:t>
      </w:r>
      <w:r w:rsidDel="00000000" w:rsidR="00000000" w:rsidRPr="00000000">
        <w:rPr>
          <w:rtl w:val="0"/>
        </w:rPr>
        <w:t xml:space="preserve">¹, Elisabeth Martins Da Silva Da Rocha²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Discente do Curso de Medicina Veterinária da Universidade Federal Fluminense - UFF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Docente do Instituto Biomédico da Universidade Federal Fluminense - UFF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9">
      <w:pPr>
        <w:jc w:val="center"/>
        <w:rPr>
          <w:u w:val="single"/>
        </w:rPr>
      </w:pPr>
      <w:hyperlink r:id="rId6">
        <w:r w:rsidDel="00000000" w:rsidR="00000000" w:rsidRPr="00000000">
          <w:rPr>
            <w:u w:val="single"/>
            <w:rtl w:val="0"/>
          </w:rPr>
          <w:t xml:space="preserve">nataliapietra@id.uff.br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hyperlink r:id="rId7">
        <w:r w:rsidDel="00000000" w:rsidR="00000000" w:rsidRPr="00000000">
          <w:rPr>
            <w:rtl w:val="0"/>
          </w:rPr>
          <w:t xml:space="preserve">mariacavaliere@id.uff.br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hyperlink r:id="rId8">
        <w:r w:rsidDel="00000000" w:rsidR="00000000" w:rsidRPr="00000000">
          <w:rPr>
            <w:rtl w:val="0"/>
          </w:rPr>
          <w:t xml:space="preserve">helenateixeira@id.uff.br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martinselisabeth@id.uff.br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 esporotricose é uma micose subcutânea causada por fungos patogênicos do complexo </w:t>
      </w:r>
      <w:r w:rsidDel="00000000" w:rsidR="00000000" w:rsidRPr="00000000">
        <w:rPr>
          <w:i w:val="1"/>
          <w:rtl w:val="0"/>
        </w:rPr>
        <w:t xml:space="preserve">Sporothrix</w:t>
      </w:r>
      <w:r w:rsidDel="00000000" w:rsidR="00000000" w:rsidRPr="00000000">
        <w:rPr>
          <w:rtl w:val="0"/>
        </w:rPr>
        <w:t xml:space="preserve"> spp., todos apresentando um nicho ambiental (dimórficos). A espécie de maior prevalência no Brasil é o S. </w:t>
      </w:r>
      <w:r w:rsidDel="00000000" w:rsidR="00000000" w:rsidRPr="00000000">
        <w:rPr>
          <w:i w:val="1"/>
          <w:rtl w:val="0"/>
        </w:rPr>
        <w:t xml:space="preserve">brasiliensis</w:t>
      </w:r>
      <w:r w:rsidDel="00000000" w:rsidR="00000000" w:rsidRPr="00000000">
        <w:rPr>
          <w:rtl w:val="0"/>
        </w:rPr>
        <w:t xml:space="preserve">, que apresenta maior virulência e alta adaptação à transmissão e ao parasitismo zoonótico, além de grande capacidade de expansão geográfica, comprovado na hiperendemia brasileira. Os gatos assumem protagonismo na propagação da doença por serem os animais mais acometidos pelo fungo e essa transmissão se dá por arranhaduras ou mordeduras dos animais doentes para animais e humanos saudáveis. </w:t>
      </w:r>
      <w:r w:rsidDel="00000000" w:rsidR="00000000" w:rsidRPr="00000000">
        <w:rPr>
          <w:rtl w:val="0"/>
        </w:rPr>
        <w:t xml:space="preserve">Gatos infectados mas sem lesões, no entanto, parecem ter menor influência na epidemiologia da </w:t>
      </w:r>
      <w:r w:rsidDel="00000000" w:rsidR="00000000" w:rsidRPr="00000000">
        <w:rPr>
          <w:rtl w:val="0"/>
        </w:rPr>
        <w:t xml:space="preserve">esporotricose</w:t>
      </w:r>
      <w:r w:rsidDel="00000000" w:rsidR="00000000" w:rsidRPr="00000000">
        <w:rPr>
          <w:rtl w:val="0"/>
        </w:rPr>
        <w:t xml:space="preserve">. Ela pode se manifestar de forma cutânea localizada, linfática ou disseminada, sendo essa última a forma clínica mais comum em gatos, caracterizada por múltiplas lesões cutâneas ulceradas, especialmente na cabeça, e afetando mucosas, como a nasal, resultando em sinais como secreção e espirros. O diagnóstico preconizado é a citologia por </w:t>
      </w:r>
      <w:r w:rsidDel="00000000" w:rsidR="00000000" w:rsidRPr="00000000">
        <w:rPr>
          <w:i w:val="1"/>
          <w:rtl w:val="0"/>
        </w:rPr>
        <w:t xml:space="preserve">imprint</w:t>
      </w:r>
      <w:r w:rsidDel="00000000" w:rsidR="00000000" w:rsidRPr="00000000">
        <w:rPr>
          <w:rtl w:val="0"/>
        </w:rPr>
        <w:t xml:space="preserve"> e principalmente </w:t>
      </w:r>
      <w:r w:rsidDel="00000000" w:rsidR="00000000" w:rsidRPr="00000000">
        <w:rPr>
          <w:rtl w:val="0"/>
        </w:rPr>
        <w:t xml:space="preserve">a cultura com o isolamento do agente, visto que a citologia pode apresentar resultado falso negativo. E a droga de eleição para o tratamento é o itraconazol (100mg/gato) e se houver sinais respiratórios e mucosas acometidas associa-se o iodeto de potássio (2,5-5mg/kg). A esporotricose humana é de notificação compulsória no estado do Rio de Janeiro desde 2013 e a esporotricose animal desde 2019. As Portarias GM/MS n. 264 de 2020 e GM/MS n. 1061 de 2020, do Ministério da Saúde, </w:t>
      </w:r>
      <w:r w:rsidDel="00000000" w:rsidR="00000000" w:rsidRPr="00000000">
        <w:rPr>
          <w:rtl w:val="0"/>
        </w:rPr>
        <w:t xml:space="preserve">regulamentavam</w:t>
      </w:r>
      <w:r w:rsidDel="00000000" w:rsidR="00000000" w:rsidRPr="00000000">
        <w:rPr>
          <w:rtl w:val="0"/>
        </w:rPr>
        <w:t xml:space="preserve"> a notificação da doença humana em todo território nacional mas foram canceladas. Assim, embora o Brasil possua o maior número de casos relatados de esporotricose felina, </w:t>
      </w:r>
      <w:r w:rsidDel="00000000" w:rsidR="00000000" w:rsidRPr="00000000">
        <w:rPr>
          <w:rtl w:val="0"/>
        </w:rPr>
        <w:t xml:space="preserve">mesmo após duas décadas do início do surto no Rio de Janeiro, a doença se expande para outras regiões</w:t>
      </w:r>
      <w:r w:rsidDel="00000000" w:rsidR="00000000" w:rsidRPr="00000000">
        <w:rPr>
          <w:rtl w:val="0"/>
        </w:rPr>
        <w:t xml:space="preserve">, segue subnotificada e negligenciada. Um adequado programa de controle da esporotricose deve incluir a abordagem de saúde única, sendo cruciais ter dados fidedignos da doença animal e humana, além de fomentar a conscientização da população sobre as formas de transmissão e sobre os riscos para animais semi-domiciliados. Faz-se necessária também a educação continuada dos profissionais da área da saúde, para estabelecer diagnóstico e protocolos terapêuticos padronizados, assim como o compromisso do poder público em garantir as medicações para os animais cujos responsáveis não possam arcar com os custos do tratamento.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- Araujo, A. K. L.; GONDIM, A. L. C. L.; ARAUJO, I. E. A.  Esporotricose felina e humana – relato de um caso zoonótico. </w:t>
      </w:r>
      <w:r w:rsidDel="00000000" w:rsidR="00000000" w:rsidRPr="00000000">
        <w:rPr>
          <w:b w:val="1"/>
          <w:rtl w:val="0"/>
        </w:rPr>
        <w:t xml:space="preserve">Revista Brasileira de Higiene e Sanidade Animal</w:t>
      </w:r>
      <w:r w:rsidDel="00000000" w:rsidR="00000000" w:rsidRPr="00000000">
        <w:rPr>
          <w:rtl w:val="0"/>
        </w:rPr>
        <w:t xml:space="preserve">, v. 14, n. 2, p. 237-247, abr.-jun. 2020.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- GREMIÃO, I. D. F.; OLIVEIRA, M. M. E.; MIRANDA, L. H. M.; FREITAS, D. F. S.; PEREIRA, S. A. Geographic expansion of sporotrichosis. Brazil. </w:t>
      </w:r>
      <w:r w:rsidDel="00000000" w:rsidR="00000000" w:rsidRPr="00000000">
        <w:rPr>
          <w:b w:val="1"/>
          <w:rtl w:val="0"/>
        </w:rPr>
        <w:t xml:space="preserve">Emerging Infectious Diseases</w:t>
      </w:r>
      <w:r w:rsidDel="00000000" w:rsidR="00000000" w:rsidRPr="00000000">
        <w:rPr>
          <w:rtl w:val="0"/>
        </w:rPr>
        <w:t xml:space="preserve">, v. 26, n. 3, p. 621, 2020.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- GREMIÃO, I. D. F.; ROCHA, E. M. S.; MONTENEGRO, H.; CARNEIRO, A. J. B.; XAVIER, M. O.; FARIAS, M. R.; MONTI, F.; MANSHO, W.; PEREIRA, R. H. M. A.; PEREIRA, S. A.; LOPES-BEZERRA, L. M. Guideline for the management of feline sporotrichosis caused by sporothrix brasiliensis and literature revision. </w:t>
      </w:r>
      <w:r w:rsidDel="00000000" w:rsidR="00000000" w:rsidRPr="00000000">
        <w:rPr>
          <w:b w:val="1"/>
          <w:rtl w:val="0"/>
        </w:rPr>
        <w:t xml:space="preserve">Braz. J. Microbiol.</w:t>
      </w:r>
      <w:r w:rsidDel="00000000" w:rsidR="00000000" w:rsidRPr="00000000">
        <w:rPr>
          <w:rtl w:val="0"/>
        </w:rPr>
        <w:t xml:space="preserve">, v. 52, n. 1, p. 107, 2021.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- MACÊDO-SALES, P. A.; SOUTO, S. R. L. S.; DESTEFANI, C. A.; LUCENA, R. P.; ROCHA, </w:t>
      </w:r>
      <w:r w:rsidDel="00000000" w:rsidR="00000000" w:rsidRPr="00000000">
        <w:rPr>
          <w:rtl w:val="0"/>
        </w:rPr>
        <w:t xml:space="preserve">E. M. S.; BAPTISTA,</w:t>
      </w:r>
      <w:r w:rsidDel="00000000" w:rsidR="00000000" w:rsidRPr="00000000">
        <w:rPr>
          <w:rtl w:val="0"/>
        </w:rPr>
        <w:t xml:space="preserve"> A. R. S. Diagnóstico laboratorial da esporotricose felina em amostras coletadas no estado do Rio de Janeiro, Brasil: limitações da citopatologia por imprint. </w:t>
      </w:r>
      <w:r w:rsidDel="00000000" w:rsidR="00000000" w:rsidRPr="00000000">
        <w:rPr>
          <w:b w:val="1"/>
          <w:rtl w:val="0"/>
        </w:rPr>
        <w:t xml:space="preserve">Revista Pan-Amazônica De Saúde</w:t>
      </w:r>
      <w:r w:rsidDel="00000000" w:rsidR="00000000" w:rsidRPr="00000000">
        <w:rPr>
          <w:rtl w:val="0"/>
        </w:rPr>
        <w:t xml:space="preserve">, v. 9, n. 2, p. 13-19, 2018.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- MARIMON, R.; CANO, J.; GENÉ, J.; SUTTON, D. A.; KAWASAKI, M.; GARRO, J. Sporothrix brasiliensis, s. globosa, and s. mexicana, three new sporothrix species of clinical interest. </w:t>
      </w:r>
      <w:r w:rsidDel="00000000" w:rsidR="00000000" w:rsidRPr="00000000">
        <w:rPr>
          <w:b w:val="1"/>
          <w:rtl w:val="0"/>
        </w:rPr>
        <w:t xml:space="preserve">Journal Of Clinical Microbiology</w:t>
      </w:r>
      <w:r w:rsidDel="00000000" w:rsidR="00000000" w:rsidRPr="00000000">
        <w:rPr>
          <w:rtl w:val="0"/>
        </w:rPr>
        <w:t xml:space="preserve">, v. 45, n. 10, p. 3198–3206, 2007.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- MINISTÉRIO DA SAÚDE (BRASIL). </w:t>
      </w:r>
      <w:r w:rsidDel="00000000" w:rsidR="00000000" w:rsidRPr="00000000">
        <w:rPr>
          <w:b w:val="1"/>
          <w:rtl w:val="0"/>
        </w:rPr>
        <w:t xml:space="preserve">Portaria GM/MS nº 264, de 17 de fevereiro de 2020</w:t>
      </w:r>
      <w:r w:rsidDel="00000000" w:rsidR="00000000" w:rsidRPr="00000000">
        <w:rPr>
          <w:rtl w:val="0"/>
        </w:rPr>
        <w:t xml:space="preserve">. Dispõe sobre a inclusão da doença de Chagas crônica, a criptococose, a esporotricose humana e a paracoccidioidomicose na Lista Nacional de Notificação Compulsória de doenças, agravos e eventos de saúde pública nos serviços de saúde públicos e privados em todo o território nacional. </w:t>
      </w:r>
      <w:r w:rsidDel="00000000" w:rsidR="00000000" w:rsidRPr="00000000">
        <w:rPr>
          <w:rtl w:val="0"/>
        </w:rPr>
        <w:t xml:space="preserve">Diário Oficial da União</w:t>
      </w:r>
      <w:r w:rsidDel="00000000" w:rsidR="00000000" w:rsidRPr="00000000">
        <w:rPr>
          <w:rtl w:val="0"/>
        </w:rPr>
        <w:t xml:space="preserve">. 19 fev. 2020, ed. 35, seção 1, p. 97.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spacing w:after="160" w:line="240" w:lineRule="auto"/>
        <w:rPr/>
      </w:pPr>
      <w:r w:rsidDel="00000000" w:rsidR="00000000" w:rsidRPr="00000000">
        <w:rPr>
          <w:rtl w:val="0"/>
        </w:rPr>
        <w:t xml:space="preserve">- MINISTÉRIO DA SAÚDE (BRASIL). </w:t>
      </w:r>
      <w:r w:rsidDel="00000000" w:rsidR="00000000" w:rsidRPr="00000000">
        <w:rPr>
          <w:b w:val="1"/>
          <w:rtl w:val="0"/>
        </w:rPr>
        <w:t xml:space="preserve">Portaria GM/MS nº 1.061, de 18 de maio de 2020</w:t>
      </w:r>
      <w:r w:rsidDel="00000000" w:rsidR="00000000" w:rsidRPr="00000000">
        <w:rPr>
          <w:rtl w:val="0"/>
        </w:rPr>
        <w:t xml:space="preserve">. Dispõe sobre a revogação integral da Portaria GM/MS nº 264, de 17 de fevereiro de 2020. </w:t>
      </w:r>
      <w:r w:rsidDel="00000000" w:rsidR="00000000" w:rsidRPr="00000000">
        <w:rPr>
          <w:rtl w:val="0"/>
        </w:rPr>
        <w:t xml:space="preserve">Diário Oficial da União.</w:t>
      </w:r>
      <w:r w:rsidDel="00000000" w:rsidR="00000000" w:rsidRPr="00000000">
        <w:rPr>
          <w:rtl w:val="0"/>
        </w:rPr>
        <w:t xml:space="preserve"> 24 maio 2020, ed. 102, seção 1, p. 229.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spacing w:after="160" w:line="240" w:lineRule="auto"/>
        <w:rPr/>
      </w:pPr>
      <w:r w:rsidDel="00000000" w:rsidR="00000000" w:rsidRPr="00000000">
        <w:rPr>
          <w:rtl w:val="0"/>
        </w:rPr>
        <w:t xml:space="preserve">- SECRETARIA DE ESTADO DE SAÚDE (RIO DE JANEIRO). </w:t>
      </w:r>
      <w:r w:rsidDel="00000000" w:rsidR="00000000" w:rsidRPr="00000000">
        <w:rPr>
          <w:b w:val="1"/>
          <w:rtl w:val="0"/>
        </w:rPr>
        <w:t xml:space="preserve">Resolução SES nº 674 de 12 de julho de 2013</w:t>
      </w:r>
      <w:r w:rsidDel="00000000" w:rsidR="00000000" w:rsidRPr="00000000">
        <w:rPr>
          <w:rtl w:val="0"/>
        </w:rPr>
        <w:t xml:space="preserve">. Redefine a relação de doenças e agravos de notificação compulsória no âmbito do Estado do Rio de Janeiro. Diário Oficial do Estado do Rio de Janeiro, 16 jul. 2013.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spacing w:after="160" w:line="240" w:lineRule="auto"/>
        <w:rPr/>
      </w:pPr>
      <w:r w:rsidDel="00000000" w:rsidR="00000000" w:rsidRPr="00000000">
        <w:rPr>
          <w:rtl w:val="0"/>
        </w:rPr>
        <w:t xml:space="preserve">- SECRETARIA DE ESTADO DE SAÚDE (RIO DE JANEIRO). </w:t>
      </w:r>
      <w:r w:rsidDel="00000000" w:rsidR="00000000" w:rsidRPr="00000000">
        <w:rPr>
          <w:b w:val="1"/>
          <w:rtl w:val="0"/>
        </w:rPr>
        <w:t xml:space="preserve">Resolução SES nº 1.864, de 25 de junho de 2019</w:t>
      </w:r>
      <w:r w:rsidDel="00000000" w:rsidR="00000000" w:rsidRPr="00000000">
        <w:rPr>
          <w:rtl w:val="0"/>
        </w:rPr>
        <w:t xml:space="preserve">. Dispõe sobre a relação de doenças e agravos de notificação compulsória e vigilância sentinela e revoga a Resolução SES nº 674, de 12 de julho de 2013. Diário Oficial do Estado do Rio de Janeiro, nº 118, 27 jun. 2019.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taliapietra@id.uff.br" TargetMode="External"/><Relationship Id="rId7" Type="http://schemas.openxmlformats.org/officeDocument/2006/relationships/hyperlink" Target="mailto:mariacavaliere@id.uff.br" TargetMode="External"/><Relationship Id="rId8" Type="http://schemas.openxmlformats.org/officeDocument/2006/relationships/hyperlink" Target="mailto:helenateixeira@id.uff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