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000000" w:themeColor="text1"/>
        </w:rPr>
        <w:id w:val="1246697302"/>
        <w:docPartObj>
          <w:docPartGallery w:val="Cover Pages"/>
          <w:docPartUnique/>
        </w:docPartObj>
      </w:sdtPr>
      <w:sdtEndPr/>
      <w:sdtContent>
        <w:p w14:paraId="376EA4EB" w14:textId="1A2244EB" w:rsidR="0053021A" w:rsidRPr="00F82334" w:rsidRDefault="0053021A">
          <w:pPr>
            <w:rPr>
              <w:color w:val="000000" w:themeColor="text1"/>
            </w:rPr>
          </w:pPr>
          <w:r w:rsidRPr="00F82334">
            <w:rPr>
              <w:noProof/>
              <w:color w:val="000000" w:themeColor="text1"/>
              <w:lang w:eastAsia="pt-BR"/>
            </w:rPr>
            <w:drawing>
              <wp:anchor distT="0" distB="0" distL="114300" distR="114300" simplePos="0" relativeHeight="251663360" behindDoc="1" locked="0" layoutInCell="1" allowOverlap="1" wp14:anchorId="59C5C9E1" wp14:editId="48CC6E7F">
                <wp:simplePos x="0" y="0"/>
                <wp:positionH relativeFrom="column">
                  <wp:posOffset>-1090736</wp:posOffset>
                </wp:positionH>
                <wp:positionV relativeFrom="paragraph">
                  <wp:posOffset>-923925</wp:posOffset>
                </wp:positionV>
                <wp:extent cx="7578284" cy="10711543"/>
                <wp:effectExtent l="0" t="0" r="3810" b="0"/>
                <wp:wrapNone/>
                <wp:docPr id="648995263"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0805" name="Imagem 1" descr="Texto, Carta&#10;&#10;O conteúdo gerado por IA pode estar incorre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78284" cy="10711543"/>
                        </a:xfrm>
                        <a:prstGeom prst="rect">
                          <a:avLst/>
                        </a:prstGeom>
                      </pic:spPr>
                    </pic:pic>
                  </a:graphicData>
                </a:graphic>
                <wp14:sizeRelH relativeFrom="page">
                  <wp14:pctWidth>0</wp14:pctWidth>
                </wp14:sizeRelH>
                <wp14:sizeRelV relativeFrom="page">
                  <wp14:pctHeight>0</wp14:pctHeight>
                </wp14:sizeRelV>
              </wp:anchor>
            </w:drawing>
          </w:r>
        </w:p>
        <w:p w14:paraId="75A314E5" w14:textId="38DB7AAE" w:rsidR="0027518C" w:rsidRPr="00F82334" w:rsidRDefault="00A2276B">
          <w:pPr>
            <w:rPr>
              <w:color w:val="000000" w:themeColor="text1"/>
            </w:rPr>
          </w:pPr>
          <w:r w:rsidRPr="00F82334">
            <w:rPr>
              <w:noProof/>
              <w:color w:val="000000" w:themeColor="text1"/>
              <w:lang w:eastAsia="pt-BR"/>
            </w:rPr>
            <mc:AlternateContent>
              <mc:Choice Requires="wps">
                <w:drawing>
                  <wp:anchor distT="0" distB="0" distL="114300" distR="114300" simplePos="0" relativeHeight="251664384" behindDoc="0" locked="0" layoutInCell="1" allowOverlap="1" wp14:anchorId="5E65D060" wp14:editId="6794D461">
                    <wp:simplePos x="0" y="0"/>
                    <wp:positionH relativeFrom="column">
                      <wp:posOffset>1330325</wp:posOffset>
                    </wp:positionH>
                    <wp:positionV relativeFrom="paragraph">
                      <wp:posOffset>6847205</wp:posOffset>
                    </wp:positionV>
                    <wp:extent cx="3962400" cy="1666875"/>
                    <wp:effectExtent l="0" t="0" r="0" b="0"/>
                    <wp:wrapNone/>
                    <wp:docPr id="10815487" name="Caixa de Texto 2"/>
                    <wp:cNvGraphicFramePr/>
                    <a:graphic xmlns:a="http://schemas.openxmlformats.org/drawingml/2006/main">
                      <a:graphicData uri="http://schemas.microsoft.com/office/word/2010/wordprocessingShape">
                        <wps:wsp>
                          <wps:cNvSpPr txBox="1"/>
                          <wps:spPr>
                            <a:xfrm>
                              <a:off x="0" y="0"/>
                              <a:ext cx="3962400" cy="1666875"/>
                            </a:xfrm>
                            <a:prstGeom prst="rect">
                              <a:avLst/>
                            </a:prstGeom>
                            <a:noFill/>
                            <a:ln w="6350">
                              <a:noFill/>
                            </a:ln>
                          </wps:spPr>
                          <wps:txbx>
                            <w:txbxContent>
                              <w:p w14:paraId="638EDCFA" w14:textId="02DE108A" w:rsidR="0053021A" w:rsidRPr="00A2276B" w:rsidRDefault="00A2276B" w:rsidP="00A2276B">
                                <w:pPr>
                                  <w:rPr>
                                    <w:rFonts w:ascii="Antonio" w:hAnsi="Antonio"/>
                                    <w:color w:val="3A7C22" w:themeColor="accent6" w:themeShade="BF"/>
                                    <w:sz w:val="36"/>
                                    <w:szCs w:val="36"/>
                                  </w:rPr>
                                </w:pPr>
                                <w:r w:rsidRPr="00A2276B">
                                  <w:rPr>
                                    <w:rFonts w:ascii="Antonio" w:hAnsi="Antonio"/>
                                    <w:color w:val="3A7C22" w:themeColor="accent6" w:themeShade="BF"/>
                                    <w:sz w:val="36"/>
                                    <w:szCs w:val="36"/>
                                  </w:rPr>
                                  <w:t>CULTURA ALIMENTAR, SOCIOBIODIVERSIDADE E SOBERANIA E SEGURANÇA ALIMENTAR E NUTRICIONAL: DESAFIOS À PESQUISA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65D060" id="_x0000_t202" coordsize="21600,21600" o:spt="202" path="m,l,21600r21600,l21600,xe">
                    <v:stroke joinstyle="miter"/>
                    <v:path gradientshapeok="t" o:connecttype="rect"/>
                  </v:shapetype>
                  <v:shape id="Caixa de Texto 2" o:spid="_x0000_s1026" type="#_x0000_t202" style="position:absolute;margin-left:104.75pt;margin-top:539.15pt;width:312pt;height:13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z8BOAIAAF8EAAAOAAAAZHJzL2Uyb0RvYy54bWysVN9v2jAQfp+0/8Hy+0hCIaURoWJUTJNQ&#10;WwmmPhvHIZEcn2cbEvbX7+wEiro9TXtxzr7f33eX+WPXSHISxtagcpqMYkqE4lDU6pDTH7v1lxkl&#10;1jFVMAlK5PQsLH1cfP40b3UmxlCBLIQhGETZrNU5rZzTWRRZXomG2RFooVBZgmmYw6s5RIVhLUZv&#10;ZDSO4zRqwRTaABfW4utTr6SLEL8sBXcvZWmFIzKnWJsLpwnn3p/RYs6yg2G6qvlQBvuHKhpWK0x6&#10;DfXEHCNHU/8Rqqm5AQulG3FoIijLmovQA3aTxB+62VZMi9ALgmP1FSb7/8Ly59OrIXWB3MWzZDqZ&#10;3VOiWINMrVjdMVIIshOdAzL2ULXaZuix1ejjuq/Qodvl3eKjR6ArTeO/2BtBPYJ+vgKNkQjHx7uH&#10;dDyJUcVRl6RpOruf+jjRu7s21n0T0BAv5NQgkwFgdtpY15teTHw2BetaysCmVKTNaXo3jYPDVYPB&#10;pcIcvom+WC+5bt8Nne2hOGNjBvopsZqva0y+Yda9MoNjgQXjqLsXPEoJmAQGiZIKzK+/vXt7ZAu1&#10;lLQ4Zjm1P4/MCErkd4U8PiSTiZ/LcJlM78d4Mbea/a1GHZsV4CQnuFSaB9HbO3kRSwPNG27E0mdF&#10;FVMcc+fUXcSV64cfN4qL5TIY4SRq5jZqq7kP7eH00O66N2b0gL9D6p7hMpAs+0BDb9sTsTw6KOvA&#10;kQe4R3XAHac4sDxsnF+T23uwev8vLH4DAAD//wMAUEsDBBQABgAIAAAAIQCe2FqP4wAAAA0BAAAP&#10;AAAAZHJzL2Rvd25yZXYueG1sTI/BTsMwEETvSPyDtUjcqE1CwQ1xqipShYTooaWX3px4m0TEdojd&#10;NvD1LCc47szT7Ey+nGzPzjiGzjsF9zMBDF3tTecaBfv39Z0EFqJ2RvfeoYIvDLAsrq9ynRl/cVs8&#10;72LDKMSFTCtoYxwyzkPdotVh5gd05B39aHWkc2y4GfWFwm3PEyEeudWdow+tHrBssf7YnayC13K9&#10;0dsqsfK7L1/ejqvhc3+YK3V7M62egUWc4h8Mv/WpOhTUqfInZwLrFSRiMSeUDPEkU2CEyDQlqSIp&#10;fRASeJHz/yuKHwAAAP//AwBQSwECLQAUAAYACAAAACEAtoM4kv4AAADhAQAAEwAAAAAAAAAAAAAA&#10;AAAAAAAAW0NvbnRlbnRfVHlwZXNdLnhtbFBLAQItABQABgAIAAAAIQA4/SH/1gAAAJQBAAALAAAA&#10;AAAAAAAAAAAAAC8BAABfcmVscy8ucmVsc1BLAQItABQABgAIAAAAIQDBjz8BOAIAAF8EAAAOAAAA&#10;AAAAAAAAAAAAAC4CAABkcnMvZTJvRG9jLnhtbFBLAQItABQABgAIAAAAIQCe2FqP4wAAAA0BAAAP&#10;AAAAAAAAAAAAAAAAAJIEAABkcnMvZG93bnJldi54bWxQSwUGAAAAAAQABADzAAAAogUAAAAA&#10;" filled="f" stroked="f" strokeweight=".5pt">
                    <v:textbox>
                      <w:txbxContent>
                        <w:p w14:paraId="638EDCFA" w14:textId="02DE108A" w:rsidR="0053021A" w:rsidRPr="00A2276B" w:rsidRDefault="00A2276B" w:rsidP="00A2276B">
                          <w:pPr>
                            <w:rPr>
                              <w:rFonts w:ascii="Antonio" w:hAnsi="Antonio"/>
                              <w:color w:val="3A7C22" w:themeColor="accent6" w:themeShade="BF"/>
                              <w:sz w:val="36"/>
                              <w:szCs w:val="36"/>
                            </w:rPr>
                          </w:pPr>
                          <w:r w:rsidRPr="00A2276B">
                            <w:rPr>
                              <w:rFonts w:ascii="Antonio" w:hAnsi="Antonio"/>
                              <w:color w:val="3A7C22" w:themeColor="accent6" w:themeShade="BF"/>
                              <w:sz w:val="36"/>
                              <w:szCs w:val="36"/>
                            </w:rPr>
                            <w:t>CULTURA ALIMENTAR, SOCIOBIODIVERSIDADE E SOBERANIA E SEGURANÇA ALIMENTAR E NUTRICIONAL: DESAFIOS À PESQUISA</w:t>
                          </w:r>
                        </w:p>
                      </w:txbxContent>
                    </v:textbox>
                  </v:shape>
                </w:pict>
              </mc:Fallback>
            </mc:AlternateContent>
          </w:r>
          <w:r w:rsidR="0053021A" w:rsidRPr="00F82334">
            <w:rPr>
              <w:noProof/>
              <w:color w:val="000000" w:themeColor="text1"/>
              <w:lang w:eastAsia="pt-BR"/>
            </w:rPr>
            <mc:AlternateContent>
              <mc:Choice Requires="wps">
                <w:drawing>
                  <wp:anchor distT="0" distB="0" distL="114300" distR="114300" simplePos="0" relativeHeight="251667456" behindDoc="1" locked="0" layoutInCell="1" allowOverlap="1" wp14:anchorId="486A8980" wp14:editId="62DB5E88">
                    <wp:simplePos x="0" y="0"/>
                    <wp:positionH relativeFrom="column">
                      <wp:posOffset>525171</wp:posOffset>
                    </wp:positionH>
                    <wp:positionV relativeFrom="paragraph">
                      <wp:posOffset>6910096</wp:posOffset>
                    </wp:positionV>
                    <wp:extent cx="709126" cy="382555"/>
                    <wp:effectExtent l="0" t="0" r="2540" b="0"/>
                    <wp:wrapNone/>
                    <wp:docPr id="2128089461" name="Retângulo Arredondado 3"/>
                    <wp:cNvGraphicFramePr/>
                    <a:graphic xmlns:a="http://schemas.openxmlformats.org/drawingml/2006/main">
                      <a:graphicData uri="http://schemas.microsoft.com/office/word/2010/wordprocessingShape">
                        <wps:wsp>
                          <wps:cNvSpPr/>
                          <wps:spPr>
                            <a:xfrm>
                              <a:off x="0" y="0"/>
                              <a:ext cx="709126" cy="382555"/>
                            </a:xfrm>
                            <a:prstGeom prst="roundRect">
                              <a:avLst/>
                            </a:prstGeom>
                            <a:solidFill>
                              <a:srgbClr val="1A9B3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59B7B7" id="Retângulo Arredondado 3" o:spid="_x0000_s1026" style="position:absolute;margin-left:41.35pt;margin-top:544.1pt;width:55.85pt;height:30.1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Q1SrgIAAJ8FAAAOAAAAZHJzL2Uyb0RvYy54bWysVM1u2zAMvg/YOwi6r/5p0iZBnSJL0WFA&#10;0QZth54VWU4MyKJGKX97nL3KXmyU7LhdW+ww7GKLIvmR/ETy4nLfaLZV6GowBc9OUs6UkVDWZlXw&#10;b4/Xn0acOS9MKTQYVfCDcvxy+vHDxc5OVA5r0KVCRiDGTXa24Gvv7SRJnFyrRrgTsMqQsgJshCcR&#10;V0mJYkfojU7yND1LdoClRZDKObq9apV8GvGrSkl/V1VOeaYLTrn5+MX4XYZvMr0QkxUKu65ll4b4&#10;hywaURsK2kNdCS/YBus3UE0tERxU/kRCk0BV1VLFGqiaLH1VzcNaWBVrIXKc7Wly/w9W3m4XyOqy&#10;4HmWj9LReHCWcWZEQ291r/yvn2a10cBmiKoEesUS2GkgbWfdhHwf7AI7ydExMLCvsAl/qo3tI9GH&#10;nmi190zS5Xk6zvIzziSpTkf5cDgMmMmzs0XnvyhoWDgUHGFjynt6zMix2N4439of7UJAB7our2ut&#10;o4Cr5Vwj2wp6+Gw2/nw670L8YaZNMDYQ3FrEcJOE6tp64skftAp22tyrisiiCvKYSWxT1ccRUirj&#10;s1a1FqXqwg/TNHYaFdh7xHIjYECuKH6P3QGEEXiL3WbZ2QdXFbu8d07/lljr3HvEyGB879zUBvA9&#10;AE1VdZFb+yNJLTWBpSWUB2olhHbGnJXXNT3ejXB+IZCGisaPFoW/o0+lYVdw6E6crQF/vHcf7KnX&#10;ScvZjoa04O77RqDiTH81NAXjbDAIUx2FwfA8JwFfapYvNWbTzCG0A60kK+Mx2Ht9PFYIzRPtk1mI&#10;SiphJMUuuPR4FOa+XR60kaSazaIZTbIV/sY8WBnAA6uhLx/3TwJt18GeWv8WjgMtJq96uLUNngZm&#10;Gw9VHRv8mdeOb9oCsXG6jRXWzEs5Wj3v1elvAAAA//8DAFBLAwQUAAYACAAAACEAdTaWi98AAAAM&#10;AQAADwAAAGRycy9kb3ducmV2LnhtbEyPTU7DMBBG90jcwRokdtRpFFI3xKkQggULpBI4gBtPkwh7&#10;HGynDbfHXcFufp6+eVPvFmvYCX0YHUlYrzJgSJ3TI/USPj9e7gSwEBVpZRyhhB8MsGuur2pVaXem&#10;dzy1sWcphEKlJAwxThXnoRvQqrByE1LaHZ23KqbW91x7dU7h1vA8y0pu1UjpwqAmfBqw+2pnK6Es&#10;47PXxs9v93Haz5vvPbavvZS3N8vjA7CIS/yD4aKf1KFJTgc3kw7MSBD5JpFpngmRA7sQ26IAdkjF&#10;uhAF8Kbm/59ofgEAAP//AwBQSwECLQAUAAYACAAAACEAtoM4kv4AAADhAQAAEwAAAAAAAAAAAAAA&#10;AAAAAAAAW0NvbnRlbnRfVHlwZXNdLnhtbFBLAQItABQABgAIAAAAIQA4/SH/1gAAAJQBAAALAAAA&#10;AAAAAAAAAAAAAC8BAABfcmVscy8ucmVsc1BLAQItABQABgAIAAAAIQDpmQ1SrgIAAJ8FAAAOAAAA&#10;AAAAAAAAAAAAAC4CAABkcnMvZTJvRG9jLnhtbFBLAQItABQABgAIAAAAIQB1NpaL3wAAAAwBAAAP&#10;AAAAAAAAAAAAAAAAAAgFAABkcnMvZG93bnJldi54bWxQSwUGAAAAAAQABADzAAAAFAYAAAAA&#10;" fillcolor="#1a9b3c" stroked="f" strokeweight="1pt">
                    <v:stroke joinstyle="miter"/>
                  </v:roundrect>
                </w:pict>
              </mc:Fallback>
            </mc:AlternateContent>
          </w:r>
          <w:r w:rsidR="0053021A" w:rsidRPr="00F82334">
            <w:rPr>
              <w:noProof/>
              <w:color w:val="000000" w:themeColor="text1"/>
              <w:lang w:eastAsia="pt-BR"/>
            </w:rPr>
            <mc:AlternateContent>
              <mc:Choice Requires="wps">
                <w:drawing>
                  <wp:anchor distT="0" distB="0" distL="114300" distR="114300" simplePos="0" relativeHeight="251665408" behindDoc="0" locked="0" layoutInCell="1" allowOverlap="1" wp14:anchorId="784170F8" wp14:editId="4F7CE88E">
                    <wp:simplePos x="0" y="0"/>
                    <wp:positionH relativeFrom="column">
                      <wp:posOffset>520894</wp:posOffset>
                    </wp:positionH>
                    <wp:positionV relativeFrom="paragraph">
                      <wp:posOffset>6855460</wp:posOffset>
                    </wp:positionV>
                    <wp:extent cx="811530" cy="494030"/>
                    <wp:effectExtent l="0" t="0" r="0" b="0"/>
                    <wp:wrapNone/>
                    <wp:docPr id="1983561110" name="Caixa de Texto 4"/>
                    <wp:cNvGraphicFramePr/>
                    <a:graphic xmlns:a="http://schemas.openxmlformats.org/drawingml/2006/main">
                      <a:graphicData uri="http://schemas.microsoft.com/office/word/2010/wordprocessingShape">
                        <wps:wsp>
                          <wps:cNvSpPr txBox="1"/>
                          <wps:spPr>
                            <a:xfrm>
                              <a:off x="0" y="0"/>
                              <a:ext cx="811530" cy="494030"/>
                            </a:xfrm>
                            <a:prstGeom prst="rect">
                              <a:avLst/>
                            </a:prstGeom>
                            <a:noFill/>
                            <a:ln w="6350">
                              <a:noFill/>
                            </a:ln>
                          </wps:spPr>
                          <wps:txbx>
                            <w:txbxContent>
                              <w:p w14:paraId="7AC046C5" w14:textId="4909B045"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w:t>
                                </w:r>
                                <w:r w:rsidR="003519DA">
                                  <w:rPr>
                                    <w:rFonts w:ascii="Antonio" w:hAnsi="Antonio"/>
                                    <w:color w:val="F8EDD1"/>
                                    <w:sz w:val="44"/>
                                    <w:szCs w:val="44"/>
                                  </w:rPr>
                                  <w:t xml:space="preserve"> 1</w:t>
                                </w:r>
                                <w:r w:rsidRPr="00733AFB">
                                  <w:rPr>
                                    <w:rFonts w:ascii="Antonio" w:hAnsi="Antonio"/>
                                    <w:color w:val="F8EDD1"/>
                                    <w:sz w:val="44"/>
                                    <w:szCs w:val="44"/>
                                  </w:rPr>
                                  <w:t xml:space="preserve">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170F8" id="Caixa de Texto 4" o:spid="_x0000_s1027" type="#_x0000_t202" style="position:absolute;margin-left:41pt;margin-top:539.8pt;width:63.9pt;height:3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0hzOwIAAGYEAAAOAAAAZHJzL2Uyb0RvYy54bWysVN9v2jAQfp+0/8Hy+wgpPwaooWJUTJNQ&#10;W4lWfTaOUyIlPs82JOyv32cHKOr2NO3FOfvO3/m+7y63d21dsYOyriSd8bTX50xpSXmp3zL+8rz6&#10;MuHMeaFzUZFWGT8qx+/mnz/dNmambmhHVa4sA4h2s8ZkfOe9mSWJkztVC9cjozScBdlaeGztW5Jb&#10;0QC9rpKbfn+cNGRzY0kq53B63zn5POIXhZL+sSic8qzKON7m42rjug1rMr8VszcrzK6Up2eIf3hF&#10;LUqNpBeoe+EF29vyD6i6lJYcFb4nqU6oKEqpYg2oJu1/qGazE0bFWkCOMxea3P+DlQ+HJ8vKHNpN&#10;J4PROE1T0KRFDa2WomwFyxV7Vq0nNgxkNcbNcGdjcMu336jFxfO5w2HgoC1sHb6ojsEPvOOFaiAx&#10;icNJmo4G8Ei4htNhHzbQk/fLxjr/XVHNgpFxCyUjweKwdr4LPYeEXJpWZVVFNSvNmoyPB6N+vHDx&#10;ALzSyBFK6J4aLN9u267+cxlbyo+ozlLXLM7IVYk3rIXzT8KiO/BsdLx/xFJUhFx0sjjbkf31t/MQ&#10;D9Hg5axBt2Xc/dwLqzirfmjIOU2HQ8D6uBmOvt5gY68922uP3tdLQkOnmC0joxnifXU2C0v1KwZj&#10;EbLCJbRE7oz7s7n03QxgsKRaLGIQGtIIv9YbIwN0YDUw/Ny+CmtOMnjo90DnvhSzD2p0sZ0ei72n&#10;ooxSBZ47Vk/0o5mj2KfBC9NyvY9R77+H+W8AAAD//wMAUEsDBBQABgAIAAAAIQAgd7qd4wAAAAwB&#10;AAAPAAAAZHJzL2Rvd25yZXYueG1sTI/NbsIwEITvlfoO1iL1VmyiAiGNg1AkVKlqD1AuvW1ik0T4&#10;J40NpH36bk/0uLOjmfny9WgNu+ghdN5JmE0FMO1qrzrXSDh8bB9TYCGiU2i80xK+dYB1cX+XY6b8&#10;1e30ZR8bRiEuZCihjbHPOA91qy2Gqe+1o9/RDxYjnUPD1YBXCreGJ0IsuMXOUUOLvS5bXZ/2Zyvh&#10;tdy+465KbPpjype346b/OnzOpXyYjJtnYFGP8WaGv/k0HQraVPmzU4EZCWlCKJF0sVwtgJEjESuC&#10;qUiazZdPwIuc/4cofgEAAP//AwBQSwECLQAUAAYACAAAACEAtoM4kv4AAADhAQAAEwAAAAAAAAAA&#10;AAAAAAAAAAAAW0NvbnRlbnRfVHlwZXNdLnhtbFBLAQItABQABgAIAAAAIQA4/SH/1gAAAJQBAAAL&#10;AAAAAAAAAAAAAAAAAC8BAABfcmVscy8ucmVsc1BLAQItABQABgAIAAAAIQAON0hzOwIAAGYEAAAO&#10;AAAAAAAAAAAAAAAAAC4CAABkcnMvZTJvRG9jLnhtbFBLAQItABQABgAIAAAAIQAgd7qd4wAAAAwB&#10;AAAPAAAAAAAAAAAAAAAAAJUEAABkcnMvZG93bnJldi54bWxQSwUGAAAAAAQABADzAAAApQUAAAAA&#10;" filled="f" stroked="f" strokeweight=".5pt">
                    <v:textbox>
                      <w:txbxContent>
                        <w:p w14:paraId="7AC046C5" w14:textId="4909B045"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w:t>
                          </w:r>
                          <w:r w:rsidR="003519DA">
                            <w:rPr>
                              <w:rFonts w:ascii="Antonio" w:hAnsi="Antonio"/>
                              <w:color w:val="F8EDD1"/>
                              <w:sz w:val="44"/>
                              <w:szCs w:val="44"/>
                            </w:rPr>
                            <w:t xml:space="preserve"> 1</w:t>
                          </w:r>
                          <w:r w:rsidRPr="00733AFB">
                            <w:rPr>
                              <w:rFonts w:ascii="Antonio" w:hAnsi="Antonio"/>
                              <w:color w:val="F8EDD1"/>
                              <w:sz w:val="44"/>
                              <w:szCs w:val="44"/>
                            </w:rPr>
                            <w:t xml:space="preserve"> 01:</w:t>
                          </w:r>
                        </w:p>
                      </w:txbxContent>
                    </v:textbox>
                  </v:shape>
                </w:pict>
              </mc:Fallback>
            </mc:AlternateContent>
          </w:r>
          <w:r w:rsidR="0053021A" w:rsidRPr="00F82334">
            <w:rPr>
              <w:color w:val="000000" w:themeColor="text1"/>
            </w:rPr>
            <w:br w:type="page"/>
          </w:r>
        </w:p>
      </w:sdtContent>
    </w:sdt>
    <w:p w14:paraId="004BDF1B" w14:textId="7914BBCC" w:rsidR="00F82334" w:rsidRPr="00F82334" w:rsidRDefault="00F82334" w:rsidP="00F82334">
      <w:pPr>
        <w:spacing w:line="360" w:lineRule="auto"/>
        <w:ind w:hanging="2"/>
        <w:jc w:val="center"/>
        <w:rPr>
          <w:rStyle w:val="Forte"/>
          <w:rFonts w:ascii="Trebuchet MS" w:hAnsi="Trebuchet MS" w:cs="Segoe UI"/>
          <w:color w:val="404040"/>
          <w:shd w:val="clear" w:color="auto" w:fill="FFFFFF"/>
        </w:rPr>
      </w:pPr>
      <w:bookmarkStart w:id="0" w:name="_GoBack"/>
      <w:r w:rsidRPr="00F82334">
        <w:rPr>
          <w:rStyle w:val="Forte"/>
          <w:rFonts w:ascii="Trebuchet MS" w:hAnsi="Trebuchet MS" w:cs="Segoe UI"/>
          <w:color w:val="404040"/>
          <w:shd w:val="clear" w:color="auto" w:fill="FFFFFF"/>
        </w:rPr>
        <w:lastRenderedPageBreak/>
        <w:t>ENTRE SABERES E DESAFIOS: CAMINHOS PARA A AGROINDÚSTRIA FAMILIAR ECOLÓGICA NO SUDOESTE PAULISTA</w:t>
      </w:r>
    </w:p>
    <w:bookmarkEnd w:id="0"/>
    <w:p w14:paraId="12E86CA4" w14:textId="77777777" w:rsidR="00F82334" w:rsidRPr="00F82334" w:rsidRDefault="00F82334" w:rsidP="00216EFF">
      <w:pPr>
        <w:spacing w:line="360" w:lineRule="auto"/>
        <w:ind w:hanging="2"/>
        <w:jc w:val="center"/>
        <w:rPr>
          <w:rFonts w:eastAsia="Arial" w:cs="Arial"/>
          <w:color w:val="000000" w:themeColor="text1"/>
        </w:rPr>
      </w:pPr>
    </w:p>
    <w:p w14:paraId="50A5D750" w14:textId="621152EF" w:rsidR="00216EFF" w:rsidRPr="00F82334" w:rsidRDefault="003519DA" w:rsidP="00216EFF">
      <w:pPr>
        <w:spacing w:line="360" w:lineRule="auto"/>
        <w:ind w:hanging="2"/>
        <w:jc w:val="center"/>
        <w:rPr>
          <w:rFonts w:eastAsia="Arial" w:cs="Arial"/>
          <w:color w:val="000000" w:themeColor="text1"/>
          <w:vertAlign w:val="superscript"/>
        </w:rPr>
      </w:pPr>
      <w:r w:rsidRPr="00F82334">
        <w:rPr>
          <w:rFonts w:eastAsia="Times New Roman" w:cs="Times New Roman"/>
          <w:color w:val="000000" w:themeColor="text1"/>
        </w:rPr>
        <w:t xml:space="preserve">Vinicius Augusto </w:t>
      </w:r>
      <w:proofErr w:type="spellStart"/>
      <w:r w:rsidRPr="00F82334">
        <w:rPr>
          <w:rFonts w:eastAsia="Times New Roman" w:cs="Times New Roman"/>
          <w:color w:val="000000" w:themeColor="text1"/>
        </w:rPr>
        <w:t>Waselciac</w:t>
      </w:r>
      <w:proofErr w:type="spellEnd"/>
      <w:r w:rsidRPr="00F82334">
        <w:rPr>
          <w:rFonts w:eastAsia="Times New Roman" w:cs="Times New Roman"/>
          <w:color w:val="000000" w:themeColor="text1"/>
        </w:rPr>
        <w:t xml:space="preserve"> dos Santo</w:t>
      </w:r>
      <w:r w:rsidR="009E4B37">
        <w:rPr>
          <w:rFonts w:eastAsia="Times New Roman" w:cs="Times New Roman"/>
          <w:color w:val="000000" w:themeColor="text1"/>
        </w:rPr>
        <w:t>s</w:t>
      </w:r>
      <w:r w:rsidR="00216EFF" w:rsidRPr="00F82334">
        <w:rPr>
          <w:rStyle w:val="Refdenotaderodap"/>
          <w:rFonts w:eastAsia="Arial" w:cs="Arial"/>
          <w:color w:val="000000" w:themeColor="text1"/>
        </w:rPr>
        <w:footnoteReference w:id="1"/>
      </w:r>
    </w:p>
    <w:p w14:paraId="05420B62" w14:textId="0ABC7512" w:rsidR="00216EFF" w:rsidRPr="00F82334" w:rsidRDefault="003519DA" w:rsidP="00216EFF">
      <w:pPr>
        <w:spacing w:line="360" w:lineRule="auto"/>
        <w:ind w:hanging="2"/>
        <w:jc w:val="center"/>
        <w:rPr>
          <w:rFonts w:eastAsia="Arial" w:cs="Arial"/>
          <w:color w:val="000000" w:themeColor="text1"/>
        </w:rPr>
      </w:pPr>
      <w:r w:rsidRPr="00F82334">
        <w:rPr>
          <w:rFonts w:eastAsia="Times New Roman" w:cs="Times New Roman"/>
          <w:color w:val="000000" w:themeColor="text1"/>
        </w:rPr>
        <w:t>Leandro de Lima Santos</w:t>
      </w:r>
      <w:r w:rsidRPr="00F82334">
        <w:rPr>
          <w:rStyle w:val="Refdenotaderodap"/>
          <w:rFonts w:eastAsia="Arial" w:cs="Arial"/>
          <w:color w:val="000000" w:themeColor="text1"/>
        </w:rPr>
        <w:t xml:space="preserve"> </w:t>
      </w:r>
      <w:r w:rsidR="00216EFF" w:rsidRPr="00F82334">
        <w:rPr>
          <w:rStyle w:val="Refdenotaderodap"/>
          <w:rFonts w:eastAsia="Arial" w:cs="Arial"/>
          <w:color w:val="000000" w:themeColor="text1"/>
        </w:rPr>
        <w:footnoteReference w:id="2"/>
      </w:r>
    </w:p>
    <w:p w14:paraId="1A10A913" w14:textId="7DEAF9E9" w:rsidR="00216EFF" w:rsidRDefault="00216EFF" w:rsidP="00216EFF">
      <w:pPr>
        <w:spacing w:line="360" w:lineRule="auto"/>
        <w:ind w:hanging="2"/>
        <w:rPr>
          <w:rFonts w:eastAsia="Arial" w:cs="Arial"/>
          <w:color w:val="000000" w:themeColor="text1"/>
        </w:rPr>
      </w:pPr>
    </w:p>
    <w:p w14:paraId="3A826E02" w14:textId="77777777" w:rsidR="009E4B37" w:rsidRPr="00F82334" w:rsidRDefault="009E4B37" w:rsidP="00216EFF">
      <w:pPr>
        <w:spacing w:line="360" w:lineRule="auto"/>
        <w:ind w:hanging="2"/>
        <w:rPr>
          <w:rFonts w:eastAsia="Arial" w:cs="Arial"/>
          <w:color w:val="000000" w:themeColor="text1"/>
        </w:rPr>
      </w:pPr>
    </w:p>
    <w:p w14:paraId="0C32F20E" w14:textId="5ADCDC09" w:rsidR="00216EFF" w:rsidRPr="00F82334" w:rsidRDefault="00216EFF" w:rsidP="00A86995">
      <w:pPr>
        <w:spacing w:line="360" w:lineRule="auto"/>
        <w:ind w:hanging="2"/>
        <w:rPr>
          <w:rFonts w:eastAsia="Arial" w:cs="Arial"/>
          <w:color w:val="000000" w:themeColor="text1"/>
        </w:rPr>
      </w:pPr>
      <w:r w:rsidRPr="00F82334">
        <w:rPr>
          <w:rFonts w:eastAsia="Arial" w:cs="Arial"/>
          <w:b/>
          <w:color w:val="000000" w:themeColor="text1"/>
        </w:rPr>
        <w:t xml:space="preserve">GT </w:t>
      </w:r>
      <w:r w:rsidR="00A86995">
        <w:rPr>
          <w:rFonts w:eastAsia="Arial" w:cs="Arial"/>
          <w:b/>
          <w:color w:val="000000" w:themeColor="text1"/>
        </w:rPr>
        <w:t>8</w:t>
      </w:r>
      <w:r w:rsidRPr="00F82334">
        <w:rPr>
          <w:rFonts w:eastAsia="Arial" w:cs="Arial"/>
          <w:b/>
          <w:color w:val="000000" w:themeColor="text1"/>
        </w:rPr>
        <w:t>:</w:t>
      </w:r>
      <w:r w:rsidRPr="00F82334">
        <w:rPr>
          <w:rFonts w:eastAsia="Arial" w:cs="Arial"/>
          <w:color w:val="000000" w:themeColor="text1"/>
        </w:rPr>
        <w:t xml:space="preserve"> </w:t>
      </w:r>
      <w:r w:rsidR="00A86995">
        <w:t xml:space="preserve">Cultura alimentar, </w:t>
      </w:r>
      <w:proofErr w:type="spellStart"/>
      <w:r w:rsidR="00A86995">
        <w:t>sociobiodiversidade</w:t>
      </w:r>
      <w:proofErr w:type="spellEnd"/>
      <w:r w:rsidR="00A86995">
        <w:t xml:space="preserve"> e Soberania e Segurança Alimentar e Nutricional: desafios à pesquisa</w:t>
      </w:r>
    </w:p>
    <w:p w14:paraId="197CC6C0" w14:textId="77777777" w:rsidR="00216EFF" w:rsidRPr="00F82334" w:rsidRDefault="00216EFF" w:rsidP="00216EFF">
      <w:pPr>
        <w:tabs>
          <w:tab w:val="left" w:pos="3544"/>
        </w:tabs>
        <w:spacing w:line="360" w:lineRule="auto"/>
        <w:ind w:hanging="2"/>
        <w:jc w:val="center"/>
        <w:rPr>
          <w:rFonts w:eastAsia="Arial" w:cs="Arial"/>
          <w:color w:val="000000" w:themeColor="text1"/>
        </w:rPr>
      </w:pPr>
    </w:p>
    <w:p w14:paraId="28CA8F5F" w14:textId="77777777" w:rsidR="009E4B37" w:rsidRDefault="009E4B37" w:rsidP="00F82334">
      <w:pPr>
        <w:spacing w:line="360" w:lineRule="auto"/>
        <w:ind w:hanging="2"/>
        <w:jc w:val="center"/>
        <w:rPr>
          <w:rFonts w:eastAsia="Arial" w:cs="Arial"/>
          <w:b/>
          <w:bCs/>
          <w:color w:val="000000" w:themeColor="text1"/>
        </w:rPr>
      </w:pPr>
    </w:p>
    <w:p w14:paraId="7C618C51" w14:textId="3DE8D89B" w:rsidR="00216EFF" w:rsidRPr="00F82334" w:rsidRDefault="00216EFF" w:rsidP="00F82334">
      <w:pPr>
        <w:spacing w:line="360" w:lineRule="auto"/>
        <w:ind w:hanging="2"/>
        <w:jc w:val="center"/>
        <w:rPr>
          <w:rFonts w:eastAsia="Arial" w:cs="Arial"/>
          <w:b/>
          <w:bCs/>
          <w:color w:val="000000" w:themeColor="text1"/>
        </w:rPr>
      </w:pPr>
      <w:r w:rsidRPr="00F82334">
        <w:rPr>
          <w:rFonts w:eastAsia="Arial" w:cs="Arial"/>
          <w:b/>
          <w:bCs/>
          <w:color w:val="000000" w:themeColor="text1"/>
        </w:rPr>
        <w:t>RESUMO</w:t>
      </w:r>
    </w:p>
    <w:p w14:paraId="4FA094FB" w14:textId="4F8FFA7B" w:rsidR="00F82334" w:rsidRDefault="003C1C87" w:rsidP="00F82334">
      <w:pPr>
        <w:spacing w:line="360" w:lineRule="auto"/>
        <w:ind w:hanging="2"/>
        <w:jc w:val="both"/>
        <w:rPr>
          <w:rFonts w:cs="Segoe UI"/>
          <w:color w:val="000000" w:themeColor="text1"/>
          <w:shd w:val="clear" w:color="auto" w:fill="FFFFFF"/>
        </w:rPr>
      </w:pPr>
      <w:r w:rsidRPr="00F82334">
        <w:rPr>
          <w:color w:val="000000" w:themeColor="text1"/>
        </w:rPr>
        <w:t>A agricultura familiar desempenha um papel crucial na promoção da segurança alimentar, especialmente em regiões vulneráveis como o sudoeste paulista, foco desta pesquisa. O estudo analisa práticas e potencialidades de agricultores familiares com base nos eixos da segurança alimentar, saúde, higiene, autenticidade, meio ambiente e solidariedade, e em três categorias analíticas: perfil socioeconômico, compatibilidade produtiva e viabilidade da</w:t>
      </w:r>
      <w:r w:rsidR="009E4B37">
        <w:rPr>
          <w:color w:val="000000" w:themeColor="text1"/>
        </w:rPr>
        <w:t xml:space="preserve"> </w:t>
      </w:r>
      <w:proofErr w:type="spellStart"/>
      <w:r w:rsidRPr="00F82334">
        <w:rPr>
          <w:color w:val="000000" w:themeColor="text1"/>
        </w:rPr>
        <w:t>agroindustrialização</w:t>
      </w:r>
      <w:proofErr w:type="spellEnd"/>
      <w:r w:rsidR="009E4B37">
        <w:rPr>
          <w:color w:val="000000" w:themeColor="text1"/>
        </w:rPr>
        <w:t xml:space="preserve"> </w:t>
      </w:r>
      <w:r w:rsidRPr="00F82334">
        <w:rPr>
          <w:color w:val="000000" w:themeColor="text1"/>
        </w:rPr>
        <w:t xml:space="preserve">ecológica. </w:t>
      </w:r>
      <w:r w:rsidR="00F82334" w:rsidRPr="00F82334">
        <w:rPr>
          <w:rFonts w:cs="Segoe UI"/>
          <w:color w:val="000000" w:themeColor="text1"/>
          <w:shd w:val="clear" w:color="auto" w:fill="FFFFFF"/>
        </w:rPr>
        <w:t>Verificou-se que o interesse dos agricultores e as experiências existentes apontam caminhos viáveis, como o fortalecimento de redes cooperativas e a valorização dos saberes tradicionais, apontando para a agroindústria familiar ecológica como alternativa de desenvolvimento territorial, desde que articulada a políticas públicas sensíveis às realidades locais.</w:t>
      </w:r>
    </w:p>
    <w:p w14:paraId="1E52CB55" w14:textId="2EF38776" w:rsidR="00F82334" w:rsidRDefault="00216EFF" w:rsidP="00F82334">
      <w:pPr>
        <w:spacing w:line="360" w:lineRule="auto"/>
        <w:ind w:hanging="2"/>
        <w:jc w:val="both"/>
      </w:pPr>
      <w:r w:rsidRPr="00F82334">
        <w:rPr>
          <w:rFonts w:eastAsia="Arial" w:cs="Arial"/>
          <w:b/>
          <w:bCs/>
          <w:color w:val="000000" w:themeColor="text1"/>
        </w:rPr>
        <w:t>Palavras-chave:</w:t>
      </w:r>
      <w:r w:rsidRPr="00F82334">
        <w:rPr>
          <w:rFonts w:eastAsia="Arial" w:cs="Arial"/>
          <w:bCs/>
          <w:color w:val="000000" w:themeColor="text1"/>
        </w:rPr>
        <w:t xml:space="preserve"> </w:t>
      </w:r>
      <w:r w:rsidR="00F82334">
        <w:t>Segurança alimentar, agroindústria familiar, sudoeste paulista, produção orgânica, produção agroecológica.</w:t>
      </w:r>
    </w:p>
    <w:p w14:paraId="5D18AE3C" w14:textId="2434F2C9" w:rsidR="003519DA" w:rsidRPr="00F82334" w:rsidRDefault="003519DA" w:rsidP="003519DA">
      <w:pPr>
        <w:spacing w:line="360" w:lineRule="auto"/>
        <w:ind w:hanging="2"/>
        <w:jc w:val="both"/>
        <w:rPr>
          <w:bCs/>
          <w:color w:val="000000" w:themeColor="text1"/>
        </w:rPr>
      </w:pPr>
    </w:p>
    <w:p w14:paraId="1ABB7E9C" w14:textId="77777777" w:rsidR="00216EFF" w:rsidRPr="00F82334" w:rsidRDefault="00216EFF" w:rsidP="00D2351D">
      <w:pPr>
        <w:spacing w:line="360" w:lineRule="auto"/>
        <w:jc w:val="both"/>
        <w:rPr>
          <w:rFonts w:eastAsia="Arial" w:cs="Arial"/>
          <w:bCs/>
          <w:color w:val="000000" w:themeColor="text1"/>
        </w:rPr>
      </w:pPr>
    </w:p>
    <w:p w14:paraId="25F4F952" w14:textId="77777777" w:rsidR="00216EFF" w:rsidRPr="00F82334" w:rsidRDefault="00216EFF" w:rsidP="00216EFF">
      <w:pPr>
        <w:spacing w:line="360" w:lineRule="auto"/>
        <w:jc w:val="both"/>
        <w:rPr>
          <w:rFonts w:eastAsia="Arial" w:cs="Arial"/>
          <w:b/>
          <w:bCs/>
          <w:color w:val="000000" w:themeColor="text1"/>
        </w:rPr>
      </w:pPr>
      <w:r w:rsidRPr="00F82334">
        <w:rPr>
          <w:rFonts w:eastAsia="Arial" w:cs="Arial"/>
          <w:b/>
          <w:bCs/>
          <w:color w:val="000000" w:themeColor="text1"/>
        </w:rPr>
        <w:t>INTRODUÇÃO</w:t>
      </w:r>
    </w:p>
    <w:p w14:paraId="24FB8157" w14:textId="77777777" w:rsidR="003C1C87" w:rsidRPr="00F82334" w:rsidRDefault="003C1C87" w:rsidP="003519DA">
      <w:pPr>
        <w:pStyle w:val="Ttulo1"/>
        <w:spacing w:before="0" w:after="0" w:line="360" w:lineRule="auto"/>
        <w:ind w:firstLine="708"/>
        <w:jc w:val="both"/>
        <w:rPr>
          <w:rFonts w:asciiTheme="minorHAnsi" w:eastAsia="Times New Roman" w:hAnsiTheme="minorHAnsi" w:cs="Times New Roman"/>
          <w:bCs/>
          <w:color w:val="000000" w:themeColor="text1"/>
          <w:sz w:val="24"/>
          <w:szCs w:val="24"/>
        </w:rPr>
      </w:pPr>
      <w:bookmarkStart w:id="1" w:name="_bqhxbhqhkspw" w:colFirst="0" w:colLast="0"/>
      <w:bookmarkEnd w:id="1"/>
      <w:r w:rsidRPr="00F82334">
        <w:rPr>
          <w:rFonts w:asciiTheme="minorHAnsi" w:eastAsia="Times New Roman" w:hAnsiTheme="minorHAnsi" w:cs="Times New Roman"/>
          <w:bCs/>
          <w:color w:val="000000" w:themeColor="text1"/>
          <w:sz w:val="24"/>
          <w:szCs w:val="24"/>
        </w:rPr>
        <w:t>A agricultura familiar desempenha um papel fundamental no segmento agroalimentar brasileiro, contribuindo de forma significativa para a segurança alimentar da população. De acordo com a Lei nº 11.326, de 24 de julho de 2006, a definição de agricultura familiar baseia-se em características específicas dos produtores e de suas propriedades, tais como: o exercício de atividades produtivas no meio rural; a posse de imóvel com área de até quatro módulos fiscais; a geração de renda predominantemente a partir do próprio estabelecimento; e o uso majoritário de mão de obra familiar.</w:t>
      </w:r>
    </w:p>
    <w:p w14:paraId="6FF3C72F" w14:textId="68087DF8" w:rsidR="003519DA" w:rsidRDefault="003519DA" w:rsidP="003519DA">
      <w:pPr>
        <w:pStyle w:val="Ttulo1"/>
        <w:spacing w:before="0" w:after="0" w:line="360" w:lineRule="auto"/>
        <w:ind w:firstLine="708"/>
        <w:jc w:val="both"/>
        <w:rPr>
          <w:rFonts w:asciiTheme="minorHAnsi" w:eastAsia="Times New Roman" w:hAnsiTheme="minorHAnsi" w:cs="Times New Roman"/>
          <w:bCs/>
          <w:color w:val="000000" w:themeColor="text1"/>
          <w:sz w:val="24"/>
          <w:szCs w:val="24"/>
        </w:rPr>
      </w:pPr>
      <w:r w:rsidRPr="00F82334">
        <w:rPr>
          <w:rFonts w:asciiTheme="minorHAnsi" w:eastAsia="Times New Roman" w:hAnsiTheme="minorHAnsi" w:cs="Times New Roman"/>
          <w:bCs/>
          <w:color w:val="000000" w:themeColor="text1"/>
          <w:sz w:val="24"/>
          <w:szCs w:val="24"/>
        </w:rPr>
        <w:t xml:space="preserve">Segundo o censo agropecuário de 2017, publicado pelo IBGE, a agricultura familiar representa 77% da totalidade de estabelecimentos rurais no Brasil, dos quais estão dispostos em apenas 23% da área agrícola </w:t>
      </w:r>
      <w:proofErr w:type="gramStart"/>
      <w:r w:rsidRPr="00F82334">
        <w:rPr>
          <w:rFonts w:asciiTheme="minorHAnsi" w:eastAsia="Times New Roman" w:hAnsiTheme="minorHAnsi" w:cs="Times New Roman"/>
          <w:bCs/>
          <w:color w:val="000000" w:themeColor="text1"/>
          <w:sz w:val="24"/>
          <w:szCs w:val="24"/>
        </w:rPr>
        <w:t>total,  mesmo</w:t>
      </w:r>
      <w:proofErr w:type="gramEnd"/>
      <w:r w:rsidRPr="00F82334">
        <w:rPr>
          <w:rFonts w:asciiTheme="minorHAnsi" w:eastAsia="Times New Roman" w:hAnsiTheme="minorHAnsi" w:cs="Times New Roman"/>
          <w:bCs/>
          <w:color w:val="000000" w:themeColor="text1"/>
          <w:sz w:val="24"/>
          <w:szCs w:val="24"/>
        </w:rPr>
        <w:t xml:space="preserve"> nessas configurações esse recorte é responsável por suprir 70% dos alimentos consumidos no mercado interno do país. As naturezas socioculturais e produtivas heterogêneas de (</w:t>
      </w:r>
      <w:proofErr w:type="spellStart"/>
      <w:proofErr w:type="gramStart"/>
      <w:r w:rsidRPr="00F82334">
        <w:rPr>
          <w:rFonts w:asciiTheme="minorHAnsi" w:eastAsia="Times New Roman" w:hAnsiTheme="minorHAnsi" w:cs="Times New Roman"/>
          <w:bCs/>
          <w:color w:val="000000" w:themeColor="text1"/>
          <w:sz w:val="24"/>
          <w:szCs w:val="24"/>
        </w:rPr>
        <w:t>re</w:t>
      </w:r>
      <w:proofErr w:type="spellEnd"/>
      <w:r w:rsidRPr="00F82334">
        <w:rPr>
          <w:rFonts w:asciiTheme="minorHAnsi" w:eastAsia="Times New Roman" w:hAnsiTheme="minorHAnsi" w:cs="Times New Roman"/>
          <w:bCs/>
          <w:color w:val="000000" w:themeColor="text1"/>
          <w:sz w:val="24"/>
          <w:szCs w:val="24"/>
        </w:rPr>
        <w:t>)produção</w:t>
      </w:r>
      <w:proofErr w:type="gramEnd"/>
      <w:r w:rsidRPr="00F82334">
        <w:rPr>
          <w:rFonts w:asciiTheme="minorHAnsi" w:eastAsia="Times New Roman" w:hAnsiTheme="minorHAnsi" w:cs="Times New Roman"/>
          <w:bCs/>
          <w:color w:val="000000" w:themeColor="text1"/>
          <w:sz w:val="24"/>
          <w:szCs w:val="24"/>
        </w:rPr>
        <w:t xml:space="preserve"> da agricultura familiar, é o alicerce da sua continuidade e resistência histórica, e que atualmente norteiam os princípios para formulação de políticas públicas voltadas a segurança alimentar (Schneider, 2013).</w:t>
      </w:r>
    </w:p>
    <w:p w14:paraId="78F35F1B" w14:textId="30A096CF" w:rsidR="00A202AB" w:rsidRDefault="004E03CF" w:rsidP="003519DA">
      <w:pPr>
        <w:spacing w:line="360" w:lineRule="auto"/>
        <w:ind w:firstLine="708"/>
        <w:jc w:val="both"/>
      </w:pPr>
      <w:r>
        <w:t xml:space="preserve">Em perspectiva histórica, </w:t>
      </w:r>
      <w:r w:rsidR="00A202AB" w:rsidRPr="00A202AB">
        <w:t xml:space="preserve">questões </w:t>
      </w:r>
      <w:r>
        <w:t>à segurança alimentar</w:t>
      </w:r>
      <w:r w:rsidR="00A202AB" w:rsidRPr="00A202AB">
        <w:t xml:space="preserve"> passaram a integrar a agenda de discussões globais ainda no século X</w:t>
      </w:r>
      <w:r>
        <w:t xml:space="preserve">X, especialmente </w:t>
      </w:r>
      <w:proofErr w:type="gramStart"/>
      <w:r w:rsidR="00A86995">
        <w:t xml:space="preserve">no </w:t>
      </w:r>
      <w:r w:rsidR="00A202AB" w:rsidRPr="00A202AB">
        <w:t>pós</w:t>
      </w:r>
      <w:proofErr w:type="gramEnd"/>
      <w:r w:rsidR="00A86995">
        <w:t xml:space="preserve"> </w:t>
      </w:r>
      <w:r w:rsidR="00A202AB" w:rsidRPr="00A202AB">
        <w:t>Segunda Guerra Mundial, quando se evidenciou a necessidade de ações coordenadas entre as nações</w:t>
      </w:r>
      <w:r>
        <w:t xml:space="preserve"> a respeito da alimentação</w:t>
      </w:r>
      <w:r w:rsidR="00A202AB" w:rsidRPr="00A202AB">
        <w:t>. Nesse cenário, foi criada em 1945 a Organização das Nações Unidas para a Alimentação e a Agricultura (FAO), com o objetivo de combater a insegurança alimentar em escala mundial</w:t>
      </w:r>
      <w:r w:rsidR="00A202AB">
        <w:t xml:space="preserve"> (Santos </w:t>
      </w:r>
      <w:r w:rsidR="00A202AB" w:rsidRPr="00A202AB">
        <w:rPr>
          <w:i/>
        </w:rPr>
        <w:t xml:space="preserve">et al., </w:t>
      </w:r>
      <w:r w:rsidR="00A202AB">
        <w:t>2023)</w:t>
      </w:r>
      <w:r w:rsidR="00A202AB" w:rsidRPr="00A202AB">
        <w:t>.</w:t>
      </w:r>
    </w:p>
    <w:p w14:paraId="4C75E721" w14:textId="3AB2D071" w:rsidR="008D3D90" w:rsidRDefault="008D3D90" w:rsidP="003519DA">
      <w:pPr>
        <w:spacing w:line="360" w:lineRule="auto"/>
        <w:ind w:firstLine="708"/>
        <w:jc w:val="both"/>
        <w:rPr>
          <w:rFonts w:eastAsia="Times New Roman" w:cs="Times New Roman"/>
          <w:bCs/>
          <w:color w:val="000000" w:themeColor="text1"/>
        </w:rPr>
      </w:pPr>
      <w:r>
        <w:t xml:space="preserve">A Declaração Universal dos Direitos Humanos (ONU, 1948) </w:t>
      </w:r>
      <w:r w:rsidR="00911758">
        <w:t>reconhece</w:t>
      </w:r>
      <w:r>
        <w:t xml:space="preserve"> a alimentação </w:t>
      </w:r>
      <w:r w:rsidR="00911758">
        <w:t>direito</w:t>
      </w:r>
      <w:r>
        <w:t xml:space="preserve"> fundamental </w:t>
      </w:r>
      <w:r w:rsidR="00911758">
        <w:t>alicerçado na</w:t>
      </w:r>
      <w:r>
        <w:t xml:space="preserve"> dignidade da pessoa humana, sendo inerente a todos os indivíduos</w:t>
      </w:r>
      <w:r w:rsidRPr="008D3D90">
        <w:rPr>
          <w:rFonts w:eastAsia="Times New Roman" w:cs="Times New Roman"/>
          <w:bCs/>
          <w:color w:val="000000" w:themeColor="text1"/>
        </w:rPr>
        <w:t xml:space="preserve">. Contudo, o debate internacional em torno do tema ganhou maior relevância com a realização da Cúpula Mundial da Alimentação, em </w:t>
      </w:r>
      <w:r w:rsidRPr="008D3D90">
        <w:rPr>
          <w:rFonts w:eastAsia="Times New Roman" w:cs="Times New Roman"/>
          <w:bCs/>
          <w:color w:val="000000" w:themeColor="text1"/>
        </w:rPr>
        <w:lastRenderedPageBreak/>
        <w:t>1996, organizada pela Organização das Nações Unidas para a Alimentação e Agricultura (FAO/ONU), que definiu diretrizes voltadas à promoção da segurança alimentar. A partir dessas iniciativas, consolidou-se o conceito de “segurança alimentar” como o acesso universal a alimentos de qualidade e em quantidade suficiente, considerando as especificidades culturais de cada população e sem comprometer o</w:t>
      </w:r>
      <w:r w:rsidR="00911758">
        <w:rPr>
          <w:rFonts w:eastAsia="Times New Roman" w:cs="Times New Roman"/>
          <w:bCs/>
          <w:color w:val="000000" w:themeColor="text1"/>
        </w:rPr>
        <w:t>utras necessidades fundamentais (Oliveira et al., 2023).</w:t>
      </w:r>
    </w:p>
    <w:p w14:paraId="762D5141" w14:textId="65959605" w:rsidR="003519DA" w:rsidRPr="00F82334" w:rsidRDefault="00911758" w:rsidP="003519DA">
      <w:pPr>
        <w:spacing w:line="360" w:lineRule="auto"/>
        <w:ind w:firstLine="708"/>
        <w:jc w:val="both"/>
        <w:rPr>
          <w:rFonts w:eastAsia="Times New Roman" w:cs="Times New Roman"/>
          <w:bCs/>
          <w:color w:val="000000" w:themeColor="text1"/>
        </w:rPr>
      </w:pPr>
      <w:r>
        <w:rPr>
          <w:rFonts w:eastAsia="Times New Roman" w:cs="Times New Roman"/>
          <w:bCs/>
          <w:color w:val="000000" w:themeColor="text1"/>
        </w:rPr>
        <w:t xml:space="preserve">Somente a partir da </w:t>
      </w:r>
      <w:r w:rsidR="003519DA" w:rsidRPr="00F82334">
        <w:rPr>
          <w:rFonts w:eastAsia="Times New Roman" w:cs="Times New Roman"/>
          <w:bCs/>
          <w:color w:val="000000" w:themeColor="text1"/>
        </w:rPr>
        <w:t>Cúpula Mundial da Alimentação (1996) pela Organização das Nações Unidas para Alimentação e Agricultura (FAO/ONU), que estabeleceu metas e ações governamentais a fim de corroborar com o combate à fome e o acesso a alimentos seguros, e produzindo um consenso sobre a promoção da segurança alimentar a partir de cinco grandes eixos que devem nortear a produção e consumo de alimentos, são eles: saúde, higiene, autenticidade,</w:t>
      </w:r>
      <w:r w:rsidR="00195789" w:rsidRPr="00F82334">
        <w:rPr>
          <w:rFonts w:eastAsia="Times New Roman" w:cs="Times New Roman"/>
          <w:bCs/>
          <w:color w:val="000000" w:themeColor="text1"/>
        </w:rPr>
        <w:t xml:space="preserve"> meio ambiente e solidariedade.</w:t>
      </w:r>
    </w:p>
    <w:p w14:paraId="70E9A2B6" w14:textId="6ED70D9E" w:rsidR="00195789" w:rsidRPr="00F82334" w:rsidRDefault="00195789" w:rsidP="003519DA">
      <w:pPr>
        <w:spacing w:line="360" w:lineRule="auto"/>
        <w:ind w:firstLine="708"/>
        <w:jc w:val="both"/>
        <w:rPr>
          <w:rFonts w:eastAsia="Times New Roman" w:cs="Times New Roman"/>
          <w:bCs/>
          <w:color w:val="000000" w:themeColor="text1"/>
        </w:rPr>
      </w:pPr>
      <w:r w:rsidRPr="00F82334">
        <w:rPr>
          <w:rFonts w:eastAsia="Times New Roman" w:cs="Times New Roman"/>
          <w:bCs/>
          <w:color w:val="000000" w:themeColor="text1"/>
        </w:rPr>
        <w:t>O eixo autenticidade refere-se à valorização de produções agroalimentares tradicionais e originais, relacionadas aos saberes locais e às especificidades dos processos agrícolas e agroindustriais. O eixo saúde compreende aspectos dietéticos e farmacêuticos ligados à composição nutricional dos alimentos, sendo essencial a educação alimentar, especialmente entre populações carentes. O eixo higiene e seguridade trata da inocuidade dos alimentos, com controle de processos e garantia de condições adequadas de produção, distribuição e embalagem, visando à ausência de elementos tóxicos. O eixo meio ambiente defende práticas sustentáveis, como a produção orgânica e ecológica, que reduzem riscos toxicológicos e respeitam o equilíbrio ambiental. Por fim, o eixo solidariedade baseia-se em valores sociais e morais, promovendo um consumo ético e consciente, que envolva a participação das populações em ações humanitárias no sistema alimentar (A</w:t>
      </w:r>
      <w:r w:rsidR="00AA0621" w:rsidRPr="00F82334">
        <w:rPr>
          <w:rFonts w:eastAsia="Times New Roman" w:cs="Times New Roman"/>
          <w:bCs/>
          <w:color w:val="000000" w:themeColor="text1"/>
        </w:rPr>
        <w:t xml:space="preserve">lmeida </w:t>
      </w:r>
      <w:r w:rsidRPr="00DF4D5B">
        <w:rPr>
          <w:rFonts w:eastAsia="Times New Roman" w:cs="Times New Roman"/>
          <w:bCs/>
          <w:i/>
          <w:color w:val="000000" w:themeColor="text1"/>
        </w:rPr>
        <w:t>et al</w:t>
      </w:r>
      <w:r w:rsidRPr="00F82334">
        <w:rPr>
          <w:rFonts w:eastAsia="Times New Roman" w:cs="Times New Roman"/>
          <w:bCs/>
          <w:color w:val="000000" w:themeColor="text1"/>
        </w:rPr>
        <w:t xml:space="preserve">., </w:t>
      </w:r>
      <w:proofErr w:type="gramStart"/>
      <w:r w:rsidRPr="00F82334">
        <w:rPr>
          <w:rFonts w:eastAsia="Times New Roman" w:cs="Times New Roman"/>
          <w:bCs/>
          <w:color w:val="000000" w:themeColor="text1"/>
        </w:rPr>
        <w:t>2016 )</w:t>
      </w:r>
      <w:proofErr w:type="gramEnd"/>
      <w:r w:rsidRPr="00F82334">
        <w:rPr>
          <w:rFonts w:eastAsia="Times New Roman" w:cs="Times New Roman"/>
          <w:bCs/>
          <w:color w:val="000000" w:themeColor="text1"/>
        </w:rPr>
        <w:t>.</w:t>
      </w:r>
    </w:p>
    <w:p w14:paraId="7DAAFF04" w14:textId="037D170B" w:rsidR="003519DA" w:rsidRPr="00F82334" w:rsidRDefault="003519DA" w:rsidP="003519DA">
      <w:pPr>
        <w:spacing w:line="360" w:lineRule="auto"/>
        <w:ind w:firstLine="708"/>
        <w:jc w:val="both"/>
        <w:rPr>
          <w:rFonts w:eastAsia="Times New Roman" w:cs="Times New Roman"/>
          <w:bCs/>
          <w:color w:val="000000" w:themeColor="text1"/>
        </w:rPr>
      </w:pPr>
      <w:r w:rsidRPr="00F82334">
        <w:rPr>
          <w:rFonts w:eastAsia="Times New Roman" w:cs="Times New Roman"/>
          <w:bCs/>
          <w:color w:val="000000" w:themeColor="text1"/>
        </w:rPr>
        <w:t xml:space="preserve">Atualmente são percebidos ajustes em práticas produtivas que vão além da preocupação com a quantidade de alimentos, envolvendo preservação de recursos naturais, a valorização dos mercados locais, bem como relacionadas com a </w:t>
      </w:r>
      <w:r w:rsidRPr="00F82334">
        <w:rPr>
          <w:rFonts w:eastAsia="Times New Roman" w:cs="Times New Roman"/>
          <w:bCs/>
          <w:color w:val="000000" w:themeColor="text1"/>
        </w:rPr>
        <w:lastRenderedPageBreak/>
        <w:t>reprodução social e cultural de comunidades rurais, o que se alinha à perspectiva de promoção de segurança alimentar instruída pela FAO/ONU, sobretudo em seus aspectos ligados a autenticidade produtiva e conformidade ambiental.</w:t>
      </w:r>
    </w:p>
    <w:p w14:paraId="24064546" w14:textId="77777777" w:rsidR="003519DA" w:rsidRPr="00F82334" w:rsidRDefault="003519DA" w:rsidP="003519DA">
      <w:pPr>
        <w:spacing w:line="360" w:lineRule="auto"/>
        <w:ind w:firstLine="708"/>
        <w:jc w:val="both"/>
        <w:rPr>
          <w:rFonts w:eastAsia="Times New Roman" w:cs="Times New Roman"/>
          <w:bCs/>
          <w:color w:val="000000" w:themeColor="text1"/>
        </w:rPr>
      </w:pPr>
      <w:r w:rsidRPr="00F82334">
        <w:rPr>
          <w:rFonts w:eastAsia="Times New Roman" w:cs="Times New Roman"/>
          <w:bCs/>
          <w:color w:val="000000" w:themeColor="text1"/>
        </w:rPr>
        <w:t xml:space="preserve">Nessa perspectiva, tem-se a agricultura de base ecológica, que envolve cultivo orgânico, biodinâmico, e natural, com objetivo de ofertar produtos saudáveis, preservar a biodiversidade e os ecossistemas naturais, promover o uso sustentável de recursos naturais entre os diferentes segmentos da cadeia produtiva e restringir a aplicação de materiais sintéticos e geneticamente modificados (Brasil, 2003). </w:t>
      </w:r>
    </w:p>
    <w:p w14:paraId="1FFC85FC" w14:textId="252278E6" w:rsidR="003519DA" w:rsidRPr="00F82334" w:rsidRDefault="00195789" w:rsidP="003519DA">
      <w:pPr>
        <w:spacing w:line="360" w:lineRule="auto"/>
        <w:ind w:firstLine="708"/>
        <w:jc w:val="both"/>
        <w:rPr>
          <w:rFonts w:eastAsia="Times New Roman" w:cs="Times New Roman"/>
          <w:bCs/>
          <w:color w:val="000000" w:themeColor="text1"/>
        </w:rPr>
      </w:pPr>
      <w:r w:rsidRPr="00F82334">
        <w:rPr>
          <w:rFonts w:eastAsia="Times New Roman" w:cs="Times New Roman"/>
          <w:bCs/>
          <w:color w:val="000000" w:themeColor="text1"/>
        </w:rPr>
        <w:t>Sob tal perspectiva é que</w:t>
      </w:r>
      <w:r w:rsidR="003519DA" w:rsidRPr="00F82334">
        <w:rPr>
          <w:rFonts w:eastAsia="Times New Roman" w:cs="Times New Roman"/>
          <w:bCs/>
          <w:color w:val="000000" w:themeColor="text1"/>
        </w:rPr>
        <w:t xml:space="preserve"> a </w:t>
      </w:r>
      <w:proofErr w:type="spellStart"/>
      <w:r w:rsidR="003519DA" w:rsidRPr="00F82334">
        <w:rPr>
          <w:rFonts w:eastAsia="Times New Roman" w:cs="Times New Roman"/>
          <w:bCs/>
          <w:color w:val="000000" w:themeColor="text1"/>
        </w:rPr>
        <w:t>agroindustrialização</w:t>
      </w:r>
      <w:proofErr w:type="spellEnd"/>
      <w:r w:rsidR="003519DA" w:rsidRPr="00F82334">
        <w:rPr>
          <w:rFonts w:eastAsia="Times New Roman" w:cs="Times New Roman"/>
          <w:bCs/>
          <w:color w:val="000000" w:themeColor="text1"/>
        </w:rPr>
        <w:t xml:space="preserve"> pode se alinhar à promoção de sistemas agroecológicos de produção, sendo parte importante da estruturação da agricultura familiar para novas formas de comercialização e agregação de valor. Segundo Maia (2008), tem –se que a agroindústria familiar é um espaço de processamento e beneficiamento das matérias primas, que amparam alternativas de permanência e reprodução de muitas famílias no meio rural, gerando emprego, renda e qualidade de vida, e resultados ampliados para o desenvolvimento regional.</w:t>
      </w:r>
    </w:p>
    <w:p w14:paraId="4A28E0EF" w14:textId="4771D121" w:rsidR="00911758" w:rsidRDefault="003C1C87" w:rsidP="003519DA">
      <w:pPr>
        <w:spacing w:line="360" w:lineRule="auto"/>
        <w:ind w:firstLine="708"/>
        <w:jc w:val="both"/>
      </w:pPr>
      <w:r w:rsidRPr="00F82334">
        <w:rPr>
          <w:rFonts w:eastAsia="Cambria" w:cs="Cambria"/>
          <w:bCs/>
          <w:color w:val="000000" w:themeColor="text1"/>
        </w:rPr>
        <w:t>Neste trabalho</w:t>
      </w:r>
      <w:r w:rsidR="003519DA" w:rsidRPr="00F82334">
        <w:rPr>
          <w:rFonts w:eastAsia="Cambria" w:cs="Cambria"/>
          <w:bCs/>
          <w:color w:val="000000" w:themeColor="text1"/>
        </w:rPr>
        <w:t>, o universo empírico envolve uma importante região agrícola de 15 municípios</w:t>
      </w:r>
      <w:r w:rsidR="00D36B46" w:rsidRPr="00F82334">
        <w:rPr>
          <w:rFonts w:eastAsia="Cambria" w:cs="Cambria"/>
          <w:bCs/>
          <w:color w:val="000000" w:themeColor="text1"/>
        </w:rPr>
        <w:t xml:space="preserve"> de São Paulo, especificamente localizados na região sudoeste do estado</w:t>
      </w:r>
      <w:r w:rsidR="003519DA" w:rsidRPr="00F82334">
        <w:rPr>
          <w:rFonts w:eastAsia="Cambria" w:cs="Cambria"/>
          <w:bCs/>
          <w:color w:val="000000" w:themeColor="text1"/>
        </w:rPr>
        <w:t xml:space="preserve">. </w:t>
      </w:r>
      <w:r w:rsidR="00911758">
        <w:t>Essa região apresenta uma marcante vocação agropecuária, com uma dinâmica populacional centrada no meio rural. Apesar da significativa presença de agricultores familiares e patronais, destaca-se por registrar baixos índices de desenvolvimento h</w:t>
      </w:r>
      <w:r w:rsidR="00A202AB">
        <w:t>umano e ser apontada como a região</w:t>
      </w:r>
      <w:r w:rsidR="00911758">
        <w:t xml:space="preserve"> mais carente do estado de São Paulo</w:t>
      </w:r>
      <w:r w:rsidR="00A202AB">
        <w:t xml:space="preserve"> (</w:t>
      </w:r>
      <w:proofErr w:type="spellStart"/>
      <w:r w:rsidR="00A202AB">
        <w:t>Piomonte</w:t>
      </w:r>
      <w:proofErr w:type="spellEnd"/>
      <w:r w:rsidR="00A202AB">
        <w:t xml:space="preserve"> </w:t>
      </w:r>
      <w:r w:rsidR="00A202AB" w:rsidRPr="00A202AB">
        <w:rPr>
          <w:i/>
        </w:rPr>
        <w:t xml:space="preserve">et al., </w:t>
      </w:r>
      <w:r w:rsidR="00A202AB">
        <w:t>2021)</w:t>
      </w:r>
      <w:r w:rsidR="00911758">
        <w:t>.</w:t>
      </w:r>
    </w:p>
    <w:p w14:paraId="410F3984" w14:textId="58B245B4" w:rsidR="003519DA" w:rsidRPr="00F82334" w:rsidRDefault="00AA0621" w:rsidP="003519DA">
      <w:pPr>
        <w:spacing w:line="360" w:lineRule="auto"/>
        <w:ind w:firstLine="708"/>
        <w:jc w:val="both"/>
        <w:rPr>
          <w:rFonts w:eastAsia="Times New Roman" w:cs="Times New Roman"/>
          <w:bCs/>
          <w:color w:val="000000" w:themeColor="text1"/>
        </w:rPr>
      </w:pPr>
      <w:r>
        <w:rPr>
          <w:rFonts w:eastAsia="Cambria" w:cs="Cambria"/>
          <w:bCs/>
          <w:color w:val="000000" w:themeColor="text1"/>
        </w:rPr>
        <w:t>A</w:t>
      </w:r>
      <w:r w:rsidR="003519DA" w:rsidRPr="00F82334">
        <w:rPr>
          <w:rFonts w:eastAsia="Times New Roman" w:cs="Times New Roman"/>
          <w:bCs/>
          <w:color w:val="000000" w:themeColor="text1"/>
        </w:rPr>
        <w:t xml:space="preserve"> região é palco de uma disputa setorial entre o modelo de agricultura familiar e agronegócio, historicamente sujeita ao referencial dominante de modernização conservadora. A disseminação da Revolução Verde, a partir das décadas de 1960-1970, introduziu práticas como a crescente adesão a sementes e animais transgênicos, uso de agrotóxicos e predomínio de monoculturas, consolidando uma agricultura </w:t>
      </w:r>
      <w:proofErr w:type="spellStart"/>
      <w:r w:rsidR="003519DA" w:rsidRPr="00F82334">
        <w:rPr>
          <w:rFonts w:eastAsia="Times New Roman" w:cs="Times New Roman"/>
          <w:bCs/>
          <w:color w:val="000000" w:themeColor="text1"/>
        </w:rPr>
        <w:t>tecnificada</w:t>
      </w:r>
      <w:proofErr w:type="spellEnd"/>
      <w:r w:rsidR="003519DA" w:rsidRPr="00F82334">
        <w:rPr>
          <w:rFonts w:eastAsia="Times New Roman" w:cs="Times New Roman"/>
          <w:bCs/>
          <w:color w:val="000000" w:themeColor="text1"/>
        </w:rPr>
        <w:t xml:space="preserve"> e concentradora de terras (Gonçalves; Souza, 1993). </w:t>
      </w:r>
    </w:p>
    <w:p w14:paraId="001E4C3B" w14:textId="6CD4AE66" w:rsidR="003519DA" w:rsidRPr="00F82334" w:rsidRDefault="00AA0621" w:rsidP="003519DA">
      <w:pPr>
        <w:spacing w:line="360" w:lineRule="auto"/>
        <w:ind w:firstLine="708"/>
        <w:jc w:val="both"/>
        <w:rPr>
          <w:rFonts w:eastAsia="Times New Roman" w:cs="Times New Roman"/>
          <w:bCs/>
          <w:color w:val="000000" w:themeColor="text1"/>
        </w:rPr>
      </w:pPr>
      <w:r>
        <w:rPr>
          <w:rFonts w:eastAsia="Times New Roman" w:cs="Times New Roman"/>
          <w:bCs/>
          <w:color w:val="000000" w:themeColor="text1"/>
        </w:rPr>
        <w:lastRenderedPageBreak/>
        <w:t>Nesse cenário</w:t>
      </w:r>
      <w:r w:rsidR="003C1C87" w:rsidRPr="00F82334">
        <w:rPr>
          <w:rFonts w:eastAsia="Times New Roman" w:cs="Times New Roman"/>
          <w:bCs/>
          <w:color w:val="000000" w:themeColor="text1"/>
        </w:rPr>
        <w:t>, realizou-se uma análise de</w:t>
      </w:r>
      <w:r w:rsidR="003519DA" w:rsidRPr="00F82334">
        <w:rPr>
          <w:rFonts w:eastAsia="Times New Roman" w:cs="Times New Roman"/>
          <w:bCs/>
          <w:color w:val="000000" w:themeColor="text1"/>
        </w:rPr>
        <w:t xml:space="preserve"> experiências e possibilidades de processamento agroindustrial ecológico tendo como sujeitos, os agricultores familiares orgânicos e agroecológicos certificados ou em</w:t>
      </w:r>
      <w:r w:rsidR="003C1C87" w:rsidRPr="00F82334">
        <w:rPr>
          <w:rFonts w:eastAsia="Times New Roman" w:cs="Times New Roman"/>
          <w:bCs/>
          <w:color w:val="000000" w:themeColor="text1"/>
        </w:rPr>
        <w:t xml:space="preserve"> processo de certificação</w:t>
      </w:r>
      <w:r w:rsidR="003519DA" w:rsidRPr="00F82334">
        <w:rPr>
          <w:rFonts w:eastAsia="Times New Roman" w:cs="Times New Roman"/>
          <w:bCs/>
          <w:color w:val="000000" w:themeColor="text1"/>
        </w:rPr>
        <w:t xml:space="preserve">. A pesquisa de campo populacional foi instrumentalizada em entrevistas dos agricultores à partir de questionários semiestruturados, os dados quantitativos e qualitativos obtidos, compuseram os diagnósticos com categorias de análise, dispostas em 3 conjuntos temáticos: 1-Perfil socioeconômico dos agricultores, 2-Identificação de elementos de compatibilidade de produção, comercialização e consumo aos eixos norteadores de segurança alimentar e, 3-Experiências e possibilidades de processamento agroindustrial familiar ecológico. </w:t>
      </w:r>
    </w:p>
    <w:p w14:paraId="265A3A22" w14:textId="77777777" w:rsidR="001A198D" w:rsidRPr="00F82334" w:rsidRDefault="001A198D" w:rsidP="00216EFF">
      <w:pPr>
        <w:spacing w:line="360" w:lineRule="auto"/>
        <w:jc w:val="both"/>
        <w:rPr>
          <w:rFonts w:eastAsia="Arial" w:cs="Arial"/>
          <w:b/>
          <w:bCs/>
          <w:color w:val="000000" w:themeColor="text1"/>
        </w:rPr>
      </w:pPr>
    </w:p>
    <w:p w14:paraId="4FB782B1" w14:textId="6047321C" w:rsidR="00216EFF" w:rsidRPr="00F82334" w:rsidRDefault="00D36B46" w:rsidP="00216EFF">
      <w:pPr>
        <w:spacing w:line="360" w:lineRule="auto"/>
        <w:jc w:val="both"/>
        <w:rPr>
          <w:rFonts w:eastAsia="Arial" w:cs="Arial"/>
          <w:b/>
          <w:bCs/>
          <w:color w:val="000000" w:themeColor="text1"/>
        </w:rPr>
      </w:pPr>
      <w:r w:rsidRPr="00F82334">
        <w:rPr>
          <w:rFonts w:eastAsia="Arial" w:cs="Arial"/>
          <w:b/>
          <w:bCs/>
          <w:color w:val="000000" w:themeColor="text1"/>
        </w:rPr>
        <w:t>CAMINHOS DA PESQUISA</w:t>
      </w:r>
    </w:p>
    <w:p w14:paraId="44924A57" w14:textId="1DE3E3D4" w:rsidR="003519DA" w:rsidRPr="00F82334" w:rsidRDefault="003519DA" w:rsidP="003519DA">
      <w:pPr>
        <w:widowControl w:val="0"/>
        <w:spacing w:before="133" w:line="344" w:lineRule="auto"/>
        <w:ind w:left="20" w:right="22" w:firstLine="700"/>
        <w:jc w:val="both"/>
        <w:rPr>
          <w:rFonts w:eastAsia="Times New Roman" w:cs="Times New Roman"/>
          <w:bCs/>
          <w:color w:val="000000" w:themeColor="text1"/>
        </w:rPr>
      </w:pPr>
      <w:r w:rsidRPr="00F82334">
        <w:rPr>
          <w:rFonts w:eastAsia="Times New Roman" w:cs="Times New Roman"/>
          <w:bCs/>
          <w:color w:val="000000" w:themeColor="text1"/>
        </w:rPr>
        <w:t xml:space="preserve">O universo empírico escolhido </w:t>
      </w:r>
      <w:r w:rsidR="00140B14" w:rsidRPr="00F82334">
        <w:rPr>
          <w:rFonts w:eastAsia="Times New Roman" w:cs="Times New Roman"/>
          <w:bCs/>
          <w:color w:val="000000" w:themeColor="text1"/>
        </w:rPr>
        <w:t>foi</w:t>
      </w:r>
      <w:r w:rsidRPr="00F82334">
        <w:rPr>
          <w:rFonts w:eastAsia="Times New Roman" w:cs="Times New Roman"/>
          <w:bCs/>
          <w:color w:val="000000" w:themeColor="text1"/>
        </w:rPr>
        <w:t xml:space="preserve"> a Região Sudoeste Paulista, a princípio composto por 15 municípios, que também abrange localidades concomitantes à Bacia do Alto do Paranapanema, especificamente em suas áreas rurais. A formação histórica da região é marcada pela desigualdade causada pela má distribuição de terras, renda e riquezas, as quais consequentemente justificam um baixo Índice de Desenvolvimento Humano do estado de São Paulo (IDH), realidade que tornou invisível muitos recortes socioculturais ao longo dos anos. </w:t>
      </w:r>
    </w:p>
    <w:p w14:paraId="3B3AC31F" w14:textId="6A834F6D" w:rsidR="003519DA" w:rsidRPr="00F82334" w:rsidRDefault="003519DA" w:rsidP="003519DA">
      <w:pPr>
        <w:widowControl w:val="0"/>
        <w:spacing w:before="29" w:line="344" w:lineRule="auto"/>
        <w:ind w:left="26" w:right="25" w:firstLine="713"/>
        <w:jc w:val="both"/>
        <w:rPr>
          <w:rFonts w:eastAsia="Times New Roman" w:cs="Times New Roman"/>
          <w:bCs/>
          <w:color w:val="000000" w:themeColor="text1"/>
        </w:rPr>
      </w:pPr>
      <w:r w:rsidRPr="00F82334">
        <w:rPr>
          <w:rFonts w:eastAsia="Times New Roman" w:cs="Times New Roman"/>
          <w:bCs/>
          <w:color w:val="000000" w:themeColor="text1"/>
        </w:rPr>
        <w:t>Ao todo, objetiva-se a realização de entrevistas com ao menos 85 produtores orgânicos, agroecológicos ou com potencialidade de transição, individuais ou membros de cooperativas na região de pesquisa, tal número foi obtido conforme consulta prévia aos dados do cadastro nacional de produtores orgânicos do governo federal, disponível na página eletrônica do Ministério da Agricultura, Pecuária e Abastecimento (MAPA)</w:t>
      </w:r>
      <w:r w:rsidR="00D36B46" w:rsidRPr="00F82334">
        <w:rPr>
          <w:rFonts w:eastAsia="Times New Roman" w:cs="Times New Roman"/>
          <w:bCs/>
          <w:color w:val="000000" w:themeColor="text1"/>
        </w:rPr>
        <w:t xml:space="preserve">. Até o momento foram realizadas 51 entrevistas </w:t>
      </w:r>
      <w:r w:rsidRPr="00F82334">
        <w:rPr>
          <w:rFonts w:eastAsia="Times New Roman" w:cs="Times New Roman"/>
          <w:bCs/>
          <w:color w:val="000000" w:themeColor="text1"/>
        </w:rPr>
        <w:t xml:space="preserve">guiadas por um questionário semiestruturado, que </w:t>
      </w:r>
      <w:r w:rsidR="00943AB0" w:rsidRPr="00F82334">
        <w:rPr>
          <w:rFonts w:eastAsia="Times New Roman" w:cs="Times New Roman"/>
          <w:bCs/>
          <w:color w:val="000000" w:themeColor="text1"/>
        </w:rPr>
        <w:t>foi</w:t>
      </w:r>
      <w:r w:rsidRPr="00F82334">
        <w:rPr>
          <w:rFonts w:eastAsia="Times New Roman" w:cs="Times New Roman"/>
          <w:bCs/>
          <w:color w:val="000000" w:themeColor="text1"/>
        </w:rPr>
        <w:t xml:space="preserve"> aplicado aos representantes de cada família agricultora, </w:t>
      </w:r>
      <w:r w:rsidR="00D36B46" w:rsidRPr="00F82334">
        <w:rPr>
          <w:rFonts w:eastAsia="Times New Roman" w:cs="Times New Roman"/>
          <w:bCs/>
          <w:color w:val="000000" w:themeColor="text1"/>
        </w:rPr>
        <w:t>organizado a partir de</w:t>
      </w:r>
      <w:r w:rsidRPr="00F82334">
        <w:rPr>
          <w:rFonts w:eastAsia="Times New Roman" w:cs="Times New Roman"/>
          <w:bCs/>
          <w:color w:val="000000" w:themeColor="text1"/>
        </w:rPr>
        <w:t xml:space="preserve"> questões abertas e/ou fechadas, ajustadas de acordo com as categorias de análise, elencadas de acordo com os </w:t>
      </w:r>
      <w:r w:rsidRPr="00F82334">
        <w:rPr>
          <w:rFonts w:eastAsia="Times New Roman" w:cs="Times New Roman"/>
          <w:bCs/>
          <w:color w:val="000000" w:themeColor="text1"/>
        </w:rPr>
        <w:lastRenderedPageBreak/>
        <w:t xml:space="preserve">objetivos da pesquisa. </w:t>
      </w:r>
    </w:p>
    <w:p w14:paraId="585C5C18" w14:textId="064AC566" w:rsidR="003519DA" w:rsidRPr="00F82334" w:rsidRDefault="003519DA" w:rsidP="003519DA">
      <w:pPr>
        <w:widowControl w:val="0"/>
        <w:spacing w:before="29" w:line="344" w:lineRule="auto"/>
        <w:ind w:left="17" w:right="9" w:firstLine="729"/>
        <w:jc w:val="both"/>
        <w:rPr>
          <w:rFonts w:eastAsia="Times New Roman" w:cs="Times New Roman"/>
          <w:bCs/>
          <w:color w:val="000000" w:themeColor="text1"/>
        </w:rPr>
      </w:pPr>
      <w:r w:rsidRPr="00F82334">
        <w:rPr>
          <w:rFonts w:eastAsia="Times New Roman" w:cs="Times New Roman"/>
          <w:bCs/>
          <w:color w:val="000000" w:themeColor="text1"/>
        </w:rPr>
        <w:t xml:space="preserve">Como enfoque de pesquisa, </w:t>
      </w:r>
      <w:r w:rsidR="00D36B46" w:rsidRPr="00F82334">
        <w:rPr>
          <w:rFonts w:eastAsia="Times New Roman" w:cs="Times New Roman"/>
          <w:bCs/>
          <w:color w:val="000000" w:themeColor="text1"/>
        </w:rPr>
        <w:t>foram abordados</w:t>
      </w:r>
      <w:r w:rsidRPr="00F82334">
        <w:rPr>
          <w:rFonts w:eastAsia="Times New Roman" w:cs="Times New Roman"/>
          <w:bCs/>
          <w:color w:val="000000" w:themeColor="text1"/>
        </w:rPr>
        <w:t xml:space="preserve"> fatores ligados ao perfil dos produtores, das propriedades e das formas de produção e comercialização a nível diagnóstico das condições de promoção de segurança alimentar considerando os cinco eixos norteadores definidos pela FAO/ONU a envolver produção, distribuição e acesso aos alimentos, respaldando-se em valores sociais de: saúde, higiene, autenticidade, solidariedade e meio ambiente. </w:t>
      </w:r>
    </w:p>
    <w:p w14:paraId="6A45EAC5" w14:textId="77777777" w:rsidR="003519DA" w:rsidRPr="00F82334" w:rsidRDefault="003519DA" w:rsidP="003519DA">
      <w:pPr>
        <w:widowControl w:val="0"/>
        <w:spacing w:before="29" w:line="344" w:lineRule="auto"/>
        <w:ind w:left="25" w:right="32" w:firstLine="718"/>
        <w:jc w:val="both"/>
        <w:rPr>
          <w:rFonts w:eastAsia="Times New Roman" w:cs="Times New Roman"/>
          <w:bCs/>
          <w:color w:val="000000" w:themeColor="text1"/>
        </w:rPr>
      </w:pPr>
      <w:r w:rsidRPr="00F82334">
        <w:rPr>
          <w:rFonts w:eastAsia="Times New Roman" w:cs="Times New Roman"/>
          <w:bCs/>
          <w:color w:val="000000" w:themeColor="text1"/>
        </w:rPr>
        <w:t xml:space="preserve">Em perspectiva das análises de campo, considerando ainda as informações acumuladas nos segmentos de pesquisas anteriores, são dispostas as pretensões de investigação sobre as atividades produtivas, suas motivações, características e perspectivas que envolvam as formas já existentes, bem como as potencialidades de processamento agroindustrial de base ecológica. </w:t>
      </w:r>
    </w:p>
    <w:p w14:paraId="71717635" w14:textId="3684CF05" w:rsidR="00216EFF" w:rsidRPr="00F82334" w:rsidRDefault="003519DA" w:rsidP="00386B76">
      <w:pPr>
        <w:widowControl w:val="0"/>
        <w:spacing w:before="29" w:line="344" w:lineRule="auto"/>
        <w:ind w:left="17" w:right="6" w:firstLine="724"/>
        <w:jc w:val="both"/>
        <w:rPr>
          <w:rFonts w:eastAsia="Times New Roman" w:cs="Times New Roman"/>
          <w:bCs/>
          <w:color w:val="000000" w:themeColor="text1"/>
        </w:rPr>
      </w:pPr>
      <w:r w:rsidRPr="00F82334">
        <w:rPr>
          <w:rFonts w:eastAsia="Times New Roman" w:cs="Times New Roman"/>
          <w:bCs/>
          <w:color w:val="000000" w:themeColor="text1"/>
        </w:rPr>
        <w:t xml:space="preserve">Por fim, a fase de análise dos dados partiu da obtenção do material coletado nas entrevistas, seguido da fase de ordenação, tabulação das respostas, interpretações, considerações qualitativas, classificação e análise dos processos agroindustriais sob a ótica dos eixos norteadores de SAN e categorias de analises mencionadas. </w:t>
      </w:r>
    </w:p>
    <w:p w14:paraId="2006C6E3" w14:textId="77777777" w:rsidR="00195789" w:rsidRPr="00F82334" w:rsidRDefault="00195789" w:rsidP="00386B76">
      <w:pPr>
        <w:widowControl w:val="0"/>
        <w:spacing w:before="29" w:line="344" w:lineRule="auto"/>
        <w:ind w:left="17" w:right="6" w:firstLine="724"/>
        <w:jc w:val="both"/>
        <w:rPr>
          <w:rFonts w:eastAsia="Arial" w:cs="Arial"/>
          <w:bCs/>
          <w:color w:val="000000" w:themeColor="text1"/>
        </w:rPr>
      </w:pPr>
    </w:p>
    <w:p w14:paraId="28D0CC89" w14:textId="668940F4" w:rsidR="00216EFF" w:rsidRPr="00F82334" w:rsidRDefault="00D36B46" w:rsidP="00216EFF">
      <w:pPr>
        <w:spacing w:line="360" w:lineRule="auto"/>
        <w:jc w:val="both"/>
        <w:rPr>
          <w:rFonts w:eastAsia="Arial" w:cs="Arial"/>
          <w:b/>
          <w:bCs/>
          <w:color w:val="000000" w:themeColor="text1"/>
        </w:rPr>
      </w:pPr>
      <w:r w:rsidRPr="00F82334">
        <w:rPr>
          <w:rFonts w:eastAsia="Arial" w:cs="Arial"/>
          <w:b/>
          <w:bCs/>
          <w:color w:val="000000" w:themeColor="text1"/>
        </w:rPr>
        <w:t>RESULTADOS E DISCUSSÕES</w:t>
      </w:r>
    </w:p>
    <w:p w14:paraId="5FE3E038" w14:textId="4C410F03" w:rsidR="00375EB6" w:rsidRPr="00F82334" w:rsidRDefault="00375EB6" w:rsidP="00375EB6">
      <w:pPr>
        <w:spacing w:line="360" w:lineRule="auto"/>
        <w:ind w:firstLine="708"/>
        <w:jc w:val="both"/>
        <w:rPr>
          <w:bCs/>
          <w:color w:val="000000" w:themeColor="text1"/>
        </w:rPr>
      </w:pPr>
      <w:r w:rsidRPr="00F82334">
        <w:rPr>
          <w:bCs/>
          <w:color w:val="000000" w:themeColor="text1"/>
        </w:rPr>
        <w:t xml:space="preserve">A pesquisa, realizada com base em 51 questionários aplicados a agricultores familiares de oito municípios do Sudoeste Paulista (Angatuba, Paranapanema, </w:t>
      </w:r>
      <w:proofErr w:type="spellStart"/>
      <w:r w:rsidRPr="00F82334">
        <w:rPr>
          <w:bCs/>
          <w:color w:val="000000" w:themeColor="text1"/>
        </w:rPr>
        <w:t>Guapiara</w:t>
      </w:r>
      <w:proofErr w:type="spellEnd"/>
      <w:r w:rsidRPr="00F82334">
        <w:rPr>
          <w:bCs/>
          <w:color w:val="000000" w:themeColor="text1"/>
        </w:rPr>
        <w:t>, Campina do Monte Alegre, Buri, Itapetininga e Itararé), revela tendências e desafios relevantes para o desenvolvimento da agroindústria familiar ecológica na região. Os dados coletados estão alinhados não apenas com os eixos de segurança alimentar, mas também com as categorias de análise propostas, destacando a importância de políticas públicas e iniciativas locais para fortalecer esse setor.</w:t>
      </w:r>
    </w:p>
    <w:p w14:paraId="0735F757" w14:textId="2051CA5E" w:rsidR="00375EB6" w:rsidRPr="00F82334" w:rsidRDefault="00375EB6" w:rsidP="00375EB6">
      <w:pPr>
        <w:spacing w:line="360" w:lineRule="auto"/>
        <w:ind w:firstLine="708"/>
        <w:jc w:val="both"/>
        <w:rPr>
          <w:bCs/>
          <w:color w:val="000000" w:themeColor="text1"/>
        </w:rPr>
      </w:pPr>
      <w:r w:rsidRPr="00F82334">
        <w:rPr>
          <w:bCs/>
          <w:color w:val="000000" w:themeColor="text1"/>
        </w:rPr>
        <w:t xml:space="preserve">Os resultados obtidos até então apontam para a necessidade de maior apoio técnico e financeiro aos agricultores, além da valorização de práticas sustentáveis que garantam a qualidade dos alimentos e a preservação ambiental. A pesquisa </w:t>
      </w:r>
      <w:r w:rsidRPr="00F82334">
        <w:rPr>
          <w:bCs/>
          <w:color w:val="000000" w:themeColor="text1"/>
        </w:rPr>
        <w:lastRenderedPageBreak/>
        <w:t>evidencia ainda a importância da articulação entre os atores locais para superar os desafios identificados, reforçando o papel da agroindústria familiar ecológica na promoção da segurança alimentar e no desenvolvimento regional.</w:t>
      </w:r>
    </w:p>
    <w:p w14:paraId="7CB75556" w14:textId="20E9DC56" w:rsidR="00375EB6" w:rsidRPr="00F82334" w:rsidRDefault="00375EB6" w:rsidP="00375EB6">
      <w:pPr>
        <w:spacing w:line="360" w:lineRule="auto"/>
        <w:ind w:firstLine="708"/>
        <w:jc w:val="both"/>
        <w:rPr>
          <w:color w:val="000000" w:themeColor="text1"/>
        </w:rPr>
      </w:pPr>
      <w:r w:rsidRPr="00F82334">
        <w:rPr>
          <w:color w:val="000000" w:themeColor="text1"/>
        </w:rPr>
        <w:t xml:space="preserve">A partir da coleta de dados, com base nas categorias de análise apresentadas compilar e organizar as informações conforme sua aderência a cada conjunto de informações fundamentadas nas experiências relatadas pelos próprios agricultores, evidenciando práticas e desafios concretos do território estudado, como segue: </w:t>
      </w:r>
    </w:p>
    <w:p w14:paraId="46B6814B" w14:textId="77777777" w:rsidR="00386B76" w:rsidRPr="00F82334" w:rsidRDefault="00386B76" w:rsidP="00375EB6">
      <w:pPr>
        <w:spacing w:line="360" w:lineRule="auto"/>
        <w:ind w:firstLine="708"/>
        <w:jc w:val="both"/>
        <w:rPr>
          <w:bCs/>
          <w:color w:val="000000" w:themeColor="text1"/>
        </w:rPr>
      </w:pPr>
    </w:p>
    <w:p w14:paraId="012428FE" w14:textId="73EDDCA1" w:rsidR="00375EB6" w:rsidRPr="00F82334" w:rsidRDefault="00375EB6" w:rsidP="00375EB6">
      <w:pPr>
        <w:spacing w:line="360" w:lineRule="auto"/>
        <w:jc w:val="both"/>
        <w:rPr>
          <w:b/>
          <w:bCs/>
          <w:color w:val="000000" w:themeColor="text1"/>
        </w:rPr>
      </w:pPr>
      <w:r w:rsidRPr="00F82334">
        <w:rPr>
          <w:rFonts w:eastAsia="Times New Roman" w:cs="Times New Roman"/>
          <w:b/>
          <w:bCs/>
          <w:color w:val="000000" w:themeColor="text1"/>
        </w:rPr>
        <w:t>1-Perfil socioeconômico dos agricultores</w:t>
      </w:r>
      <w:r w:rsidRPr="00F82334">
        <w:rPr>
          <w:b/>
          <w:bCs/>
          <w:color w:val="000000" w:themeColor="text1"/>
        </w:rPr>
        <w:t xml:space="preserve"> </w:t>
      </w:r>
    </w:p>
    <w:p w14:paraId="1E480A28" w14:textId="77777777" w:rsidR="00456CF8" w:rsidRPr="00F82334" w:rsidRDefault="00456CF8" w:rsidP="00140B14">
      <w:pPr>
        <w:spacing w:line="360" w:lineRule="auto"/>
        <w:ind w:firstLine="720"/>
        <w:jc w:val="both"/>
        <w:rPr>
          <w:bCs/>
          <w:color w:val="000000" w:themeColor="text1"/>
        </w:rPr>
      </w:pPr>
      <w:r w:rsidRPr="00F82334">
        <w:rPr>
          <w:bCs/>
          <w:color w:val="000000" w:themeColor="text1"/>
        </w:rPr>
        <w:t>A análise da renda agrícola revela que 35% das famílias entrevistadas (18) obtêm entre 1 e 2 salários mínimos, enquanto 25% (13 famílias) recebem mais de 3 salários mínimos. Nota-se uma tendência significativa: os agricultores com renda mais elevada, predominantemente monocultores de grãos, demonstram menor adoção de práticas orgânicas—apenas 2 das 13 famílias nessa faixa utilizam esses métodos. Por outro lado, 80% dos que ganham até 2 salários mínimos já estão em transição parcial para sistemas sustentáveis, evidenciando que a diversificação produtiva está associada a maior resiliência econômica e predisposição à agroecologia. Essa disparidade sugere que o modelo de monocultura, ainda que mais rentável no curto prazo, pode representar um obstáculo à transição para sistemas agrícolas mais sustentáveis.</w:t>
      </w:r>
    </w:p>
    <w:p w14:paraId="7C2F8879" w14:textId="47815518" w:rsidR="00140B14" w:rsidRPr="00F82334" w:rsidRDefault="00140B14" w:rsidP="00140B14">
      <w:pPr>
        <w:spacing w:line="360" w:lineRule="auto"/>
        <w:ind w:firstLine="720"/>
        <w:jc w:val="both"/>
        <w:rPr>
          <w:bCs/>
          <w:color w:val="000000" w:themeColor="text1"/>
        </w:rPr>
      </w:pPr>
      <w:r w:rsidRPr="00F82334">
        <w:rPr>
          <w:bCs/>
          <w:color w:val="000000" w:themeColor="text1"/>
        </w:rPr>
        <w:t>Dos 51 agricultores familiares entrevistados, 23,5% (12 famílias) declararam utilizar mais de um canal de comercialização, evidenciando a diversificação das fontes de renda. Quanto aos mercados específicos, 16% (8 famílias) mencionaram o acesso a políticas públicas (como o PAA), porém, nas respostas qualitativas, a quase totalidade dos que negaram esse canal o fizeram de modo homogêneo e enfático — </w:t>
      </w:r>
      <w:r w:rsidRPr="00F82334">
        <w:rPr>
          <w:bCs/>
          <w:i/>
          <w:iCs/>
          <w:color w:val="000000" w:themeColor="text1"/>
        </w:rPr>
        <w:t>"Não, não mais..."</w:t>
      </w:r>
      <w:r w:rsidRPr="00F82334">
        <w:rPr>
          <w:bCs/>
          <w:color w:val="000000" w:themeColor="text1"/>
        </w:rPr>
        <w:t xml:space="preserve"> —, sugerindo um desligamento recente ou intermitência no acesso a esses programas. Em contraste, apenas 24% (12 famílias) fornecem para empresas de grãos/commodities, reforçando a preferência por circuitos curtos e a </w:t>
      </w:r>
      <w:r w:rsidRPr="00F82334">
        <w:rPr>
          <w:bCs/>
          <w:color w:val="000000" w:themeColor="text1"/>
        </w:rPr>
        <w:lastRenderedPageBreak/>
        <w:t>resistência à dependência do agronegócio exportador. Por fim, 35% (18 famílias) afirmaram participar de agroindústrias de processamento, indicando um potencial estratégico para agregação de valor local.</w:t>
      </w:r>
    </w:p>
    <w:p w14:paraId="4045811D" w14:textId="77777777" w:rsidR="00386B76" w:rsidRPr="00F82334" w:rsidRDefault="00386B76" w:rsidP="00140B14">
      <w:pPr>
        <w:spacing w:line="360" w:lineRule="auto"/>
        <w:jc w:val="both"/>
        <w:rPr>
          <w:rFonts w:eastAsia="Times New Roman" w:cs="Times New Roman"/>
          <w:b/>
          <w:bCs/>
          <w:color w:val="000000" w:themeColor="text1"/>
        </w:rPr>
      </w:pPr>
    </w:p>
    <w:p w14:paraId="26737701" w14:textId="19A09374" w:rsidR="00140B14" w:rsidRPr="00F82334" w:rsidRDefault="00456CF8" w:rsidP="00140B14">
      <w:pPr>
        <w:spacing w:line="360" w:lineRule="auto"/>
        <w:jc w:val="both"/>
        <w:rPr>
          <w:rFonts w:eastAsia="Times New Roman" w:cs="Times New Roman"/>
          <w:b/>
          <w:bCs/>
          <w:color w:val="000000" w:themeColor="text1"/>
        </w:rPr>
      </w:pPr>
      <w:r w:rsidRPr="00F82334">
        <w:rPr>
          <w:rFonts w:eastAsia="Times New Roman" w:cs="Times New Roman"/>
          <w:b/>
          <w:bCs/>
          <w:color w:val="000000" w:themeColor="text1"/>
        </w:rPr>
        <w:t>2-Identificação de elementos de compatibilidade de produção, comercialização e consumo aos eixos norteadores de segurança alimentar</w:t>
      </w:r>
    </w:p>
    <w:p w14:paraId="5D8A9146" w14:textId="0435AC31" w:rsidR="002E2814" w:rsidRPr="00F82334" w:rsidRDefault="002E2814" w:rsidP="002E2814">
      <w:pPr>
        <w:spacing w:line="360" w:lineRule="auto"/>
        <w:ind w:firstLine="708"/>
        <w:jc w:val="both"/>
        <w:rPr>
          <w:rFonts w:eastAsia="Times New Roman" w:cs="Times New Roman"/>
          <w:bCs/>
          <w:color w:val="000000" w:themeColor="text1"/>
        </w:rPr>
      </w:pPr>
      <w:r w:rsidRPr="00F82334">
        <w:rPr>
          <w:rFonts w:eastAsia="Times New Roman" w:cs="Times New Roman"/>
          <w:b/>
          <w:bCs/>
          <w:color w:val="000000" w:themeColor="text1"/>
        </w:rPr>
        <w:t>Saúde</w:t>
      </w:r>
      <w:r w:rsidR="00386B76" w:rsidRPr="00F82334">
        <w:rPr>
          <w:rFonts w:eastAsia="Times New Roman" w:cs="Times New Roman"/>
          <w:b/>
          <w:bCs/>
          <w:color w:val="000000" w:themeColor="text1"/>
        </w:rPr>
        <w:t xml:space="preserve">: </w:t>
      </w:r>
      <w:r w:rsidRPr="00F82334">
        <w:rPr>
          <w:rFonts w:eastAsia="Times New Roman" w:cs="Times New Roman"/>
          <w:bCs/>
          <w:color w:val="000000" w:themeColor="text1"/>
        </w:rPr>
        <w:t xml:space="preserve">Entre as famílias pesquisadas, 60% (31) produzem alimentos processados de forma artesanal, como geleias, doces e conservas, exclusivamente para o próprio consumo. Esses produtos derivam de cultivos diversificados, como tomate </w:t>
      </w:r>
      <w:proofErr w:type="spellStart"/>
      <w:r w:rsidRPr="00F82334">
        <w:rPr>
          <w:rFonts w:eastAsia="Times New Roman" w:cs="Times New Roman"/>
          <w:bCs/>
          <w:color w:val="000000" w:themeColor="text1"/>
        </w:rPr>
        <w:t>grape</w:t>
      </w:r>
      <w:proofErr w:type="spellEnd"/>
      <w:r w:rsidRPr="00F82334">
        <w:rPr>
          <w:rFonts w:eastAsia="Times New Roman" w:cs="Times New Roman"/>
          <w:bCs/>
          <w:color w:val="000000" w:themeColor="text1"/>
        </w:rPr>
        <w:t>, banana, abóbora e plantas medicinais, que garantem uma alimentação nutritiva e balanceada. Ao priorizar ingredientes naturais e locais, essas famílias reduzem a dependência de alimentos industrializados, evitando aditivos químicos e promovendo hábitos alimentares mais saudáveis. Além disso, o cultivo agroecológico de ervas e hortaliças com propriedades medicinais destaca o potencial da agricultura familiar não apenas na segurança alimentar, mas também na promoção da saúde e na autonomia das comunidades.</w:t>
      </w:r>
    </w:p>
    <w:p w14:paraId="13CED569" w14:textId="1A1B7DEA" w:rsidR="002E2814" w:rsidRPr="00F82334" w:rsidRDefault="002E2814" w:rsidP="00386B76">
      <w:pPr>
        <w:spacing w:line="360" w:lineRule="auto"/>
        <w:ind w:firstLine="708"/>
        <w:jc w:val="both"/>
        <w:rPr>
          <w:bCs/>
          <w:color w:val="000000" w:themeColor="text1"/>
        </w:rPr>
      </w:pPr>
      <w:r w:rsidRPr="00F82334">
        <w:rPr>
          <w:rFonts w:eastAsia="Times New Roman" w:cs="Times New Roman"/>
          <w:b/>
          <w:bCs/>
          <w:color w:val="000000" w:themeColor="text1"/>
        </w:rPr>
        <w:t>Higiene</w:t>
      </w:r>
      <w:r w:rsidR="00386B76" w:rsidRPr="00F82334">
        <w:rPr>
          <w:rFonts w:eastAsia="Times New Roman" w:cs="Times New Roman"/>
          <w:b/>
          <w:bCs/>
          <w:color w:val="000000" w:themeColor="text1"/>
        </w:rPr>
        <w:t xml:space="preserve">: </w:t>
      </w:r>
      <w:r w:rsidRPr="00F82334">
        <w:rPr>
          <w:bCs/>
          <w:color w:val="000000" w:themeColor="text1"/>
        </w:rPr>
        <w:t xml:space="preserve">A pesquisa revelou que 71% das famílias (36 famílias) possuem instalações fora do domicílio rural — como galpões, estufas ou estruturas de apoio — e também 71% dispõem de algum tipo de maquinário básico, o que configura uma infraestrutura mínima para o escalonamento dos processos de beneficiamento. Apesar dessa infraestrutura preliminar, a ausência de formalização para a comercialização e a restrição da produção ao autoconsumo indicam que os critérios sanitários exigidos pela legislação ainda representam barreiras importantes. A adequação dessas instalações às normas de higiene é essencial para garantir a segurança alimentar em contextos de maior escala. </w:t>
      </w:r>
    </w:p>
    <w:p w14:paraId="5B28031E" w14:textId="77777777" w:rsidR="00386B76" w:rsidRPr="00F82334" w:rsidRDefault="00A768BF" w:rsidP="00386B76">
      <w:pPr>
        <w:spacing w:line="360" w:lineRule="auto"/>
        <w:ind w:firstLine="708"/>
        <w:jc w:val="both"/>
        <w:rPr>
          <w:rStyle w:val="Forte"/>
          <w:rFonts w:cs="Segoe UI"/>
          <w:b w:val="0"/>
          <w:color w:val="000000" w:themeColor="text1"/>
          <w:shd w:val="clear" w:color="auto" w:fill="FFFFFF"/>
        </w:rPr>
      </w:pPr>
      <w:r w:rsidRPr="00F82334">
        <w:rPr>
          <w:rFonts w:eastAsia="Times New Roman" w:cs="Times New Roman"/>
          <w:b/>
          <w:bCs/>
          <w:color w:val="000000" w:themeColor="text1"/>
        </w:rPr>
        <w:t>Autenticidade</w:t>
      </w:r>
      <w:r w:rsidR="00386B76" w:rsidRPr="00F82334">
        <w:rPr>
          <w:rFonts w:eastAsia="Times New Roman" w:cs="Times New Roman"/>
          <w:b/>
          <w:bCs/>
          <w:color w:val="000000" w:themeColor="text1"/>
        </w:rPr>
        <w:t xml:space="preserve">: </w:t>
      </w:r>
      <w:r w:rsidRPr="00F82334">
        <w:rPr>
          <w:rStyle w:val="Forte"/>
          <w:rFonts w:cs="Segoe UI"/>
          <w:b w:val="0"/>
          <w:color w:val="000000" w:themeColor="text1"/>
          <w:shd w:val="clear" w:color="auto" w:fill="FFFFFF"/>
        </w:rPr>
        <w:t xml:space="preserve">As mulheres desempenham um papel predominante no processamento artesanal de alimentos, sendo responsáveis por 80% das atividades de processamento artesanal, embora essa participação tenha sido subnotificada nas </w:t>
      </w:r>
      <w:r w:rsidRPr="00F82334">
        <w:rPr>
          <w:rStyle w:val="Forte"/>
          <w:rFonts w:cs="Segoe UI"/>
          <w:b w:val="0"/>
          <w:color w:val="000000" w:themeColor="text1"/>
          <w:shd w:val="clear" w:color="auto" w:fill="FFFFFF"/>
        </w:rPr>
        <w:lastRenderedPageBreak/>
        <w:t xml:space="preserve">respostas iniciais, revelando a persistente invisibilidade do trabalho feminino na cadeia produtiva. A centralidade das mulheres nesse processo expressa as coloca como responsáveis pela transmissão de saberes tradicionais e modos de fazer que conferem identidade e autenticidade aos alimentos produzidos. O reconhecimento dessas práticas e do protagonismo feminino são fundamentais para fortalecer uma produção baseada em vínculos culturais e territoriais, além de contribuir para a equidade de gênero e o </w:t>
      </w:r>
      <w:proofErr w:type="spellStart"/>
      <w:r w:rsidRPr="00F82334">
        <w:rPr>
          <w:rStyle w:val="Forte"/>
          <w:rFonts w:cs="Segoe UI"/>
          <w:b w:val="0"/>
          <w:color w:val="000000" w:themeColor="text1"/>
          <w:shd w:val="clear" w:color="auto" w:fill="FFFFFF"/>
        </w:rPr>
        <w:t>empoderamento</w:t>
      </w:r>
      <w:proofErr w:type="spellEnd"/>
      <w:r w:rsidRPr="00F82334">
        <w:rPr>
          <w:rStyle w:val="Forte"/>
          <w:rFonts w:cs="Segoe UI"/>
          <w:b w:val="0"/>
          <w:color w:val="000000" w:themeColor="text1"/>
          <w:shd w:val="clear" w:color="auto" w:fill="FFFFFF"/>
        </w:rPr>
        <w:t xml:space="preserve"> em condições de captação de renda oriunda de produtos processados reconhecidamente regionais.</w:t>
      </w:r>
    </w:p>
    <w:p w14:paraId="21AD3DB6" w14:textId="4C4A1F0C" w:rsidR="00A768BF" w:rsidRPr="00F82334" w:rsidRDefault="00A768BF" w:rsidP="00386B76">
      <w:pPr>
        <w:spacing w:line="360" w:lineRule="auto"/>
        <w:ind w:firstLine="708"/>
        <w:jc w:val="both"/>
        <w:rPr>
          <w:bCs/>
          <w:color w:val="000000" w:themeColor="text1"/>
        </w:rPr>
      </w:pPr>
      <w:r w:rsidRPr="00F82334">
        <w:rPr>
          <w:b/>
          <w:bCs/>
          <w:color w:val="000000" w:themeColor="text1"/>
        </w:rPr>
        <w:t>Meio Ambiente</w:t>
      </w:r>
      <w:r w:rsidR="00386B76" w:rsidRPr="00F82334">
        <w:rPr>
          <w:b/>
          <w:bCs/>
          <w:color w:val="000000" w:themeColor="text1"/>
        </w:rPr>
        <w:t xml:space="preserve">: </w:t>
      </w:r>
      <w:r w:rsidRPr="00F82334">
        <w:rPr>
          <w:bCs/>
          <w:color w:val="000000" w:themeColor="text1"/>
        </w:rPr>
        <w:t xml:space="preserve">As famílias pesquisadas cultivam uma variedade de espécies - incluindo tomate </w:t>
      </w:r>
      <w:proofErr w:type="spellStart"/>
      <w:r w:rsidRPr="00F82334">
        <w:rPr>
          <w:bCs/>
          <w:color w:val="000000" w:themeColor="text1"/>
        </w:rPr>
        <w:t>grape</w:t>
      </w:r>
      <w:proofErr w:type="spellEnd"/>
      <w:r w:rsidRPr="00F82334">
        <w:rPr>
          <w:bCs/>
          <w:color w:val="000000" w:themeColor="text1"/>
        </w:rPr>
        <w:t>, banana, abóbora e plantas medicinais, adotando sistemas agroecológicos, orgânicos ou em processo de transição. Essa prática agrícola diversificada promove a biodiversidade, diminui a dependência de agroquímicos e aumenta a resiliência dos cultivos, reforçando os pilares da sustentabilidade ambiental. Além disso, o processamento artesanal desses alimentos, quando comparado aos métodos industriais, apresenta vantagens ecológicas significativas por demandar menos energia e gerar menor quantidade de resíduos, reforçando o potencial desses sistemas como alternativa sustentável na produção de alimentos.</w:t>
      </w:r>
    </w:p>
    <w:p w14:paraId="4B2DF02F" w14:textId="28ACCCF3" w:rsidR="00386B76" w:rsidRPr="00F82334" w:rsidRDefault="00386B76" w:rsidP="00456CF8">
      <w:pPr>
        <w:spacing w:line="360" w:lineRule="auto"/>
        <w:ind w:firstLine="720"/>
        <w:jc w:val="both"/>
        <w:rPr>
          <w:bCs/>
          <w:color w:val="000000" w:themeColor="text1"/>
        </w:rPr>
      </w:pPr>
      <w:r w:rsidRPr="00F82334">
        <w:rPr>
          <w:b/>
          <w:bCs/>
          <w:color w:val="000000" w:themeColor="text1"/>
        </w:rPr>
        <w:t xml:space="preserve">Solidariedade: </w:t>
      </w:r>
      <w:r w:rsidRPr="00F82334">
        <w:rPr>
          <w:bCs/>
          <w:color w:val="000000" w:themeColor="text1"/>
        </w:rPr>
        <w:t>A produção artesanal destina-se majoritariamente ao autoconsumo e ao compartilhamento comunitário, evidenciando redes de solidariedade que fortalecem a segurança alimentar local, embora apenas 12% das famílias (6) estejam formalmente organizadas em cooperativas. Essa dinâmica de reciprocidade, embora valiosa para a coesão social, revela um paradoxo: ao mesmo tempo que sustenta tradições colaborativas, a fragilidade organizacional formal limita o acesso a mercados, políticas públicas e oportunidades de agregação de valor. O desafio reside em fortalecer estruturas cooperativas sem descaracterizar os princípios de justiça social e mutualismo que fundamentam essas práticas ancestrais, criando pontes entre a economia solidária e os circuitos formais de comercialização.</w:t>
      </w:r>
    </w:p>
    <w:p w14:paraId="789FD9E3" w14:textId="77777777" w:rsidR="00386B76" w:rsidRPr="00F82334" w:rsidRDefault="00386B76" w:rsidP="00386B76">
      <w:pPr>
        <w:spacing w:line="360" w:lineRule="auto"/>
        <w:jc w:val="both"/>
        <w:rPr>
          <w:rFonts w:eastAsia="Times New Roman" w:cs="Times New Roman"/>
          <w:bCs/>
          <w:color w:val="000000" w:themeColor="text1"/>
        </w:rPr>
      </w:pPr>
    </w:p>
    <w:p w14:paraId="4F26DC9A" w14:textId="01E99258" w:rsidR="00386B76" w:rsidRPr="00F82334" w:rsidRDefault="00386B76" w:rsidP="00386B76">
      <w:pPr>
        <w:spacing w:line="360" w:lineRule="auto"/>
        <w:jc w:val="both"/>
        <w:rPr>
          <w:b/>
          <w:bCs/>
          <w:color w:val="000000" w:themeColor="text1"/>
        </w:rPr>
      </w:pPr>
      <w:r w:rsidRPr="00F82334">
        <w:rPr>
          <w:rFonts w:eastAsia="Times New Roman" w:cs="Times New Roman"/>
          <w:b/>
          <w:bCs/>
          <w:color w:val="000000" w:themeColor="text1"/>
        </w:rPr>
        <w:lastRenderedPageBreak/>
        <w:t>3-Experiências e possibilidades de processamento agroindustrial familiar ecológico</w:t>
      </w:r>
    </w:p>
    <w:p w14:paraId="0BCABF69" w14:textId="77777777" w:rsidR="00386B76" w:rsidRPr="00F82334" w:rsidRDefault="00386B76" w:rsidP="00386B76">
      <w:pPr>
        <w:spacing w:line="360" w:lineRule="auto"/>
        <w:ind w:firstLine="720"/>
        <w:jc w:val="both"/>
        <w:rPr>
          <w:bCs/>
          <w:color w:val="000000" w:themeColor="text1"/>
        </w:rPr>
      </w:pPr>
      <w:r w:rsidRPr="00F82334">
        <w:rPr>
          <w:bCs/>
          <w:color w:val="000000" w:themeColor="text1"/>
        </w:rPr>
        <w:t xml:space="preserve">O estudo revela que 65% das famílias (33) demonstram interesse em adotar práticas orgânicas ou agroecológicas, mas apenas 25% (13) têm acesso a programas de certificação ou linhas de crédito específicas. A principal barreira, citada por 70% dos entrevistados, é a excessiva burocracia e a falta de integração entre as políticas públicas, que dificultam a efetividade da transição. Essa realidade é agravada por carências estruturais básicas, como a ausência de água tratada e saneamento, destacando a urgência de políticas </w:t>
      </w:r>
      <w:proofErr w:type="spellStart"/>
      <w:r w:rsidRPr="00F82334">
        <w:rPr>
          <w:bCs/>
          <w:color w:val="000000" w:themeColor="text1"/>
        </w:rPr>
        <w:t>intersetoriais</w:t>
      </w:r>
      <w:proofErr w:type="spellEnd"/>
      <w:r w:rsidRPr="00F82334">
        <w:rPr>
          <w:bCs/>
          <w:color w:val="000000" w:themeColor="text1"/>
        </w:rPr>
        <w:t xml:space="preserve"> que unam sustentabilidade produtiva e qualidade de vida no campo.</w:t>
      </w:r>
    </w:p>
    <w:p w14:paraId="7C1DE294" w14:textId="77777777" w:rsidR="00386B76" w:rsidRPr="00F82334" w:rsidRDefault="00386B76" w:rsidP="00386B76">
      <w:pPr>
        <w:spacing w:line="360" w:lineRule="auto"/>
        <w:ind w:firstLine="720"/>
        <w:jc w:val="both"/>
        <w:rPr>
          <w:bCs/>
          <w:color w:val="000000" w:themeColor="text1"/>
        </w:rPr>
      </w:pPr>
      <w:r w:rsidRPr="00F82334">
        <w:rPr>
          <w:bCs/>
          <w:color w:val="000000" w:themeColor="text1"/>
        </w:rPr>
        <w:t>Quanto ao uso da água, 45% das famílias (23) utilizam fontes naturais (rios, minas ou represas), enquanto 30% (15) dependem de poços artesianos. Nota-se uma forte correlação entre preservação ambiental e práticas agroecológicas: 90% dos agricultores que usam fontes naturais já adotam sistemas sustentáveis. No entanto, a infraestrutura sanitária é precária: nenhuma família tem acesso a esgoto tratado (todas usam fossas sépticas) e apenas 10% (5) contam com água tratada da rede pública. Embora todas as famílias façam manejo de resíduos agrícolas em parceria com prefeituras, apenas 40% (20) participam de ações de educação ambiental, revelando falhas na disseminação de conhecimento sobre práticas sustentáveis.</w:t>
      </w:r>
    </w:p>
    <w:p w14:paraId="221759E3" w14:textId="218A33E4" w:rsidR="00456CF8" w:rsidRPr="00F82334" w:rsidRDefault="00386B76" w:rsidP="00386B76">
      <w:pPr>
        <w:spacing w:line="360" w:lineRule="auto"/>
        <w:ind w:firstLine="720"/>
        <w:jc w:val="both"/>
        <w:rPr>
          <w:bCs/>
          <w:color w:val="000000" w:themeColor="text1"/>
        </w:rPr>
      </w:pPr>
      <w:r w:rsidRPr="00F82334">
        <w:rPr>
          <w:bCs/>
          <w:color w:val="000000" w:themeColor="text1"/>
        </w:rPr>
        <w:t>Apenas 21,5% das famílias (11) conhecem instituições que oferecem suporte à transição agroecológica, citando a UFSCar (campus Lagoa do Sino), o SENAR, cooperativas e uma empresa local. Esse dado contrasta com o alto interesse declarado (65%), evidenciando uma lacuna crítica entre a demanda por sistemas sustentáveis e o acesso a informações e redes de apoio. A falta de articulação institucional e de políticas robustas de extensão rural compromete a transição, que depende essencialmente de assistência técnica, capacitação e construção de vínculos entre agricultores, instituições e políticas públicas.</w:t>
      </w:r>
    </w:p>
    <w:p w14:paraId="3788E62C" w14:textId="683E0162" w:rsidR="001A198D" w:rsidRPr="00F82334" w:rsidRDefault="001A198D" w:rsidP="001A198D">
      <w:pPr>
        <w:spacing w:line="360" w:lineRule="auto"/>
        <w:ind w:firstLine="720"/>
        <w:jc w:val="both"/>
        <w:rPr>
          <w:bCs/>
          <w:color w:val="000000" w:themeColor="text1"/>
        </w:rPr>
      </w:pPr>
      <w:r w:rsidRPr="00F82334">
        <w:rPr>
          <w:bCs/>
          <w:color w:val="000000" w:themeColor="text1"/>
        </w:rPr>
        <w:lastRenderedPageBreak/>
        <w:t>No percurso metodológico do trabalho, grande parte dos questionários se complementava com base em observações de campo, quando mencionados sobre a variedade produtiva, as culturas mencionadas eram apenas aquelas cultivadas para finalidade comercial, não havia assimilação do consumo de renda, mesmos as famílias que faziam processamento artesanal e abasteciam a família com produtos excedente ou fora do padrão comercial.</w:t>
      </w:r>
    </w:p>
    <w:p w14:paraId="19F3079F" w14:textId="2A79D19E" w:rsidR="001A198D" w:rsidRPr="00F82334" w:rsidRDefault="001A198D" w:rsidP="001A198D">
      <w:pPr>
        <w:spacing w:line="360" w:lineRule="auto"/>
        <w:ind w:firstLine="720"/>
        <w:jc w:val="both"/>
        <w:rPr>
          <w:bCs/>
          <w:color w:val="000000" w:themeColor="text1"/>
        </w:rPr>
      </w:pPr>
      <w:r w:rsidRPr="00F82334">
        <w:rPr>
          <w:bCs/>
          <w:color w:val="000000" w:themeColor="text1"/>
        </w:rPr>
        <w:t xml:space="preserve">A suma do cenário da agricultura familiar no sudoeste paulista é de predisposição a produção orgânica e agroecológica, a condição de agroindustrialização desejada por eles é de produtos artesanais e de alto valor nutricional agregado para comercialização local, não por brio Agroexportador, mas por necessidade de caracterização e dinâmica de renda. </w:t>
      </w:r>
    </w:p>
    <w:p w14:paraId="1E6B7404" w14:textId="1B4E7A39" w:rsidR="006417A2" w:rsidRPr="00F82334" w:rsidRDefault="006417A2" w:rsidP="001A198D">
      <w:pPr>
        <w:spacing w:line="360" w:lineRule="auto"/>
        <w:ind w:firstLine="720"/>
        <w:jc w:val="both"/>
        <w:rPr>
          <w:bCs/>
          <w:color w:val="000000" w:themeColor="text1"/>
        </w:rPr>
      </w:pPr>
    </w:p>
    <w:p w14:paraId="2CB39C19" w14:textId="0442984B" w:rsidR="006417A2" w:rsidRPr="00F82334" w:rsidRDefault="006417A2" w:rsidP="006417A2">
      <w:pPr>
        <w:spacing w:line="360" w:lineRule="auto"/>
        <w:jc w:val="both"/>
        <w:rPr>
          <w:b/>
          <w:bCs/>
          <w:color w:val="000000" w:themeColor="text1"/>
        </w:rPr>
      </w:pPr>
      <w:r w:rsidRPr="00F82334">
        <w:rPr>
          <w:b/>
          <w:bCs/>
          <w:color w:val="000000" w:themeColor="text1"/>
        </w:rPr>
        <w:t>CONSIDERAÇÕES FINAIS</w:t>
      </w:r>
    </w:p>
    <w:p w14:paraId="316BF7E8" w14:textId="77777777" w:rsidR="006417A2" w:rsidRPr="00F82334" w:rsidRDefault="006417A2" w:rsidP="006417A2">
      <w:pPr>
        <w:spacing w:line="360" w:lineRule="auto"/>
        <w:ind w:firstLine="708"/>
        <w:jc w:val="both"/>
        <w:rPr>
          <w:bCs/>
          <w:color w:val="000000" w:themeColor="text1"/>
        </w:rPr>
      </w:pPr>
      <w:r w:rsidRPr="00F82334">
        <w:rPr>
          <w:bCs/>
          <w:color w:val="000000" w:themeColor="text1"/>
        </w:rPr>
        <w:t xml:space="preserve">A pesquisa revelou que a agricultura familiar no Sudoeste Paulista é um sistema dinâmico, com diversidade cultural e potencial para consolidar a agroindústria ecológica como alternativa para o desenvolvimento territorial. As famílias de menor renda, com maior diversidade produtiva, adotam práticas agroecológicas não apenas como alternativa produtiva, mas como caminho para autonomia, segurança alimentar e resiliência socioeconômica. Esse movimento é central na superação das desigualdades históricas no meio rural brasileiro. </w:t>
      </w:r>
    </w:p>
    <w:p w14:paraId="265D6B88" w14:textId="77777777" w:rsidR="006417A2" w:rsidRPr="00F82334" w:rsidRDefault="006417A2" w:rsidP="006417A2">
      <w:pPr>
        <w:spacing w:line="360" w:lineRule="auto"/>
        <w:ind w:firstLine="708"/>
        <w:jc w:val="both"/>
        <w:rPr>
          <w:bCs/>
          <w:color w:val="000000" w:themeColor="text1"/>
        </w:rPr>
      </w:pPr>
      <w:r w:rsidRPr="00F82334">
        <w:rPr>
          <w:bCs/>
          <w:color w:val="000000" w:themeColor="text1"/>
        </w:rPr>
        <w:t xml:space="preserve">Ao analisar a compatibilidade entre produção, comercialização e consumo com os eixos de segurança alimentar, evidenciou-se a adoção de práticas sustentáveis, como cultivo </w:t>
      </w:r>
      <w:proofErr w:type="spellStart"/>
      <w:r w:rsidRPr="00F82334">
        <w:rPr>
          <w:bCs/>
          <w:color w:val="000000" w:themeColor="text1"/>
        </w:rPr>
        <w:t>biodiverso</w:t>
      </w:r>
      <w:proofErr w:type="spellEnd"/>
      <w:r w:rsidRPr="00F82334">
        <w:rPr>
          <w:bCs/>
          <w:color w:val="000000" w:themeColor="text1"/>
        </w:rPr>
        <w:t>, processamento artesanal e protagonismo feminino, alinhadas aos eixos de saúde, autenticidade e sustentabilidade. No entanto, essas práticas ainda enfrentam marginalização nas políticas públicas, impedindo sua expansão sem comprometer sua identidade cultural.</w:t>
      </w:r>
    </w:p>
    <w:p w14:paraId="23BB241B" w14:textId="77777777" w:rsidR="006417A2" w:rsidRPr="00F82334" w:rsidRDefault="006417A2" w:rsidP="006417A2">
      <w:pPr>
        <w:spacing w:line="360" w:lineRule="auto"/>
        <w:ind w:firstLine="708"/>
        <w:jc w:val="both"/>
        <w:rPr>
          <w:bCs/>
          <w:color w:val="000000" w:themeColor="text1"/>
        </w:rPr>
      </w:pPr>
      <w:r w:rsidRPr="00F82334">
        <w:rPr>
          <w:bCs/>
          <w:color w:val="000000" w:themeColor="text1"/>
        </w:rPr>
        <w:t xml:space="preserve">Quanto ao processamento agroindustrial familiar ecológico, apesar do interesse dos agricultores, a pesquisa identificou barreiras significativas, como </w:t>
      </w:r>
      <w:r w:rsidRPr="00F82334">
        <w:rPr>
          <w:bCs/>
          <w:color w:val="000000" w:themeColor="text1"/>
        </w:rPr>
        <w:lastRenderedPageBreak/>
        <w:t>burocracia excessiva, falta de infraestrutura e escassez de assistência técnica. A superação desses obstáculos depende da integração das políticas públicas, promovendo uma abordagem interinstitucional que conecte a produção sustentável com a melhoria das condições de vida no campo.</w:t>
      </w:r>
    </w:p>
    <w:p w14:paraId="107F2CF4" w14:textId="77777777" w:rsidR="006417A2" w:rsidRPr="00F82334" w:rsidRDefault="006417A2" w:rsidP="006417A2">
      <w:pPr>
        <w:spacing w:line="360" w:lineRule="auto"/>
        <w:ind w:firstLine="708"/>
        <w:jc w:val="both"/>
        <w:rPr>
          <w:bCs/>
          <w:color w:val="000000" w:themeColor="text1"/>
        </w:rPr>
      </w:pPr>
      <w:r w:rsidRPr="00F82334">
        <w:rPr>
          <w:bCs/>
          <w:color w:val="000000" w:themeColor="text1"/>
        </w:rPr>
        <w:t>Apesar desses desafios, os dados apontam um horizonte promissor, com práticas de autoconsumo, comercialização solidária e crescente interesse por processos sustentáveis. Para consolidar a agroindústria familiar ecológica, é necessário desenvolver políticas públicas integradas, que atendam às necessidades da agricultura familiar, incentivem circuitos curtos de comercialização e reconheçam os saberes locais como ativos para o desenvolvimento rural.</w:t>
      </w:r>
    </w:p>
    <w:p w14:paraId="16DE4926" w14:textId="77777777" w:rsidR="006417A2" w:rsidRPr="00F82334" w:rsidRDefault="006417A2" w:rsidP="006417A2">
      <w:pPr>
        <w:spacing w:line="360" w:lineRule="auto"/>
        <w:ind w:firstLine="708"/>
        <w:jc w:val="both"/>
        <w:rPr>
          <w:bCs/>
          <w:color w:val="000000" w:themeColor="text1"/>
        </w:rPr>
      </w:pPr>
      <w:r w:rsidRPr="00F82334">
        <w:rPr>
          <w:bCs/>
          <w:color w:val="000000" w:themeColor="text1"/>
        </w:rPr>
        <w:t>Em conclusão, a agricultura familiar no Sudoeste Paulista tem potencial para ser um modelo de desenvolvimento rural sustentável e baseado na soberania alimentar. Isso exige investimentos em infraestrutura, assistência técnica e políticas públicas que respeitem as especificidades do território, promovendo um desenvolvimento integrado e inclusivo.</w:t>
      </w:r>
    </w:p>
    <w:p w14:paraId="7CF69DD0" w14:textId="61564846" w:rsidR="00140B14" w:rsidRPr="00F82334" w:rsidRDefault="006417A2" w:rsidP="006417A2">
      <w:pPr>
        <w:spacing w:line="360" w:lineRule="auto"/>
        <w:ind w:firstLine="708"/>
        <w:jc w:val="both"/>
        <w:rPr>
          <w:bCs/>
          <w:color w:val="000000" w:themeColor="text1"/>
        </w:rPr>
      </w:pPr>
      <w:r w:rsidRPr="00F82334">
        <w:rPr>
          <w:bCs/>
          <w:color w:val="000000" w:themeColor="text1"/>
        </w:rPr>
        <w:t>Por fim, as resistências previstas nas dinâmicas da pesquisa não se concretizaram. Ao contrário, os agentes das secretarias municipais, representantes dos agricultores e a universidade mostraram-se dispostos a organizar um esforço interinstitucional para atender às necessidades dos agricultores, estruturando demandas organizadas em pautas de curto, médio e longo prazo.</w:t>
      </w:r>
    </w:p>
    <w:p w14:paraId="2811AF53" w14:textId="1AE38265" w:rsidR="00140B14" w:rsidRPr="00F82334" w:rsidRDefault="00140B14" w:rsidP="00140B14">
      <w:pPr>
        <w:spacing w:line="360" w:lineRule="auto"/>
        <w:ind w:firstLine="720"/>
        <w:jc w:val="both"/>
        <w:rPr>
          <w:bCs/>
          <w:color w:val="000000" w:themeColor="text1"/>
        </w:rPr>
      </w:pPr>
    </w:p>
    <w:p w14:paraId="4F81AF00" w14:textId="77777777" w:rsidR="00216EFF" w:rsidRPr="00F82334" w:rsidRDefault="00216EFF" w:rsidP="00216EFF">
      <w:pPr>
        <w:spacing w:line="360" w:lineRule="auto"/>
        <w:jc w:val="both"/>
        <w:rPr>
          <w:rFonts w:eastAsia="Arial" w:cs="Arial"/>
          <w:bCs/>
          <w:color w:val="000000" w:themeColor="text1"/>
        </w:rPr>
      </w:pPr>
    </w:p>
    <w:p w14:paraId="3D237921" w14:textId="77777777" w:rsidR="00216EFF" w:rsidRPr="00F82334" w:rsidRDefault="00216EFF" w:rsidP="00216EFF">
      <w:pPr>
        <w:spacing w:line="360" w:lineRule="auto"/>
        <w:ind w:hanging="2"/>
        <w:jc w:val="both"/>
        <w:rPr>
          <w:rFonts w:eastAsia="Arial" w:cs="Arial"/>
          <w:b/>
          <w:bCs/>
          <w:color w:val="000000" w:themeColor="text1"/>
        </w:rPr>
      </w:pPr>
      <w:r w:rsidRPr="00F82334">
        <w:rPr>
          <w:rFonts w:eastAsia="Arial" w:cs="Arial"/>
          <w:b/>
          <w:bCs/>
          <w:color w:val="000000" w:themeColor="text1"/>
          <w:highlight w:val="white"/>
        </w:rPr>
        <w:t>REFERÊNCIAS</w:t>
      </w:r>
    </w:p>
    <w:p w14:paraId="474069B4" w14:textId="7A6C4ADA" w:rsidR="00AA0621" w:rsidRPr="00AA0621" w:rsidRDefault="00D07055" w:rsidP="004E03CF">
      <w:pPr>
        <w:spacing w:line="360" w:lineRule="auto"/>
        <w:jc w:val="both"/>
        <w:rPr>
          <w:rFonts w:ascii="Trebuchet MS" w:eastAsia="Times New Roman" w:hAnsi="Trebuchet MS" w:cs="Times New Roman"/>
          <w:color w:val="000000" w:themeColor="text1"/>
          <w:kern w:val="0"/>
          <w:lang w:eastAsia="pt-BR"/>
          <w14:ligatures w14:val="none"/>
        </w:rPr>
      </w:pPr>
      <w:r w:rsidRPr="00D07055">
        <w:rPr>
          <w:rFonts w:ascii="Trebuchet MS" w:hAnsi="Trebuchet MS" w:cs="Arial"/>
          <w:shd w:val="clear" w:color="auto" w:fill="FFFFFF"/>
        </w:rPr>
        <w:t xml:space="preserve">ALMEIDA, L. M. de M. C.; SANTOS, L. de L.; DE OLIVEIRA, E. C.; MAIORANO, A. C.; DUVAL, H. </w:t>
      </w:r>
      <w:proofErr w:type="gramStart"/>
      <w:r w:rsidRPr="00D07055">
        <w:rPr>
          <w:rFonts w:ascii="Trebuchet MS" w:hAnsi="Trebuchet MS" w:cs="Arial"/>
          <w:shd w:val="clear" w:color="auto" w:fill="FFFFFF"/>
        </w:rPr>
        <w:t>C..</w:t>
      </w:r>
      <w:proofErr w:type="gramEnd"/>
      <w:r w:rsidRPr="00D07055">
        <w:rPr>
          <w:rFonts w:ascii="Trebuchet MS" w:hAnsi="Trebuchet MS" w:cs="Arial"/>
          <w:shd w:val="clear" w:color="auto" w:fill="FFFFFF"/>
        </w:rPr>
        <w:t xml:space="preserve"> </w:t>
      </w:r>
      <w:r w:rsidR="00AA0621" w:rsidRPr="00D07055">
        <w:rPr>
          <w:rFonts w:ascii="Trebuchet MS" w:eastAsia="Times New Roman" w:hAnsi="Trebuchet MS" w:cs="Times New Roman"/>
          <w:bCs/>
          <w:color w:val="000000" w:themeColor="text1"/>
          <w:kern w:val="0"/>
          <w:lang w:eastAsia="pt-BR"/>
          <w14:ligatures w14:val="none"/>
        </w:rPr>
        <w:t xml:space="preserve">Índice </w:t>
      </w:r>
      <w:proofErr w:type="spellStart"/>
      <w:r w:rsidR="00AA0621" w:rsidRPr="00D07055">
        <w:rPr>
          <w:rFonts w:ascii="Trebuchet MS" w:eastAsia="Times New Roman" w:hAnsi="Trebuchet MS" w:cs="Times New Roman"/>
          <w:bCs/>
          <w:color w:val="000000" w:themeColor="text1"/>
          <w:kern w:val="0"/>
          <w:lang w:eastAsia="pt-BR"/>
          <w14:ligatures w14:val="none"/>
        </w:rPr>
        <w:t>Ufscar</w:t>
      </w:r>
      <w:proofErr w:type="spellEnd"/>
      <w:r w:rsidR="00AA0621" w:rsidRPr="00D07055">
        <w:rPr>
          <w:rFonts w:ascii="Trebuchet MS" w:eastAsia="Times New Roman" w:hAnsi="Trebuchet MS" w:cs="Times New Roman"/>
          <w:bCs/>
          <w:color w:val="000000" w:themeColor="text1"/>
          <w:kern w:val="0"/>
          <w:lang w:eastAsia="pt-BR"/>
          <w14:ligatures w14:val="none"/>
        </w:rPr>
        <w:t xml:space="preserve"> de segurança alimentar: uma análise dos agricultores familiares de Angatuba e Campina do Monte Alegre - SP</w:t>
      </w:r>
      <w:r w:rsidR="00AA0621" w:rsidRPr="00D07055">
        <w:rPr>
          <w:rFonts w:ascii="Trebuchet MS" w:eastAsia="Times New Roman" w:hAnsi="Trebuchet MS" w:cs="Times New Roman"/>
          <w:b/>
          <w:bCs/>
          <w:color w:val="000000" w:themeColor="text1"/>
          <w:kern w:val="0"/>
          <w:lang w:eastAsia="pt-BR"/>
          <w14:ligatures w14:val="none"/>
        </w:rPr>
        <w:t>.</w:t>
      </w:r>
      <w:r w:rsidR="00AA0621" w:rsidRPr="00AA0621">
        <w:rPr>
          <w:rFonts w:ascii="Trebuchet MS" w:eastAsia="Times New Roman" w:hAnsi="Trebuchet MS" w:cs="Times New Roman"/>
          <w:color w:val="000000" w:themeColor="text1"/>
          <w:kern w:val="0"/>
          <w:lang w:eastAsia="pt-BR"/>
          <w14:ligatures w14:val="none"/>
        </w:rPr>
        <w:t xml:space="preserve"> </w:t>
      </w:r>
      <w:r w:rsidR="00AA0621" w:rsidRPr="00D07055">
        <w:rPr>
          <w:rFonts w:ascii="Trebuchet MS" w:eastAsia="Times New Roman" w:hAnsi="Trebuchet MS" w:cs="Times New Roman"/>
          <w:b/>
          <w:iCs/>
          <w:color w:val="000000" w:themeColor="text1"/>
          <w:kern w:val="0"/>
          <w:lang w:eastAsia="pt-BR"/>
          <w14:ligatures w14:val="none"/>
        </w:rPr>
        <w:t>Retratos de Assentamentos</w:t>
      </w:r>
      <w:r w:rsidR="00AA0621" w:rsidRPr="00AA0621">
        <w:rPr>
          <w:rFonts w:ascii="Trebuchet MS" w:eastAsia="Times New Roman" w:hAnsi="Trebuchet MS" w:cs="Times New Roman"/>
          <w:color w:val="000000" w:themeColor="text1"/>
          <w:kern w:val="0"/>
          <w:lang w:eastAsia="pt-BR"/>
          <w14:ligatures w14:val="none"/>
        </w:rPr>
        <w:t xml:space="preserve">, v. 19, n. 2, p. 265-293, 2016. Disponível em: </w:t>
      </w:r>
      <w:hyperlink r:id="rId8" w:tgtFrame="_new" w:history="1">
        <w:r w:rsidR="00AA0621" w:rsidRPr="00D07055">
          <w:rPr>
            <w:rFonts w:ascii="Trebuchet MS" w:eastAsia="Times New Roman" w:hAnsi="Trebuchet MS" w:cs="Times New Roman"/>
            <w:color w:val="000000" w:themeColor="text1"/>
            <w:kern w:val="0"/>
            <w:lang w:eastAsia="pt-BR"/>
            <w14:ligatures w14:val="none"/>
          </w:rPr>
          <w:t>https://retratosdeassentamentos.com/index.php/retratos/article/view/246</w:t>
        </w:r>
      </w:hyperlink>
      <w:r w:rsidR="00AA0621" w:rsidRPr="00AA0621">
        <w:rPr>
          <w:rFonts w:ascii="Trebuchet MS" w:eastAsia="Times New Roman" w:hAnsi="Trebuchet MS" w:cs="Times New Roman"/>
          <w:color w:val="000000" w:themeColor="text1"/>
          <w:kern w:val="0"/>
          <w:lang w:eastAsia="pt-BR"/>
          <w14:ligatures w14:val="none"/>
        </w:rPr>
        <w:t xml:space="preserve">. </w:t>
      </w:r>
      <w:r w:rsidR="00AA0621" w:rsidRPr="00AA0621">
        <w:rPr>
          <w:rFonts w:ascii="Trebuchet MS" w:eastAsia="Times New Roman" w:hAnsi="Trebuchet MS" w:cs="Times New Roman"/>
          <w:color w:val="000000" w:themeColor="text1"/>
          <w:kern w:val="0"/>
          <w:lang w:eastAsia="pt-BR"/>
          <w14:ligatures w14:val="none"/>
        </w:rPr>
        <w:lastRenderedPageBreak/>
        <w:t xml:space="preserve">Acesso em: </w:t>
      </w:r>
      <w:proofErr w:type="gramStart"/>
      <w:r w:rsidR="00AA0621" w:rsidRPr="00AA0621">
        <w:rPr>
          <w:rFonts w:ascii="Trebuchet MS" w:eastAsia="Times New Roman" w:hAnsi="Trebuchet MS" w:cs="Times New Roman"/>
          <w:color w:val="000000" w:themeColor="text1"/>
          <w:kern w:val="0"/>
          <w:lang w:eastAsia="pt-BR"/>
          <w14:ligatures w14:val="none"/>
        </w:rPr>
        <w:t>7 maio 2021</w:t>
      </w:r>
      <w:proofErr w:type="gramEnd"/>
      <w:r w:rsidR="00AA0621" w:rsidRPr="00AA0621">
        <w:rPr>
          <w:rFonts w:ascii="Trebuchet MS" w:eastAsia="Times New Roman" w:hAnsi="Trebuchet MS" w:cs="Times New Roman"/>
          <w:color w:val="000000" w:themeColor="text1"/>
          <w:kern w:val="0"/>
          <w:lang w:eastAsia="pt-BR"/>
          <w14:ligatures w14:val="none"/>
        </w:rPr>
        <w:t>. DOI: 10.25059/2527-2594/</w:t>
      </w:r>
      <w:proofErr w:type="spellStart"/>
      <w:r w:rsidR="00AA0621" w:rsidRPr="00AA0621">
        <w:rPr>
          <w:rFonts w:ascii="Trebuchet MS" w:eastAsia="Times New Roman" w:hAnsi="Trebuchet MS" w:cs="Times New Roman"/>
          <w:color w:val="000000" w:themeColor="text1"/>
          <w:kern w:val="0"/>
          <w:lang w:eastAsia="pt-BR"/>
          <w14:ligatures w14:val="none"/>
        </w:rPr>
        <w:t>retratosdeassentamentos</w:t>
      </w:r>
      <w:proofErr w:type="spellEnd"/>
      <w:r w:rsidR="00AA0621" w:rsidRPr="00AA0621">
        <w:rPr>
          <w:rFonts w:ascii="Trebuchet MS" w:eastAsia="Times New Roman" w:hAnsi="Trebuchet MS" w:cs="Times New Roman"/>
          <w:color w:val="000000" w:themeColor="text1"/>
          <w:kern w:val="0"/>
          <w:lang w:eastAsia="pt-BR"/>
          <w14:ligatures w14:val="none"/>
        </w:rPr>
        <w:t>/2016.v19i2.246.</w:t>
      </w:r>
    </w:p>
    <w:p w14:paraId="0D23F067" w14:textId="77777777" w:rsidR="00AA0621" w:rsidRPr="00AA0621" w:rsidRDefault="00AA0621" w:rsidP="004E03CF">
      <w:pPr>
        <w:spacing w:line="360" w:lineRule="auto"/>
        <w:jc w:val="both"/>
        <w:rPr>
          <w:rFonts w:ascii="Trebuchet MS" w:eastAsia="Times New Roman" w:hAnsi="Trebuchet MS" w:cs="Times New Roman"/>
          <w:color w:val="000000" w:themeColor="text1"/>
          <w:kern w:val="0"/>
          <w:lang w:eastAsia="pt-BR"/>
          <w14:ligatures w14:val="none"/>
        </w:rPr>
      </w:pPr>
      <w:r w:rsidRPr="00AA0621">
        <w:rPr>
          <w:rFonts w:ascii="Trebuchet MS" w:eastAsia="Times New Roman" w:hAnsi="Trebuchet MS" w:cs="Times New Roman"/>
          <w:color w:val="000000" w:themeColor="text1"/>
          <w:kern w:val="0"/>
          <w:lang w:eastAsia="pt-BR"/>
          <w14:ligatures w14:val="none"/>
        </w:rPr>
        <w:t xml:space="preserve">BRASIL. </w:t>
      </w:r>
      <w:r w:rsidRPr="00AA0621">
        <w:rPr>
          <w:rFonts w:ascii="Trebuchet MS" w:eastAsia="Times New Roman" w:hAnsi="Trebuchet MS" w:cs="Times New Roman"/>
          <w:b/>
          <w:bCs/>
          <w:color w:val="000000" w:themeColor="text1"/>
          <w:kern w:val="0"/>
          <w:lang w:eastAsia="pt-BR"/>
          <w14:ligatures w14:val="none"/>
        </w:rPr>
        <w:t>Lei nº 11.326, de 24 de julho de 2006.</w:t>
      </w:r>
      <w:r w:rsidRPr="00AA0621">
        <w:rPr>
          <w:rFonts w:ascii="Trebuchet MS" w:eastAsia="Times New Roman" w:hAnsi="Trebuchet MS" w:cs="Times New Roman"/>
          <w:color w:val="000000" w:themeColor="text1"/>
          <w:kern w:val="0"/>
          <w:lang w:eastAsia="pt-BR"/>
          <w14:ligatures w14:val="none"/>
        </w:rPr>
        <w:t xml:space="preserve"> Estabelece as diretrizes para a formulação da Política Nacional da Agricultura Familiar e Empreendimentos Familiares Rurais. </w:t>
      </w:r>
      <w:r w:rsidRPr="00AA0621">
        <w:rPr>
          <w:rFonts w:ascii="Trebuchet MS" w:eastAsia="Times New Roman" w:hAnsi="Trebuchet MS" w:cs="Times New Roman"/>
          <w:iCs/>
          <w:color w:val="000000" w:themeColor="text1"/>
          <w:kern w:val="0"/>
          <w:lang w:eastAsia="pt-BR"/>
          <w14:ligatures w14:val="none"/>
        </w:rPr>
        <w:t>Diário Oficial da União</w:t>
      </w:r>
      <w:r w:rsidRPr="00AA0621">
        <w:rPr>
          <w:rFonts w:ascii="Trebuchet MS" w:eastAsia="Times New Roman" w:hAnsi="Trebuchet MS" w:cs="Times New Roman"/>
          <w:color w:val="000000" w:themeColor="text1"/>
          <w:kern w:val="0"/>
          <w:lang w:eastAsia="pt-BR"/>
          <w14:ligatures w14:val="none"/>
        </w:rPr>
        <w:t xml:space="preserve">, Brasília, 25 jul. 2006. Disponível em: </w:t>
      </w:r>
      <w:hyperlink r:id="rId9" w:tgtFrame="_new" w:history="1">
        <w:r w:rsidRPr="00AA0621">
          <w:rPr>
            <w:rFonts w:ascii="Trebuchet MS" w:eastAsia="Times New Roman" w:hAnsi="Trebuchet MS" w:cs="Times New Roman"/>
            <w:color w:val="000000" w:themeColor="text1"/>
            <w:kern w:val="0"/>
            <w:lang w:eastAsia="pt-BR"/>
            <w14:ligatures w14:val="none"/>
          </w:rPr>
          <w:t>http://www.planalto.gov.br/ccivil_03/_ato2004-2006/2006/lei/l11326.htm</w:t>
        </w:r>
      </w:hyperlink>
      <w:r w:rsidRPr="00AA0621">
        <w:rPr>
          <w:rFonts w:ascii="Trebuchet MS" w:eastAsia="Times New Roman" w:hAnsi="Trebuchet MS" w:cs="Times New Roman"/>
          <w:color w:val="000000" w:themeColor="text1"/>
          <w:kern w:val="0"/>
          <w:lang w:eastAsia="pt-BR"/>
          <w14:ligatures w14:val="none"/>
        </w:rPr>
        <w:t>. Acesso em: 27 jul. 2022.</w:t>
      </w:r>
    </w:p>
    <w:p w14:paraId="36CA5EA9" w14:textId="77777777" w:rsidR="00AA0621" w:rsidRPr="00AA0621" w:rsidRDefault="00AA0621" w:rsidP="004E03CF">
      <w:pPr>
        <w:spacing w:line="360" w:lineRule="auto"/>
        <w:jc w:val="both"/>
        <w:rPr>
          <w:rFonts w:ascii="Trebuchet MS" w:eastAsia="Times New Roman" w:hAnsi="Trebuchet MS" w:cs="Times New Roman"/>
          <w:color w:val="000000" w:themeColor="text1"/>
          <w:kern w:val="0"/>
          <w:lang w:eastAsia="pt-BR"/>
          <w14:ligatures w14:val="none"/>
        </w:rPr>
      </w:pPr>
      <w:r w:rsidRPr="00AA0621">
        <w:rPr>
          <w:rFonts w:ascii="Trebuchet MS" w:eastAsia="Times New Roman" w:hAnsi="Trebuchet MS" w:cs="Times New Roman"/>
          <w:color w:val="000000" w:themeColor="text1"/>
          <w:kern w:val="0"/>
          <w:lang w:eastAsia="pt-BR"/>
          <w14:ligatures w14:val="none"/>
        </w:rPr>
        <w:t xml:space="preserve">BRASIL. </w:t>
      </w:r>
      <w:r w:rsidRPr="00AA0621">
        <w:rPr>
          <w:rFonts w:ascii="Trebuchet MS" w:eastAsia="Times New Roman" w:hAnsi="Trebuchet MS" w:cs="Times New Roman"/>
          <w:b/>
          <w:bCs/>
          <w:color w:val="000000" w:themeColor="text1"/>
          <w:kern w:val="0"/>
          <w:lang w:eastAsia="pt-BR"/>
          <w14:ligatures w14:val="none"/>
        </w:rPr>
        <w:t>Lei nº 10.831, de 23 de dezembro de 2003.</w:t>
      </w:r>
      <w:r w:rsidRPr="00AA0621">
        <w:rPr>
          <w:rFonts w:ascii="Trebuchet MS" w:eastAsia="Times New Roman" w:hAnsi="Trebuchet MS" w:cs="Times New Roman"/>
          <w:color w:val="000000" w:themeColor="text1"/>
          <w:kern w:val="0"/>
          <w:lang w:eastAsia="pt-BR"/>
          <w14:ligatures w14:val="none"/>
        </w:rPr>
        <w:t xml:space="preserve"> Dispõe sobre a agricultura orgânica e dá outras providências. </w:t>
      </w:r>
      <w:r w:rsidRPr="00AA0621">
        <w:rPr>
          <w:rFonts w:ascii="Trebuchet MS" w:eastAsia="Times New Roman" w:hAnsi="Trebuchet MS" w:cs="Times New Roman"/>
          <w:iCs/>
          <w:color w:val="000000" w:themeColor="text1"/>
          <w:kern w:val="0"/>
          <w:lang w:eastAsia="pt-BR"/>
          <w14:ligatures w14:val="none"/>
        </w:rPr>
        <w:t>Diário Oficial da União</w:t>
      </w:r>
      <w:r w:rsidRPr="00AA0621">
        <w:rPr>
          <w:rFonts w:ascii="Trebuchet MS" w:eastAsia="Times New Roman" w:hAnsi="Trebuchet MS" w:cs="Times New Roman"/>
          <w:color w:val="000000" w:themeColor="text1"/>
          <w:kern w:val="0"/>
          <w:lang w:eastAsia="pt-BR"/>
          <w14:ligatures w14:val="none"/>
        </w:rPr>
        <w:t xml:space="preserve">, Brasília, 23 dez. 2003. Disponível em: </w:t>
      </w:r>
      <w:hyperlink r:id="rId10" w:tgtFrame="_new" w:history="1">
        <w:r w:rsidRPr="00AA0621">
          <w:rPr>
            <w:rFonts w:ascii="Trebuchet MS" w:eastAsia="Times New Roman" w:hAnsi="Trebuchet MS" w:cs="Times New Roman"/>
            <w:color w:val="000000" w:themeColor="text1"/>
            <w:kern w:val="0"/>
            <w:lang w:eastAsia="pt-BR"/>
            <w14:ligatures w14:val="none"/>
          </w:rPr>
          <w:t>http://www.planalto.gov.br/ccivil_03/leis/2003/l10.831.htm</w:t>
        </w:r>
      </w:hyperlink>
      <w:r w:rsidRPr="00AA0621">
        <w:rPr>
          <w:rFonts w:ascii="Trebuchet MS" w:eastAsia="Times New Roman" w:hAnsi="Trebuchet MS" w:cs="Times New Roman"/>
          <w:color w:val="000000" w:themeColor="text1"/>
          <w:kern w:val="0"/>
          <w:lang w:eastAsia="pt-BR"/>
          <w14:ligatures w14:val="none"/>
        </w:rPr>
        <w:t>. Acesso em: 2 jun. 2022.</w:t>
      </w:r>
    </w:p>
    <w:p w14:paraId="0C9E3890" w14:textId="77777777" w:rsidR="00AA0621" w:rsidRPr="00AA0621" w:rsidRDefault="00AA0621" w:rsidP="004E03CF">
      <w:pPr>
        <w:spacing w:line="360" w:lineRule="auto"/>
        <w:jc w:val="both"/>
        <w:rPr>
          <w:rFonts w:ascii="Trebuchet MS" w:eastAsia="Times New Roman" w:hAnsi="Trebuchet MS" w:cs="Times New Roman"/>
          <w:color w:val="000000" w:themeColor="text1"/>
          <w:kern w:val="0"/>
          <w:lang w:eastAsia="pt-BR"/>
          <w14:ligatures w14:val="none"/>
        </w:rPr>
      </w:pPr>
      <w:r w:rsidRPr="00AA0621">
        <w:rPr>
          <w:rFonts w:ascii="Trebuchet MS" w:eastAsia="Times New Roman" w:hAnsi="Trebuchet MS" w:cs="Times New Roman"/>
          <w:color w:val="000000" w:themeColor="text1"/>
          <w:kern w:val="0"/>
          <w:lang w:eastAsia="pt-BR"/>
          <w14:ligatures w14:val="none"/>
        </w:rPr>
        <w:t xml:space="preserve">BRASIL. Ministério da Agricultura, Pecuária e Abastecimento. </w:t>
      </w:r>
      <w:r w:rsidRPr="00AA0621">
        <w:rPr>
          <w:rFonts w:ascii="Trebuchet MS" w:eastAsia="Times New Roman" w:hAnsi="Trebuchet MS" w:cs="Times New Roman"/>
          <w:b/>
          <w:bCs/>
          <w:color w:val="000000" w:themeColor="text1"/>
          <w:kern w:val="0"/>
          <w:lang w:eastAsia="pt-BR"/>
          <w14:ligatures w14:val="none"/>
        </w:rPr>
        <w:t>Agricultura Familiar.</w:t>
      </w:r>
      <w:r w:rsidRPr="00AA0621">
        <w:rPr>
          <w:rFonts w:ascii="Trebuchet MS" w:eastAsia="Times New Roman" w:hAnsi="Trebuchet MS" w:cs="Times New Roman"/>
          <w:color w:val="000000" w:themeColor="text1"/>
          <w:kern w:val="0"/>
          <w:lang w:eastAsia="pt-BR"/>
          <w14:ligatures w14:val="none"/>
        </w:rPr>
        <w:t xml:space="preserve"> Brasília, 26 ago. 2019. Disponível em: </w:t>
      </w:r>
      <w:hyperlink r:id="rId11" w:tgtFrame="_new" w:history="1">
        <w:r w:rsidRPr="00AA0621">
          <w:rPr>
            <w:rFonts w:ascii="Trebuchet MS" w:eastAsia="Times New Roman" w:hAnsi="Trebuchet MS" w:cs="Times New Roman"/>
            <w:color w:val="000000" w:themeColor="text1"/>
            <w:kern w:val="0"/>
            <w:lang w:eastAsia="pt-BR"/>
            <w14:ligatures w14:val="none"/>
          </w:rPr>
          <w:t>https://www.gov.br/agricultura/pt-br/assuntos/agricultura-familiar/agricultura-familiar-1</w:t>
        </w:r>
      </w:hyperlink>
      <w:r w:rsidRPr="00AA0621">
        <w:rPr>
          <w:rFonts w:ascii="Trebuchet MS" w:eastAsia="Times New Roman" w:hAnsi="Trebuchet MS" w:cs="Times New Roman"/>
          <w:color w:val="000000" w:themeColor="text1"/>
          <w:kern w:val="0"/>
          <w:lang w:eastAsia="pt-BR"/>
          <w14:ligatures w14:val="none"/>
        </w:rPr>
        <w:t>. Acesso em: 10 jun. 2022.</w:t>
      </w:r>
    </w:p>
    <w:p w14:paraId="2CECA483" w14:textId="77777777" w:rsidR="00AA0621" w:rsidRPr="00AA0621" w:rsidRDefault="00AA0621" w:rsidP="004E03CF">
      <w:pPr>
        <w:spacing w:line="360" w:lineRule="auto"/>
        <w:jc w:val="both"/>
        <w:rPr>
          <w:rFonts w:ascii="Trebuchet MS" w:eastAsia="Times New Roman" w:hAnsi="Trebuchet MS" w:cs="Times New Roman"/>
          <w:color w:val="000000" w:themeColor="text1"/>
          <w:kern w:val="0"/>
          <w:lang w:eastAsia="pt-BR"/>
          <w14:ligatures w14:val="none"/>
        </w:rPr>
      </w:pPr>
      <w:r w:rsidRPr="00AA0621">
        <w:rPr>
          <w:rFonts w:ascii="Trebuchet MS" w:eastAsia="Times New Roman" w:hAnsi="Trebuchet MS" w:cs="Times New Roman"/>
          <w:color w:val="000000" w:themeColor="text1"/>
          <w:kern w:val="0"/>
          <w:lang w:eastAsia="pt-BR"/>
          <w14:ligatures w14:val="none"/>
        </w:rPr>
        <w:t xml:space="preserve">BRASIL. Ministério da Agricultura, Pecuária e Abastecimento. </w:t>
      </w:r>
      <w:r w:rsidRPr="00AA0621">
        <w:rPr>
          <w:rFonts w:ascii="Trebuchet MS" w:eastAsia="Times New Roman" w:hAnsi="Trebuchet MS" w:cs="Times New Roman"/>
          <w:b/>
          <w:bCs/>
          <w:color w:val="000000" w:themeColor="text1"/>
          <w:kern w:val="0"/>
          <w:lang w:eastAsia="pt-BR"/>
          <w14:ligatures w14:val="none"/>
        </w:rPr>
        <w:t>Cadastro Nacional de Produtores Orgânicos.</w:t>
      </w:r>
      <w:r w:rsidRPr="00AA0621">
        <w:rPr>
          <w:rFonts w:ascii="Trebuchet MS" w:eastAsia="Times New Roman" w:hAnsi="Trebuchet MS" w:cs="Times New Roman"/>
          <w:color w:val="000000" w:themeColor="text1"/>
          <w:kern w:val="0"/>
          <w:lang w:eastAsia="pt-BR"/>
          <w14:ligatures w14:val="none"/>
        </w:rPr>
        <w:t xml:space="preserve"> Brasília, 2023. Disponível em: </w:t>
      </w:r>
      <w:hyperlink r:id="rId12" w:tgtFrame="_new" w:history="1">
        <w:r w:rsidRPr="00AA0621">
          <w:rPr>
            <w:rFonts w:ascii="Trebuchet MS" w:eastAsia="Times New Roman" w:hAnsi="Trebuchet MS" w:cs="Times New Roman"/>
            <w:color w:val="000000" w:themeColor="text1"/>
            <w:kern w:val="0"/>
            <w:lang w:eastAsia="pt-BR"/>
            <w14:ligatures w14:val="none"/>
          </w:rPr>
          <w:t>https://www.gov.br/agricultura/pt-br/assuntos/sustentabilidade/organicos/cadastro-nacional-produtores-organicos</w:t>
        </w:r>
      </w:hyperlink>
      <w:r w:rsidRPr="00AA0621">
        <w:rPr>
          <w:rFonts w:ascii="Trebuchet MS" w:eastAsia="Times New Roman" w:hAnsi="Trebuchet MS" w:cs="Times New Roman"/>
          <w:color w:val="000000" w:themeColor="text1"/>
          <w:kern w:val="0"/>
          <w:lang w:eastAsia="pt-BR"/>
          <w14:ligatures w14:val="none"/>
        </w:rPr>
        <w:t>. Acesso em: 23 mar. 2023.</w:t>
      </w:r>
    </w:p>
    <w:p w14:paraId="0D6FF1E9" w14:textId="38C4053D" w:rsidR="00AA0621" w:rsidRDefault="00AA0621" w:rsidP="004E03CF">
      <w:pPr>
        <w:spacing w:line="360" w:lineRule="auto"/>
        <w:jc w:val="both"/>
        <w:rPr>
          <w:rFonts w:ascii="Trebuchet MS" w:eastAsia="Times New Roman" w:hAnsi="Trebuchet MS" w:cs="Times New Roman"/>
          <w:color w:val="000000" w:themeColor="text1"/>
          <w:kern w:val="0"/>
          <w:lang w:eastAsia="pt-BR"/>
          <w14:ligatures w14:val="none"/>
        </w:rPr>
      </w:pPr>
      <w:r w:rsidRPr="00AA0621">
        <w:rPr>
          <w:rFonts w:ascii="Trebuchet MS" w:eastAsia="Times New Roman" w:hAnsi="Trebuchet MS" w:cs="Times New Roman"/>
          <w:color w:val="000000" w:themeColor="text1"/>
          <w:kern w:val="0"/>
          <w:lang w:eastAsia="pt-BR"/>
          <w14:ligatures w14:val="none"/>
        </w:rPr>
        <w:t xml:space="preserve">MAIA, C. M. </w:t>
      </w:r>
      <w:r w:rsidRPr="00AA0621">
        <w:rPr>
          <w:rFonts w:ascii="Trebuchet MS" w:eastAsia="Times New Roman" w:hAnsi="Trebuchet MS" w:cs="Times New Roman"/>
          <w:b/>
          <w:bCs/>
          <w:color w:val="000000" w:themeColor="text1"/>
          <w:kern w:val="0"/>
          <w:lang w:eastAsia="pt-BR"/>
          <w14:ligatures w14:val="none"/>
        </w:rPr>
        <w:t>A agroindústria familiar como estratégia para o desenvolvimento regional.</w:t>
      </w:r>
      <w:r w:rsidRPr="00AA0621">
        <w:rPr>
          <w:rFonts w:ascii="Trebuchet MS" w:eastAsia="Times New Roman" w:hAnsi="Trebuchet MS" w:cs="Times New Roman"/>
          <w:color w:val="000000" w:themeColor="text1"/>
          <w:kern w:val="0"/>
          <w:lang w:eastAsia="pt-BR"/>
          <w14:ligatures w14:val="none"/>
        </w:rPr>
        <w:t xml:space="preserve"> 2008. Dissertação (Mestrado em Desenvolvimento Regional) – Universidade de Santa Cruz do Sul, Santa Cruz do Sul, 2008. Disponível em: </w:t>
      </w:r>
      <w:hyperlink r:id="rId13" w:tgtFrame="_new" w:history="1">
        <w:r w:rsidRPr="00AA0621">
          <w:rPr>
            <w:rFonts w:ascii="Trebuchet MS" w:eastAsia="Times New Roman" w:hAnsi="Trebuchet MS" w:cs="Times New Roman"/>
            <w:color w:val="000000" w:themeColor="text1"/>
            <w:kern w:val="0"/>
            <w:lang w:eastAsia="pt-BR"/>
            <w14:ligatures w14:val="none"/>
          </w:rPr>
          <w:t>http://repositorio.unisc.br:8080/jspui/handle/11624/709</w:t>
        </w:r>
      </w:hyperlink>
      <w:r w:rsidRPr="00AA0621">
        <w:rPr>
          <w:rFonts w:ascii="Trebuchet MS" w:eastAsia="Times New Roman" w:hAnsi="Trebuchet MS" w:cs="Times New Roman"/>
          <w:color w:val="000000" w:themeColor="text1"/>
          <w:kern w:val="0"/>
          <w:lang w:eastAsia="pt-BR"/>
          <w14:ligatures w14:val="none"/>
        </w:rPr>
        <w:t xml:space="preserve">. Acesso em: 10 jun. 2021. DOI: </w:t>
      </w:r>
      <w:hyperlink r:id="rId14" w:tgtFrame="_new" w:history="1">
        <w:r w:rsidRPr="00AA0621">
          <w:rPr>
            <w:rFonts w:ascii="Trebuchet MS" w:eastAsia="Times New Roman" w:hAnsi="Trebuchet MS" w:cs="Times New Roman"/>
            <w:color w:val="000000" w:themeColor="text1"/>
            <w:kern w:val="0"/>
            <w:lang w:eastAsia="pt-BR"/>
            <w14:ligatures w14:val="none"/>
          </w:rPr>
          <w:t>http://hdl.handle.net/11624/709</w:t>
        </w:r>
      </w:hyperlink>
      <w:r w:rsidRPr="00AA0621">
        <w:rPr>
          <w:rFonts w:ascii="Trebuchet MS" w:eastAsia="Times New Roman" w:hAnsi="Trebuchet MS" w:cs="Times New Roman"/>
          <w:color w:val="000000" w:themeColor="text1"/>
          <w:kern w:val="0"/>
          <w:lang w:eastAsia="pt-BR"/>
          <w14:ligatures w14:val="none"/>
        </w:rPr>
        <w:t>.</w:t>
      </w:r>
    </w:p>
    <w:p w14:paraId="3890D91B" w14:textId="32AA6E27" w:rsidR="00911758" w:rsidRDefault="00911758" w:rsidP="004E03CF">
      <w:pPr>
        <w:spacing w:line="360" w:lineRule="auto"/>
        <w:rPr>
          <w:rFonts w:ascii="Trebuchet MS" w:hAnsi="Trebuchet MS" w:cs="Noto Sans"/>
          <w:color w:val="000000" w:themeColor="text1"/>
          <w:shd w:val="clear" w:color="auto" w:fill="FFFFFF"/>
        </w:rPr>
      </w:pPr>
      <w:r w:rsidRPr="00911758">
        <w:rPr>
          <w:rFonts w:ascii="Trebuchet MS" w:hAnsi="Trebuchet MS"/>
          <w:color w:val="000000" w:themeColor="text1"/>
        </w:rPr>
        <w:t xml:space="preserve">OLIVEIRA, J. G. S.; SANTOS, LL; GRIGOLETTO, F.; DUVAL, H. </w:t>
      </w:r>
      <w:proofErr w:type="gramStart"/>
      <w:r w:rsidRPr="00911758">
        <w:rPr>
          <w:rFonts w:ascii="Trebuchet MS" w:hAnsi="Trebuchet MS"/>
          <w:color w:val="000000" w:themeColor="text1"/>
        </w:rPr>
        <w:t>C..</w:t>
      </w:r>
      <w:proofErr w:type="gramEnd"/>
      <w:r w:rsidRPr="00911758">
        <w:rPr>
          <w:rFonts w:ascii="Trebuchet MS" w:hAnsi="Trebuchet MS"/>
          <w:color w:val="000000" w:themeColor="text1"/>
        </w:rPr>
        <w:t xml:space="preserve"> Estoques Públicos e Abastecimento de Arroz na Pandemia da COVID-19: Responsabilidades e Atuação do Estado Brasileiro na Garantia do Direito Humano à Alimentação Adequada (DHAA). </w:t>
      </w:r>
      <w:r w:rsidRPr="00911758">
        <w:rPr>
          <w:rFonts w:ascii="Trebuchet MS" w:hAnsi="Trebuchet MS"/>
          <w:b/>
          <w:color w:val="000000" w:themeColor="text1"/>
        </w:rPr>
        <w:t xml:space="preserve">Perspectivas </w:t>
      </w:r>
      <w:proofErr w:type="spellStart"/>
      <w:r w:rsidRPr="00911758">
        <w:rPr>
          <w:rFonts w:ascii="Trebuchet MS" w:hAnsi="Trebuchet MS"/>
          <w:b/>
          <w:color w:val="000000" w:themeColor="text1"/>
        </w:rPr>
        <w:t>Rurales</w:t>
      </w:r>
      <w:proofErr w:type="spellEnd"/>
      <w:r w:rsidR="00A202AB">
        <w:rPr>
          <w:rFonts w:ascii="Trebuchet MS" w:hAnsi="Trebuchet MS"/>
          <w:color w:val="000000" w:themeColor="text1"/>
        </w:rPr>
        <w:t>. v.21, p.1 - 20, 2023</w:t>
      </w:r>
      <w:r w:rsidRPr="00911758">
        <w:rPr>
          <w:rFonts w:ascii="Trebuchet MS" w:hAnsi="Trebuchet MS"/>
          <w:color w:val="000000" w:themeColor="text1"/>
        </w:rPr>
        <w:t xml:space="preserve">. </w:t>
      </w:r>
      <w:hyperlink r:id="rId15" w:history="1">
        <w:r w:rsidRPr="00911758">
          <w:rPr>
            <w:rStyle w:val="Hyperlink"/>
            <w:rFonts w:ascii="Trebuchet MS" w:hAnsi="Trebuchet MS" w:cs="Noto Sans"/>
            <w:color w:val="000000" w:themeColor="text1"/>
            <w:u w:val="none"/>
            <w:shd w:val="clear" w:color="auto" w:fill="FFFFFF"/>
          </w:rPr>
          <w:t>DOI: 10.15359/prne.21-42.8.</w:t>
        </w:r>
      </w:hyperlink>
      <w:hyperlink r:id="rId16" w:history="1">
        <w:r w:rsidRPr="00911758">
          <w:rPr>
            <w:rStyle w:val="Hyperlink"/>
            <w:rFonts w:ascii="Trebuchet MS" w:hAnsi="Trebuchet MS" w:cs="Noto Sans"/>
            <w:color w:val="000000" w:themeColor="text1"/>
            <w:u w:val="none"/>
            <w:shd w:val="clear" w:color="auto" w:fill="FFFFFF"/>
          </w:rPr>
          <w:t xml:space="preserve"> Disponível </w:t>
        </w:r>
        <w:r w:rsidRPr="00911758">
          <w:rPr>
            <w:rStyle w:val="Hyperlink"/>
            <w:rFonts w:ascii="Trebuchet MS" w:hAnsi="Trebuchet MS" w:cs="Noto Sans"/>
            <w:color w:val="000000" w:themeColor="text1"/>
            <w:u w:val="none"/>
            <w:shd w:val="clear" w:color="auto" w:fill="FFFFFF"/>
          </w:rPr>
          <w:lastRenderedPageBreak/>
          <w:t>em: https://www.revistas.una.ac.cr/index.php/perspectivasrurales/article/view/19237.</w:t>
        </w:r>
      </w:hyperlink>
      <w:r w:rsidRPr="00911758">
        <w:rPr>
          <w:rFonts w:ascii="Trebuchet MS" w:hAnsi="Trebuchet MS" w:cs="Noto Sans"/>
          <w:color w:val="000000" w:themeColor="text1"/>
          <w:shd w:val="clear" w:color="auto" w:fill="FFFFFF"/>
        </w:rPr>
        <w:t xml:space="preserve"> Acesso em: 8 abril. 2025.</w:t>
      </w:r>
    </w:p>
    <w:p w14:paraId="3E80C23A" w14:textId="77777777" w:rsidR="00A202AB" w:rsidRDefault="00A202AB" w:rsidP="004E03CF">
      <w:pPr>
        <w:spacing w:line="360" w:lineRule="auto"/>
        <w:jc w:val="both"/>
      </w:pPr>
      <w:r w:rsidRPr="00A202AB">
        <w:rPr>
          <w:rStyle w:val="Forte"/>
          <w:b w:val="0"/>
        </w:rPr>
        <w:t>PIOMONTE, B. G.; SANTOS, L. D. L.; FERREIRA, I. E. D. P.; GRACIANO, M. C</w:t>
      </w:r>
      <w:r>
        <w:rPr>
          <w:rStyle w:val="Forte"/>
        </w:rPr>
        <w:t>.</w:t>
      </w:r>
      <w:r>
        <w:t xml:space="preserve"> Isolamento domiciliar rural e indicadores de desenvolvimento no Sudoeste Paulista. In: </w:t>
      </w:r>
      <w:r>
        <w:rPr>
          <w:rStyle w:val="Forte"/>
        </w:rPr>
        <w:t>Alternativas para o Desenvolvimento Sustentável do Sudoeste Paulista.</w:t>
      </w:r>
      <w:r>
        <w:t xml:space="preserve"> v. 1, p. 72-87. Editora Científica Digital, 2021.</w:t>
      </w:r>
    </w:p>
    <w:p w14:paraId="1AA03397" w14:textId="194D96B0" w:rsidR="00AA0621" w:rsidRDefault="00AA0621" w:rsidP="004E03CF">
      <w:pPr>
        <w:spacing w:line="360" w:lineRule="auto"/>
        <w:jc w:val="both"/>
        <w:rPr>
          <w:rFonts w:ascii="Trebuchet MS" w:hAnsi="Trebuchet MS" w:cs="Noto Sans"/>
          <w:color w:val="000000" w:themeColor="text1"/>
          <w:shd w:val="clear" w:color="auto" w:fill="FFFFFF"/>
        </w:rPr>
      </w:pPr>
      <w:r w:rsidRPr="00AA0621">
        <w:rPr>
          <w:rFonts w:ascii="Trebuchet MS" w:eastAsia="Times New Roman" w:hAnsi="Trebuchet MS" w:cs="Times New Roman"/>
          <w:color w:val="000000" w:themeColor="text1"/>
          <w:kern w:val="0"/>
          <w:lang w:eastAsia="pt-BR"/>
          <w14:ligatures w14:val="none"/>
        </w:rPr>
        <w:t xml:space="preserve">ORGANIZAÇÃO DAS NAÇÕES UNIDAS PARA A ALIMENTAÇÃO E A AGRICULTURA (FAO). </w:t>
      </w:r>
      <w:r w:rsidRPr="00AA0621">
        <w:rPr>
          <w:rFonts w:ascii="Trebuchet MS" w:eastAsia="Times New Roman" w:hAnsi="Trebuchet MS" w:cs="Times New Roman"/>
          <w:b/>
          <w:bCs/>
          <w:color w:val="000000" w:themeColor="text1"/>
          <w:kern w:val="0"/>
          <w:lang w:eastAsia="pt-BR"/>
          <w14:ligatures w14:val="none"/>
        </w:rPr>
        <w:t>O estado da segurança alimentar e nutricional no Brasil: um retrato multidimensional.</w:t>
      </w:r>
      <w:r w:rsidRPr="00AA0621">
        <w:rPr>
          <w:rFonts w:ascii="Trebuchet MS" w:eastAsia="Times New Roman" w:hAnsi="Trebuchet MS" w:cs="Times New Roman"/>
          <w:color w:val="000000" w:themeColor="text1"/>
          <w:kern w:val="0"/>
          <w:lang w:eastAsia="pt-BR"/>
          <w14:ligatures w14:val="none"/>
        </w:rPr>
        <w:t xml:space="preserve"> Brasília: FAO, 2014. Disponível em: </w:t>
      </w:r>
      <w:hyperlink r:id="rId17" w:tgtFrame="_new" w:history="1">
        <w:r w:rsidRPr="00AA0621">
          <w:rPr>
            <w:rFonts w:ascii="Trebuchet MS" w:eastAsia="Times New Roman" w:hAnsi="Trebuchet MS" w:cs="Times New Roman"/>
            <w:color w:val="000000" w:themeColor="text1"/>
            <w:kern w:val="0"/>
            <w:lang w:eastAsia="pt-BR"/>
            <w14:ligatures w14:val="none"/>
          </w:rPr>
          <w:t>https://www.mds.gov.br/webarquivos/publicacao/seguranca_alimentar/SANnoBRasil.pdf</w:t>
        </w:r>
      </w:hyperlink>
      <w:r w:rsidRPr="00AA0621">
        <w:rPr>
          <w:rFonts w:ascii="Trebuchet MS" w:eastAsia="Times New Roman" w:hAnsi="Trebuchet MS" w:cs="Times New Roman"/>
          <w:color w:val="000000" w:themeColor="text1"/>
          <w:kern w:val="0"/>
          <w:lang w:eastAsia="pt-BR"/>
          <w14:ligatures w14:val="none"/>
        </w:rPr>
        <w:t xml:space="preserve">. Acesso em: </w:t>
      </w:r>
      <w:r w:rsidR="00911758" w:rsidRPr="00911758">
        <w:rPr>
          <w:rFonts w:ascii="Trebuchet MS" w:hAnsi="Trebuchet MS" w:cs="Noto Sans"/>
          <w:color w:val="000000" w:themeColor="text1"/>
          <w:shd w:val="clear" w:color="auto" w:fill="FFFFFF"/>
        </w:rPr>
        <w:t xml:space="preserve">Acesso em: </w:t>
      </w:r>
      <w:proofErr w:type="gramStart"/>
      <w:r w:rsidR="00911758" w:rsidRPr="00911758">
        <w:rPr>
          <w:rFonts w:ascii="Trebuchet MS" w:hAnsi="Trebuchet MS" w:cs="Noto Sans"/>
          <w:color w:val="000000" w:themeColor="text1"/>
          <w:shd w:val="clear" w:color="auto" w:fill="FFFFFF"/>
        </w:rPr>
        <w:t>8 abril</w:t>
      </w:r>
      <w:proofErr w:type="gramEnd"/>
      <w:r w:rsidR="00911758" w:rsidRPr="00911758">
        <w:rPr>
          <w:rFonts w:ascii="Trebuchet MS" w:hAnsi="Trebuchet MS" w:cs="Noto Sans"/>
          <w:color w:val="000000" w:themeColor="text1"/>
          <w:shd w:val="clear" w:color="auto" w:fill="FFFFFF"/>
        </w:rPr>
        <w:t>. 2025.</w:t>
      </w:r>
    </w:p>
    <w:p w14:paraId="509AA545" w14:textId="4AC2C014" w:rsidR="004E03CF" w:rsidRPr="00AA0621" w:rsidRDefault="004E03CF" w:rsidP="004E03CF">
      <w:pPr>
        <w:spacing w:line="360" w:lineRule="auto"/>
        <w:jc w:val="both"/>
        <w:rPr>
          <w:rFonts w:ascii="Trebuchet MS" w:eastAsia="Times New Roman" w:hAnsi="Trebuchet MS" w:cs="Times New Roman"/>
          <w:color w:val="000000" w:themeColor="text1"/>
          <w:kern w:val="0"/>
          <w:lang w:eastAsia="pt-BR"/>
          <w14:ligatures w14:val="none"/>
        </w:rPr>
      </w:pPr>
      <w:r w:rsidRPr="004E03CF">
        <w:rPr>
          <w:rFonts w:ascii="Trebuchet MS" w:eastAsia="Times New Roman" w:hAnsi="Trebuchet MS" w:cs="Times New Roman"/>
          <w:color w:val="000000" w:themeColor="text1"/>
          <w:kern w:val="0"/>
          <w:lang w:eastAsia="pt-BR"/>
          <w14:ligatures w14:val="none"/>
        </w:rPr>
        <w:t>SANTOS, R.; SANTOS, L</w:t>
      </w:r>
      <w:r>
        <w:rPr>
          <w:rFonts w:ascii="Trebuchet MS" w:eastAsia="Times New Roman" w:hAnsi="Trebuchet MS" w:cs="Times New Roman"/>
          <w:color w:val="000000" w:themeColor="text1"/>
          <w:kern w:val="0"/>
          <w:lang w:eastAsia="pt-BR"/>
          <w14:ligatures w14:val="none"/>
        </w:rPr>
        <w:t>.</w:t>
      </w:r>
      <w:r w:rsidRPr="004E03CF">
        <w:rPr>
          <w:rFonts w:ascii="Trebuchet MS" w:eastAsia="Times New Roman" w:hAnsi="Trebuchet MS" w:cs="Times New Roman"/>
          <w:color w:val="000000" w:themeColor="text1"/>
          <w:kern w:val="0"/>
          <w:lang w:eastAsia="pt-BR"/>
          <w14:ligatures w14:val="none"/>
        </w:rPr>
        <w:t>L</w:t>
      </w:r>
      <w:r>
        <w:rPr>
          <w:rFonts w:ascii="Trebuchet MS" w:eastAsia="Times New Roman" w:hAnsi="Trebuchet MS" w:cs="Times New Roman"/>
          <w:color w:val="000000" w:themeColor="text1"/>
          <w:kern w:val="0"/>
          <w:lang w:eastAsia="pt-BR"/>
          <w14:ligatures w14:val="none"/>
        </w:rPr>
        <w:t>.</w:t>
      </w:r>
      <w:r w:rsidRPr="004E03CF">
        <w:rPr>
          <w:rFonts w:ascii="Trebuchet MS" w:eastAsia="Times New Roman" w:hAnsi="Trebuchet MS" w:cs="Times New Roman"/>
          <w:color w:val="000000" w:themeColor="text1"/>
          <w:kern w:val="0"/>
          <w:lang w:eastAsia="pt-BR"/>
          <w14:ligatures w14:val="none"/>
        </w:rPr>
        <w:t xml:space="preserve">; ALMEIDA, L.M.M.C.; DUVAL, H. </w:t>
      </w:r>
      <w:proofErr w:type="gramStart"/>
      <w:r w:rsidRPr="004E03CF">
        <w:rPr>
          <w:rFonts w:ascii="Trebuchet MS" w:eastAsia="Times New Roman" w:hAnsi="Trebuchet MS" w:cs="Times New Roman"/>
          <w:color w:val="000000" w:themeColor="text1"/>
          <w:kern w:val="0"/>
          <w:lang w:eastAsia="pt-BR"/>
          <w14:ligatures w14:val="none"/>
        </w:rPr>
        <w:t>C..</w:t>
      </w:r>
      <w:proofErr w:type="gramEnd"/>
      <w:r w:rsidRPr="004E03CF">
        <w:rPr>
          <w:rFonts w:ascii="Trebuchet MS" w:eastAsia="Times New Roman" w:hAnsi="Trebuchet MS" w:cs="Times New Roman"/>
          <w:color w:val="000000" w:themeColor="text1"/>
          <w:kern w:val="0"/>
          <w:lang w:eastAsia="pt-BR"/>
          <w14:ligatures w14:val="none"/>
        </w:rPr>
        <w:t xml:space="preserve"> A (in) ação estatal na promoção da segurança alimentar: análise da PGPM sobre produtos da cesta básica de 2019 a 2022. </w:t>
      </w:r>
      <w:r w:rsidRPr="004E03CF">
        <w:rPr>
          <w:rFonts w:ascii="Trebuchet MS" w:eastAsia="Times New Roman" w:hAnsi="Trebuchet MS" w:cs="Times New Roman"/>
          <w:b/>
          <w:color w:val="000000" w:themeColor="text1"/>
          <w:kern w:val="0"/>
          <w:lang w:eastAsia="pt-BR"/>
          <w14:ligatures w14:val="none"/>
        </w:rPr>
        <w:t>Retratos de Assentamentos</w:t>
      </w:r>
      <w:r w:rsidRPr="004E03CF">
        <w:rPr>
          <w:rFonts w:ascii="Trebuchet MS" w:eastAsia="Times New Roman" w:hAnsi="Trebuchet MS" w:cs="Times New Roman"/>
          <w:color w:val="000000" w:themeColor="text1"/>
          <w:kern w:val="0"/>
          <w:lang w:eastAsia="pt-BR"/>
          <w14:ligatures w14:val="none"/>
        </w:rPr>
        <w:t>. v.26, p.23 - 52, 2023.</w:t>
      </w:r>
      <w:r w:rsidRPr="004E03CF">
        <w:rPr>
          <w:rFonts w:ascii="Arial" w:hAnsi="Arial" w:cs="Arial"/>
          <w:sz w:val="18"/>
          <w:szCs w:val="18"/>
          <w:shd w:val="clear" w:color="auto" w:fill="FFFFFF"/>
        </w:rPr>
        <w:t xml:space="preserve"> </w:t>
      </w:r>
      <w:r w:rsidRPr="004E03CF">
        <w:t>DOI: 10.25059/2527-2594/</w:t>
      </w:r>
      <w:proofErr w:type="spellStart"/>
      <w:r w:rsidRPr="004E03CF">
        <w:t>retratosdeassentamentos</w:t>
      </w:r>
      <w:proofErr w:type="spellEnd"/>
      <w:r w:rsidRPr="004E03CF">
        <w:t xml:space="preserve">/2023.v26i2.572. Disponível em: https://www.retratosdeassentamentos.com/index.php/retratos/article/view/572. Acesso em: </w:t>
      </w:r>
      <w:proofErr w:type="gramStart"/>
      <w:r w:rsidRPr="004E03CF">
        <w:t>9 maio</w:t>
      </w:r>
      <w:proofErr w:type="gramEnd"/>
      <w:r w:rsidRPr="004E03CF">
        <w:t>. 2025.</w:t>
      </w:r>
    </w:p>
    <w:p w14:paraId="0EE7E753" w14:textId="77777777" w:rsidR="00AA0621" w:rsidRPr="00AA0621" w:rsidRDefault="00AA0621" w:rsidP="004E03CF">
      <w:pPr>
        <w:spacing w:line="360" w:lineRule="auto"/>
        <w:jc w:val="both"/>
        <w:rPr>
          <w:rFonts w:ascii="Trebuchet MS" w:eastAsia="Times New Roman" w:hAnsi="Trebuchet MS" w:cs="Times New Roman"/>
          <w:color w:val="000000" w:themeColor="text1"/>
          <w:kern w:val="0"/>
          <w:lang w:eastAsia="pt-BR"/>
          <w14:ligatures w14:val="none"/>
        </w:rPr>
      </w:pPr>
      <w:r w:rsidRPr="00AA0621">
        <w:rPr>
          <w:rFonts w:ascii="Trebuchet MS" w:eastAsia="Times New Roman" w:hAnsi="Trebuchet MS" w:cs="Times New Roman"/>
          <w:color w:val="000000" w:themeColor="text1"/>
          <w:kern w:val="0"/>
          <w:lang w:eastAsia="pt-BR"/>
          <w14:ligatures w14:val="none"/>
        </w:rPr>
        <w:t xml:space="preserve">SCHNEIDER, S.; CASSOL, A. </w:t>
      </w:r>
      <w:r w:rsidRPr="00AA0621">
        <w:rPr>
          <w:rFonts w:ascii="Trebuchet MS" w:eastAsia="Times New Roman" w:hAnsi="Trebuchet MS" w:cs="Times New Roman"/>
          <w:bCs/>
          <w:color w:val="000000" w:themeColor="text1"/>
          <w:kern w:val="0"/>
          <w:lang w:eastAsia="pt-BR"/>
          <w14:ligatures w14:val="none"/>
        </w:rPr>
        <w:t>A agricultura familiar no Brasil</w:t>
      </w:r>
      <w:r w:rsidRPr="00AA0621">
        <w:rPr>
          <w:rFonts w:ascii="Trebuchet MS" w:eastAsia="Times New Roman" w:hAnsi="Trebuchet MS" w:cs="Times New Roman"/>
          <w:b/>
          <w:bCs/>
          <w:color w:val="000000" w:themeColor="text1"/>
          <w:kern w:val="0"/>
          <w:lang w:eastAsia="pt-BR"/>
          <w14:ligatures w14:val="none"/>
        </w:rPr>
        <w:t>.</w:t>
      </w:r>
      <w:r w:rsidRPr="00AA0621">
        <w:rPr>
          <w:rFonts w:ascii="Trebuchet MS" w:eastAsia="Times New Roman" w:hAnsi="Trebuchet MS" w:cs="Times New Roman"/>
          <w:color w:val="000000" w:themeColor="text1"/>
          <w:kern w:val="0"/>
          <w:lang w:eastAsia="pt-BR"/>
          <w14:ligatures w14:val="none"/>
        </w:rPr>
        <w:t xml:space="preserve"> </w:t>
      </w:r>
      <w:r w:rsidRPr="00AA0621">
        <w:rPr>
          <w:rFonts w:ascii="Trebuchet MS" w:eastAsia="Times New Roman" w:hAnsi="Trebuchet MS" w:cs="Times New Roman"/>
          <w:b/>
          <w:iCs/>
          <w:color w:val="000000" w:themeColor="text1"/>
          <w:kern w:val="0"/>
          <w:lang w:eastAsia="pt-BR"/>
          <w14:ligatures w14:val="none"/>
        </w:rPr>
        <w:t>Série Documentos de Trabalho</w:t>
      </w:r>
      <w:r w:rsidRPr="00AA0621">
        <w:rPr>
          <w:rFonts w:ascii="Trebuchet MS" w:eastAsia="Times New Roman" w:hAnsi="Trebuchet MS" w:cs="Times New Roman"/>
          <w:color w:val="000000" w:themeColor="text1"/>
          <w:kern w:val="0"/>
          <w:lang w:eastAsia="pt-BR"/>
          <w14:ligatures w14:val="none"/>
        </w:rPr>
        <w:t>, n. 145, 2013.</w:t>
      </w:r>
    </w:p>
    <w:p w14:paraId="14EAB092" w14:textId="77777777" w:rsidR="00216EFF" w:rsidRPr="00AA0621" w:rsidRDefault="00216EFF" w:rsidP="00AA0621">
      <w:pPr>
        <w:spacing w:line="360" w:lineRule="auto"/>
        <w:ind w:hanging="2"/>
        <w:jc w:val="both"/>
        <w:rPr>
          <w:rFonts w:eastAsia="Arial" w:cs="Arial"/>
          <w:bCs/>
          <w:color w:val="000000" w:themeColor="text1"/>
        </w:rPr>
      </w:pPr>
    </w:p>
    <w:sectPr w:rsidR="00216EFF" w:rsidRPr="00AA0621" w:rsidSect="00A768BF">
      <w:headerReference w:type="default" r:id="rId18"/>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255081" w14:textId="77777777" w:rsidR="003F3BE2" w:rsidRDefault="003F3BE2" w:rsidP="0027518C">
      <w:r>
        <w:separator/>
      </w:r>
    </w:p>
  </w:endnote>
  <w:endnote w:type="continuationSeparator" w:id="0">
    <w:p w14:paraId="431AC0DB" w14:textId="77777777" w:rsidR="003F3BE2" w:rsidRDefault="003F3BE2" w:rsidP="00275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Antonio">
    <w:altName w:val="Cambria"/>
    <w:charset w:val="4D"/>
    <w:family w:val="auto"/>
    <w:pitch w:val="variable"/>
    <w:sig w:usb0="A00000EF" w:usb1="0000204B"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venir Book">
    <w:altName w:val="Tw Cen MT"/>
    <w:charset w:val="00"/>
    <w:family w:val="auto"/>
    <w:pitch w:val="variable"/>
    <w:sig w:usb0="800000AF" w:usb1="5000204A" w:usb2="00000000" w:usb3="00000000" w:csb0="0000009B" w:csb1="00000000"/>
  </w:font>
  <w:font w:name="Cambria">
    <w:panose1 w:val="02040503050406030204"/>
    <w:charset w:val="00"/>
    <w:family w:val="roman"/>
    <w:pitch w:val="variable"/>
    <w:sig w:usb0="E00002FF" w:usb1="400004FF" w:usb2="00000000" w:usb3="00000000" w:csb0="0000019F" w:csb1="00000000"/>
  </w:font>
  <w:font w:name="Noto Sans">
    <w:panose1 w:val="020B0502040504020204"/>
    <w:charset w:val="00"/>
    <w:family w:val="swiss"/>
    <w:pitch w:val="variable"/>
    <w:sig w:usb0="E00002FF" w:usb1="4000201F" w:usb2="0800002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22B9ED" w14:textId="77777777" w:rsidR="003F3BE2" w:rsidRDefault="003F3BE2" w:rsidP="0027518C">
      <w:r>
        <w:separator/>
      </w:r>
    </w:p>
  </w:footnote>
  <w:footnote w:type="continuationSeparator" w:id="0">
    <w:p w14:paraId="6A3597B7" w14:textId="77777777" w:rsidR="003F3BE2" w:rsidRDefault="003F3BE2" w:rsidP="0027518C">
      <w:r>
        <w:continuationSeparator/>
      </w:r>
    </w:p>
  </w:footnote>
  <w:footnote w:id="1">
    <w:p w14:paraId="6BB06181" w14:textId="441E363E" w:rsidR="009E4B37" w:rsidRPr="009E4B37" w:rsidRDefault="00216EFF" w:rsidP="009E4B37">
      <w:pPr>
        <w:pStyle w:val="Textodenotaderodap"/>
        <w:rPr>
          <w:rFonts w:ascii="Avenir Book" w:hAnsi="Avenir Book"/>
        </w:rPr>
      </w:pPr>
      <w:r w:rsidRPr="009E4B37">
        <w:rPr>
          <w:rStyle w:val="Refdenotaderodap"/>
          <w:rFonts w:ascii="Avenir Book" w:hAnsi="Avenir Book"/>
        </w:rPr>
        <w:footnoteRef/>
      </w:r>
      <w:r w:rsidRPr="009E4B37">
        <w:rPr>
          <w:rFonts w:ascii="Avenir Book" w:hAnsi="Avenir Book"/>
        </w:rPr>
        <w:t xml:space="preserve"> </w:t>
      </w:r>
      <w:r w:rsidR="009E4B37" w:rsidRPr="009E4B37">
        <w:rPr>
          <w:rFonts w:ascii="Avenir Book" w:hAnsi="Avenir Book"/>
          <w:lang w:val="pt-BR"/>
        </w:rPr>
        <w:t xml:space="preserve">Universidade Federal de São Carlos- </w:t>
      </w:r>
      <w:proofErr w:type="spellStart"/>
      <w:r w:rsidR="009E4B37" w:rsidRPr="009E4B37">
        <w:rPr>
          <w:rFonts w:ascii="Avenir Book" w:hAnsi="Avenir Book"/>
          <w:lang w:val="pt-BR"/>
        </w:rPr>
        <w:t>UFCar</w:t>
      </w:r>
      <w:proofErr w:type="spellEnd"/>
      <w:r w:rsidR="009E4B37" w:rsidRPr="009E4B37">
        <w:rPr>
          <w:rFonts w:ascii="Avenir Book" w:hAnsi="Avenir Book"/>
          <w:lang w:val="pt-BR"/>
        </w:rPr>
        <w:t xml:space="preserve">, </w:t>
      </w:r>
      <w:hyperlink r:id="rId1" w:history="1">
        <w:r w:rsidR="009E4B37" w:rsidRPr="009E4B37">
          <w:rPr>
            <w:rStyle w:val="Hyperlink"/>
            <w:rFonts w:ascii="Avenir Book" w:hAnsi="Avenir Book"/>
          </w:rPr>
          <w:t>vinicius.waselciac@estudante.ufscar.br</w:t>
        </w:r>
      </w:hyperlink>
    </w:p>
  </w:footnote>
  <w:footnote w:id="2">
    <w:p w14:paraId="25B57293" w14:textId="1FCB3351" w:rsidR="00216EFF" w:rsidRPr="0018293E" w:rsidRDefault="00216EFF" w:rsidP="003519DA">
      <w:pPr>
        <w:pStyle w:val="Textodenotaderodap"/>
        <w:rPr>
          <w:rFonts w:ascii="Avenir Book" w:hAnsi="Avenir Book"/>
          <w:lang w:val="pt-BR"/>
        </w:rPr>
      </w:pPr>
      <w:r w:rsidRPr="009E4B37">
        <w:rPr>
          <w:rStyle w:val="Refdenotaderodap"/>
          <w:rFonts w:ascii="Avenir Book" w:hAnsi="Avenir Book"/>
        </w:rPr>
        <w:footnoteRef/>
      </w:r>
      <w:r w:rsidRPr="009E4B37">
        <w:rPr>
          <w:rFonts w:ascii="Avenir Book" w:hAnsi="Avenir Book"/>
        </w:rPr>
        <w:t xml:space="preserve"> </w:t>
      </w:r>
      <w:r w:rsidR="009E4B37" w:rsidRPr="009E4B37">
        <w:rPr>
          <w:rFonts w:ascii="Avenir Book" w:hAnsi="Avenir Book"/>
          <w:lang w:val="pt-BR"/>
        </w:rPr>
        <w:t xml:space="preserve">Universidade Federal de Goiás - UFG, </w:t>
      </w:r>
      <w:hyperlink r:id="rId2" w:history="1">
        <w:r w:rsidR="009E4B37" w:rsidRPr="009E4B37">
          <w:rPr>
            <w:rStyle w:val="Hyperlink"/>
            <w:rFonts w:ascii="Avenir Book" w:hAnsi="Avenir Book"/>
          </w:rPr>
          <w:t>leandro.santos@ufg.br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770D5" w14:textId="00DE57FD" w:rsidR="009E4B37" w:rsidRDefault="009E4B37">
    <w:pPr>
      <w:pStyle w:val="Cabealho"/>
    </w:pPr>
    <w:r>
      <w:rPr>
        <w:noProof/>
        <w:lang w:eastAsia="pt-BR"/>
      </w:rPr>
      <w:drawing>
        <wp:anchor distT="0" distB="0" distL="114300" distR="114300" simplePos="0" relativeHeight="251658240" behindDoc="1" locked="0" layoutInCell="1" allowOverlap="1" wp14:anchorId="5288206B" wp14:editId="166AC2E3">
          <wp:simplePos x="0" y="0"/>
          <wp:positionH relativeFrom="column">
            <wp:posOffset>-908050</wp:posOffset>
          </wp:positionH>
          <wp:positionV relativeFrom="paragraph">
            <wp:posOffset>-434975</wp:posOffset>
          </wp:positionV>
          <wp:extent cx="7574280" cy="2090420"/>
          <wp:effectExtent l="0" t="0" r="7620" b="5080"/>
          <wp:wrapSquare wrapText="bothSides"/>
          <wp:docPr id="483083890" name="Imagem 5"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11554" name="Imagem 5" descr="Uma imagem contendo Text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74280" cy="209042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AFB"/>
    <w:rsid w:val="00140B14"/>
    <w:rsid w:val="00195789"/>
    <w:rsid w:val="001A198D"/>
    <w:rsid w:val="00216EFF"/>
    <w:rsid w:val="0027518C"/>
    <w:rsid w:val="00275E0A"/>
    <w:rsid w:val="00295FBE"/>
    <w:rsid w:val="002B2423"/>
    <w:rsid w:val="002E2814"/>
    <w:rsid w:val="00312024"/>
    <w:rsid w:val="0032757F"/>
    <w:rsid w:val="003519DA"/>
    <w:rsid w:val="00375EB6"/>
    <w:rsid w:val="00386B76"/>
    <w:rsid w:val="003C1C87"/>
    <w:rsid w:val="003F3BE2"/>
    <w:rsid w:val="00456CF8"/>
    <w:rsid w:val="004906DE"/>
    <w:rsid w:val="004E03CF"/>
    <w:rsid w:val="00507B98"/>
    <w:rsid w:val="0053021A"/>
    <w:rsid w:val="00634370"/>
    <w:rsid w:val="006417A2"/>
    <w:rsid w:val="00680A10"/>
    <w:rsid w:val="00692EEB"/>
    <w:rsid w:val="00733AFB"/>
    <w:rsid w:val="00757F24"/>
    <w:rsid w:val="00786A40"/>
    <w:rsid w:val="008C1C73"/>
    <w:rsid w:val="008D3D90"/>
    <w:rsid w:val="008E7A76"/>
    <w:rsid w:val="00911758"/>
    <w:rsid w:val="00943AB0"/>
    <w:rsid w:val="00991929"/>
    <w:rsid w:val="009E4B37"/>
    <w:rsid w:val="00A202AB"/>
    <w:rsid w:val="00A2276B"/>
    <w:rsid w:val="00A768BF"/>
    <w:rsid w:val="00A86995"/>
    <w:rsid w:val="00AA0621"/>
    <w:rsid w:val="00B61734"/>
    <w:rsid w:val="00CD504A"/>
    <w:rsid w:val="00D07055"/>
    <w:rsid w:val="00D2351D"/>
    <w:rsid w:val="00D31A9F"/>
    <w:rsid w:val="00D36B46"/>
    <w:rsid w:val="00D46408"/>
    <w:rsid w:val="00DF4D5B"/>
    <w:rsid w:val="00F610DF"/>
    <w:rsid w:val="00F8233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42EBCB"/>
  <w15:chartTrackingRefBased/>
  <w15:docId w15:val="{DBC90632-BADD-A447-AB5B-26A76A680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408"/>
  </w:style>
  <w:style w:type="paragraph" w:styleId="Ttulo1">
    <w:name w:val="heading 1"/>
    <w:basedOn w:val="Normal"/>
    <w:next w:val="Normal"/>
    <w:link w:val="Ttulo1Char"/>
    <w:uiPriority w:val="9"/>
    <w:qFormat/>
    <w:rsid w:val="00733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link w:val="Ttulo2Char"/>
    <w:uiPriority w:val="9"/>
    <w:qFormat/>
    <w:rsid w:val="00D46408"/>
    <w:pPr>
      <w:spacing w:before="100" w:beforeAutospacing="1" w:after="100" w:afterAutospacing="1"/>
      <w:outlineLvl w:val="1"/>
    </w:pPr>
    <w:rPr>
      <w:rFonts w:ascii="Times New Roman" w:eastAsia="Times New Roman" w:hAnsi="Times New Roman" w:cs="Times New Roman"/>
      <w:b/>
      <w:bCs/>
      <w:kern w:val="0"/>
      <w:sz w:val="36"/>
      <w:szCs w:val="36"/>
      <w:lang w:eastAsia="pt-BR"/>
      <w14:ligatures w14:val="none"/>
    </w:rPr>
  </w:style>
  <w:style w:type="paragraph" w:styleId="Ttulo3">
    <w:name w:val="heading 3"/>
    <w:basedOn w:val="Normal"/>
    <w:next w:val="Normal"/>
    <w:link w:val="Ttulo3Char"/>
    <w:uiPriority w:val="9"/>
    <w:semiHidden/>
    <w:unhideWhenUsed/>
    <w:qFormat/>
    <w:rsid w:val="00733AF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33AF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33AF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33AF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33AF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33AF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33AFB"/>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D46408"/>
    <w:rPr>
      <w:rFonts w:ascii="Times New Roman" w:eastAsia="Times New Roman" w:hAnsi="Times New Roman" w:cs="Times New Roman"/>
      <w:b/>
      <w:bCs/>
      <w:kern w:val="0"/>
      <w:sz w:val="36"/>
      <w:szCs w:val="36"/>
      <w:lang w:eastAsia="pt-BR"/>
      <w14:ligatures w14:val="none"/>
    </w:rPr>
  </w:style>
  <w:style w:type="character" w:styleId="Forte">
    <w:name w:val="Strong"/>
    <w:basedOn w:val="Fontepargpadro"/>
    <w:uiPriority w:val="22"/>
    <w:qFormat/>
    <w:rsid w:val="00D46408"/>
    <w:rPr>
      <w:b/>
      <w:bCs/>
    </w:rPr>
  </w:style>
  <w:style w:type="character" w:customStyle="1" w:styleId="Ttulo1Char">
    <w:name w:val="Título 1 Char"/>
    <w:basedOn w:val="Fontepargpadro"/>
    <w:link w:val="Ttulo1"/>
    <w:uiPriority w:val="9"/>
    <w:rsid w:val="00733AFB"/>
    <w:rPr>
      <w:rFonts w:asciiTheme="majorHAnsi" w:eastAsiaTheme="majorEastAsia" w:hAnsiTheme="majorHAnsi" w:cstheme="majorBidi"/>
      <w:color w:val="0F4761" w:themeColor="accent1" w:themeShade="BF"/>
      <w:sz w:val="40"/>
      <w:szCs w:val="40"/>
    </w:rPr>
  </w:style>
  <w:style w:type="character" w:customStyle="1" w:styleId="Ttulo3Char">
    <w:name w:val="Título 3 Char"/>
    <w:basedOn w:val="Fontepargpadro"/>
    <w:link w:val="Ttulo3"/>
    <w:uiPriority w:val="9"/>
    <w:semiHidden/>
    <w:rsid w:val="00733AFB"/>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33AFB"/>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33AFB"/>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33AFB"/>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33AFB"/>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33AFB"/>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33AFB"/>
    <w:rPr>
      <w:rFonts w:eastAsiaTheme="majorEastAsia" w:cstheme="majorBidi"/>
      <w:color w:val="272727" w:themeColor="text1" w:themeTint="D8"/>
    </w:rPr>
  </w:style>
  <w:style w:type="paragraph" w:styleId="Ttulo">
    <w:name w:val="Title"/>
    <w:basedOn w:val="Normal"/>
    <w:next w:val="Normal"/>
    <w:link w:val="TtuloChar"/>
    <w:uiPriority w:val="10"/>
    <w:qFormat/>
    <w:rsid w:val="00733AFB"/>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33AF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33AFB"/>
    <w:pPr>
      <w:numPr>
        <w:ilvl w:val="1"/>
      </w:numPr>
      <w:spacing w:after="160"/>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33AFB"/>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33AFB"/>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733AFB"/>
    <w:rPr>
      <w:i/>
      <w:iCs/>
      <w:color w:val="404040" w:themeColor="text1" w:themeTint="BF"/>
    </w:rPr>
  </w:style>
  <w:style w:type="paragraph" w:styleId="PargrafodaLista">
    <w:name w:val="List Paragraph"/>
    <w:basedOn w:val="Normal"/>
    <w:uiPriority w:val="34"/>
    <w:qFormat/>
    <w:rsid w:val="00733AFB"/>
    <w:pPr>
      <w:ind w:left="720"/>
      <w:contextualSpacing/>
    </w:pPr>
  </w:style>
  <w:style w:type="character" w:styleId="nfaseIntensa">
    <w:name w:val="Intense Emphasis"/>
    <w:basedOn w:val="Fontepargpadro"/>
    <w:uiPriority w:val="21"/>
    <w:qFormat/>
    <w:rsid w:val="00733AFB"/>
    <w:rPr>
      <w:i/>
      <w:iCs/>
      <w:color w:val="0F4761" w:themeColor="accent1" w:themeShade="BF"/>
    </w:rPr>
  </w:style>
  <w:style w:type="paragraph" w:styleId="CitaoIntensa">
    <w:name w:val="Intense Quote"/>
    <w:basedOn w:val="Normal"/>
    <w:next w:val="Normal"/>
    <w:link w:val="CitaoIntensaChar"/>
    <w:uiPriority w:val="30"/>
    <w:qFormat/>
    <w:rsid w:val="00733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33AFB"/>
    <w:rPr>
      <w:i/>
      <w:iCs/>
      <w:color w:val="0F4761" w:themeColor="accent1" w:themeShade="BF"/>
    </w:rPr>
  </w:style>
  <w:style w:type="character" w:styleId="RefernciaIntensa">
    <w:name w:val="Intense Reference"/>
    <w:basedOn w:val="Fontepargpadro"/>
    <w:uiPriority w:val="32"/>
    <w:qFormat/>
    <w:rsid w:val="00733AFB"/>
    <w:rPr>
      <w:b/>
      <w:bCs/>
      <w:smallCaps/>
      <w:color w:val="0F4761" w:themeColor="accent1" w:themeShade="BF"/>
      <w:spacing w:val="5"/>
    </w:rPr>
  </w:style>
  <w:style w:type="paragraph" w:styleId="Reviso">
    <w:name w:val="Revision"/>
    <w:hidden/>
    <w:uiPriority w:val="99"/>
    <w:semiHidden/>
    <w:rsid w:val="00733AFB"/>
  </w:style>
  <w:style w:type="paragraph" w:styleId="SemEspaamento">
    <w:name w:val="No Spacing"/>
    <w:link w:val="SemEspaamentoChar"/>
    <w:uiPriority w:val="1"/>
    <w:qFormat/>
    <w:rsid w:val="0053021A"/>
    <w:rPr>
      <w:rFonts w:eastAsiaTheme="minorEastAsia"/>
      <w:kern w:val="0"/>
      <w:sz w:val="22"/>
      <w:szCs w:val="22"/>
      <w:lang w:val="en-US" w:eastAsia="zh-CN"/>
      <w14:ligatures w14:val="none"/>
    </w:rPr>
  </w:style>
  <w:style w:type="character" w:customStyle="1" w:styleId="SemEspaamentoChar">
    <w:name w:val="Sem Espaçamento Char"/>
    <w:basedOn w:val="Fontepargpadro"/>
    <w:link w:val="SemEspaamento"/>
    <w:uiPriority w:val="1"/>
    <w:rsid w:val="0053021A"/>
    <w:rPr>
      <w:rFonts w:eastAsiaTheme="minorEastAsia"/>
      <w:kern w:val="0"/>
      <w:sz w:val="22"/>
      <w:szCs w:val="22"/>
      <w:lang w:val="en-US" w:eastAsia="zh-CN"/>
      <w14:ligatures w14:val="none"/>
    </w:rPr>
  </w:style>
  <w:style w:type="paragraph" w:styleId="Cabealho">
    <w:name w:val="header"/>
    <w:basedOn w:val="Normal"/>
    <w:link w:val="CabealhoChar"/>
    <w:uiPriority w:val="99"/>
    <w:unhideWhenUsed/>
    <w:rsid w:val="0027518C"/>
    <w:pPr>
      <w:tabs>
        <w:tab w:val="center" w:pos="4252"/>
        <w:tab w:val="right" w:pos="8504"/>
      </w:tabs>
    </w:pPr>
  </w:style>
  <w:style w:type="character" w:customStyle="1" w:styleId="CabealhoChar">
    <w:name w:val="Cabeçalho Char"/>
    <w:basedOn w:val="Fontepargpadro"/>
    <w:link w:val="Cabealho"/>
    <w:uiPriority w:val="99"/>
    <w:rsid w:val="0027518C"/>
  </w:style>
  <w:style w:type="paragraph" w:styleId="Rodap">
    <w:name w:val="footer"/>
    <w:basedOn w:val="Normal"/>
    <w:link w:val="RodapChar"/>
    <w:uiPriority w:val="99"/>
    <w:unhideWhenUsed/>
    <w:rsid w:val="0027518C"/>
    <w:pPr>
      <w:tabs>
        <w:tab w:val="center" w:pos="4252"/>
        <w:tab w:val="right" w:pos="8504"/>
      </w:tabs>
    </w:pPr>
  </w:style>
  <w:style w:type="character" w:customStyle="1" w:styleId="RodapChar">
    <w:name w:val="Rodapé Char"/>
    <w:basedOn w:val="Fontepargpadro"/>
    <w:link w:val="Rodap"/>
    <w:uiPriority w:val="99"/>
    <w:rsid w:val="0027518C"/>
  </w:style>
  <w:style w:type="paragraph" w:styleId="Textodenotaderodap">
    <w:name w:val="footnote text"/>
    <w:basedOn w:val="Normal"/>
    <w:link w:val="TextodenotaderodapChar"/>
    <w:uiPriority w:val="99"/>
    <w:semiHidden/>
    <w:unhideWhenUsed/>
    <w:rsid w:val="00216EFF"/>
    <w:pPr>
      <w:widowControl w:val="0"/>
    </w:pPr>
    <w:rPr>
      <w:rFonts w:ascii="Times New Roman" w:eastAsia="Times New Roman" w:hAnsi="Times New Roman" w:cs="Times New Roman"/>
      <w:kern w:val="0"/>
      <w:sz w:val="20"/>
      <w:szCs w:val="20"/>
      <w:lang w:val="pt-PT" w:eastAsia="pt-BR"/>
      <w14:ligatures w14:val="none"/>
    </w:rPr>
  </w:style>
  <w:style w:type="character" w:customStyle="1" w:styleId="TextodenotaderodapChar">
    <w:name w:val="Texto de nota de rodapé Char"/>
    <w:basedOn w:val="Fontepargpadro"/>
    <w:link w:val="Textodenotaderodap"/>
    <w:uiPriority w:val="99"/>
    <w:semiHidden/>
    <w:rsid w:val="00216EFF"/>
    <w:rPr>
      <w:rFonts w:ascii="Times New Roman" w:eastAsia="Times New Roman" w:hAnsi="Times New Roman" w:cs="Times New Roman"/>
      <w:kern w:val="0"/>
      <w:sz w:val="20"/>
      <w:szCs w:val="20"/>
      <w:lang w:val="pt-PT" w:eastAsia="pt-BR"/>
      <w14:ligatures w14:val="none"/>
    </w:rPr>
  </w:style>
  <w:style w:type="character" w:styleId="Refdenotaderodap">
    <w:name w:val="footnote reference"/>
    <w:basedOn w:val="Fontepargpadro"/>
    <w:uiPriority w:val="99"/>
    <w:semiHidden/>
    <w:unhideWhenUsed/>
    <w:rsid w:val="00216EFF"/>
    <w:rPr>
      <w:vertAlign w:val="superscript"/>
    </w:rPr>
  </w:style>
  <w:style w:type="character" w:styleId="nfase">
    <w:name w:val="Emphasis"/>
    <w:basedOn w:val="Fontepargpadro"/>
    <w:uiPriority w:val="20"/>
    <w:qFormat/>
    <w:rsid w:val="00AA0621"/>
    <w:rPr>
      <w:i/>
      <w:iCs/>
    </w:rPr>
  </w:style>
  <w:style w:type="character" w:styleId="Hyperlink">
    <w:name w:val="Hyperlink"/>
    <w:basedOn w:val="Fontepargpadro"/>
    <w:uiPriority w:val="99"/>
    <w:unhideWhenUsed/>
    <w:rsid w:val="00AA062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165627">
      <w:bodyDiv w:val="1"/>
      <w:marLeft w:val="0"/>
      <w:marRight w:val="0"/>
      <w:marTop w:val="0"/>
      <w:marBottom w:val="0"/>
      <w:divBdr>
        <w:top w:val="none" w:sz="0" w:space="0" w:color="auto"/>
        <w:left w:val="none" w:sz="0" w:space="0" w:color="auto"/>
        <w:bottom w:val="none" w:sz="0" w:space="0" w:color="auto"/>
        <w:right w:val="none" w:sz="0" w:space="0" w:color="auto"/>
      </w:divBdr>
    </w:div>
    <w:div w:id="421487473">
      <w:bodyDiv w:val="1"/>
      <w:marLeft w:val="0"/>
      <w:marRight w:val="0"/>
      <w:marTop w:val="0"/>
      <w:marBottom w:val="0"/>
      <w:divBdr>
        <w:top w:val="none" w:sz="0" w:space="0" w:color="auto"/>
        <w:left w:val="none" w:sz="0" w:space="0" w:color="auto"/>
        <w:bottom w:val="none" w:sz="0" w:space="0" w:color="auto"/>
        <w:right w:val="none" w:sz="0" w:space="0" w:color="auto"/>
      </w:divBdr>
      <w:divsChild>
        <w:div w:id="969746821">
          <w:marLeft w:val="0"/>
          <w:marRight w:val="0"/>
          <w:marTop w:val="0"/>
          <w:marBottom w:val="0"/>
          <w:divBdr>
            <w:top w:val="none" w:sz="0" w:space="0" w:color="auto"/>
            <w:left w:val="none" w:sz="0" w:space="0" w:color="auto"/>
            <w:bottom w:val="none" w:sz="0" w:space="0" w:color="auto"/>
            <w:right w:val="none" w:sz="0" w:space="0" w:color="auto"/>
          </w:divBdr>
          <w:divsChild>
            <w:div w:id="999574795">
              <w:marLeft w:val="0"/>
              <w:marRight w:val="0"/>
              <w:marTop w:val="0"/>
              <w:marBottom w:val="0"/>
              <w:divBdr>
                <w:top w:val="none" w:sz="0" w:space="0" w:color="auto"/>
                <w:left w:val="none" w:sz="0" w:space="0" w:color="auto"/>
                <w:bottom w:val="none" w:sz="0" w:space="0" w:color="auto"/>
                <w:right w:val="none" w:sz="0" w:space="0" w:color="auto"/>
              </w:divBdr>
              <w:divsChild>
                <w:div w:id="623772023">
                  <w:marLeft w:val="0"/>
                  <w:marRight w:val="0"/>
                  <w:marTop w:val="0"/>
                  <w:marBottom w:val="0"/>
                  <w:divBdr>
                    <w:top w:val="none" w:sz="0" w:space="0" w:color="auto"/>
                    <w:left w:val="none" w:sz="0" w:space="0" w:color="auto"/>
                    <w:bottom w:val="none" w:sz="0" w:space="0" w:color="auto"/>
                    <w:right w:val="none" w:sz="0" w:space="0" w:color="auto"/>
                  </w:divBdr>
                  <w:divsChild>
                    <w:div w:id="926496769">
                      <w:marLeft w:val="0"/>
                      <w:marRight w:val="0"/>
                      <w:marTop w:val="0"/>
                      <w:marBottom w:val="0"/>
                      <w:divBdr>
                        <w:top w:val="none" w:sz="0" w:space="0" w:color="auto"/>
                        <w:left w:val="none" w:sz="0" w:space="0" w:color="auto"/>
                        <w:bottom w:val="none" w:sz="0" w:space="0" w:color="auto"/>
                        <w:right w:val="none" w:sz="0" w:space="0" w:color="auto"/>
                      </w:divBdr>
                      <w:divsChild>
                        <w:div w:id="589240742">
                          <w:marLeft w:val="0"/>
                          <w:marRight w:val="0"/>
                          <w:marTop w:val="0"/>
                          <w:marBottom w:val="0"/>
                          <w:divBdr>
                            <w:top w:val="none" w:sz="0" w:space="0" w:color="auto"/>
                            <w:left w:val="none" w:sz="0" w:space="0" w:color="auto"/>
                            <w:bottom w:val="none" w:sz="0" w:space="0" w:color="auto"/>
                            <w:right w:val="none" w:sz="0" w:space="0" w:color="auto"/>
                          </w:divBdr>
                          <w:divsChild>
                            <w:div w:id="234946708">
                              <w:marLeft w:val="0"/>
                              <w:marRight w:val="0"/>
                              <w:marTop w:val="0"/>
                              <w:marBottom w:val="0"/>
                              <w:divBdr>
                                <w:top w:val="none" w:sz="0" w:space="0" w:color="auto"/>
                                <w:left w:val="none" w:sz="0" w:space="0" w:color="auto"/>
                                <w:bottom w:val="none" w:sz="0" w:space="0" w:color="auto"/>
                                <w:right w:val="none" w:sz="0" w:space="0" w:color="auto"/>
                              </w:divBdr>
                              <w:divsChild>
                                <w:div w:id="1467503635">
                                  <w:marLeft w:val="0"/>
                                  <w:marRight w:val="0"/>
                                  <w:marTop w:val="0"/>
                                  <w:marBottom w:val="0"/>
                                  <w:divBdr>
                                    <w:top w:val="none" w:sz="0" w:space="0" w:color="auto"/>
                                    <w:left w:val="none" w:sz="0" w:space="0" w:color="auto"/>
                                    <w:bottom w:val="none" w:sz="0" w:space="0" w:color="auto"/>
                                    <w:right w:val="none" w:sz="0" w:space="0" w:color="auto"/>
                                  </w:divBdr>
                                  <w:divsChild>
                                    <w:div w:id="49573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981731">
                          <w:marLeft w:val="0"/>
                          <w:marRight w:val="0"/>
                          <w:marTop w:val="0"/>
                          <w:marBottom w:val="0"/>
                          <w:divBdr>
                            <w:top w:val="none" w:sz="0" w:space="0" w:color="auto"/>
                            <w:left w:val="none" w:sz="0" w:space="0" w:color="auto"/>
                            <w:bottom w:val="none" w:sz="0" w:space="0" w:color="auto"/>
                            <w:right w:val="none" w:sz="0" w:space="0" w:color="auto"/>
                          </w:divBdr>
                          <w:divsChild>
                            <w:div w:id="496458759">
                              <w:marLeft w:val="0"/>
                              <w:marRight w:val="0"/>
                              <w:marTop w:val="0"/>
                              <w:marBottom w:val="0"/>
                              <w:divBdr>
                                <w:top w:val="none" w:sz="0" w:space="0" w:color="auto"/>
                                <w:left w:val="none" w:sz="0" w:space="0" w:color="auto"/>
                                <w:bottom w:val="none" w:sz="0" w:space="0" w:color="auto"/>
                                <w:right w:val="none" w:sz="0" w:space="0" w:color="auto"/>
                              </w:divBdr>
                              <w:divsChild>
                                <w:div w:id="3856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6869619">
          <w:marLeft w:val="0"/>
          <w:marRight w:val="0"/>
          <w:marTop w:val="0"/>
          <w:marBottom w:val="0"/>
          <w:divBdr>
            <w:top w:val="none" w:sz="0" w:space="0" w:color="auto"/>
            <w:left w:val="none" w:sz="0" w:space="0" w:color="auto"/>
            <w:bottom w:val="none" w:sz="0" w:space="0" w:color="auto"/>
            <w:right w:val="none" w:sz="0" w:space="0" w:color="auto"/>
          </w:divBdr>
          <w:divsChild>
            <w:div w:id="1122656187">
              <w:marLeft w:val="0"/>
              <w:marRight w:val="0"/>
              <w:marTop w:val="0"/>
              <w:marBottom w:val="0"/>
              <w:divBdr>
                <w:top w:val="none" w:sz="0" w:space="0" w:color="auto"/>
                <w:left w:val="none" w:sz="0" w:space="0" w:color="auto"/>
                <w:bottom w:val="none" w:sz="0" w:space="0" w:color="auto"/>
                <w:right w:val="none" w:sz="0" w:space="0" w:color="auto"/>
              </w:divBdr>
              <w:divsChild>
                <w:div w:id="1505123056">
                  <w:marLeft w:val="0"/>
                  <w:marRight w:val="0"/>
                  <w:marTop w:val="0"/>
                  <w:marBottom w:val="0"/>
                  <w:divBdr>
                    <w:top w:val="none" w:sz="0" w:space="0" w:color="auto"/>
                    <w:left w:val="none" w:sz="0" w:space="0" w:color="auto"/>
                    <w:bottom w:val="none" w:sz="0" w:space="0" w:color="auto"/>
                    <w:right w:val="none" w:sz="0" w:space="0" w:color="auto"/>
                  </w:divBdr>
                  <w:divsChild>
                    <w:div w:id="1236281516">
                      <w:marLeft w:val="0"/>
                      <w:marRight w:val="0"/>
                      <w:marTop w:val="0"/>
                      <w:marBottom w:val="0"/>
                      <w:divBdr>
                        <w:top w:val="none" w:sz="0" w:space="0" w:color="auto"/>
                        <w:left w:val="none" w:sz="0" w:space="0" w:color="auto"/>
                        <w:bottom w:val="none" w:sz="0" w:space="0" w:color="auto"/>
                        <w:right w:val="none" w:sz="0" w:space="0" w:color="auto"/>
                      </w:divBdr>
                      <w:divsChild>
                        <w:div w:id="1747267933">
                          <w:marLeft w:val="0"/>
                          <w:marRight w:val="0"/>
                          <w:marTop w:val="0"/>
                          <w:marBottom w:val="0"/>
                          <w:divBdr>
                            <w:top w:val="none" w:sz="0" w:space="0" w:color="auto"/>
                            <w:left w:val="none" w:sz="0" w:space="0" w:color="auto"/>
                            <w:bottom w:val="none" w:sz="0" w:space="0" w:color="auto"/>
                            <w:right w:val="none" w:sz="0" w:space="0" w:color="auto"/>
                          </w:divBdr>
                          <w:divsChild>
                            <w:div w:id="1786384985">
                              <w:marLeft w:val="0"/>
                              <w:marRight w:val="0"/>
                              <w:marTop w:val="0"/>
                              <w:marBottom w:val="0"/>
                              <w:divBdr>
                                <w:top w:val="none" w:sz="0" w:space="0" w:color="auto"/>
                                <w:left w:val="none" w:sz="0" w:space="0" w:color="auto"/>
                                <w:bottom w:val="none" w:sz="0" w:space="0" w:color="auto"/>
                                <w:right w:val="none" w:sz="0" w:space="0" w:color="auto"/>
                              </w:divBdr>
                              <w:divsChild>
                                <w:div w:id="385107135">
                                  <w:marLeft w:val="0"/>
                                  <w:marRight w:val="0"/>
                                  <w:marTop w:val="0"/>
                                  <w:marBottom w:val="0"/>
                                  <w:divBdr>
                                    <w:top w:val="none" w:sz="0" w:space="0" w:color="auto"/>
                                    <w:left w:val="none" w:sz="0" w:space="0" w:color="auto"/>
                                    <w:bottom w:val="none" w:sz="0" w:space="0" w:color="auto"/>
                                    <w:right w:val="none" w:sz="0" w:space="0" w:color="auto"/>
                                  </w:divBdr>
                                  <w:divsChild>
                                    <w:div w:id="1161775346">
                                      <w:marLeft w:val="0"/>
                                      <w:marRight w:val="0"/>
                                      <w:marTop w:val="0"/>
                                      <w:marBottom w:val="0"/>
                                      <w:divBdr>
                                        <w:top w:val="none" w:sz="0" w:space="0" w:color="auto"/>
                                        <w:left w:val="none" w:sz="0" w:space="0" w:color="auto"/>
                                        <w:bottom w:val="none" w:sz="0" w:space="0" w:color="auto"/>
                                        <w:right w:val="none" w:sz="0" w:space="0" w:color="auto"/>
                                      </w:divBdr>
                                      <w:divsChild>
                                        <w:div w:id="160453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7413543">
          <w:marLeft w:val="0"/>
          <w:marRight w:val="0"/>
          <w:marTop w:val="0"/>
          <w:marBottom w:val="0"/>
          <w:divBdr>
            <w:top w:val="none" w:sz="0" w:space="0" w:color="auto"/>
            <w:left w:val="none" w:sz="0" w:space="0" w:color="auto"/>
            <w:bottom w:val="none" w:sz="0" w:space="0" w:color="auto"/>
            <w:right w:val="none" w:sz="0" w:space="0" w:color="auto"/>
          </w:divBdr>
          <w:divsChild>
            <w:div w:id="1693334680">
              <w:marLeft w:val="0"/>
              <w:marRight w:val="0"/>
              <w:marTop w:val="0"/>
              <w:marBottom w:val="0"/>
              <w:divBdr>
                <w:top w:val="none" w:sz="0" w:space="0" w:color="auto"/>
                <w:left w:val="none" w:sz="0" w:space="0" w:color="auto"/>
                <w:bottom w:val="none" w:sz="0" w:space="0" w:color="auto"/>
                <w:right w:val="none" w:sz="0" w:space="0" w:color="auto"/>
              </w:divBdr>
              <w:divsChild>
                <w:div w:id="1180898948">
                  <w:marLeft w:val="0"/>
                  <w:marRight w:val="0"/>
                  <w:marTop w:val="0"/>
                  <w:marBottom w:val="0"/>
                  <w:divBdr>
                    <w:top w:val="none" w:sz="0" w:space="0" w:color="auto"/>
                    <w:left w:val="none" w:sz="0" w:space="0" w:color="auto"/>
                    <w:bottom w:val="none" w:sz="0" w:space="0" w:color="auto"/>
                    <w:right w:val="none" w:sz="0" w:space="0" w:color="auto"/>
                  </w:divBdr>
                  <w:divsChild>
                    <w:div w:id="1303773593">
                      <w:marLeft w:val="0"/>
                      <w:marRight w:val="0"/>
                      <w:marTop w:val="0"/>
                      <w:marBottom w:val="0"/>
                      <w:divBdr>
                        <w:top w:val="none" w:sz="0" w:space="0" w:color="auto"/>
                        <w:left w:val="none" w:sz="0" w:space="0" w:color="auto"/>
                        <w:bottom w:val="none" w:sz="0" w:space="0" w:color="auto"/>
                        <w:right w:val="none" w:sz="0" w:space="0" w:color="auto"/>
                      </w:divBdr>
                      <w:divsChild>
                        <w:div w:id="1840928306">
                          <w:marLeft w:val="0"/>
                          <w:marRight w:val="0"/>
                          <w:marTop w:val="0"/>
                          <w:marBottom w:val="0"/>
                          <w:divBdr>
                            <w:top w:val="none" w:sz="0" w:space="0" w:color="auto"/>
                            <w:left w:val="none" w:sz="0" w:space="0" w:color="auto"/>
                            <w:bottom w:val="none" w:sz="0" w:space="0" w:color="auto"/>
                            <w:right w:val="none" w:sz="0" w:space="0" w:color="auto"/>
                          </w:divBdr>
                          <w:divsChild>
                            <w:div w:id="440340908">
                              <w:marLeft w:val="0"/>
                              <w:marRight w:val="0"/>
                              <w:marTop w:val="0"/>
                              <w:marBottom w:val="0"/>
                              <w:divBdr>
                                <w:top w:val="none" w:sz="0" w:space="0" w:color="auto"/>
                                <w:left w:val="none" w:sz="0" w:space="0" w:color="auto"/>
                                <w:bottom w:val="none" w:sz="0" w:space="0" w:color="auto"/>
                                <w:right w:val="none" w:sz="0" w:space="0" w:color="auto"/>
                              </w:divBdr>
                              <w:divsChild>
                                <w:div w:id="881943386">
                                  <w:marLeft w:val="0"/>
                                  <w:marRight w:val="0"/>
                                  <w:marTop w:val="0"/>
                                  <w:marBottom w:val="0"/>
                                  <w:divBdr>
                                    <w:top w:val="none" w:sz="0" w:space="0" w:color="auto"/>
                                    <w:left w:val="none" w:sz="0" w:space="0" w:color="auto"/>
                                    <w:bottom w:val="none" w:sz="0" w:space="0" w:color="auto"/>
                                    <w:right w:val="none" w:sz="0" w:space="0" w:color="auto"/>
                                  </w:divBdr>
                                  <w:divsChild>
                                    <w:div w:id="115062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6584585">
      <w:bodyDiv w:val="1"/>
      <w:marLeft w:val="0"/>
      <w:marRight w:val="0"/>
      <w:marTop w:val="0"/>
      <w:marBottom w:val="0"/>
      <w:divBdr>
        <w:top w:val="none" w:sz="0" w:space="0" w:color="auto"/>
        <w:left w:val="none" w:sz="0" w:space="0" w:color="auto"/>
        <w:bottom w:val="none" w:sz="0" w:space="0" w:color="auto"/>
        <w:right w:val="none" w:sz="0" w:space="0" w:color="auto"/>
      </w:divBdr>
    </w:div>
    <w:div w:id="1080981777">
      <w:bodyDiv w:val="1"/>
      <w:marLeft w:val="0"/>
      <w:marRight w:val="0"/>
      <w:marTop w:val="0"/>
      <w:marBottom w:val="0"/>
      <w:divBdr>
        <w:top w:val="none" w:sz="0" w:space="0" w:color="auto"/>
        <w:left w:val="none" w:sz="0" w:space="0" w:color="auto"/>
        <w:bottom w:val="none" w:sz="0" w:space="0" w:color="auto"/>
        <w:right w:val="none" w:sz="0" w:space="0" w:color="auto"/>
      </w:divBdr>
    </w:div>
    <w:div w:id="1374840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tratosdeassentamentos.com/index.php/retratos/article/view/246" TargetMode="External"/><Relationship Id="rId13" Type="http://schemas.openxmlformats.org/officeDocument/2006/relationships/hyperlink" Target="http://repositorio.unisc.br:8080/jspui/handle/11624/709"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gov.br/agricultura/pt-br/assuntos/sustentabilidade/organicos/cadastro-nacional-produtores-organicos" TargetMode="External"/><Relationship Id="rId17" Type="http://schemas.openxmlformats.org/officeDocument/2006/relationships/hyperlink" Target="https://www.mds.gov.br/webarquivos/publicacao/seguranca_alimentar/SANnoBRasil.pdf" TargetMode="External"/><Relationship Id="rId2" Type="http://schemas.openxmlformats.org/officeDocument/2006/relationships/styles" Target="styles.xml"/><Relationship Id="rId16" Type="http://schemas.openxmlformats.org/officeDocument/2006/relationships/hyperlink" Target="https://www.revistas.una.ac.cr/index.php/perspectivasrurales/article/view/19237"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gov.br/agricultura/pt-br/assuntos/agricultura-familiar/agricultura-familiar-1" TargetMode="External"/><Relationship Id="rId5" Type="http://schemas.openxmlformats.org/officeDocument/2006/relationships/footnotes" Target="footnotes.xml"/><Relationship Id="rId15" Type="http://schemas.openxmlformats.org/officeDocument/2006/relationships/hyperlink" Target="https://doi.org/10.15359/prne.21-42.8" TargetMode="External"/><Relationship Id="rId10" Type="http://schemas.openxmlformats.org/officeDocument/2006/relationships/hyperlink" Target="http://www.planalto.gov.br/ccivil_03/leis/2003/l10.831.ht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planalto.gov.br/ccivil_03/_ato2004-2006/2006/lei/l11326.htm" TargetMode="External"/><Relationship Id="rId14" Type="http://schemas.openxmlformats.org/officeDocument/2006/relationships/hyperlink" Target="http://hdl.handle.net/11624/709"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mailto:leandro.santos@ufg.br" TargetMode="External"/><Relationship Id="rId1" Type="http://schemas.openxmlformats.org/officeDocument/2006/relationships/hyperlink" Target="mailto:vinicius.waselciac@estudante.ufscar.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28023-6288-46F8-A81C-BEA9CBD97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15</Pages>
  <Words>4281</Words>
  <Characters>23119</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AGROINDÚSTRIA FAMILIAR ECOLÓGICA: POTENCIALIDADES DE ORDENAMENTOS PARA SOBERANIA E SEGURANÇA ALIMENTAR NO SUDOESTE PAULISTA</vt:lpstr>
    </vt:vector>
  </TitlesOfParts>
  <Company>Estúdio Cori</Company>
  <LinksUpToDate>false</LinksUpToDate>
  <CharactersWithSpaces>27346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AGROINDÚSTRIA FAMILIAR ECOLÓGICA: POTENCIALIDADES DE ORDENAMENTOS PARA SOBERANIA E SEGURANÇA ALIMENTAR NO SUDOESTE PAULISTA</dc:title>
  <dc:subject>Submissão GT1</dc:subject>
  <dc:creator>Vinicius Augusto W. dos Santos;Leandro de Lima Santos</dc:creator>
  <cp:keywords/>
  <dc:description/>
  <cp:lastModifiedBy>Parecerista</cp:lastModifiedBy>
  <cp:revision>4</cp:revision>
  <dcterms:created xsi:type="dcterms:W3CDTF">2025-05-09T05:27:00Z</dcterms:created>
  <dcterms:modified xsi:type="dcterms:W3CDTF">2025-05-11T00:42:00Z</dcterms:modified>
</cp:coreProperties>
</file>