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c0c0c0" w:space="0" w:sz="8" w:val="single"/>
          <w:left w:space="0" w:sz="0" w:val="nil"/>
          <w:bottom w:space="0" w:sz="0" w:val="nil"/>
          <w:right w:space="0" w:sz="0" w:val="nil"/>
          <w:between w:space="0" w:sz="0" w:val="nil"/>
        </w:pBdr>
        <w:spacing w:after="0" w:before="1100" w:line="360" w:lineRule="auto"/>
        <w:ind w:firstLine="0"/>
        <w:jc w:val="left"/>
        <w:rPr>
          <w:color w:val="c0c0c0"/>
          <w:sz w:val="72"/>
          <w:szCs w:val="72"/>
        </w:rPr>
      </w:pPr>
      <w:bookmarkStart w:colFirst="0" w:colLast="0" w:name="_gjdgxs" w:id="0"/>
      <w:bookmarkEnd w:id="0"/>
      <w:r w:rsidDel="00000000" w:rsidR="00000000" w:rsidRPr="00000000">
        <w:rPr>
          <w:color w:val="c0c0c0"/>
          <w:sz w:val="72"/>
          <w:szCs w:val="72"/>
          <w:rtl w:val="0"/>
        </w:rPr>
        <w:t xml:space="preserve">Resultado de Pesquisa</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6630"/>
        </w:tabs>
        <w:spacing w:after="0" w:before="100" w:line="360" w:lineRule="auto"/>
        <w:ind w:firstLine="0"/>
        <w:jc w:val="left"/>
        <w:rPr>
          <w:color w:val="000000"/>
          <w:sz w:val="40"/>
          <w:szCs w:val="40"/>
        </w:rPr>
      </w:pPr>
      <w:r w:rsidDel="00000000" w:rsidR="00000000" w:rsidRPr="00000000">
        <w:rPr>
          <w:color w:val="000000"/>
          <w:sz w:val="40"/>
          <w:szCs w:val="40"/>
          <w:rtl w:val="0"/>
        </w:rPr>
        <w:tab/>
      </w:r>
    </w:p>
    <w:p w:rsidR="00000000" w:rsidDel="00000000" w:rsidP="00000000" w:rsidRDefault="00000000" w:rsidRPr="00000000" w14:paraId="00000003">
      <w:pPr>
        <w:spacing w:line="360" w:lineRule="auto"/>
        <w:ind w:firstLine="0"/>
        <w:jc w:val="left"/>
        <w:rPr>
          <w:sz w:val="28"/>
          <w:szCs w:val="28"/>
        </w:rPr>
      </w:pPr>
      <w:r w:rsidDel="00000000" w:rsidR="00000000" w:rsidRPr="00000000">
        <w:rPr>
          <w:sz w:val="44"/>
          <w:szCs w:val="44"/>
          <w:rtl w:val="0"/>
        </w:rPr>
        <w:t xml:space="preserve">TÍTULO: Valores de energia metabolizável do milho hidropônico para frangos de crescimento lento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4">
      <w:pPr>
        <w:spacing w:line="360" w:lineRule="auto"/>
        <w:ind w:firstLine="0"/>
        <w:rPr>
          <w:sz w:val="28"/>
          <w:szCs w:val="28"/>
        </w:rPr>
      </w:pPr>
      <w:r w:rsidDel="00000000" w:rsidR="00000000" w:rsidRPr="00000000">
        <w:rPr>
          <w:rtl w:val="0"/>
        </w:rPr>
      </w:r>
    </w:p>
    <w:p w:rsidR="00000000" w:rsidDel="00000000" w:rsidP="00000000" w:rsidRDefault="00000000" w:rsidRPr="00000000" w14:paraId="00000005">
      <w:pPr>
        <w:spacing w:line="360" w:lineRule="auto"/>
        <w:jc w:val="right"/>
        <w:rPr>
          <w:sz w:val="28"/>
          <w:szCs w:val="28"/>
        </w:rPr>
      </w:pPr>
      <w:r w:rsidDel="00000000" w:rsidR="00000000" w:rsidRPr="00000000">
        <w:rPr>
          <w:rtl w:val="0"/>
        </w:rPr>
      </w:r>
    </w:p>
    <w:p w:rsidR="00000000" w:rsidDel="00000000" w:rsidP="00000000" w:rsidRDefault="00000000" w:rsidRPr="00000000" w14:paraId="00000006">
      <w:pPr>
        <w:spacing w:line="276" w:lineRule="auto"/>
        <w:jc w:val="right"/>
        <w:rPr>
          <w:b w:val="1"/>
          <w:sz w:val="28"/>
          <w:szCs w:val="28"/>
        </w:rPr>
      </w:pPr>
      <w:r w:rsidDel="00000000" w:rsidR="00000000" w:rsidRPr="00000000">
        <w:rPr>
          <w:b w:val="1"/>
          <w:sz w:val="28"/>
          <w:szCs w:val="28"/>
          <w:rtl w:val="0"/>
        </w:rPr>
        <w:t xml:space="preserve">Autores (Jessica Alves Dos Santos, UFNT, </w:t>
      </w:r>
      <w:hyperlink r:id="rId6">
        <w:r w:rsidDel="00000000" w:rsidR="00000000" w:rsidRPr="00000000">
          <w:rPr>
            <w:b w:val="1"/>
            <w:color w:val="0000ff"/>
            <w:sz w:val="28"/>
            <w:szCs w:val="28"/>
            <w:u w:val="single"/>
            <w:rtl w:val="0"/>
          </w:rPr>
          <w:t xml:space="preserve">jessica.santos1@mail.uft.edu.br</w:t>
        </w:r>
      </w:hyperlink>
      <w:r w:rsidDel="00000000" w:rsidR="00000000" w:rsidRPr="00000000">
        <w:rPr>
          <w:b w:val="1"/>
          <w:color w:val="1155cc"/>
          <w:sz w:val="28"/>
          <w:szCs w:val="28"/>
          <w:u w:val="single"/>
          <w:rtl w:val="0"/>
        </w:rPr>
        <w:t xml:space="preserve"> </w:t>
      </w:r>
      <w:r w:rsidDel="00000000" w:rsidR="00000000" w:rsidRPr="00000000">
        <w:rPr>
          <w:rtl w:val="0"/>
        </w:rPr>
      </w:r>
    </w:p>
    <w:p w:rsidR="00000000" w:rsidDel="00000000" w:rsidP="00000000" w:rsidRDefault="00000000" w:rsidRPr="00000000" w14:paraId="00000007">
      <w:pPr>
        <w:spacing w:line="276" w:lineRule="auto"/>
        <w:jc w:val="right"/>
        <w:rPr/>
        <w:sectPr>
          <w:headerReference r:id="rId7" w:type="default"/>
          <w:headerReference r:id="rId8" w:type="first"/>
          <w:headerReference r:id="rId9" w:type="even"/>
          <w:footerReference r:id="rId10" w:type="default"/>
          <w:footerReference r:id="rId11" w:type="first"/>
          <w:footerReference r:id="rId12" w:type="even"/>
          <w:pgSz w:h="16840" w:w="11907" w:orient="portrait"/>
          <w:pgMar w:bottom="1440" w:top="1440" w:left="1800" w:right="1800" w:header="720" w:footer="720"/>
          <w:pgNumType w:start="1"/>
        </w:sectPr>
      </w:pPr>
      <w:r w:rsidDel="00000000" w:rsidR="00000000" w:rsidRPr="00000000">
        <w:rPr>
          <w:b w:val="1"/>
          <w:sz w:val="28"/>
          <w:szCs w:val="28"/>
          <w:rtl w:val="0"/>
        </w:rPr>
        <w:t xml:space="preserve">Danilo Vargas Gonçalves Vieira, UFNT, </w:t>
      </w:r>
      <w:hyperlink r:id="rId13">
        <w:r w:rsidDel="00000000" w:rsidR="00000000" w:rsidRPr="00000000">
          <w:rPr>
            <w:b w:val="1"/>
            <w:color w:val="0000ff"/>
            <w:sz w:val="28"/>
            <w:szCs w:val="28"/>
            <w:u w:val="single"/>
            <w:rtl w:val="0"/>
          </w:rPr>
          <w:t xml:space="preserve">danilo.vieira@.ufnt.edu.br</w:t>
        </w:r>
      </w:hyperlink>
      <w:r w:rsidDel="00000000" w:rsidR="00000000" w:rsidRPr="00000000">
        <w:rPr>
          <w:b w:val="1"/>
          <w:sz w:val="28"/>
          <w:szCs w:val="28"/>
          <w:rtl w:val="0"/>
        </w:rPr>
        <w:t xml:space="preserve"> </w:t>
      </w:r>
      <w:r w:rsidDel="00000000" w:rsidR="00000000" w:rsidRPr="00000000">
        <w:rPr>
          <w:rtl w:val="0"/>
        </w:rPr>
      </w:r>
    </w:p>
    <w:bookmarkStart w:colFirst="0" w:colLast="0" w:name="1fob9te" w:id="1"/>
    <w:bookmarkEnd w:id="1"/>
    <w:bookmarkStart w:colFirst="0" w:colLast="0" w:name="3znysh7" w:id="2"/>
    <w:bookmarkEnd w:id="2"/>
    <w:p w:rsidR="00000000" w:rsidDel="00000000" w:rsidP="00000000" w:rsidRDefault="00000000" w:rsidRPr="00000000" w14:paraId="00000008">
      <w:pPr>
        <w:pStyle w:val="Heading1"/>
        <w:spacing w:line="360" w:lineRule="auto"/>
        <w:rPr/>
      </w:pPr>
      <w:bookmarkStart w:colFirst="0" w:colLast="0" w:name="_30j0zll" w:id="3"/>
      <w:bookmarkEnd w:id="3"/>
      <w:r w:rsidDel="00000000" w:rsidR="00000000" w:rsidRPr="00000000">
        <w:rPr>
          <w:rtl w:val="0"/>
        </w:rPr>
      </w:r>
    </w:p>
    <w:p w:rsidR="00000000" w:rsidDel="00000000" w:rsidP="00000000" w:rsidRDefault="00000000" w:rsidRPr="00000000" w14:paraId="00000009">
      <w:pPr>
        <w:pStyle w:val="Heading1"/>
        <w:numPr>
          <w:ilvl w:val="0"/>
          <w:numId w:val="1"/>
        </w:numPr>
        <w:spacing w:line="360" w:lineRule="auto"/>
        <w:ind w:left="0" w:firstLine="0"/>
        <w:rPr/>
      </w:pPr>
      <w:r w:rsidDel="00000000" w:rsidR="00000000" w:rsidRPr="00000000">
        <w:rPr>
          <w:rtl w:val="0"/>
        </w:rPr>
        <w:t xml:space="preserve">Apresentação e Justificativa</w:t>
      </w:r>
    </w:p>
    <w:p w:rsidR="00000000" w:rsidDel="00000000" w:rsidP="00000000" w:rsidRDefault="00000000" w:rsidRPr="00000000" w14:paraId="0000000A">
      <w:pPr>
        <w:spacing w:line="360" w:lineRule="auto"/>
        <w:ind w:firstLine="708"/>
        <w:rPr/>
      </w:pPr>
      <w:r w:rsidDel="00000000" w:rsidR="00000000" w:rsidRPr="00000000">
        <w:rPr>
          <w:rtl w:val="0"/>
        </w:rPr>
        <w:t xml:space="preserve">A pesquisa realizada é da área de conhecimento das Ciências Agrárias, pertencendo ao grupo de pesquisa do CNPq Produção de Monogástricos na Amazônia Legal e realizada pelo Grupo de Estudo e Pesquisa em Avicultura (</w:t>
      </w:r>
      <w:r w:rsidDel="00000000" w:rsidR="00000000" w:rsidRPr="00000000">
        <w:rPr>
          <w:rtl w:val="0"/>
        </w:rPr>
        <w:t xml:space="preserve">GEPA</w:t>
      </w:r>
      <w:r w:rsidDel="00000000" w:rsidR="00000000" w:rsidRPr="00000000">
        <w:rPr>
          <w:rtl w:val="0"/>
        </w:rPr>
        <w:t xml:space="preserve">/</w:t>
      </w:r>
      <w:r w:rsidDel="00000000" w:rsidR="00000000" w:rsidRPr="00000000">
        <w:rPr>
          <w:rtl w:val="0"/>
        </w:rPr>
        <w:t xml:space="preserve">UFNT</w:t>
      </w:r>
      <w:r w:rsidDel="00000000" w:rsidR="00000000" w:rsidRPr="00000000">
        <w:rPr>
          <w:rtl w:val="0"/>
        </w:rPr>
        <w:t xml:space="preserve">).</w:t>
      </w:r>
    </w:p>
    <w:p w:rsidR="00000000" w:rsidDel="00000000" w:rsidP="00000000" w:rsidRDefault="00000000" w:rsidRPr="00000000" w14:paraId="0000000B">
      <w:pPr>
        <w:spacing w:line="360" w:lineRule="auto"/>
        <w:ind w:firstLine="708"/>
        <w:rPr/>
      </w:pPr>
      <w:r w:rsidDel="00000000" w:rsidR="00000000" w:rsidRPr="00000000">
        <w:rPr>
          <w:rtl w:val="0"/>
        </w:rPr>
        <w:t xml:space="preserve">Para contornar a alta dos insumos ao longo do ano a dieta base dos animais não ruminantes, como frangos de corte, poedeiras comerciais, matrizes pesadas e suínos, sofrem alguma alteração no padrão usual, milho e farelo de soja, admitindo-se o uso de alimentos alternativos. Os alimentos alternativos geralmente são ingredientes que apresentam em sua composição elevado teor de fibra (Pinheiro et al., 2008). Os elevados teores de fibras na fração fibrosa dos coprodutos interferem na digestão e absorção dos nutrientes e reduz seu aproveitamento (Carvalho et al. 2014).</w:t>
      </w:r>
    </w:p>
    <w:p w:rsidR="00000000" w:rsidDel="00000000" w:rsidP="00000000" w:rsidRDefault="00000000" w:rsidRPr="00000000" w14:paraId="0000000C">
      <w:pPr>
        <w:spacing w:line="360" w:lineRule="auto"/>
        <w:ind w:firstLine="708"/>
        <w:rPr/>
      </w:pPr>
      <w:r w:rsidDel="00000000" w:rsidR="00000000" w:rsidRPr="00000000">
        <w:rPr>
          <w:rtl w:val="0"/>
        </w:rPr>
        <w:t xml:space="preserve">O sistema de hidroponia na produção de forragem é antigo e bastante difundido (Píccolo et al., 2013). Esse método é convencional quando se tem pouco espaço para o cultivo (Fonseca et al., 2021). A forragem hidropônica produzida tem alto valor nutritivo, principalmente em proteínas, devido à fase em que as plantas são colhidas e disponibilizadas para a alimentação dos animais, podendo ser oferecido as sementes, folhas, caules, raiz e substrato (ARAUJO et al., 2008). </w:t>
      </w:r>
    </w:p>
    <w:p w:rsidR="00000000" w:rsidDel="00000000" w:rsidP="00000000" w:rsidRDefault="00000000" w:rsidRPr="00000000" w14:paraId="0000000D">
      <w:pPr>
        <w:spacing w:line="360" w:lineRule="auto"/>
        <w:ind w:firstLine="708"/>
        <w:rPr/>
      </w:pPr>
      <w:r w:rsidDel="00000000" w:rsidR="00000000" w:rsidRPr="00000000">
        <w:rPr>
          <w:rtl w:val="0"/>
        </w:rPr>
        <w:t xml:space="preserve">O milho hidropônico surgiu como alternativa aos sistemas convencionais de produção de grãos e visando o fato que o milho hidropônico é uma forragem de fácil e rápido cultivo e de boa produção mesmo durante o período seco,  e é uma boa opção para ser utilizada.</w:t>
      </w:r>
    </w:p>
    <w:p w:rsidR="00000000" w:rsidDel="00000000" w:rsidP="00000000" w:rsidRDefault="00000000" w:rsidRPr="00000000" w14:paraId="0000000E">
      <w:pPr>
        <w:spacing w:line="360" w:lineRule="auto"/>
        <w:ind w:firstLine="708"/>
        <w:rPr/>
      </w:pPr>
      <w:r w:rsidDel="00000000" w:rsidR="00000000" w:rsidRPr="00000000">
        <w:rPr>
          <w:rtl w:val="0"/>
        </w:rPr>
        <w:t xml:space="preserve"> As atividades desenvolvidas são relevantes para orientar pequenos produtores a produzir alimento alternativo que possa ser adicionado às rações, diminuindo a quantidade de ração comprada. Visa levar conhecimento técnico aos produtores e proporcionar conhecimento prático, podendo assim solucionar em partes a problemática de variações no preço dos insumos afetando diretamente o preço da ração. </w:t>
      </w:r>
    </w:p>
    <w:p w:rsidR="00000000" w:rsidDel="00000000" w:rsidP="00000000" w:rsidRDefault="00000000" w:rsidRPr="00000000" w14:paraId="0000000F">
      <w:pPr>
        <w:spacing w:line="360" w:lineRule="auto"/>
        <w:ind w:firstLine="708"/>
        <w:rPr/>
      </w:pPr>
      <w:r w:rsidDel="00000000" w:rsidR="00000000" w:rsidRPr="00000000">
        <w:rPr>
          <w:rtl w:val="0"/>
        </w:rPr>
      </w:r>
    </w:p>
    <w:p w:rsidR="00000000" w:rsidDel="00000000" w:rsidP="00000000" w:rsidRDefault="00000000" w:rsidRPr="00000000" w14:paraId="00000010">
      <w:pPr>
        <w:spacing w:line="360" w:lineRule="auto"/>
        <w:ind w:firstLine="708"/>
        <w:rPr/>
      </w:pPr>
      <w:r w:rsidDel="00000000" w:rsidR="00000000" w:rsidRPr="00000000">
        <w:rPr>
          <w:rtl w:val="0"/>
        </w:rPr>
      </w:r>
    </w:p>
    <w:p w:rsidR="00000000" w:rsidDel="00000000" w:rsidP="00000000" w:rsidRDefault="00000000" w:rsidRPr="00000000" w14:paraId="00000011">
      <w:pPr>
        <w:pStyle w:val="Heading1"/>
        <w:numPr>
          <w:ilvl w:val="0"/>
          <w:numId w:val="1"/>
        </w:numPr>
        <w:spacing w:line="360" w:lineRule="auto"/>
        <w:ind w:left="0" w:firstLine="0"/>
        <w:rPr/>
      </w:pPr>
      <w:r w:rsidDel="00000000" w:rsidR="00000000" w:rsidRPr="00000000">
        <w:rPr>
          <w:rtl w:val="0"/>
        </w:rPr>
        <w:t xml:space="preserve">Objetivos</w:t>
      </w:r>
    </w:p>
    <w:p w:rsidR="00000000" w:rsidDel="00000000" w:rsidP="00000000" w:rsidRDefault="00000000" w:rsidRPr="00000000" w14:paraId="00000012">
      <w:pPr>
        <w:spacing w:line="360" w:lineRule="auto"/>
        <w:ind w:firstLine="0"/>
        <w:rPr/>
      </w:pPr>
      <w:r w:rsidDel="00000000" w:rsidR="00000000" w:rsidRPr="00000000">
        <w:rPr>
          <w:rtl w:val="0"/>
        </w:rPr>
        <w:t xml:space="preserve">OBJETIVO GERAL</w:t>
      </w:r>
    </w:p>
    <w:p w:rsidR="00000000" w:rsidDel="00000000" w:rsidP="00000000" w:rsidRDefault="00000000" w:rsidRPr="00000000" w14:paraId="00000013">
      <w:pPr>
        <w:spacing w:line="360" w:lineRule="auto"/>
        <w:ind w:firstLine="708"/>
        <w:rPr/>
      </w:pPr>
      <w:r w:rsidDel="00000000" w:rsidR="00000000" w:rsidRPr="00000000">
        <w:rPr>
          <w:rtl w:val="0"/>
        </w:rPr>
        <w:t xml:space="preserve">Analisar a utilização de milho hidropônico como alimento alternativo  na alimentação de frangos de crescimento lento.</w:t>
      </w:r>
    </w:p>
    <w:p w:rsidR="00000000" w:rsidDel="00000000" w:rsidP="00000000" w:rsidRDefault="00000000" w:rsidRPr="00000000" w14:paraId="00000014">
      <w:pPr>
        <w:spacing w:line="360" w:lineRule="auto"/>
        <w:ind w:firstLine="0"/>
        <w:rPr/>
      </w:pPr>
      <w:r w:rsidDel="00000000" w:rsidR="00000000" w:rsidRPr="00000000">
        <w:rPr>
          <w:rtl w:val="0"/>
        </w:rPr>
        <w:t xml:space="preserve">OBJETIVO ESPECÍFICO:</w:t>
      </w:r>
    </w:p>
    <w:p w:rsidR="00000000" w:rsidDel="00000000" w:rsidP="00000000" w:rsidRDefault="00000000" w:rsidRPr="00000000" w14:paraId="00000015">
      <w:pPr>
        <w:spacing w:line="360" w:lineRule="auto"/>
        <w:ind w:firstLine="708"/>
        <w:rPr/>
      </w:pPr>
      <w:r w:rsidDel="00000000" w:rsidR="00000000" w:rsidRPr="00000000">
        <w:rPr>
          <w:rtl w:val="0"/>
        </w:rPr>
        <w:t xml:space="preserve">Determinar os valores de energia metabolizável aparente corrigida pelo balanço de nitrogênio das rações e do milho hidropônico em diferentes idades.</w:t>
      </w:r>
    </w:p>
    <w:p w:rsidR="00000000" w:rsidDel="00000000" w:rsidP="00000000" w:rsidRDefault="00000000" w:rsidRPr="00000000" w14:paraId="00000016">
      <w:pPr>
        <w:spacing w:line="360" w:lineRule="auto"/>
        <w:ind w:firstLine="0"/>
        <w:rPr/>
      </w:pPr>
      <w:r w:rsidDel="00000000" w:rsidR="00000000" w:rsidRPr="00000000">
        <w:rPr>
          <w:rtl w:val="0"/>
        </w:rPr>
      </w:r>
    </w:p>
    <w:p w:rsidR="00000000" w:rsidDel="00000000" w:rsidP="00000000" w:rsidRDefault="00000000" w:rsidRPr="00000000" w14:paraId="00000017">
      <w:pPr>
        <w:spacing w:line="360" w:lineRule="auto"/>
        <w:ind w:firstLine="0"/>
        <w:rPr/>
      </w:pPr>
      <w:r w:rsidDel="00000000" w:rsidR="00000000" w:rsidRPr="00000000">
        <w:rPr>
          <w:rtl w:val="0"/>
        </w:rPr>
      </w:r>
    </w:p>
    <w:p w:rsidR="00000000" w:rsidDel="00000000" w:rsidP="00000000" w:rsidRDefault="00000000" w:rsidRPr="00000000" w14:paraId="00000018">
      <w:pPr>
        <w:pStyle w:val="Heading1"/>
        <w:numPr>
          <w:ilvl w:val="0"/>
          <w:numId w:val="1"/>
        </w:numPr>
        <w:spacing w:line="360" w:lineRule="auto"/>
        <w:ind w:left="0" w:firstLine="0"/>
        <w:rPr/>
      </w:pPr>
      <w:bookmarkStart w:colFirst="0" w:colLast="0" w:name="_2et92p0" w:id="4"/>
      <w:bookmarkEnd w:id="4"/>
      <w:r w:rsidDel="00000000" w:rsidR="00000000" w:rsidRPr="00000000">
        <w:rPr>
          <w:rtl w:val="0"/>
        </w:rPr>
        <w:t xml:space="preserve">Metodologia</w:t>
      </w:r>
    </w:p>
    <w:p w:rsidR="00000000" w:rsidDel="00000000" w:rsidP="00000000" w:rsidRDefault="00000000" w:rsidRPr="00000000" w14:paraId="00000019">
      <w:pPr>
        <w:spacing w:line="360" w:lineRule="auto"/>
        <w:ind w:firstLine="708"/>
        <w:rPr/>
      </w:pPr>
      <w:r w:rsidDel="00000000" w:rsidR="00000000" w:rsidRPr="00000000">
        <w:rPr>
          <w:rtl w:val="0"/>
        </w:rPr>
        <w:t xml:space="preserve">O experimento foi realizado na Escola de Medicina Veterinária e Zootecnia da Universidade Federal do Norte do Tocantins, Campus de Araguaína. O projeto foi submetido e aprovado pelo Comitê de Ética no Uso de Animais com o número de protocolo 23.101.001.301/02-20.</w:t>
      </w:r>
    </w:p>
    <w:p w:rsidR="00000000" w:rsidDel="00000000" w:rsidP="00000000" w:rsidRDefault="00000000" w:rsidRPr="00000000" w14:paraId="0000001A">
      <w:pPr>
        <w:spacing w:line="360" w:lineRule="auto"/>
        <w:ind w:firstLine="708"/>
        <w:rPr/>
      </w:pPr>
      <w:r w:rsidDel="00000000" w:rsidR="00000000" w:rsidRPr="00000000">
        <w:rPr>
          <w:rtl w:val="0"/>
        </w:rPr>
        <w:t xml:space="preserve">O milho hidropônico foi cultivado em bandejas de plástico (0,37x0,26x0,12m), com área de 0,096m². O plantio se deu da seguinte forma: as sementes tiveram a dormência quebrada ficando embebidas em água 24hs. Após, foram colocadas nas bandejas na proporção de 2,5kg/m² e cobertas com bagaço de cana-de-açúcar. Até que começasse a surgir as folhas as sementes foram irrigadas duas vezes ao dia (08 e 16hs) para manter a umidade. Após as folhas saírem, utilizou solução nutritiva comercial e fizemos irrigação uma vez ao dia, pela manhã, até que se complete os dias para a coleta do milho hidropônico (15 e 20 dias).</w:t>
      </w:r>
    </w:p>
    <w:p w:rsidR="00000000" w:rsidDel="00000000" w:rsidP="00000000" w:rsidRDefault="00000000" w:rsidRPr="00000000" w14:paraId="0000001B">
      <w:pPr>
        <w:spacing w:line="360" w:lineRule="auto"/>
        <w:ind w:firstLine="708"/>
        <w:rPr/>
      </w:pPr>
      <w:r w:rsidDel="00000000" w:rsidR="00000000" w:rsidRPr="00000000">
        <w:rPr>
          <w:rtl w:val="0"/>
        </w:rPr>
        <w:t xml:space="preserve">Foram utilizados 75 pintos de corte linhagem Label Rouge®, lote misto, adquiridos com um dia de vida no comércio local de Araguaína-TO, para avaliação da energia metabolizável do milho hidropônico colhido em diferentes dias após a semeadura (15 e 20 dias).As aves com 21 dias de idade foram distribuídas nas respectivas unidades experimentais conforme peso médio.</w:t>
      </w:r>
    </w:p>
    <w:p w:rsidR="00000000" w:rsidDel="00000000" w:rsidP="00000000" w:rsidRDefault="00000000" w:rsidRPr="00000000" w14:paraId="0000001C">
      <w:pPr>
        <w:spacing w:line="360" w:lineRule="auto"/>
        <w:ind w:firstLine="708"/>
        <w:rPr/>
      </w:pPr>
      <w:r w:rsidDel="00000000" w:rsidR="00000000" w:rsidRPr="00000000">
        <w:rPr>
          <w:rtl w:val="0"/>
        </w:rPr>
        <w:t xml:space="preserve">Foram avaliadas três dietas: dieta referência e as demais serão avaliações do milho hidropônico em função da coleta do material após a semeadura (15 e 20 dias). Todas as dietas testes tiveram de substituir  10% com milho hidropônico.</w:t>
      </w:r>
    </w:p>
    <w:p w:rsidR="00000000" w:rsidDel="00000000" w:rsidP="00000000" w:rsidRDefault="00000000" w:rsidRPr="00000000" w14:paraId="0000001D">
      <w:pPr>
        <w:spacing w:line="360" w:lineRule="auto"/>
        <w:ind w:firstLine="0"/>
        <w:rPr/>
      </w:pPr>
      <w:r w:rsidDel="00000000" w:rsidR="00000000" w:rsidRPr="00000000">
        <w:rPr>
          <w:rtl w:val="0"/>
        </w:rPr>
        <w:t xml:space="preserve">Utilizou a metodologia de coleta total (Sakomura e Rostagno, 2016) com marcador fecal (óxido férrico 2%). Foram cinco dias de adaptação às dietas experimentais e três dias de coleta. Foram calculados os coeficientes de metabolização da energia e os valores de energia metabolizável aparente corrigida para balanço de nitrogênio das dietas e do milho cultivado com 15 e 20 dias de idade. Os coeficientes de metabolização foram calculados fazendo a relação EMAn/EB das dietas e do milho com 15 e 20 dias após semeadura.</w:t>
      </w:r>
    </w:p>
    <w:p w:rsidR="00000000" w:rsidDel="00000000" w:rsidP="00000000" w:rsidRDefault="00000000" w:rsidRPr="00000000" w14:paraId="0000001E">
      <w:pPr>
        <w:spacing w:line="360" w:lineRule="auto"/>
        <w:ind w:firstLine="708"/>
        <w:rPr/>
      </w:pPr>
      <w:bookmarkStart w:colFirst="0" w:colLast="0" w:name="_tyjcwt" w:id="5"/>
      <w:bookmarkEnd w:id="5"/>
      <w:r w:rsidDel="00000000" w:rsidR="00000000" w:rsidRPr="00000000">
        <w:rPr>
          <w:rtl w:val="0"/>
        </w:rPr>
        <w:t xml:space="preserve">As análises de variância (α = 0,05) e as diferenças estatísticas entre as variáveis avaliadas foram verificadas através do teste de Tukey (0,05) através do software SAS Institute (2000).</w:t>
      </w:r>
    </w:p>
    <w:p w:rsidR="00000000" w:rsidDel="00000000" w:rsidP="00000000" w:rsidRDefault="00000000" w:rsidRPr="00000000" w14:paraId="0000001F">
      <w:pPr>
        <w:spacing w:line="360" w:lineRule="auto"/>
        <w:ind w:firstLine="0"/>
        <w:rPr/>
      </w:pPr>
      <w:r w:rsidDel="00000000" w:rsidR="00000000" w:rsidRPr="00000000">
        <w:rPr>
          <w:rtl w:val="0"/>
        </w:rPr>
      </w:r>
    </w:p>
    <w:p w:rsidR="00000000" w:rsidDel="00000000" w:rsidP="00000000" w:rsidRDefault="00000000" w:rsidRPr="00000000" w14:paraId="00000020">
      <w:pPr>
        <w:spacing w:line="360" w:lineRule="auto"/>
        <w:ind w:firstLine="0"/>
        <w:rPr/>
      </w:pPr>
      <w:r w:rsidDel="00000000" w:rsidR="00000000" w:rsidRPr="00000000">
        <w:rPr>
          <w:rtl w:val="0"/>
        </w:rPr>
      </w:r>
    </w:p>
    <w:p w:rsidR="00000000" w:rsidDel="00000000" w:rsidP="00000000" w:rsidRDefault="00000000" w:rsidRPr="00000000" w14:paraId="00000021">
      <w:pPr>
        <w:pStyle w:val="Heading1"/>
        <w:numPr>
          <w:ilvl w:val="0"/>
          <w:numId w:val="1"/>
        </w:numPr>
        <w:spacing w:line="360" w:lineRule="auto"/>
        <w:ind w:left="0" w:firstLine="0"/>
        <w:rPr/>
      </w:pPr>
      <w:bookmarkStart w:colFirst="0" w:colLast="0" w:name="_3dy6vkm" w:id="6"/>
      <w:bookmarkEnd w:id="6"/>
      <w:r w:rsidDel="00000000" w:rsidR="00000000" w:rsidRPr="00000000">
        <w:rPr>
          <w:rtl w:val="0"/>
        </w:rPr>
        <w:t xml:space="preserve">Resultados</w:t>
      </w:r>
    </w:p>
    <w:p w:rsidR="00000000" w:rsidDel="00000000" w:rsidP="00000000" w:rsidRDefault="00000000" w:rsidRPr="00000000" w14:paraId="00000022">
      <w:pPr>
        <w:spacing w:after="0" w:before="0" w:line="360" w:lineRule="auto"/>
        <w:ind w:firstLine="709"/>
        <w:rPr/>
      </w:pPr>
      <w:r w:rsidDel="00000000" w:rsidR="00000000" w:rsidRPr="00000000">
        <w:rPr>
          <w:rtl w:val="0"/>
        </w:rPr>
        <w:t xml:space="preserve">Pode-se observar que os valores de matéria seca, energia bruta e nitrogênio das dietas são similares em valores absolutos </w:t>
      </w:r>
      <w:r w:rsidDel="00000000" w:rsidR="00000000" w:rsidRPr="00000000">
        <w:rPr>
          <w:b w:val="1"/>
          <w:rtl w:val="0"/>
        </w:rPr>
        <w:t xml:space="preserve">(Tabela 1)</w:t>
      </w:r>
      <w:r w:rsidDel="00000000" w:rsidR="00000000" w:rsidRPr="00000000">
        <w:rPr>
          <w:rtl w:val="0"/>
        </w:rPr>
        <w:t xml:space="preserve">. Quando observamos os valores do milho colhido com 15 e 20 dias após a semeadura verificamos que há diminuição da matéria seca e aumento no teor de nitrogênio.</w:t>
      </w:r>
    </w:p>
    <w:p w:rsidR="00000000" w:rsidDel="00000000" w:rsidP="00000000" w:rsidRDefault="00000000" w:rsidRPr="00000000" w14:paraId="00000023">
      <w:pPr>
        <w:spacing w:after="0" w:before="0" w:line="360" w:lineRule="auto"/>
        <w:ind w:firstLine="709"/>
        <w:rPr/>
      </w:pPr>
      <w:r w:rsidDel="00000000" w:rsidR="00000000" w:rsidRPr="00000000">
        <w:rPr>
          <w:rtl w:val="0"/>
        </w:rPr>
      </w:r>
    </w:p>
    <w:p w:rsidR="00000000" w:rsidDel="00000000" w:rsidP="00000000" w:rsidRDefault="00000000" w:rsidRPr="00000000" w14:paraId="00000024">
      <w:pPr>
        <w:spacing w:after="0" w:before="0" w:lineRule="auto"/>
        <w:ind w:firstLine="709"/>
        <w:rPr>
          <w:b w:val="1"/>
        </w:rPr>
      </w:pPr>
      <w:r w:rsidDel="00000000" w:rsidR="00000000" w:rsidRPr="00000000">
        <w:rPr>
          <w:b w:val="1"/>
          <w:rtl w:val="0"/>
        </w:rPr>
        <w:t xml:space="preserve">Tabela 1 - Valores de matéria seca (MS), energia bruta (EB), nitrogênio (N) das dietas Referência (T 1 ), e com milho com 15 (T 2 ) e 20 (T 3 ) dias de colhido, e do milho com 15 e 20 dias.</w:t>
      </w:r>
    </w:p>
    <w:tbl>
      <w:tblPr>
        <w:tblStyle w:val="Table1"/>
        <w:tblW w:w="85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90"/>
        <w:gridCol w:w="1410"/>
        <w:gridCol w:w="1650"/>
        <w:gridCol w:w="1335"/>
        <w:gridCol w:w="1065"/>
        <w:tblGridChange w:id="0">
          <w:tblGrid>
            <w:gridCol w:w="3090"/>
            <w:gridCol w:w="1410"/>
            <w:gridCol w:w="1650"/>
            <w:gridCol w:w="1335"/>
            <w:gridCol w:w="1065"/>
          </w:tblGrid>
        </w:tblGridChange>
      </w:tblGrid>
      <w:tr>
        <w:trPr>
          <w:cantSplit w:val="0"/>
          <w:trHeight w:val="20" w:hRule="atLeast"/>
          <w:tblHeader w:val="0"/>
        </w:trPr>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25">
            <w:pPr>
              <w:widowControl w:val="0"/>
              <w:spacing w:after="0" w:before="100" w:lineRule="auto"/>
              <w:ind w:firstLine="0"/>
              <w:jc w:val="center"/>
              <w:rPr/>
            </w:pPr>
            <w:r w:rsidDel="00000000" w:rsidR="00000000" w:rsidRPr="00000000">
              <w:rPr>
                <w:b w:val="1"/>
                <w:rtl w:val="0"/>
              </w:rPr>
              <w:t xml:space="preserve">Ingredientes e Rações</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26">
            <w:pPr>
              <w:widowControl w:val="0"/>
              <w:spacing w:after="0" w:before="100" w:lineRule="auto"/>
              <w:ind w:firstLine="0"/>
              <w:jc w:val="center"/>
              <w:rPr/>
            </w:pPr>
            <w:r w:rsidDel="00000000" w:rsidR="00000000" w:rsidRPr="00000000">
              <w:rPr>
                <w:b w:val="1"/>
                <w:rtl w:val="0"/>
              </w:rPr>
              <w:t xml:space="preserve">MS</w:t>
            </w:r>
            <w:r w:rsidDel="00000000" w:rsidR="00000000" w:rsidRPr="00000000">
              <w:rPr>
                <w:b w:val="1"/>
                <w:vertAlign w:val="superscript"/>
                <w:rtl w:val="0"/>
              </w:rPr>
              <w:t xml:space="preserve"> </w:t>
            </w:r>
            <w:r w:rsidDel="00000000" w:rsidR="00000000" w:rsidRPr="00000000">
              <w:rPr>
                <w:b w:val="1"/>
                <w:rtl w:val="0"/>
              </w:rPr>
              <w:t xml:space="preserve">(%)</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27">
            <w:pPr>
              <w:widowControl w:val="0"/>
              <w:spacing w:after="0" w:before="100" w:lineRule="auto"/>
              <w:ind w:firstLine="0"/>
              <w:jc w:val="center"/>
              <w:rPr/>
            </w:pPr>
            <w:r w:rsidDel="00000000" w:rsidR="00000000" w:rsidRPr="00000000">
              <w:rPr>
                <w:b w:val="1"/>
                <w:rtl w:val="0"/>
              </w:rPr>
              <w:t xml:space="preserve">EB(kcal/kg)</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28">
            <w:pPr>
              <w:widowControl w:val="0"/>
              <w:spacing w:after="0" w:before="100" w:lineRule="auto"/>
              <w:ind w:firstLine="0"/>
              <w:jc w:val="center"/>
              <w:rPr/>
            </w:pPr>
            <w:r w:rsidDel="00000000" w:rsidR="00000000" w:rsidRPr="00000000">
              <w:rPr>
                <w:b w:val="1"/>
                <w:rtl w:val="0"/>
              </w:rPr>
              <w:t xml:space="preserve">N(%)</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9">
            <w:pPr>
              <w:widowControl w:val="0"/>
              <w:spacing w:after="0" w:before="100" w:lineRule="auto"/>
              <w:ind w:firstLine="0"/>
              <w:jc w:val="center"/>
              <w:rPr/>
            </w:pPr>
            <w:r w:rsidDel="00000000" w:rsidR="00000000" w:rsidRPr="00000000">
              <w:rPr>
                <w:b w:val="1"/>
                <w:rtl w:val="0"/>
              </w:rPr>
              <w:t xml:space="preserve">FDN(%)</w:t>
            </w:r>
            <w:r w:rsidDel="00000000" w:rsidR="00000000" w:rsidRPr="00000000">
              <w:rPr>
                <w:rtl w:val="0"/>
              </w:rPr>
            </w:r>
          </w:p>
        </w:tc>
      </w:tr>
      <w:tr>
        <w:trPr>
          <w:cantSplit w:val="0"/>
          <w:trHeight w:val="20" w:hRule="atLeast"/>
          <w:tblHeader w:val="0"/>
        </w:trPr>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2A">
            <w:pPr>
              <w:widowControl w:val="0"/>
              <w:spacing w:after="0" w:before="100" w:lineRule="auto"/>
              <w:ind w:firstLine="0"/>
              <w:jc w:val="center"/>
              <w:rPr/>
            </w:pPr>
            <w:r w:rsidDel="00000000" w:rsidR="00000000" w:rsidRPr="00000000">
              <w:rPr>
                <w:rtl w:val="0"/>
              </w:rPr>
              <w:t xml:space="preserve">T</w:t>
            </w:r>
            <w:r w:rsidDel="00000000" w:rsidR="00000000" w:rsidRPr="00000000">
              <w:rPr>
                <w:vertAlign w:val="subscript"/>
                <w:rtl w:val="0"/>
              </w:rPr>
              <w:t xml:space="preserve">1 </w:t>
            </w:r>
            <w:r w:rsidDel="00000000" w:rsidR="00000000" w:rsidRPr="00000000">
              <w:rPr>
                <w:rtl w:val="0"/>
              </w:rPr>
              <w:t xml:space="preserve">– Ração  Ref.</w:t>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2B">
            <w:pPr>
              <w:widowControl w:val="0"/>
              <w:spacing w:after="0" w:before="100" w:lineRule="auto"/>
              <w:ind w:firstLine="0"/>
              <w:jc w:val="center"/>
              <w:rPr/>
            </w:pPr>
            <w:r w:rsidDel="00000000" w:rsidR="00000000" w:rsidRPr="00000000">
              <w:rPr>
                <w:rtl w:val="0"/>
              </w:rPr>
              <w:t xml:space="preserve">86,36</w:t>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2C">
            <w:pPr>
              <w:widowControl w:val="0"/>
              <w:spacing w:after="0" w:before="100" w:lineRule="auto"/>
              <w:ind w:firstLine="0"/>
              <w:jc w:val="center"/>
              <w:rPr/>
            </w:pPr>
            <w:r w:rsidDel="00000000" w:rsidR="00000000" w:rsidRPr="00000000">
              <w:rPr>
                <w:rtl w:val="0"/>
              </w:rPr>
              <w:t xml:space="preserve">4150,92</w:t>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2D">
            <w:pPr>
              <w:widowControl w:val="0"/>
              <w:spacing w:after="0" w:before="100" w:lineRule="auto"/>
              <w:ind w:firstLine="0"/>
              <w:jc w:val="center"/>
              <w:rPr/>
            </w:pPr>
            <w:r w:rsidDel="00000000" w:rsidR="00000000" w:rsidRPr="00000000">
              <w:rPr>
                <w:rtl w:val="0"/>
              </w:rPr>
              <w:t xml:space="preserve">4,189</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2E">
            <w:pPr>
              <w:widowControl w:val="0"/>
              <w:spacing w:after="0" w:before="100" w:lineRule="auto"/>
              <w:ind w:firstLine="0"/>
              <w:jc w:val="center"/>
              <w:rPr/>
            </w:pPr>
            <w:r w:rsidDel="00000000" w:rsidR="00000000" w:rsidRPr="00000000">
              <w:rPr>
                <w:rtl w:val="0"/>
              </w:rPr>
              <w:t xml:space="preserve">---</w:t>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2F">
            <w:pPr>
              <w:widowControl w:val="0"/>
              <w:spacing w:after="0" w:before="100" w:lineRule="auto"/>
              <w:ind w:firstLine="0"/>
              <w:jc w:val="center"/>
              <w:rPr/>
            </w:pPr>
            <w:r w:rsidDel="00000000" w:rsidR="00000000" w:rsidRPr="00000000">
              <w:rPr>
                <w:rtl w:val="0"/>
              </w:rPr>
              <w:t xml:space="preserve">T</w:t>
            </w:r>
            <w:r w:rsidDel="00000000" w:rsidR="00000000" w:rsidRPr="00000000">
              <w:rPr>
                <w:vertAlign w:val="subscript"/>
                <w:rtl w:val="0"/>
              </w:rPr>
              <w:t xml:space="preserve">2 </w:t>
            </w:r>
            <w:r w:rsidDel="00000000" w:rsidR="00000000" w:rsidRPr="00000000">
              <w:rPr>
                <w:rtl w:val="0"/>
              </w:rPr>
              <w:t xml:space="preserve">– Milho 15 dias</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0">
            <w:pPr>
              <w:widowControl w:val="0"/>
              <w:spacing w:after="0" w:before="100" w:lineRule="auto"/>
              <w:ind w:firstLine="0"/>
              <w:jc w:val="center"/>
              <w:rPr/>
            </w:pPr>
            <w:r w:rsidDel="00000000" w:rsidR="00000000" w:rsidRPr="00000000">
              <w:rPr>
                <w:rtl w:val="0"/>
              </w:rPr>
              <w:t xml:space="preserve">90,00</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1">
            <w:pPr>
              <w:widowControl w:val="0"/>
              <w:spacing w:after="0" w:before="100" w:lineRule="auto"/>
              <w:ind w:firstLine="0"/>
              <w:jc w:val="center"/>
              <w:rPr/>
            </w:pPr>
            <w:r w:rsidDel="00000000" w:rsidR="00000000" w:rsidRPr="00000000">
              <w:rPr>
                <w:rtl w:val="0"/>
              </w:rPr>
              <w:t xml:space="preserve">4160,85</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2">
            <w:pPr>
              <w:widowControl w:val="0"/>
              <w:spacing w:after="0" w:before="100" w:lineRule="auto"/>
              <w:ind w:firstLine="0"/>
              <w:jc w:val="center"/>
              <w:rPr/>
            </w:pPr>
            <w:r w:rsidDel="00000000" w:rsidR="00000000" w:rsidRPr="00000000">
              <w:rPr>
                <w:rtl w:val="0"/>
              </w:rPr>
              <w:t xml:space="preserve">3,954</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3">
            <w:pPr>
              <w:widowControl w:val="0"/>
              <w:spacing w:after="0" w:before="100" w:lineRule="auto"/>
              <w:ind w:firstLine="0"/>
              <w:jc w:val="center"/>
              <w:rPr/>
            </w:pPr>
            <w:r w:rsidDel="00000000" w:rsidR="00000000" w:rsidRPr="00000000">
              <w:rPr>
                <w:rtl w:val="0"/>
              </w:rPr>
              <w:t xml:space="preserve">---</w:t>
            </w:r>
          </w:p>
        </w:tc>
      </w:tr>
      <w:tr>
        <w:trPr>
          <w:cantSplit w:val="0"/>
          <w:trHeight w:val="20" w:hRule="atLeast"/>
          <w:tblHeader w:val="0"/>
        </w:trPr>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4">
            <w:pPr>
              <w:widowControl w:val="0"/>
              <w:spacing w:after="0" w:before="100" w:lineRule="auto"/>
              <w:ind w:firstLine="0"/>
              <w:jc w:val="center"/>
              <w:rPr/>
            </w:pPr>
            <w:r w:rsidDel="00000000" w:rsidR="00000000" w:rsidRPr="00000000">
              <w:rPr>
                <w:rtl w:val="0"/>
              </w:rPr>
              <w:t xml:space="preserve">T</w:t>
            </w:r>
            <w:r w:rsidDel="00000000" w:rsidR="00000000" w:rsidRPr="00000000">
              <w:rPr>
                <w:vertAlign w:val="subscript"/>
                <w:rtl w:val="0"/>
              </w:rPr>
              <w:t xml:space="preserve">3 </w:t>
            </w:r>
            <w:r w:rsidDel="00000000" w:rsidR="00000000" w:rsidRPr="00000000">
              <w:rPr>
                <w:rtl w:val="0"/>
              </w:rPr>
              <w:t xml:space="preserve">–</w:t>
            </w:r>
            <w:r w:rsidDel="00000000" w:rsidR="00000000" w:rsidRPr="00000000">
              <w:rPr>
                <w:vertAlign w:val="subscript"/>
                <w:rtl w:val="0"/>
              </w:rPr>
              <w:t xml:space="preserve"> </w:t>
            </w:r>
            <w:r w:rsidDel="00000000" w:rsidR="00000000" w:rsidRPr="00000000">
              <w:rPr>
                <w:rtl w:val="0"/>
              </w:rPr>
              <w:t xml:space="preserve">Milho 20 dias</w:t>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5">
            <w:pPr>
              <w:widowControl w:val="0"/>
              <w:spacing w:after="0" w:before="100" w:lineRule="auto"/>
              <w:ind w:firstLine="0"/>
              <w:jc w:val="center"/>
              <w:rPr/>
            </w:pPr>
            <w:r w:rsidDel="00000000" w:rsidR="00000000" w:rsidRPr="00000000">
              <w:rPr>
                <w:rtl w:val="0"/>
              </w:rPr>
              <w:t xml:space="preserve">88,89</w:t>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6">
            <w:pPr>
              <w:widowControl w:val="0"/>
              <w:spacing w:after="0" w:before="100" w:lineRule="auto"/>
              <w:ind w:firstLine="0"/>
              <w:jc w:val="center"/>
              <w:rPr/>
            </w:pPr>
            <w:r w:rsidDel="00000000" w:rsidR="00000000" w:rsidRPr="00000000">
              <w:rPr>
                <w:rtl w:val="0"/>
              </w:rPr>
              <w:t xml:space="preserve">4162,59</w:t>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7">
            <w:pPr>
              <w:widowControl w:val="0"/>
              <w:spacing w:after="0" w:before="100" w:lineRule="auto"/>
              <w:ind w:firstLine="0"/>
              <w:jc w:val="center"/>
              <w:rPr/>
            </w:pPr>
            <w:r w:rsidDel="00000000" w:rsidR="00000000" w:rsidRPr="00000000">
              <w:rPr>
                <w:rtl w:val="0"/>
              </w:rPr>
              <w:t xml:space="preserve">3,754</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38">
            <w:pPr>
              <w:widowControl w:val="0"/>
              <w:spacing w:after="0" w:before="100" w:lineRule="auto"/>
              <w:ind w:firstLine="0"/>
              <w:jc w:val="center"/>
              <w:rPr/>
            </w:pPr>
            <w:r w:rsidDel="00000000" w:rsidR="00000000" w:rsidRPr="00000000">
              <w:rPr>
                <w:rtl w:val="0"/>
              </w:rPr>
              <w:t xml:space="preserve">---</w:t>
            </w:r>
          </w:p>
        </w:tc>
      </w:tr>
      <w:tr>
        <w:trPr>
          <w:cantSplit w:val="0"/>
          <w:trHeight w:val="20" w:hRule="atLeast"/>
          <w:tblHeader w:val="0"/>
        </w:trPr>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9">
            <w:pPr>
              <w:widowControl w:val="0"/>
              <w:spacing w:after="0" w:before="100" w:lineRule="auto"/>
              <w:ind w:firstLine="0"/>
              <w:jc w:val="center"/>
              <w:rPr/>
            </w:pPr>
            <w:r w:rsidDel="00000000" w:rsidR="00000000" w:rsidRPr="00000000">
              <w:rPr>
                <w:rtl w:val="0"/>
              </w:rPr>
              <w:t xml:space="preserve">Milho 15 dias</w:t>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A">
            <w:pPr>
              <w:widowControl w:val="0"/>
              <w:spacing w:after="0" w:before="100" w:lineRule="auto"/>
              <w:ind w:firstLine="0"/>
              <w:jc w:val="center"/>
              <w:rPr/>
            </w:pPr>
            <w:r w:rsidDel="00000000" w:rsidR="00000000" w:rsidRPr="00000000">
              <w:rPr>
                <w:rtl w:val="0"/>
              </w:rPr>
              <w:t xml:space="preserve">17,97</w:t>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B">
            <w:pPr>
              <w:widowControl w:val="0"/>
              <w:spacing w:after="0" w:before="100" w:lineRule="auto"/>
              <w:ind w:firstLine="0"/>
              <w:jc w:val="center"/>
              <w:rPr/>
            </w:pPr>
            <w:r w:rsidDel="00000000" w:rsidR="00000000" w:rsidRPr="00000000">
              <w:rPr>
                <w:rtl w:val="0"/>
              </w:rPr>
              <w:t xml:space="preserve">4157,15</w:t>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C">
            <w:pPr>
              <w:widowControl w:val="0"/>
              <w:spacing w:after="0" w:before="100" w:lineRule="auto"/>
              <w:ind w:firstLine="0"/>
              <w:jc w:val="center"/>
              <w:rPr/>
            </w:pPr>
            <w:r w:rsidDel="00000000" w:rsidR="00000000" w:rsidRPr="00000000">
              <w:rPr>
                <w:rtl w:val="0"/>
              </w:rPr>
              <w:t xml:space="preserve">2,795</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3D">
            <w:pPr>
              <w:widowControl w:val="0"/>
              <w:spacing w:after="0" w:before="100" w:lineRule="auto"/>
              <w:ind w:firstLine="0"/>
              <w:jc w:val="center"/>
              <w:rPr/>
            </w:pPr>
            <w:r w:rsidDel="00000000" w:rsidR="00000000" w:rsidRPr="00000000">
              <w:rPr>
                <w:rtl w:val="0"/>
              </w:rPr>
              <w:t xml:space="preserve">52,42</w:t>
            </w:r>
          </w:p>
        </w:tc>
      </w:tr>
      <w:tr>
        <w:trPr>
          <w:cantSplit w:val="0"/>
          <w:trHeight w:val="20" w:hRule="atLeast"/>
          <w:tblHeader w:val="0"/>
        </w:trPr>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E">
            <w:pPr>
              <w:widowControl w:val="0"/>
              <w:spacing w:after="0" w:before="100" w:lineRule="auto"/>
              <w:ind w:firstLine="0"/>
              <w:jc w:val="center"/>
              <w:rPr/>
            </w:pPr>
            <w:r w:rsidDel="00000000" w:rsidR="00000000" w:rsidRPr="00000000">
              <w:rPr>
                <w:rtl w:val="0"/>
              </w:rPr>
              <w:t xml:space="preserve">Milho 20 dias</w:t>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F">
            <w:pPr>
              <w:widowControl w:val="0"/>
              <w:spacing w:after="0" w:before="100" w:lineRule="auto"/>
              <w:ind w:firstLine="0"/>
              <w:jc w:val="center"/>
              <w:rPr/>
            </w:pPr>
            <w:r w:rsidDel="00000000" w:rsidR="00000000" w:rsidRPr="00000000">
              <w:rPr>
                <w:rtl w:val="0"/>
              </w:rPr>
              <w:t xml:space="preserve">15,23</w:t>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40">
            <w:pPr>
              <w:widowControl w:val="0"/>
              <w:spacing w:after="0" w:before="100" w:lineRule="auto"/>
              <w:ind w:firstLine="0"/>
              <w:jc w:val="center"/>
              <w:rPr/>
            </w:pPr>
            <w:r w:rsidDel="00000000" w:rsidR="00000000" w:rsidRPr="00000000">
              <w:rPr>
                <w:rtl w:val="0"/>
              </w:rPr>
              <w:t xml:space="preserve">4165,53</w:t>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41">
            <w:pPr>
              <w:widowControl w:val="0"/>
              <w:spacing w:after="0" w:before="100" w:lineRule="auto"/>
              <w:ind w:firstLine="0"/>
              <w:jc w:val="center"/>
              <w:rPr/>
            </w:pPr>
            <w:r w:rsidDel="00000000" w:rsidR="00000000" w:rsidRPr="00000000">
              <w:rPr>
                <w:rtl w:val="0"/>
              </w:rPr>
              <w:t xml:space="preserve">3,237</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42">
            <w:pPr>
              <w:widowControl w:val="0"/>
              <w:spacing w:after="0" w:before="100" w:lineRule="auto"/>
              <w:ind w:firstLine="0"/>
              <w:jc w:val="center"/>
              <w:rPr/>
            </w:pPr>
            <w:r w:rsidDel="00000000" w:rsidR="00000000" w:rsidRPr="00000000">
              <w:rPr>
                <w:rtl w:val="0"/>
              </w:rPr>
              <w:t xml:space="preserve">64,64</w:t>
            </w:r>
          </w:p>
        </w:tc>
      </w:tr>
    </w:tbl>
    <w:p w:rsidR="00000000" w:rsidDel="00000000" w:rsidP="00000000" w:rsidRDefault="00000000" w:rsidRPr="00000000" w14:paraId="00000043">
      <w:pPr>
        <w:widowControl w:val="0"/>
        <w:spacing w:after="0" w:before="100" w:lineRule="auto"/>
        <w:ind w:firstLine="0"/>
        <w:rPr>
          <w:sz w:val="16"/>
          <w:szCs w:val="16"/>
        </w:rPr>
      </w:pPr>
      <w:r w:rsidDel="00000000" w:rsidR="00000000" w:rsidRPr="00000000">
        <w:rPr>
          <w:sz w:val="16"/>
          <w:szCs w:val="16"/>
          <w:rtl w:val="0"/>
        </w:rPr>
        <w:t xml:space="preserve">As análises foram realizadas no Laboratório de Nutrição Animal da Escola de Medicina Veterinária e Zootecnia da Universidade Federal do Norte do Tocantins.  </w:t>
      </w:r>
    </w:p>
    <w:p w:rsidR="00000000" w:rsidDel="00000000" w:rsidP="00000000" w:rsidRDefault="00000000" w:rsidRPr="00000000" w14:paraId="00000044">
      <w:pPr>
        <w:widowControl w:val="0"/>
        <w:spacing w:after="0" w:before="100" w:lineRule="auto"/>
        <w:ind w:firstLine="0"/>
        <w:rPr>
          <w:sz w:val="16"/>
          <w:szCs w:val="16"/>
        </w:rPr>
      </w:pPr>
      <w:r w:rsidDel="00000000" w:rsidR="00000000" w:rsidRPr="00000000">
        <w:rPr>
          <w:rtl w:val="0"/>
        </w:rPr>
      </w:r>
    </w:p>
    <w:p w:rsidR="00000000" w:rsidDel="00000000" w:rsidP="00000000" w:rsidRDefault="00000000" w:rsidRPr="00000000" w14:paraId="00000045">
      <w:pPr>
        <w:spacing w:after="0" w:before="0" w:line="360" w:lineRule="auto"/>
        <w:ind w:firstLine="709"/>
        <w:rPr/>
      </w:pPr>
      <w:r w:rsidDel="00000000" w:rsidR="00000000" w:rsidRPr="00000000">
        <w:rPr>
          <w:rtl w:val="0"/>
        </w:rPr>
        <w:t xml:space="preserve">Verifica que os valores de energia metabolizável aparente corrigida pelo balanço de nitrogênio diminuem com o adicional do milho a dieta referência </w:t>
      </w:r>
      <w:r w:rsidDel="00000000" w:rsidR="00000000" w:rsidRPr="00000000">
        <w:rPr>
          <w:b w:val="1"/>
          <w:rtl w:val="0"/>
        </w:rPr>
        <w:t xml:space="preserve">(Tabela 2)</w:t>
      </w:r>
      <w:r w:rsidDel="00000000" w:rsidR="00000000" w:rsidRPr="00000000">
        <w:rPr>
          <w:rtl w:val="0"/>
        </w:rPr>
        <w:t xml:space="preserve">. Quando comparamos as dietas com milho observa-se que as aves obtêm os mesmos valores de energia. O mesmo comportamento é observado quando comparamos os valores de coeficiente de metabolização.</w:t>
      </w:r>
    </w:p>
    <w:p w:rsidR="00000000" w:rsidDel="00000000" w:rsidP="00000000" w:rsidRDefault="00000000" w:rsidRPr="00000000" w14:paraId="00000046">
      <w:pPr>
        <w:spacing w:after="0" w:before="0" w:line="360" w:lineRule="auto"/>
        <w:ind w:firstLine="709"/>
        <w:rPr/>
      </w:pPr>
      <w:r w:rsidDel="00000000" w:rsidR="00000000" w:rsidRPr="00000000">
        <w:rPr>
          <w:rtl w:val="0"/>
        </w:rPr>
        <w:t xml:space="preserve">Quando adicionamos alimentos alternativos à dieta das aves observamos que este geralmente tem maior teor de fibra. É sabido que o FDN quando bem elevado na dieta diminui a digestibilidade (Pinheiro et al., 2008) a nível intestinal o que pode repercutir no aproveitamento de energia da dieta.</w:t>
      </w:r>
    </w:p>
    <w:p w:rsidR="00000000" w:rsidDel="00000000" w:rsidP="00000000" w:rsidRDefault="00000000" w:rsidRPr="00000000" w14:paraId="00000047">
      <w:pPr>
        <w:spacing w:after="0" w:before="0" w:line="360" w:lineRule="auto"/>
        <w:ind w:firstLine="709"/>
        <w:rPr/>
      </w:pPr>
      <w:r w:rsidDel="00000000" w:rsidR="00000000" w:rsidRPr="00000000">
        <w:rPr>
          <w:rtl w:val="0"/>
        </w:rPr>
      </w:r>
    </w:p>
    <w:p w:rsidR="00000000" w:rsidDel="00000000" w:rsidP="00000000" w:rsidRDefault="00000000" w:rsidRPr="00000000" w14:paraId="00000048">
      <w:pPr>
        <w:spacing w:after="0" w:before="0" w:lineRule="auto"/>
        <w:ind w:firstLine="709"/>
        <w:rPr>
          <w:b w:val="1"/>
        </w:rPr>
      </w:pPr>
      <w:r w:rsidDel="00000000" w:rsidR="00000000" w:rsidRPr="00000000">
        <w:rPr>
          <w:b w:val="1"/>
          <w:rtl w:val="0"/>
        </w:rPr>
        <w:t xml:space="preserve">Tabela 2. Valores de energia metabolizável aparente corrigida para balanço de nitrogênio (EMAn), e coeficientes de metabolizabilidade (%) das dietas referência e com milho colhido aos 15 e 20 dias após a semeadura.</w:t>
      </w:r>
    </w:p>
    <w:tbl>
      <w:tblPr>
        <w:tblStyle w:val="Table2"/>
        <w:tblW w:w="90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5"/>
        <w:gridCol w:w="2955"/>
        <w:gridCol w:w="2280"/>
        <w:gridCol w:w="2340"/>
        <w:tblGridChange w:id="0">
          <w:tblGrid>
            <w:gridCol w:w="1485"/>
            <w:gridCol w:w="2955"/>
            <w:gridCol w:w="2280"/>
            <w:gridCol w:w="2340"/>
          </w:tblGrid>
        </w:tblGridChange>
      </w:tblGrid>
      <w:tr>
        <w:trPr>
          <w:cantSplit w:val="0"/>
          <w:tblHeader w:val="0"/>
        </w:trPr>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49">
            <w:pPr>
              <w:widowControl w:val="0"/>
              <w:spacing w:after="0" w:before="100" w:lineRule="auto"/>
              <w:ind w:firstLine="0"/>
              <w:rPr/>
            </w:pPr>
            <w:r w:rsidDel="00000000" w:rsidR="00000000" w:rsidRPr="00000000">
              <w:rPr>
                <w:b w:val="1"/>
                <w:rtl w:val="0"/>
              </w:rPr>
              <w:t xml:space="preserve">Variáveis</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4A">
            <w:pPr>
              <w:widowControl w:val="0"/>
              <w:spacing w:after="0" w:before="100" w:lineRule="auto"/>
              <w:ind w:firstLine="0"/>
              <w:jc w:val="center"/>
              <w:rPr/>
            </w:pPr>
            <w:r w:rsidDel="00000000" w:rsidR="00000000" w:rsidRPr="00000000">
              <w:rPr>
                <w:b w:val="1"/>
                <w:rtl w:val="0"/>
              </w:rPr>
              <w:t xml:space="preserve">T</w:t>
            </w:r>
            <w:r w:rsidDel="00000000" w:rsidR="00000000" w:rsidRPr="00000000">
              <w:rPr>
                <w:b w:val="1"/>
                <w:vertAlign w:val="subscript"/>
                <w:rtl w:val="0"/>
              </w:rPr>
              <w:t xml:space="preserve">1 </w:t>
            </w:r>
            <w:r w:rsidDel="00000000" w:rsidR="00000000" w:rsidRPr="00000000">
              <w:rPr>
                <w:b w:val="1"/>
                <w:rtl w:val="0"/>
              </w:rPr>
              <w:t xml:space="preserve">- Ração Referência</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4B">
            <w:pPr>
              <w:widowControl w:val="0"/>
              <w:spacing w:after="0" w:before="100" w:lineRule="auto"/>
              <w:ind w:firstLine="0"/>
              <w:jc w:val="center"/>
              <w:rPr/>
            </w:pPr>
            <w:r w:rsidDel="00000000" w:rsidR="00000000" w:rsidRPr="00000000">
              <w:rPr>
                <w:b w:val="1"/>
                <w:rtl w:val="0"/>
              </w:rPr>
              <w:t xml:space="preserve">T</w:t>
            </w:r>
            <w:r w:rsidDel="00000000" w:rsidR="00000000" w:rsidRPr="00000000">
              <w:rPr>
                <w:b w:val="1"/>
                <w:vertAlign w:val="subscript"/>
                <w:rtl w:val="0"/>
              </w:rPr>
              <w:t xml:space="preserve">2 </w:t>
            </w:r>
            <w:r w:rsidDel="00000000" w:rsidR="00000000" w:rsidRPr="00000000">
              <w:rPr>
                <w:b w:val="1"/>
                <w:rtl w:val="0"/>
              </w:rPr>
              <w:t xml:space="preserve">– Milho 15 dias</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4C">
            <w:pPr>
              <w:widowControl w:val="0"/>
              <w:spacing w:after="0" w:before="100" w:lineRule="auto"/>
              <w:ind w:firstLine="0"/>
              <w:jc w:val="center"/>
              <w:rPr/>
            </w:pPr>
            <w:r w:rsidDel="00000000" w:rsidR="00000000" w:rsidRPr="00000000">
              <w:rPr>
                <w:b w:val="1"/>
                <w:rtl w:val="0"/>
              </w:rPr>
              <w:t xml:space="preserve">T</w:t>
            </w:r>
            <w:r w:rsidDel="00000000" w:rsidR="00000000" w:rsidRPr="00000000">
              <w:rPr>
                <w:b w:val="1"/>
                <w:vertAlign w:val="subscript"/>
                <w:rtl w:val="0"/>
              </w:rPr>
              <w:t xml:space="preserve">3 </w:t>
            </w:r>
            <w:r w:rsidDel="00000000" w:rsidR="00000000" w:rsidRPr="00000000">
              <w:rPr>
                <w:b w:val="1"/>
                <w:rtl w:val="0"/>
              </w:rPr>
              <w:t xml:space="preserve">–</w:t>
            </w:r>
            <w:r w:rsidDel="00000000" w:rsidR="00000000" w:rsidRPr="00000000">
              <w:rPr>
                <w:b w:val="1"/>
                <w:vertAlign w:val="subscript"/>
                <w:rtl w:val="0"/>
              </w:rPr>
              <w:t xml:space="preserve"> </w:t>
            </w:r>
            <w:r w:rsidDel="00000000" w:rsidR="00000000" w:rsidRPr="00000000">
              <w:rPr>
                <w:b w:val="1"/>
                <w:rtl w:val="0"/>
              </w:rPr>
              <w:t xml:space="preserve">Milho 20 dias</w:t>
            </w: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4D">
            <w:pPr>
              <w:widowControl w:val="0"/>
              <w:spacing w:after="0" w:before="100" w:lineRule="auto"/>
              <w:ind w:firstLine="0"/>
              <w:rPr/>
            </w:pPr>
            <w:r w:rsidDel="00000000" w:rsidR="00000000" w:rsidRPr="00000000">
              <w:rPr>
                <w:rtl w:val="0"/>
              </w:rPr>
              <w:t xml:space="preserve">EMAn </w:t>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4E">
            <w:pPr>
              <w:widowControl w:val="0"/>
              <w:spacing w:after="0" w:before="100" w:lineRule="auto"/>
              <w:ind w:firstLine="0"/>
              <w:jc w:val="center"/>
              <w:rPr/>
            </w:pPr>
            <w:r w:rsidDel="00000000" w:rsidR="00000000" w:rsidRPr="00000000">
              <w:rPr>
                <w:rtl w:val="0"/>
              </w:rPr>
              <w:t xml:space="preserve">3018,64</w:t>
            </w:r>
            <w:r w:rsidDel="00000000" w:rsidR="00000000" w:rsidRPr="00000000">
              <w:rPr>
                <w:vertAlign w:val="superscript"/>
                <w:rtl w:val="0"/>
              </w:rPr>
              <w:t xml:space="preserve">a</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4F">
            <w:pPr>
              <w:widowControl w:val="0"/>
              <w:spacing w:after="0" w:before="100" w:lineRule="auto"/>
              <w:ind w:firstLine="0"/>
              <w:jc w:val="center"/>
              <w:rPr/>
            </w:pPr>
            <w:r w:rsidDel="00000000" w:rsidR="00000000" w:rsidRPr="00000000">
              <w:rPr>
                <w:rtl w:val="0"/>
              </w:rPr>
              <w:t xml:space="preserve">2859,63</w:t>
            </w:r>
            <w:r w:rsidDel="00000000" w:rsidR="00000000" w:rsidRPr="00000000">
              <w:rPr>
                <w:vertAlign w:val="superscript"/>
                <w:rtl w:val="0"/>
              </w:rPr>
              <w:t xml:space="preserve">b</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50">
            <w:pPr>
              <w:widowControl w:val="0"/>
              <w:spacing w:after="0" w:before="100" w:lineRule="auto"/>
              <w:ind w:firstLine="0"/>
              <w:jc w:val="center"/>
              <w:rPr/>
            </w:pPr>
            <w:r w:rsidDel="00000000" w:rsidR="00000000" w:rsidRPr="00000000">
              <w:rPr>
                <w:rtl w:val="0"/>
              </w:rPr>
              <w:t xml:space="preserve">2851,05</w:t>
            </w:r>
            <w:r w:rsidDel="00000000" w:rsidR="00000000" w:rsidRPr="00000000">
              <w:rPr>
                <w:vertAlign w:val="superscript"/>
                <w:rtl w:val="0"/>
              </w:rPr>
              <w:t xml:space="preserve">b</w:t>
            </w:r>
            <w:r w:rsidDel="00000000" w:rsidR="00000000" w:rsidRPr="00000000">
              <w:rPr>
                <w:rtl w:val="0"/>
              </w:rPr>
            </w:r>
          </w:p>
        </w:tc>
      </w:tr>
      <w:tr>
        <w:trPr>
          <w:cantSplit w:val="0"/>
          <w:tblHeader w:val="0"/>
        </w:trPr>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51">
            <w:pPr>
              <w:widowControl w:val="0"/>
              <w:spacing w:after="0" w:before="100" w:lineRule="auto"/>
              <w:ind w:firstLine="0"/>
              <w:rPr/>
            </w:pPr>
            <w:r w:rsidDel="00000000" w:rsidR="00000000" w:rsidRPr="00000000">
              <w:rPr>
                <w:rtl w:val="0"/>
              </w:rPr>
              <w:t xml:space="preserve">CMEMAn</w:t>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52">
            <w:pPr>
              <w:widowControl w:val="0"/>
              <w:spacing w:after="0" w:before="100" w:lineRule="auto"/>
              <w:ind w:firstLine="0"/>
              <w:jc w:val="center"/>
              <w:rPr/>
            </w:pPr>
            <w:r w:rsidDel="00000000" w:rsidR="00000000" w:rsidRPr="00000000">
              <w:rPr>
                <w:rtl w:val="0"/>
              </w:rPr>
              <w:t xml:space="preserve">65,45</w:t>
            </w:r>
            <w:r w:rsidDel="00000000" w:rsidR="00000000" w:rsidRPr="00000000">
              <w:rPr>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53">
            <w:pPr>
              <w:widowControl w:val="0"/>
              <w:spacing w:after="0" w:before="100" w:lineRule="auto"/>
              <w:ind w:firstLine="0"/>
              <w:jc w:val="center"/>
              <w:rPr/>
            </w:pPr>
            <w:r w:rsidDel="00000000" w:rsidR="00000000" w:rsidRPr="00000000">
              <w:rPr>
                <w:rtl w:val="0"/>
              </w:rPr>
              <w:t xml:space="preserve">59,62</w:t>
            </w:r>
            <w:r w:rsidDel="00000000" w:rsidR="00000000" w:rsidRPr="00000000">
              <w:rPr>
                <w:vertAlign w:val="superscript"/>
                <w:rtl w:val="0"/>
              </w:rPr>
              <w:t xml:space="preserve">b</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54">
            <w:pPr>
              <w:widowControl w:val="0"/>
              <w:spacing w:after="0" w:before="100" w:lineRule="auto"/>
              <w:ind w:firstLine="0"/>
              <w:jc w:val="center"/>
              <w:rPr/>
            </w:pPr>
            <w:r w:rsidDel="00000000" w:rsidR="00000000" w:rsidRPr="00000000">
              <w:rPr>
                <w:rtl w:val="0"/>
              </w:rPr>
              <w:t xml:space="preserve">59,69</w:t>
            </w:r>
            <w:r w:rsidDel="00000000" w:rsidR="00000000" w:rsidRPr="00000000">
              <w:rPr>
                <w:vertAlign w:val="superscript"/>
                <w:rtl w:val="0"/>
              </w:rPr>
              <w:t xml:space="preserve">b</w:t>
            </w:r>
            <w:r w:rsidDel="00000000" w:rsidR="00000000" w:rsidRPr="00000000">
              <w:rPr>
                <w:rtl w:val="0"/>
              </w:rPr>
            </w:r>
          </w:p>
        </w:tc>
      </w:tr>
    </w:tbl>
    <w:p w:rsidR="00000000" w:rsidDel="00000000" w:rsidP="00000000" w:rsidRDefault="00000000" w:rsidRPr="00000000" w14:paraId="00000055">
      <w:pPr>
        <w:widowControl w:val="0"/>
        <w:spacing w:after="0" w:before="100" w:lineRule="auto"/>
        <w:ind w:firstLine="0"/>
        <w:rPr>
          <w:sz w:val="16"/>
          <w:szCs w:val="16"/>
        </w:rPr>
      </w:pPr>
      <w:r w:rsidDel="00000000" w:rsidR="00000000" w:rsidRPr="00000000">
        <w:rPr>
          <w:sz w:val="16"/>
          <w:szCs w:val="16"/>
          <w:rtl w:val="0"/>
        </w:rPr>
        <w:t xml:space="preserve">Médias seguidas por uma mesma letra na coluna não diferem entre si pelo teste de Tukey α = 0,05.</w:t>
      </w:r>
    </w:p>
    <w:p w:rsidR="00000000" w:rsidDel="00000000" w:rsidP="00000000" w:rsidRDefault="00000000" w:rsidRPr="00000000" w14:paraId="00000056">
      <w:pPr>
        <w:widowControl w:val="0"/>
        <w:spacing w:after="0" w:before="100" w:lineRule="auto"/>
        <w:ind w:firstLine="0"/>
        <w:rPr/>
      </w:pPr>
      <w:r w:rsidDel="00000000" w:rsidR="00000000" w:rsidRPr="00000000">
        <w:rPr>
          <w:rtl w:val="0"/>
        </w:rPr>
      </w:r>
    </w:p>
    <w:p w:rsidR="00000000" w:rsidDel="00000000" w:rsidP="00000000" w:rsidRDefault="00000000" w:rsidRPr="00000000" w14:paraId="00000057">
      <w:pPr>
        <w:spacing w:after="0" w:before="0" w:line="360" w:lineRule="auto"/>
        <w:ind w:firstLine="709"/>
        <w:rPr/>
      </w:pPr>
      <w:r w:rsidDel="00000000" w:rsidR="00000000" w:rsidRPr="00000000">
        <w:rPr>
          <w:rtl w:val="0"/>
        </w:rPr>
        <w:t xml:space="preserve">Comparativamente ao milho convencional (3364 kcal de EMAn/kg) o milho hidropônico tem em média (1385 kcal de EMAn/kg), valor 59% menor (Tabela 3) no aproveitamento de energia, este fato é devido ao maior teor de FDN presente no milho hidropônico (Almeida et al., 2021).</w:t>
      </w:r>
    </w:p>
    <w:p w:rsidR="00000000" w:rsidDel="00000000" w:rsidP="00000000" w:rsidRDefault="00000000" w:rsidRPr="00000000" w14:paraId="00000058">
      <w:pPr>
        <w:spacing w:after="0" w:before="0" w:line="360" w:lineRule="auto"/>
        <w:ind w:firstLine="709"/>
        <w:rPr/>
      </w:pPr>
      <w:r w:rsidDel="00000000" w:rsidR="00000000" w:rsidRPr="00000000">
        <w:rPr>
          <w:rtl w:val="0"/>
        </w:rPr>
        <w:t xml:space="preserve">A produção de forragens por hidroponia é considerada alternativa para o uso em propriedades com dificuldade de manter a produção de volumosos de forma regular no período de seca.</w:t>
      </w:r>
    </w:p>
    <w:p w:rsidR="00000000" w:rsidDel="00000000" w:rsidP="00000000" w:rsidRDefault="00000000" w:rsidRPr="00000000" w14:paraId="00000059">
      <w:pPr>
        <w:spacing w:after="0" w:before="0" w:line="360" w:lineRule="auto"/>
        <w:ind w:firstLine="709"/>
        <w:rPr/>
      </w:pPr>
      <w:r w:rsidDel="00000000" w:rsidR="00000000" w:rsidRPr="00000000">
        <w:rPr>
          <w:rtl w:val="0"/>
        </w:rPr>
        <w:t xml:space="preserve">Embora o valor de energia que as aves possam aproveitar do milho hidropônico seja baixa, ele tem potencial de ser usado como complemento alimentar para diminuir os custos com a compra de ração comercial.</w:t>
      </w:r>
    </w:p>
    <w:p w:rsidR="00000000" w:rsidDel="00000000" w:rsidP="00000000" w:rsidRDefault="00000000" w:rsidRPr="00000000" w14:paraId="0000005A">
      <w:pPr>
        <w:spacing w:after="0" w:before="0" w:line="360" w:lineRule="auto"/>
        <w:ind w:firstLine="709"/>
        <w:rPr/>
      </w:pPr>
      <w:r w:rsidDel="00000000" w:rsidR="00000000" w:rsidRPr="00000000">
        <w:rPr>
          <w:rtl w:val="0"/>
        </w:rPr>
      </w:r>
    </w:p>
    <w:p w:rsidR="00000000" w:rsidDel="00000000" w:rsidP="00000000" w:rsidRDefault="00000000" w:rsidRPr="00000000" w14:paraId="0000005B">
      <w:pPr>
        <w:spacing w:after="0" w:before="0" w:lineRule="auto"/>
        <w:ind w:firstLine="709"/>
        <w:rPr>
          <w:b w:val="1"/>
        </w:rPr>
      </w:pPr>
      <w:r w:rsidDel="00000000" w:rsidR="00000000" w:rsidRPr="00000000">
        <w:rPr>
          <w:b w:val="1"/>
          <w:rtl w:val="0"/>
        </w:rPr>
        <w:t xml:space="preserve">Tabela 3. Valores de energia metabolizável corrigida para balanço de nitrogênio (EMAn), e Coeficientes de metabolizabilidade (%) aparente da do milho colhido com 15 e 20 dias após a semeadura.</w:t>
      </w:r>
    </w:p>
    <w:tbl>
      <w:tblPr>
        <w:tblStyle w:val="Table3"/>
        <w:tblW w:w="92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5"/>
        <w:gridCol w:w="3795"/>
        <w:gridCol w:w="3165"/>
        <w:tblGridChange w:id="0">
          <w:tblGrid>
            <w:gridCol w:w="2295"/>
            <w:gridCol w:w="3795"/>
            <w:gridCol w:w="3165"/>
          </w:tblGrid>
        </w:tblGridChange>
      </w:tblGrid>
      <w:tr>
        <w:trPr>
          <w:cantSplit w:val="0"/>
          <w:tblHeader w:val="0"/>
        </w:trPr>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5C">
            <w:pPr>
              <w:widowControl w:val="0"/>
              <w:spacing w:after="0" w:before="100" w:lineRule="auto"/>
              <w:ind w:firstLine="0"/>
              <w:rPr/>
            </w:pPr>
            <w:r w:rsidDel="00000000" w:rsidR="00000000" w:rsidRPr="00000000">
              <w:rPr>
                <w:b w:val="1"/>
                <w:rtl w:val="0"/>
              </w:rPr>
              <w:t xml:space="preserve">Variáveis</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5D">
            <w:pPr>
              <w:widowControl w:val="0"/>
              <w:spacing w:after="0" w:before="100" w:lineRule="auto"/>
              <w:ind w:firstLine="0"/>
              <w:jc w:val="center"/>
              <w:rPr/>
            </w:pPr>
            <w:r w:rsidDel="00000000" w:rsidR="00000000" w:rsidRPr="00000000">
              <w:rPr>
                <w:b w:val="1"/>
                <w:rtl w:val="0"/>
              </w:rPr>
              <w:t xml:space="preserve">T</w:t>
            </w:r>
            <w:r w:rsidDel="00000000" w:rsidR="00000000" w:rsidRPr="00000000">
              <w:rPr>
                <w:b w:val="1"/>
                <w:vertAlign w:val="subscript"/>
                <w:rtl w:val="0"/>
              </w:rPr>
              <w:t xml:space="preserve">2 </w:t>
            </w:r>
            <w:r w:rsidDel="00000000" w:rsidR="00000000" w:rsidRPr="00000000">
              <w:rPr>
                <w:b w:val="1"/>
                <w:rtl w:val="0"/>
              </w:rPr>
              <w:t xml:space="preserve">– Milho 15 dias</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5E">
            <w:pPr>
              <w:widowControl w:val="0"/>
              <w:spacing w:after="0" w:before="100" w:lineRule="auto"/>
              <w:ind w:firstLine="0"/>
              <w:jc w:val="center"/>
              <w:rPr/>
            </w:pPr>
            <w:r w:rsidDel="00000000" w:rsidR="00000000" w:rsidRPr="00000000">
              <w:rPr>
                <w:b w:val="1"/>
                <w:rtl w:val="0"/>
              </w:rPr>
              <w:t xml:space="preserve">T</w:t>
            </w:r>
            <w:r w:rsidDel="00000000" w:rsidR="00000000" w:rsidRPr="00000000">
              <w:rPr>
                <w:b w:val="1"/>
                <w:vertAlign w:val="subscript"/>
                <w:rtl w:val="0"/>
              </w:rPr>
              <w:t xml:space="preserve">3 </w:t>
            </w:r>
            <w:r w:rsidDel="00000000" w:rsidR="00000000" w:rsidRPr="00000000">
              <w:rPr>
                <w:b w:val="1"/>
                <w:rtl w:val="0"/>
              </w:rPr>
              <w:t xml:space="preserve">–</w:t>
            </w:r>
            <w:r w:rsidDel="00000000" w:rsidR="00000000" w:rsidRPr="00000000">
              <w:rPr>
                <w:b w:val="1"/>
                <w:vertAlign w:val="subscript"/>
                <w:rtl w:val="0"/>
              </w:rPr>
              <w:t xml:space="preserve"> </w:t>
            </w:r>
            <w:r w:rsidDel="00000000" w:rsidR="00000000" w:rsidRPr="00000000">
              <w:rPr>
                <w:b w:val="1"/>
                <w:rtl w:val="0"/>
              </w:rPr>
              <w:t xml:space="preserve">Milho 20 dias</w:t>
            </w: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5F">
            <w:pPr>
              <w:widowControl w:val="0"/>
              <w:spacing w:after="0" w:before="100" w:lineRule="auto"/>
              <w:ind w:firstLine="0"/>
              <w:rPr/>
            </w:pPr>
            <w:r w:rsidDel="00000000" w:rsidR="00000000" w:rsidRPr="00000000">
              <w:rPr>
                <w:rtl w:val="0"/>
              </w:rPr>
              <w:t xml:space="preserve">EMAn </w:t>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60">
            <w:pPr>
              <w:widowControl w:val="0"/>
              <w:spacing w:after="0" w:before="100" w:lineRule="auto"/>
              <w:ind w:firstLine="0"/>
              <w:jc w:val="center"/>
              <w:rPr/>
            </w:pPr>
            <w:r w:rsidDel="00000000" w:rsidR="00000000" w:rsidRPr="00000000">
              <w:rPr>
                <w:rtl w:val="0"/>
              </w:rPr>
              <w:t xml:space="preserve">1428,52</w:t>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61">
            <w:pPr>
              <w:widowControl w:val="0"/>
              <w:spacing w:after="0" w:before="100" w:lineRule="auto"/>
              <w:ind w:firstLine="0"/>
              <w:jc w:val="center"/>
              <w:rPr/>
            </w:pPr>
            <w:r w:rsidDel="00000000" w:rsidR="00000000" w:rsidRPr="00000000">
              <w:rPr>
                <w:rtl w:val="0"/>
              </w:rPr>
              <w:t xml:space="preserve">1342,67</w:t>
            </w:r>
          </w:p>
        </w:tc>
      </w:tr>
      <w:tr>
        <w:trPr>
          <w:cantSplit w:val="0"/>
          <w:tblHeader w:val="0"/>
        </w:trPr>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62">
            <w:pPr>
              <w:widowControl w:val="0"/>
              <w:spacing w:after="0" w:before="100" w:lineRule="auto"/>
              <w:ind w:firstLine="0"/>
              <w:rPr/>
            </w:pPr>
            <w:r w:rsidDel="00000000" w:rsidR="00000000" w:rsidRPr="00000000">
              <w:rPr>
                <w:rtl w:val="0"/>
              </w:rPr>
              <w:t xml:space="preserve">CMEMAn</w:t>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63">
            <w:pPr>
              <w:widowControl w:val="0"/>
              <w:spacing w:after="0" w:before="100" w:lineRule="auto"/>
              <w:ind w:firstLine="0"/>
              <w:jc w:val="center"/>
              <w:rPr/>
            </w:pPr>
            <w:r w:rsidDel="00000000" w:rsidR="00000000" w:rsidRPr="00000000">
              <w:rPr>
                <w:rtl w:val="0"/>
              </w:rPr>
              <w:t xml:space="preserve">34,40</w:t>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64">
            <w:pPr>
              <w:widowControl w:val="0"/>
              <w:spacing w:after="0" w:before="100" w:lineRule="auto"/>
              <w:ind w:firstLine="0"/>
              <w:jc w:val="center"/>
              <w:rPr/>
            </w:pPr>
            <w:r w:rsidDel="00000000" w:rsidR="00000000" w:rsidRPr="00000000">
              <w:rPr>
                <w:rtl w:val="0"/>
              </w:rPr>
              <w:t xml:space="preserve">32,47</w:t>
            </w:r>
          </w:p>
        </w:tc>
      </w:tr>
    </w:tbl>
    <w:p w:rsidR="00000000" w:rsidDel="00000000" w:rsidP="00000000" w:rsidRDefault="00000000" w:rsidRPr="00000000" w14:paraId="00000065">
      <w:pPr>
        <w:spacing w:line="360" w:lineRule="auto"/>
        <w:ind w:firstLine="0"/>
        <w:rPr/>
      </w:pPr>
      <w:r w:rsidDel="00000000" w:rsidR="00000000" w:rsidRPr="00000000">
        <w:rPr>
          <w:rtl w:val="0"/>
        </w:rPr>
        <w:t xml:space="preserve">Cálculos realizados seguindo os métodos de Sakomura e Rostagno (2016).</w:t>
      </w:r>
    </w:p>
    <w:p w:rsidR="00000000" w:rsidDel="00000000" w:rsidP="00000000" w:rsidRDefault="00000000" w:rsidRPr="00000000" w14:paraId="00000066">
      <w:pPr>
        <w:spacing w:line="360" w:lineRule="auto"/>
        <w:ind w:firstLine="0"/>
        <w:rPr/>
      </w:pPr>
      <w:r w:rsidDel="00000000" w:rsidR="00000000" w:rsidRPr="00000000">
        <w:rPr>
          <w:rtl w:val="0"/>
        </w:rPr>
      </w:r>
    </w:p>
    <w:p w:rsidR="00000000" w:rsidDel="00000000" w:rsidP="00000000" w:rsidRDefault="00000000" w:rsidRPr="00000000" w14:paraId="00000067">
      <w:pPr>
        <w:pStyle w:val="Heading1"/>
        <w:numPr>
          <w:ilvl w:val="0"/>
          <w:numId w:val="1"/>
        </w:numPr>
        <w:spacing w:line="360" w:lineRule="auto"/>
        <w:ind w:left="0" w:firstLine="0"/>
        <w:rPr/>
      </w:pPr>
      <w:r w:rsidDel="00000000" w:rsidR="00000000" w:rsidRPr="00000000">
        <w:rPr>
          <w:rtl w:val="0"/>
        </w:rPr>
        <w:t xml:space="preserve">Considerações Finais</w:t>
      </w:r>
    </w:p>
    <w:p w:rsidR="00000000" w:rsidDel="00000000" w:rsidP="00000000" w:rsidRDefault="00000000" w:rsidRPr="00000000" w14:paraId="00000068">
      <w:pPr>
        <w:spacing w:line="360" w:lineRule="auto"/>
        <w:ind w:firstLine="708"/>
        <w:rPr/>
      </w:pPr>
      <w:r w:rsidDel="00000000" w:rsidR="00000000" w:rsidRPr="00000000">
        <w:rPr>
          <w:rtl w:val="0"/>
        </w:rPr>
        <w:t xml:space="preserve">Frangos de crescimento lento aproveitam em média 1385 kcal de EMAn/kg do milho hidropônico colhido com 15 e 20 dias após a semeadura, ou seja 33% da energia bruta. </w:t>
      </w:r>
    </w:p>
    <w:p w:rsidR="00000000" w:rsidDel="00000000" w:rsidP="00000000" w:rsidRDefault="00000000" w:rsidRPr="00000000" w14:paraId="00000069">
      <w:pPr>
        <w:spacing w:line="360" w:lineRule="auto"/>
        <w:ind w:firstLine="708"/>
        <w:rPr/>
      </w:pPr>
      <w:r w:rsidDel="00000000" w:rsidR="00000000" w:rsidRPr="00000000">
        <w:rPr>
          <w:rtl w:val="0"/>
        </w:rPr>
        <w:t xml:space="preserve">Necessita-se de mais estudos sobre o alimento e sua influência no desempenho dos animais.</w:t>
      </w:r>
    </w:p>
    <w:p w:rsidR="00000000" w:rsidDel="00000000" w:rsidP="00000000" w:rsidRDefault="00000000" w:rsidRPr="00000000" w14:paraId="0000006A">
      <w:pPr>
        <w:spacing w:line="360" w:lineRule="auto"/>
        <w:ind w:firstLine="0"/>
        <w:rPr/>
      </w:pPr>
      <w:r w:rsidDel="00000000" w:rsidR="00000000" w:rsidRPr="00000000">
        <w:rPr>
          <w:rtl w:val="0"/>
        </w:rPr>
      </w:r>
    </w:p>
    <w:p w:rsidR="00000000" w:rsidDel="00000000" w:rsidP="00000000" w:rsidRDefault="00000000" w:rsidRPr="00000000" w14:paraId="0000006B">
      <w:pPr>
        <w:pStyle w:val="Heading1"/>
        <w:numPr>
          <w:ilvl w:val="0"/>
          <w:numId w:val="1"/>
        </w:numPr>
        <w:spacing w:line="360" w:lineRule="auto"/>
        <w:ind w:left="0" w:firstLine="0"/>
        <w:rPr/>
      </w:pPr>
      <w:r w:rsidDel="00000000" w:rsidR="00000000" w:rsidRPr="00000000">
        <w:rPr>
          <w:rtl w:val="0"/>
        </w:rPr>
        <w:t xml:space="preserve">Referências Bibliográficas</w:t>
      </w:r>
    </w:p>
    <w:p w:rsidR="00000000" w:rsidDel="00000000" w:rsidP="00000000" w:rsidRDefault="00000000" w:rsidRPr="00000000" w14:paraId="0000006C">
      <w:pPr>
        <w:spacing w:line="360" w:lineRule="auto"/>
        <w:ind w:firstLine="0"/>
        <w:rPr/>
      </w:pPr>
      <w:r w:rsidDel="00000000" w:rsidR="00000000" w:rsidRPr="00000000">
        <w:rPr>
          <w:rtl w:val="0"/>
        </w:rPr>
        <w:t xml:space="preserve">ALMEIDA, J. C. S.; VALENTIM, J. K.; FARIA, D. J. G.; NORONHA, C. M. S.; VELARDE, J. M. D. S.; MENDES, J. P.; Bromatological composition and dry matter production of corn hydroponic fodder. Acta Scientiarum Animal Science, v.43, n.1, e48800, 2021. DOI: 10.4025/actascianimsci.v43i1.48800</w:t>
      </w:r>
    </w:p>
    <w:p w:rsidR="00000000" w:rsidDel="00000000" w:rsidP="00000000" w:rsidRDefault="00000000" w:rsidRPr="00000000" w14:paraId="0000006D">
      <w:pPr>
        <w:spacing w:after="0" w:before="0" w:line="360" w:lineRule="auto"/>
        <w:ind w:firstLine="0"/>
        <w:rPr/>
      </w:pPr>
      <w:r w:rsidDel="00000000" w:rsidR="00000000" w:rsidRPr="00000000">
        <w:rPr>
          <w:rtl w:val="0"/>
        </w:rPr>
      </w:r>
    </w:p>
    <w:p w:rsidR="00000000" w:rsidDel="00000000" w:rsidP="00000000" w:rsidRDefault="00000000" w:rsidRPr="00000000" w14:paraId="0000006E">
      <w:pPr>
        <w:spacing w:line="360" w:lineRule="auto"/>
        <w:ind w:firstLine="0"/>
        <w:rPr/>
      </w:pPr>
      <w:r w:rsidDel="00000000" w:rsidR="00000000" w:rsidRPr="00000000">
        <w:rPr>
          <w:rtl w:val="0"/>
        </w:rPr>
        <w:t xml:space="preserve">ARAÚJO, J. S.; DE OLIVEIRA, G. F.; LIMA, H. C.; DA SILVA, J. S.; SANTOS, L.; DE SOUZA, M. N.; RODRIGUES, R. C.; PARENTE, H. N.; PARENTE, M. O. M. Organic substrates for production of corn hydroponic forage for animal feed. Academia Journal of Agricultural Research, v.6, n.2, p. 38-41, 2018. DOI: 10.15413/ajar.2017.0175</w:t>
      </w:r>
    </w:p>
    <w:p w:rsidR="00000000" w:rsidDel="00000000" w:rsidP="00000000" w:rsidRDefault="00000000" w:rsidRPr="00000000" w14:paraId="0000006F">
      <w:pPr>
        <w:spacing w:after="0" w:before="0" w:line="360" w:lineRule="auto"/>
        <w:ind w:firstLine="0"/>
        <w:rPr/>
      </w:pPr>
      <w:r w:rsidDel="00000000" w:rsidR="00000000" w:rsidRPr="00000000">
        <w:rPr>
          <w:rtl w:val="0"/>
        </w:rPr>
      </w:r>
    </w:p>
    <w:p w:rsidR="00000000" w:rsidDel="00000000" w:rsidP="00000000" w:rsidRDefault="00000000" w:rsidRPr="00000000" w14:paraId="00000070">
      <w:pPr>
        <w:spacing w:line="360" w:lineRule="auto"/>
        <w:ind w:firstLine="0"/>
        <w:rPr/>
      </w:pPr>
      <w:r w:rsidDel="00000000" w:rsidR="00000000" w:rsidRPr="00000000">
        <w:rPr>
          <w:rtl w:val="0"/>
        </w:rPr>
        <w:t xml:space="preserve">CARVALHO, L.E. et al. Níveis de farelo de coco em rações para leitões na fase de creche. Níveis de farelo de coco em rações para leitões na fase de creche, Arch. zootec, v. 63, n. 242, jun. 2014 Disponível em: https://scielo.isciii.es/scielo.php?script=sci_arttext&amp;pid=S0004-05922014000200008. Acesso em: 6 nov. 2022.</w:t>
      </w:r>
    </w:p>
    <w:p w:rsidR="00000000" w:rsidDel="00000000" w:rsidP="00000000" w:rsidRDefault="00000000" w:rsidRPr="00000000" w14:paraId="00000071">
      <w:pPr>
        <w:spacing w:after="0" w:before="0" w:line="360" w:lineRule="auto"/>
        <w:ind w:firstLine="0"/>
        <w:rPr/>
      </w:pPr>
      <w:r w:rsidDel="00000000" w:rsidR="00000000" w:rsidRPr="00000000">
        <w:rPr>
          <w:rtl w:val="0"/>
        </w:rPr>
      </w:r>
    </w:p>
    <w:p w:rsidR="00000000" w:rsidDel="00000000" w:rsidP="00000000" w:rsidRDefault="00000000" w:rsidRPr="00000000" w14:paraId="00000072">
      <w:pPr>
        <w:spacing w:after="0" w:before="0" w:line="360" w:lineRule="auto"/>
        <w:ind w:firstLine="0"/>
        <w:rPr/>
      </w:pPr>
      <w:r w:rsidDel="00000000" w:rsidR="00000000" w:rsidRPr="00000000">
        <w:rPr>
          <w:rtl w:val="0"/>
        </w:rPr>
        <w:t xml:space="preserve">FONSECA, G. C. et al. Qualidade de forragem de milho hidropônico cultivado em diferentes substratos de subproduto. Qualidade de forragem de milho hidropônico cultivado em diferentes substratos de subproduto, Ciência Animal Brasileira, v. 22, 2021. 1809-6891. DOI: https://doi.org/ 10.1590/1809-6891v22e-69834. Disponível em: https://www.scielo.br/j/cab/a/LQpYsfQMZszq9nDXmHgTwDC/?lang=pt&amp;format=pdf. Acesso em: 5 nov. 2022.</w:t>
      </w:r>
    </w:p>
    <w:p w:rsidR="00000000" w:rsidDel="00000000" w:rsidP="00000000" w:rsidRDefault="00000000" w:rsidRPr="00000000" w14:paraId="00000073">
      <w:pPr>
        <w:spacing w:after="0" w:before="0" w:line="360" w:lineRule="auto"/>
        <w:ind w:firstLine="0"/>
        <w:rPr/>
      </w:pPr>
      <w:r w:rsidDel="00000000" w:rsidR="00000000" w:rsidRPr="00000000">
        <w:rPr>
          <w:rtl w:val="0"/>
        </w:rPr>
      </w:r>
    </w:p>
    <w:p w:rsidR="00000000" w:rsidDel="00000000" w:rsidP="00000000" w:rsidRDefault="00000000" w:rsidRPr="00000000" w14:paraId="00000074">
      <w:pPr>
        <w:spacing w:after="0" w:before="0" w:line="360" w:lineRule="auto"/>
        <w:ind w:firstLine="0"/>
        <w:rPr/>
      </w:pPr>
      <w:r w:rsidDel="00000000" w:rsidR="00000000" w:rsidRPr="00000000">
        <w:rPr>
          <w:rtl w:val="0"/>
        </w:rPr>
      </w:r>
    </w:p>
    <w:p w:rsidR="00000000" w:rsidDel="00000000" w:rsidP="00000000" w:rsidRDefault="00000000" w:rsidRPr="00000000" w14:paraId="00000075">
      <w:pPr>
        <w:spacing w:line="360" w:lineRule="auto"/>
        <w:ind w:firstLine="0"/>
        <w:rPr/>
      </w:pPr>
      <w:r w:rsidDel="00000000" w:rsidR="00000000" w:rsidRPr="00000000">
        <w:rPr>
          <w:rtl w:val="0"/>
        </w:rPr>
        <w:t xml:space="preserve">PÍCCOLO, M. A; COELHO, F. C; GRAVINA, G. A.; MARCIANO, C. R.; RANGEL, O. J. P. Produção de forragem verde hidropônica de milho, utilizando substratos orgânicos e água residuária de bovinos. Revista Ceres, v.60, n.4, p.544-551, 2013. DOI: 10.1590/S0034-737X2013000400014</w:t>
      </w:r>
    </w:p>
    <w:p w:rsidR="00000000" w:rsidDel="00000000" w:rsidP="00000000" w:rsidRDefault="00000000" w:rsidRPr="00000000" w14:paraId="00000076">
      <w:pPr>
        <w:spacing w:after="0" w:before="0" w:line="360" w:lineRule="auto"/>
        <w:ind w:firstLine="0"/>
        <w:rPr/>
      </w:pPr>
      <w:r w:rsidDel="00000000" w:rsidR="00000000" w:rsidRPr="00000000">
        <w:rPr>
          <w:rtl w:val="0"/>
        </w:rPr>
      </w:r>
    </w:p>
    <w:p w:rsidR="00000000" w:rsidDel="00000000" w:rsidP="00000000" w:rsidRDefault="00000000" w:rsidRPr="00000000" w14:paraId="00000077">
      <w:pPr>
        <w:spacing w:line="360" w:lineRule="auto"/>
        <w:ind w:firstLine="0"/>
        <w:rPr/>
      </w:pPr>
      <w:r w:rsidDel="00000000" w:rsidR="00000000" w:rsidRPr="00000000">
        <w:rPr>
          <w:rtl w:val="0"/>
        </w:rPr>
        <w:t xml:space="preserve">PINHEIRO, C. C.; REGO, J. C. C.; RAMOS, T. A.; DA SILVA, B. K. R.; WARPECHOWSKI, M. B. Digestibilidade dos nutrientes e desempenho de frangos de corte consumindo dietas formuladas com diferentes níveis de fibra e suplementadas com enzimas exógenas. Brazilian Animal Science, v.9, n.4, p.984-996, 2008. DOI: https://www.revistas.ufg.br/vet/article/view/1481 </w:t>
      </w:r>
    </w:p>
    <w:p w:rsidR="00000000" w:rsidDel="00000000" w:rsidP="00000000" w:rsidRDefault="00000000" w:rsidRPr="00000000" w14:paraId="00000078">
      <w:pPr>
        <w:spacing w:after="0" w:before="0" w:line="360" w:lineRule="auto"/>
        <w:ind w:firstLine="0"/>
        <w:rPr/>
      </w:pPr>
      <w:r w:rsidDel="00000000" w:rsidR="00000000" w:rsidRPr="00000000">
        <w:rPr>
          <w:rtl w:val="0"/>
        </w:rPr>
      </w:r>
    </w:p>
    <w:p w:rsidR="00000000" w:rsidDel="00000000" w:rsidP="00000000" w:rsidRDefault="00000000" w:rsidRPr="00000000" w14:paraId="00000079">
      <w:pPr>
        <w:spacing w:line="360" w:lineRule="auto"/>
        <w:ind w:firstLine="0"/>
        <w:rPr/>
      </w:pPr>
      <w:r w:rsidDel="00000000" w:rsidR="00000000" w:rsidRPr="00000000">
        <w:rPr>
          <w:rtl w:val="0"/>
        </w:rPr>
        <w:t xml:space="preserve">SAKOMURA, N. K.; ROSTAGNO, H. S. Métodos de pesquisa em nutrição de  monogástricos. 2.ed. Jaboticabal: Funep, 2016. 283p.</w:t>
      </w:r>
    </w:p>
    <w:p w:rsidR="00000000" w:rsidDel="00000000" w:rsidP="00000000" w:rsidRDefault="00000000" w:rsidRPr="00000000" w14:paraId="0000007A">
      <w:pPr>
        <w:spacing w:after="0" w:before="0" w:line="360" w:lineRule="auto"/>
        <w:ind w:firstLine="0"/>
        <w:rPr/>
      </w:pPr>
      <w:r w:rsidDel="00000000" w:rsidR="00000000" w:rsidRPr="00000000">
        <w:rPr>
          <w:rtl w:val="0"/>
        </w:rPr>
      </w:r>
    </w:p>
    <w:p w:rsidR="00000000" w:rsidDel="00000000" w:rsidP="00000000" w:rsidRDefault="00000000" w:rsidRPr="00000000" w14:paraId="0000007B">
      <w:pPr>
        <w:spacing w:line="360" w:lineRule="auto"/>
        <w:ind w:firstLine="0"/>
        <w:rPr/>
      </w:pPr>
      <w:r w:rsidDel="00000000" w:rsidR="00000000" w:rsidRPr="00000000">
        <w:rPr>
          <w:rtl w:val="0"/>
        </w:rPr>
        <w:t xml:space="preserve">SAS INSTITUTE. SAS/STAT: User’s Guide. Versão 6.11. 4th ed. Cary: SAS Institute, v. 2, 2000, 842p.</w:t>
      </w:r>
    </w:p>
    <w:p w:rsidR="00000000" w:rsidDel="00000000" w:rsidP="00000000" w:rsidRDefault="00000000" w:rsidRPr="00000000" w14:paraId="0000007C">
      <w:pPr>
        <w:spacing w:line="360" w:lineRule="auto"/>
        <w:ind w:firstLine="0"/>
        <w:rPr/>
      </w:pPr>
      <w:r w:rsidDel="00000000" w:rsidR="00000000" w:rsidRPr="00000000">
        <w:rPr>
          <w:rtl w:val="0"/>
        </w:rPr>
      </w:r>
    </w:p>
    <w:p w:rsidR="00000000" w:rsidDel="00000000" w:rsidP="00000000" w:rsidRDefault="00000000" w:rsidRPr="00000000" w14:paraId="0000007D">
      <w:pPr>
        <w:spacing w:line="360" w:lineRule="auto"/>
        <w:ind w:firstLine="0"/>
        <w:rPr/>
      </w:pPr>
      <w:r w:rsidDel="00000000" w:rsidR="00000000" w:rsidRPr="00000000">
        <w:rPr>
          <w:rtl w:val="0"/>
        </w:rPr>
        <w:t xml:space="preserve">Sousa, L. K. S. de, Roque-Specht, V. F., &amp; Gomes, E. M. de C. (2020). Main hypermarket meat purchasing drivers. Revista de Administração Contemporânea, 24(4), 335-348. https://doi.org/10.1590/1982- 7849rac2020190097</w:t>
      </w:r>
    </w:p>
    <w:p w:rsidR="00000000" w:rsidDel="00000000" w:rsidP="00000000" w:rsidRDefault="00000000" w:rsidRPr="00000000" w14:paraId="0000007E">
      <w:pPr>
        <w:spacing w:line="360" w:lineRule="auto"/>
        <w:ind w:firstLine="0"/>
        <w:rPr/>
      </w:pPr>
      <w:r w:rsidDel="00000000" w:rsidR="00000000" w:rsidRPr="00000000">
        <w:rPr>
          <w:rtl w:val="0"/>
        </w:rPr>
      </w:r>
    </w:p>
    <w:p w:rsidR="00000000" w:rsidDel="00000000" w:rsidP="00000000" w:rsidRDefault="00000000" w:rsidRPr="00000000" w14:paraId="0000007F">
      <w:pPr>
        <w:pStyle w:val="Heading1"/>
        <w:numPr>
          <w:ilvl w:val="0"/>
          <w:numId w:val="1"/>
        </w:numPr>
        <w:spacing w:line="360" w:lineRule="auto"/>
        <w:ind w:left="0" w:firstLine="0"/>
        <w:rPr/>
      </w:pPr>
      <w:r w:rsidDel="00000000" w:rsidR="00000000" w:rsidRPr="00000000">
        <w:rPr>
          <w:rtl w:val="0"/>
        </w:rPr>
        <w:t xml:space="preserve">Agradecimentos</w:t>
      </w:r>
    </w:p>
    <w:p w:rsidR="00000000" w:rsidDel="00000000" w:rsidP="00000000" w:rsidRDefault="00000000" w:rsidRPr="00000000" w14:paraId="00000080">
      <w:pPr>
        <w:spacing w:after="0" w:line="360" w:lineRule="auto"/>
        <w:ind w:firstLine="709"/>
        <w:rPr>
          <w:sz w:val="24"/>
          <w:szCs w:val="24"/>
        </w:rPr>
      </w:pPr>
      <w:r w:rsidDel="00000000" w:rsidR="00000000" w:rsidRPr="00000000">
        <w:rPr>
          <w:rtl w:val="0"/>
        </w:rPr>
        <w:t xml:space="preserve">O presente trabalho foi realizado com o apoio do Conselho Nacional de Desenvolvimento Científico e Tecnológico – CNPq – Brasil e do Professor Danilo que me orientou e me auxiliou juntamente com os integrantes do GEPA, para a execução dessa pesquisa.</w:t>
      </w:r>
      <w:r w:rsidDel="00000000" w:rsidR="00000000" w:rsidRPr="00000000">
        <w:rPr>
          <w:rtl w:val="0"/>
        </w:rPr>
      </w:r>
    </w:p>
    <w:sectPr>
      <w:footerReference r:id="rId14" w:type="default"/>
      <w:type w:val="nextPage"/>
      <w:pgSz w:h="16840" w:w="11907"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320"/>
        <w:tab w:val="right" w:leader="none" w:pos="8640"/>
        <w:tab w:val="left" w:leader="none" w:pos="567"/>
        <w:tab w:val="left" w:leader="none" w:pos="1110"/>
      </w:tabs>
      <w:ind w:firstLine="0"/>
      <w:jc w:val="center"/>
      <w:rPr>
        <w:b w:val="1"/>
        <w:color w:val="000000"/>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822960</wp:posOffset>
          </wp:positionH>
          <wp:positionV relativeFrom="paragraph">
            <wp:posOffset>-245108</wp:posOffset>
          </wp:positionV>
          <wp:extent cx="3549650" cy="11811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49650" cy="1181100"/>
                  </a:xfrm>
                  <a:prstGeom prst="rect"/>
                  <a:ln/>
                </pic:spPr>
              </pic:pic>
            </a:graphicData>
          </a:graphic>
        </wp:anchor>
      </w:drawing>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320"/>
        <w:tab w:val="right" w:leader="none" w:pos="8640"/>
        <w:tab w:val="left" w:leader="none" w:pos="1110"/>
        <w:tab w:val="center" w:leader="none" w:pos="4513"/>
        <w:tab w:val="right" w:leader="none" w:pos="8307"/>
      </w:tabs>
      <w:jc w:val="left"/>
      <w:rPr>
        <w:b w:val="1"/>
        <w:color w:val="000000"/>
        <w:sz w:val="36"/>
        <w:szCs w:val="36"/>
      </w:rPr>
    </w:pPr>
    <w:r w:rsidDel="00000000" w:rsidR="00000000" w:rsidRPr="00000000">
      <w:rPr>
        <w:b w:val="1"/>
        <w:color w:val="000000"/>
        <w:sz w:val="28"/>
        <w:szCs w:val="28"/>
        <w:rtl w:val="0"/>
      </w:rPr>
      <w:tab/>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320"/>
        <w:tab w:val="right" w:leader="none" w:pos="8640"/>
        <w:tab w:val="left" w:leader="none" w:pos="1110"/>
      </w:tabs>
      <w:jc w:val="center"/>
      <w:rPr>
        <w:color w:val="00000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pt-BR"/>
      </w:rPr>
    </w:rPrDefault>
    <w:pPrDefault>
      <w:pPr>
        <w:spacing w:after="60" w:before="60"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pacing w:after="80" w:before="0" w:lineRule="auto"/>
      <w:ind w:firstLine="0"/>
      <w:jc w:val="left"/>
    </w:pPr>
    <w:rPr>
      <w:color w:val="000000"/>
      <w:sz w:val="44"/>
      <w:szCs w:val="44"/>
    </w:rPr>
  </w:style>
  <w:style w:type="paragraph" w:styleId="Heading2">
    <w:name w:val="heading 2"/>
    <w:basedOn w:val="Normal"/>
    <w:next w:val="Normal"/>
    <w:pPr>
      <w:spacing w:after="120" w:before="240" w:lineRule="auto"/>
      <w:ind w:left="274" w:hanging="274"/>
    </w:pPr>
    <w:rPr>
      <w:sz w:val="32"/>
      <w:szCs w:val="32"/>
    </w:rPr>
  </w:style>
  <w:style w:type="paragraph" w:styleId="Heading3">
    <w:name w:val="heading 3"/>
    <w:basedOn w:val="Normal"/>
    <w:next w:val="Normal"/>
    <w:pPr>
      <w:keepNext w:val="1"/>
      <w:spacing w:before="240" w:lineRule="auto"/>
    </w:pPr>
    <w:rPr>
      <w:b w:val="1"/>
      <w:sz w:val="26"/>
      <w:szCs w:val="26"/>
    </w:rPr>
  </w:style>
  <w:style w:type="paragraph" w:styleId="Heading4">
    <w:name w:val="heading 4"/>
    <w:basedOn w:val="Normal"/>
    <w:next w:val="Normal"/>
    <w:pPr>
      <w:keepNext w:val="1"/>
      <w:spacing w:after="0" w:before="120" w:lineRule="auto"/>
      <w:ind w:left="720" w:firstLine="0"/>
    </w:pPr>
    <w:rPr>
      <w:rFonts w:ascii="Arial" w:cs="Arial" w:eastAsia="Arial" w:hAnsi="Arial"/>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before="240" w:lineRule="auto"/>
      <w:jc w:val="center"/>
    </w:pPr>
    <w:rPr>
      <w:rFonts w:ascii="Cambria" w:cs="Cambria" w:eastAsia="Cambria" w:hAnsi="Cambria"/>
      <w:b w:val="1"/>
      <w:sz w:val="32"/>
      <w:szCs w:val="32"/>
    </w:rPr>
  </w:style>
  <w:style w:type="paragraph" w:styleId="Subtitle">
    <w:name w:val="Subtitle"/>
    <w:basedOn w:val="Normal"/>
    <w:next w:val="Normal"/>
    <w:pPr>
      <w:jc w:val="center"/>
    </w:pPr>
    <w:rPr>
      <w:rFonts w:ascii="Cambria" w:cs="Cambria" w:eastAsia="Cambria" w:hAnsi="Cambria"/>
      <w:sz w:val="24"/>
      <w:szCs w:val="24"/>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hyperlink" Target="about:blank"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4.xml"/><Relationship Id="rId5" Type="http://schemas.openxmlformats.org/officeDocument/2006/relationships/styles" Target="styles.xml"/><Relationship Id="rId6" Type="http://schemas.openxmlformats.org/officeDocument/2006/relationships/hyperlink" Target="mailto:jessica.santos1@mail.uft.edu.br" TargetMode="Externa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