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808CC" w:rsidRPr="009B0B70" w:rsidRDefault="00507B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70">
        <w:rPr>
          <w:rFonts w:ascii="Times New Roman" w:eastAsia="Times New Roman" w:hAnsi="Times New Roman" w:cs="Times New Roman"/>
          <w:b/>
          <w:sz w:val="24"/>
          <w:szCs w:val="24"/>
        </w:rPr>
        <w:t>Alterações hematológicas na COVID-19: uma revisão integrativa</w:t>
      </w:r>
    </w:p>
    <w:p w14:paraId="00000002" w14:textId="77777777" w:rsidR="006808CC" w:rsidRPr="009B0B70" w:rsidRDefault="0068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3F24CCE2" w:rsidR="006808CC" w:rsidRPr="009B0B70" w:rsidRDefault="00507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0B70">
        <w:rPr>
          <w:rFonts w:ascii="Times New Roman" w:eastAsia="Times New Roman" w:hAnsi="Times New Roman" w:cs="Times New Roman"/>
          <w:sz w:val="24"/>
          <w:szCs w:val="24"/>
        </w:rPr>
        <w:t>Guilherme Carvalho Siqueira</w:t>
      </w:r>
      <w:r w:rsidRPr="009B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*; Laís Laura de Souza</w:t>
      </w:r>
      <w:r w:rsidRPr="009B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; Milena Barbosa Porto</w:t>
      </w:r>
      <w:r w:rsidRPr="009B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; João Victor Benevenuto de Queiroz e Ataídes</w:t>
      </w:r>
      <w:r w:rsidRPr="009B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; Rafaela Vieira Campos</w:t>
      </w:r>
      <w:r w:rsidRPr="009B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F49F4" w:rsidRPr="009B0B70">
        <w:rPr>
          <w:rFonts w:ascii="Times New Roman" w:eastAsia="Times New Roman" w:hAnsi="Times New Roman" w:cs="Times New Roman"/>
          <w:sz w:val="24"/>
          <w:szCs w:val="24"/>
        </w:rPr>
        <w:t>; Sérgio Henrique Nascente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Costa</w:t>
      </w:r>
      <w:r w:rsidRPr="009B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00000004" w14:textId="77777777" w:rsidR="006808CC" w:rsidRPr="009B0B70" w:rsidRDefault="00507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Pontifícia Universidade Católica de Goiás. Escola de Ciências Médicas, Farmacêuticas e Biomédicas, Curso de Medicina – Goiânia – GO</w:t>
      </w:r>
    </w:p>
    <w:p w14:paraId="73408522" w14:textId="44E5CAF6" w:rsidR="00097ED0" w:rsidRPr="009B0B70" w:rsidRDefault="00097ED0" w:rsidP="0009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Professor Doutor da Pontifícia Universidade Católica de Goiás. Escola de Ciências Médicas, Farmacêuticas e Biomédicas, Curso de Medicina – Goiânia – GO </w:t>
      </w:r>
      <w:r w:rsidR="009B0B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Orientador</w:t>
      </w:r>
    </w:p>
    <w:p w14:paraId="09A99277" w14:textId="2FED377E" w:rsidR="00097ED0" w:rsidRPr="009B0B70" w:rsidRDefault="0009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808CC" w:rsidRPr="009B0B70" w:rsidRDefault="00507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70">
        <w:rPr>
          <w:rFonts w:ascii="Times New Roman" w:eastAsia="Times New Roman" w:hAnsi="Times New Roman" w:cs="Times New Roman"/>
          <w:sz w:val="24"/>
          <w:szCs w:val="24"/>
        </w:rPr>
        <w:t>*Autor correspondente: guilhermeccsiqueira@hotmail.com</w:t>
      </w:r>
    </w:p>
    <w:p w14:paraId="00000006" w14:textId="77777777" w:rsidR="006808CC" w:rsidRPr="009B0B70" w:rsidRDefault="006808CC">
      <w:pPr>
        <w:jc w:val="both"/>
        <w:rPr>
          <w:sz w:val="24"/>
          <w:szCs w:val="24"/>
        </w:rPr>
      </w:pPr>
    </w:p>
    <w:p w14:paraId="00000007" w14:textId="74442397" w:rsidR="006808CC" w:rsidRPr="009B0B70" w:rsidRDefault="00507B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B0B70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A COVID-19 é uma doença </w:t>
      </w:r>
      <w:r w:rsidR="005E7C44" w:rsidRPr="009B0B7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655A3F" w:rsidRPr="009B0B70">
        <w:rPr>
          <w:rFonts w:ascii="Times New Roman" w:eastAsia="Times New Roman" w:hAnsi="Times New Roman" w:cs="Times New Roman"/>
          <w:sz w:val="24"/>
          <w:szCs w:val="24"/>
        </w:rPr>
        <w:t>grande</w:t>
      </w:r>
      <w:r w:rsidR="005E7C44" w:rsidRPr="009B0B70">
        <w:rPr>
          <w:rFonts w:ascii="Times New Roman" w:eastAsia="Times New Roman" w:hAnsi="Times New Roman" w:cs="Times New Roman"/>
          <w:sz w:val="24"/>
          <w:szCs w:val="24"/>
        </w:rPr>
        <w:t xml:space="preserve"> transmissibilidade</w:t>
      </w:r>
      <w:r w:rsidR="00655A3F" w:rsidRPr="009B0B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que, entre as </w:t>
      </w:r>
      <w:r w:rsidR="005E7C44" w:rsidRPr="009B0B70">
        <w:rPr>
          <w:rFonts w:ascii="Times New Roman" w:eastAsia="Times New Roman" w:hAnsi="Times New Roman" w:cs="Times New Roman"/>
          <w:sz w:val="24"/>
          <w:szCs w:val="24"/>
        </w:rPr>
        <w:t>várias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consequências, acarreta diversas alterações hematológicas</w:t>
      </w:r>
      <w:r w:rsidR="00876A17" w:rsidRPr="009B0B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7715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876A17" w:rsidRPr="009B0B70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êm </w:t>
      </w:r>
      <w:r w:rsidR="00655A3F" w:rsidRPr="009B0B70">
        <w:rPr>
          <w:rFonts w:ascii="Times New Roman" w:eastAsia="Times New Roman" w:hAnsi="Times New Roman" w:cs="Times New Roman"/>
          <w:sz w:val="24"/>
          <w:szCs w:val="24"/>
        </w:rPr>
        <w:t>elevadas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A3F" w:rsidRPr="009B0B70">
        <w:rPr>
          <w:rFonts w:ascii="Times New Roman" w:eastAsia="Times New Roman" w:hAnsi="Times New Roman" w:cs="Times New Roman"/>
          <w:sz w:val="24"/>
          <w:szCs w:val="24"/>
        </w:rPr>
        <w:t>prevalências</w:t>
      </w:r>
      <w:r w:rsidR="00876A17" w:rsidRPr="009B0B70">
        <w:rPr>
          <w:rFonts w:ascii="Times New Roman" w:eastAsia="Times New Roman" w:hAnsi="Times New Roman" w:cs="Times New Roman"/>
          <w:sz w:val="24"/>
          <w:szCs w:val="24"/>
        </w:rPr>
        <w:t xml:space="preserve"> em casos mais graves, como o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aumento de D-dímero, </w:t>
      </w:r>
      <w:r w:rsidR="00876A17" w:rsidRPr="009B0B7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76A17" w:rsidRPr="009B0B70">
        <w:rPr>
          <w:rFonts w:ascii="Times New Roman" w:eastAsia="Times New Roman" w:hAnsi="Times New Roman" w:cs="Times New Roman"/>
          <w:sz w:val="24"/>
          <w:szCs w:val="24"/>
        </w:rPr>
        <w:t>linfopenia</w:t>
      </w:r>
      <w:proofErr w:type="spellEnd"/>
      <w:r w:rsidR="00876A17" w:rsidRPr="009B0B70">
        <w:rPr>
          <w:rFonts w:ascii="Times New Roman" w:eastAsia="Times New Roman" w:hAnsi="Times New Roman" w:cs="Times New Roman"/>
          <w:sz w:val="24"/>
          <w:szCs w:val="24"/>
        </w:rPr>
        <w:t xml:space="preserve"> e as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</w:rPr>
        <w:t>coagulopatia</w:t>
      </w:r>
      <w:r w:rsidR="00876A17" w:rsidRPr="009B0B7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196A38" w:rsidRPr="009B0B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5A3F" w:rsidRPr="009B0B70">
        <w:rPr>
          <w:rFonts w:ascii="Times New Roman" w:eastAsia="Times New Roman" w:hAnsi="Times New Roman" w:cs="Times New Roman"/>
          <w:sz w:val="24"/>
          <w:szCs w:val="24"/>
        </w:rPr>
        <w:t>chegando a atingir mais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de 60%.</w:t>
      </w:r>
      <w:r w:rsidRPr="009B0B70"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Objetivos: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Identificar as principais alterações hematológicas causadas pel</w:t>
      </w:r>
      <w:r w:rsidR="00655A3F" w:rsidRPr="009B0B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COVID-19. </w:t>
      </w:r>
      <w:r w:rsidRPr="009B0B70"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integrativa, realizada por meio da pesquisa de artigos científicos, nas bases de dados BVS e PubMed, com os descritores “</w:t>
      </w:r>
      <w:proofErr w:type="spellStart"/>
      <w:r w:rsidRPr="009B0B70">
        <w:rPr>
          <w:rFonts w:ascii="Times New Roman" w:eastAsia="Times New Roman" w:hAnsi="Times New Roman" w:cs="Times New Roman"/>
          <w:i/>
          <w:sz w:val="24"/>
          <w:szCs w:val="24"/>
        </w:rPr>
        <w:t>hematological</w:t>
      </w:r>
      <w:proofErr w:type="spellEnd"/>
      <w:r w:rsidRPr="009B0B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B70">
        <w:rPr>
          <w:rFonts w:ascii="Times New Roman" w:eastAsia="Times New Roman" w:hAnsi="Times New Roman" w:cs="Times New Roman"/>
          <w:i/>
          <w:sz w:val="24"/>
          <w:szCs w:val="24"/>
        </w:rPr>
        <w:t>changes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Pr="009B0B70">
        <w:rPr>
          <w:rFonts w:ascii="Times New Roman" w:eastAsia="Times New Roman" w:hAnsi="Times New Roman" w:cs="Times New Roman"/>
          <w:i/>
          <w:sz w:val="24"/>
          <w:szCs w:val="24"/>
        </w:rPr>
        <w:t>COVID-19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 w:rsidRPr="009B0B70">
        <w:rPr>
          <w:rFonts w:ascii="Times New Roman" w:eastAsia="Times New Roman" w:hAnsi="Times New Roman" w:cs="Times New Roman"/>
          <w:i/>
          <w:sz w:val="24"/>
          <w:szCs w:val="24"/>
        </w:rPr>
        <w:t>coagulation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”, publicados </w:t>
      </w:r>
      <w:r w:rsidR="001919A9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2020, nas línguas inglesa e portuguesa. </w:t>
      </w:r>
      <w:r w:rsidR="001919A9">
        <w:rPr>
          <w:rFonts w:ascii="Times New Roman" w:eastAsia="Times New Roman" w:hAnsi="Times New Roman" w:cs="Times New Roman"/>
          <w:sz w:val="24"/>
          <w:szCs w:val="24"/>
        </w:rPr>
        <w:t>Assim,</w:t>
      </w:r>
      <w:r w:rsidR="00655A3F" w:rsidRPr="009B0B70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oram encontrados 15 artigos, </w:t>
      </w:r>
      <w:r w:rsidR="001919A9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foram lidos </w:t>
      </w:r>
      <w:r w:rsidR="009B550F" w:rsidRPr="009B0B7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919A9">
        <w:rPr>
          <w:rFonts w:ascii="Times New Roman" w:eastAsia="Times New Roman" w:hAnsi="Times New Roman" w:cs="Times New Roman"/>
          <w:sz w:val="24"/>
          <w:szCs w:val="24"/>
        </w:rPr>
        <w:t>analisados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. Como critério de inclusão, foram considerados artigos de revisão, artigos </w:t>
      </w:r>
      <w:r w:rsidR="00390637" w:rsidRPr="009B0B70">
        <w:rPr>
          <w:rFonts w:ascii="Times New Roman" w:eastAsia="Times New Roman" w:hAnsi="Times New Roman" w:cs="Times New Roman"/>
          <w:sz w:val="24"/>
          <w:szCs w:val="24"/>
        </w:rPr>
        <w:t>originais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e relatos de caso que retratassem a temática </w:t>
      </w:r>
      <w:r w:rsidR="001919A9">
        <w:rPr>
          <w:rFonts w:ascii="Times New Roman" w:eastAsia="Times New Roman" w:hAnsi="Times New Roman" w:cs="Times New Roman"/>
          <w:sz w:val="24"/>
          <w:szCs w:val="24"/>
        </w:rPr>
        <w:t>proposta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. Após a leitura, foram selecionados 8 artigos para a elaboração d</w:t>
      </w:r>
      <w:r w:rsidR="001919A9">
        <w:rPr>
          <w:rFonts w:ascii="Times New Roman" w:eastAsia="Times New Roman" w:hAnsi="Times New Roman" w:cs="Times New Roman"/>
          <w:sz w:val="24"/>
          <w:szCs w:val="24"/>
        </w:rPr>
        <w:t>esse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estudo. </w:t>
      </w:r>
      <w:r w:rsidRPr="009B0B70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Pacientes diagnosticados com COVID-19 foram submetidos a exames</w:t>
      </w:r>
      <w:r w:rsidR="00FF3B0D" w:rsidRPr="009B0B70">
        <w:rPr>
          <w:rFonts w:ascii="Times New Roman" w:eastAsia="Times New Roman" w:hAnsi="Times New Roman" w:cs="Times New Roman"/>
          <w:sz w:val="24"/>
          <w:szCs w:val="24"/>
        </w:rPr>
        <w:t xml:space="preserve">, como hemograma, dosagem de D-dímero e outros testes de </w:t>
      </w:r>
      <w:r w:rsidR="004B2BB5" w:rsidRPr="009B0B70">
        <w:rPr>
          <w:rFonts w:ascii="Times New Roman" w:eastAsia="Times New Roman" w:hAnsi="Times New Roman" w:cs="Times New Roman"/>
          <w:sz w:val="24"/>
          <w:szCs w:val="24"/>
        </w:rPr>
        <w:t>coagulação</w:t>
      </w:r>
      <w:r w:rsidR="00FF3B0D" w:rsidRPr="009B0B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que confirmaram a presença de alterações hematológicas</w:t>
      </w:r>
      <w:r w:rsidR="001919A9">
        <w:rPr>
          <w:rFonts w:ascii="Times New Roman" w:eastAsia="Times New Roman" w:hAnsi="Times New Roman" w:cs="Times New Roman"/>
          <w:sz w:val="24"/>
          <w:szCs w:val="24"/>
        </w:rPr>
        <w:t>, como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: aumento no nível de D-dímero em 12%, redução no número de plaquetas </w:t>
      </w:r>
      <w:r w:rsidR="004B2BB5" w:rsidRPr="009B0B70">
        <w:rPr>
          <w:rFonts w:ascii="Times New Roman" w:eastAsia="Times New Roman" w:hAnsi="Times New Roman" w:cs="Times New Roman"/>
          <w:sz w:val="24"/>
          <w:szCs w:val="24"/>
        </w:rPr>
        <w:t xml:space="preserve">em pacientes com doença crítica, com diferença significativa em relação a casos não críticos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(p&lt;0,0001), níveis de fibrinogênio aumentados em cerca de 60%,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</w:rPr>
        <w:t>linfopenia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em 45%, aumento de leucócitos, con</w:t>
      </w:r>
      <w:r w:rsidR="00FF3B0D" w:rsidRPr="009B0B70">
        <w:rPr>
          <w:rFonts w:ascii="Times New Roman" w:eastAsia="Times New Roman" w:hAnsi="Times New Roman" w:cs="Times New Roman"/>
          <w:sz w:val="24"/>
          <w:szCs w:val="24"/>
        </w:rPr>
        <w:t>tagem elevada de neutrófilos (2</w:t>
      </w:r>
      <w:r w:rsidR="00AF1B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3 vezes </w:t>
      </w:r>
      <w:r w:rsidR="004B2BB5" w:rsidRPr="009B0B70">
        <w:rPr>
          <w:rFonts w:ascii="Times New Roman" w:eastAsia="Times New Roman" w:hAnsi="Times New Roman" w:cs="Times New Roman"/>
          <w:sz w:val="24"/>
          <w:szCs w:val="24"/>
        </w:rPr>
        <w:t xml:space="preserve">superior </w:t>
      </w:r>
      <w:r w:rsidR="00AF1BA7">
        <w:rPr>
          <w:rFonts w:ascii="Times New Roman" w:eastAsia="Times New Roman" w:hAnsi="Times New Roman" w:cs="Times New Roman"/>
          <w:sz w:val="24"/>
          <w:szCs w:val="24"/>
        </w:rPr>
        <w:t>aos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linfócitos) e </w:t>
      </w:r>
      <w:r w:rsidR="00FF3B0D" w:rsidRPr="009B0B70">
        <w:rPr>
          <w:rFonts w:ascii="Times New Roman" w:eastAsia="Times New Roman" w:hAnsi="Times New Roman" w:cs="Times New Roman"/>
          <w:sz w:val="24"/>
          <w:szCs w:val="24"/>
        </w:rPr>
        <w:t>alteração das provas de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coagulação. No entanto, essas alterações são variáveis, principalmente em casos mais leves da doença. Nos pacientes em estágios mais avançados da COVID-19, a contagem de plaquetas reduziu significativamente, o que demonstra o consumo e a geração de trombina, fundamental para identificar a gravidade e a presença de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</w:rPr>
        <w:t>coagulopatia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</w:rPr>
        <w:t>, complicação que acomete</w:t>
      </w:r>
      <w:r w:rsidR="004B2BB5" w:rsidRPr="009B0B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 w:rsidR="00E167A4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casos graves. Outro fator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observado</w:t>
      </w:r>
      <w:r w:rsidR="00E167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 xml:space="preserve"> foi em decorrência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do aumento de citocinas pró-inflamatórias, visto que induzem a formação anormal do coágulo,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hiperativação</w:t>
      </w:r>
      <w:proofErr w:type="spellEnd"/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 xml:space="preserve"> das plaquetas, além de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consequências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 xml:space="preserve">mais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comuns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doenças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infecciosas,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como a </w:t>
      </w:r>
      <w:proofErr w:type="spellStart"/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linfopenia</w:t>
      </w:r>
      <w:proofErr w:type="spellEnd"/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 xml:space="preserve">leucocitose com </w:t>
      </w:r>
      <w:proofErr w:type="spellStart"/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neutrofilia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</w:rPr>
        <w:t>. Somado a isso, um estudo com 1099 pacientes positivos para COVID-19 de 552 hospitais da China observou concentra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ções de D-dímero acima do limite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 xml:space="preserve">de referência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em 46,4% dos pacientes, dos quais 60% desenvolveram manifestações graves. Ademais, associou-se essa elevação dos níveis de D-dímeros com os produtos de degradação de fibrina, o que levou a quadros de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</w:rPr>
        <w:t>hipercoaguabilidade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associados a trombose e infecção. </w:t>
      </w:r>
      <w:r w:rsidRPr="009B0B70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865">
        <w:rPr>
          <w:rFonts w:ascii="Times New Roman" w:eastAsia="Times New Roman" w:hAnsi="Times New Roman" w:cs="Times New Roman"/>
          <w:sz w:val="24"/>
          <w:szCs w:val="24"/>
        </w:rPr>
        <w:t>F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 xml:space="preserve">icou evidenciado que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 xml:space="preserve">doença do COVID-19 manifesta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alterações hematológicas importantes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, com destaque para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as elevações dos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níveis 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 xml:space="preserve">sanguíneos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de D-dímero e fatores de coagulação</w:t>
      </w:r>
      <w:r w:rsidR="000D254B" w:rsidRPr="009B0B70">
        <w:rPr>
          <w:rFonts w:ascii="Times New Roman" w:eastAsia="Times New Roman" w:hAnsi="Times New Roman" w:cs="Times New Roman"/>
          <w:sz w:val="24"/>
          <w:szCs w:val="24"/>
        </w:rPr>
        <w:t>, alé</w:t>
      </w:r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>m do hemograma, cujos exames podem indicar o prognóstico e a prescrição do tratamento, com a finalidade de minimizar as complicações pulmonares e vasculares da infecção, entre outras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4865">
        <w:rPr>
          <w:rFonts w:ascii="Times New Roman" w:eastAsia="Times New Roman" w:hAnsi="Times New Roman" w:cs="Times New Roman"/>
          <w:sz w:val="24"/>
          <w:szCs w:val="24"/>
        </w:rPr>
        <w:t>Ressalta-se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, ainda, que essas alterações são diretamente proporcionais ao estágio da doença no qual o indivíduo se encontra. Considerando o fato </w:t>
      </w:r>
      <w:r w:rsidR="00A74F3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doença ter sido recentemente identificada, e seu atual contexto pandêmico, uma </w:t>
      </w:r>
      <w:r w:rsidR="00A74F3D">
        <w:rPr>
          <w:rFonts w:ascii="Times New Roman" w:eastAsia="Times New Roman" w:hAnsi="Times New Roman" w:cs="Times New Roman"/>
          <w:sz w:val="24"/>
          <w:szCs w:val="24"/>
        </w:rPr>
        <w:t>avaliação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laboratorial dessas manifestações, </w:t>
      </w:r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 xml:space="preserve">bem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>o diagnóstico precoce, por meio da detecção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do RNA viral através do RT-PCR, com amostras do </w:t>
      </w:r>
      <w:proofErr w:type="spellStart"/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>swab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nasal e orofaríngeo, pode </w:t>
      </w:r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>permitir a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escolha </w:t>
      </w:r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>do tratamento apropriado dos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indivíduos</w:t>
      </w:r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 xml:space="preserve"> detectados, com a maior brevidade possível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  <w:r w:rsidRPr="009B0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125C6E" w14:textId="77777777" w:rsidR="006D0403" w:rsidRPr="009B0B70" w:rsidRDefault="006D04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4FA91F04" w:rsidR="006808CC" w:rsidRPr="009B0B70" w:rsidRDefault="00507B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70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9B0B70">
        <w:rPr>
          <w:rFonts w:ascii="Times New Roman" w:eastAsia="Times New Roman" w:hAnsi="Times New Roman" w:cs="Times New Roman"/>
          <w:sz w:val="24"/>
          <w:szCs w:val="24"/>
        </w:rPr>
        <w:t>Coagulação; COVID-19; Hematologia.</w:t>
      </w:r>
      <w:r w:rsidR="006D0403" w:rsidRPr="009B0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6808CC" w:rsidRPr="009B0B70" w:rsidRDefault="006808CC">
      <w:pPr>
        <w:jc w:val="both"/>
        <w:rPr>
          <w:sz w:val="24"/>
          <w:szCs w:val="24"/>
        </w:rPr>
      </w:pPr>
    </w:p>
    <w:p w14:paraId="0000000A" w14:textId="77777777" w:rsidR="006808CC" w:rsidRPr="009B0B70" w:rsidRDefault="00507B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B0B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REFERÊNCIAS</w:t>
      </w:r>
    </w:p>
    <w:p w14:paraId="0000000B" w14:textId="77777777" w:rsidR="006808CC" w:rsidRPr="009B0B70" w:rsidRDefault="00507B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Miesbach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W,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Makris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COVID-19: Coagulopathy, Risk of Thrombosis, and the Rationale for Anticoagulation.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Appl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Thromb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2020;26:1</w:t>
      </w:r>
      <w:proofErr w:type="gram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-7.</w:t>
      </w:r>
    </w:p>
    <w:p w14:paraId="0000000C" w14:textId="77777777" w:rsidR="006808CC" w:rsidRPr="009B0B70" w:rsidRDefault="00507B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Liao D, Zhou F, Luo L, Xu M, Wang H, Xia J, et al.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Haematological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characteristics and risk factors in the classification and prognosis evaluation of COVID-19: a retrospective cohort study. Lancet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Haematol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. 2020;7(July</w:t>
      </w:r>
      <w:proofErr w:type="gram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):e</w:t>
      </w:r>
      <w:proofErr w:type="gram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671-678.</w:t>
      </w:r>
    </w:p>
    <w:p w14:paraId="0000000D" w14:textId="77777777" w:rsidR="006808CC" w:rsidRDefault="00507B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Connors JM, Levy JH. COVID-19 and its implications for thrombosis and </w:t>
      </w:r>
      <w:proofErr w:type="spellStart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>anticoagulations</w:t>
      </w:r>
      <w:proofErr w:type="spellEnd"/>
      <w:r w:rsidRPr="009B0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B0B70">
        <w:rPr>
          <w:rFonts w:ascii="Times New Roman" w:eastAsia="Times New Roman" w:hAnsi="Times New Roman" w:cs="Times New Roman"/>
          <w:sz w:val="24"/>
          <w:szCs w:val="24"/>
        </w:rPr>
        <w:t>2020;135:2033</w:t>
      </w:r>
      <w:proofErr w:type="gramEnd"/>
      <w:r w:rsidRPr="009B0B70">
        <w:rPr>
          <w:rFonts w:ascii="Times New Roman" w:eastAsia="Times New Roman" w:hAnsi="Times New Roman" w:cs="Times New Roman"/>
          <w:sz w:val="24"/>
          <w:szCs w:val="24"/>
        </w:rPr>
        <w:t>-2040.</w:t>
      </w:r>
    </w:p>
    <w:p w14:paraId="0000000E" w14:textId="77777777" w:rsidR="006808CC" w:rsidRDefault="006808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08CC">
      <w:pgSz w:w="11900" w:h="16840"/>
      <w:pgMar w:top="1701" w:right="1418" w:bottom="1418" w:left="1701" w:header="709" w:footer="141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CC"/>
    <w:rsid w:val="00013A5F"/>
    <w:rsid w:val="00097ED0"/>
    <w:rsid w:val="000D254B"/>
    <w:rsid w:val="001919A9"/>
    <w:rsid w:val="00196A38"/>
    <w:rsid w:val="00390637"/>
    <w:rsid w:val="004B2BB5"/>
    <w:rsid w:val="00507BC3"/>
    <w:rsid w:val="005E7C44"/>
    <w:rsid w:val="00655A3F"/>
    <w:rsid w:val="006808CC"/>
    <w:rsid w:val="006D0403"/>
    <w:rsid w:val="00876A17"/>
    <w:rsid w:val="009B0B70"/>
    <w:rsid w:val="009B550F"/>
    <w:rsid w:val="00A74F3D"/>
    <w:rsid w:val="00AF1BA7"/>
    <w:rsid w:val="00B97715"/>
    <w:rsid w:val="00C74865"/>
    <w:rsid w:val="00E167A4"/>
    <w:rsid w:val="00EF49F4"/>
    <w:rsid w:val="00FC45C1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444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714</Words>
  <Characters>3860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Henrique Nascente Costa</cp:lastModifiedBy>
  <cp:revision>6</cp:revision>
  <dcterms:created xsi:type="dcterms:W3CDTF">2020-09-11T18:12:00Z</dcterms:created>
  <dcterms:modified xsi:type="dcterms:W3CDTF">2020-09-15T01:06:00Z</dcterms:modified>
</cp:coreProperties>
</file>