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808CC" w:rsidRPr="009B0B70" w:rsidRDefault="00507B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B70">
        <w:rPr>
          <w:rFonts w:ascii="Times New Roman" w:eastAsia="Times New Roman" w:hAnsi="Times New Roman" w:cs="Times New Roman"/>
          <w:b/>
          <w:sz w:val="24"/>
          <w:szCs w:val="24"/>
        </w:rPr>
        <w:t>Alterações hematológicas na COVID-19: uma revisão integrativa</w:t>
      </w:r>
    </w:p>
    <w:p w14:paraId="00000002" w14:textId="77777777" w:rsidR="006808CC" w:rsidRPr="009B0B70" w:rsidRDefault="0068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3F24CCE2" w:rsidR="006808CC" w:rsidRPr="009B0B70" w:rsidRDefault="0050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B0B70">
        <w:rPr>
          <w:rFonts w:ascii="Times New Roman" w:eastAsia="Times New Roman" w:hAnsi="Times New Roman" w:cs="Times New Roman"/>
          <w:sz w:val="24"/>
          <w:szCs w:val="24"/>
        </w:rPr>
        <w:t>Guilherme Carvalho Siqueira</w:t>
      </w:r>
      <w:r w:rsidRPr="009B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>*; Laís Laura de Souza</w:t>
      </w:r>
      <w:r w:rsidRPr="009B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>; Milena Barbosa Porto</w:t>
      </w:r>
      <w:r w:rsidRPr="009B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>; João Victor Benevenuto de Queiroz e Ataídes</w:t>
      </w:r>
      <w:r w:rsidRPr="009B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>; Rafaela Vieira Campos</w:t>
      </w:r>
      <w:r w:rsidRPr="009B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EF49F4" w:rsidRPr="009B0B70">
        <w:rPr>
          <w:rFonts w:ascii="Times New Roman" w:eastAsia="Times New Roman" w:hAnsi="Times New Roman" w:cs="Times New Roman"/>
          <w:sz w:val="24"/>
          <w:szCs w:val="24"/>
        </w:rPr>
        <w:t>; Sérgio Henrique Nascente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Costa</w:t>
      </w:r>
      <w:r w:rsidRPr="009B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00000004" w14:textId="77777777" w:rsidR="006808CC" w:rsidRPr="009B0B70" w:rsidRDefault="0050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>Pontifícia Universidade Católica de Goiás. Escola de Ciências Médicas, Farmacêuticas e Biomédicas, Curso de Medicina – Goiânia – GO</w:t>
      </w:r>
    </w:p>
    <w:p w14:paraId="73408522" w14:textId="44E5CAF6" w:rsidR="00097ED0" w:rsidRPr="009B0B70" w:rsidRDefault="00097ED0" w:rsidP="0009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Professor Doutor da Pontifícia Universidade Católica de Goiás. Escola de Ciências Médicas, Farmacêuticas e Biomédicas, Curso de Medicina – Goiânia – GO </w:t>
      </w:r>
      <w:r w:rsidR="009B0B7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Orientador</w:t>
      </w:r>
    </w:p>
    <w:p w14:paraId="09A99277" w14:textId="2FED377E" w:rsidR="00097ED0" w:rsidRPr="009B0B70" w:rsidRDefault="0009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808CC" w:rsidRPr="009B0B70" w:rsidRDefault="0050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B70">
        <w:rPr>
          <w:rFonts w:ascii="Times New Roman" w:eastAsia="Times New Roman" w:hAnsi="Times New Roman" w:cs="Times New Roman"/>
          <w:sz w:val="24"/>
          <w:szCs w:val="24"/>
        </w:rPr>
        <w:t>*Autor correspondente: guilhermeccsiqueira@hotmail.com</w:t>
      </w:r>
    </w:p>
    <w:p w14:paraId="00000006" w14:textId="77777777" w:rsidR="006808CC" w:rsidRPr="009B0B70" w:rsidRDefault="006808CC">
      <w:pPr>
        <w:jc w:val="both"/>
        <w:rPr>
          <w:sz w:val="24"/>
          <w:szCs w:val="24"/>
        </w:rPr>
      </w:pPr>
    </w:p>
    <w:p w14:paraId="00000007" w14:textId="74442397" w:rsidR="006808CC" w:rsidRPr="009B0B70" w:rsidRDefault="00507B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B0B70">
        <w:rPr>
          <w:rFonts w:ascii="Times New Roman" w:eastAsia="Times New Roman" w:hAnsi="Times New Roman" w:cs="Times New Roman"/>
          <w:b/>
          <w:sz w:val="24"/>
          <w:szCs w:val="24"/>
        </w:rPr>
        <w:t>Introdução: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A COVID-19 é uma doença </w:t>
      </w:r>
      <w:r w:rsidR="005E7C44" w:rsidRPr="009B0B7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55A3F" w:rsidRPr="009B0B70">
        <w:rPr>
          <w:rFonts w:ascii="Times New Roman" w:eastAsia="Times New Roman" w:hAnsi="Times New Roman" w:cs="Times New Roman"/>
          <w:sz w:val="24"/>
          <w:szCs w:val="24"/>
        </w:rPr>
        <w:t>grande</w:t>
      </w:r>
      <w:r w:rsidR="005E7C44" w:rsidRPr="009B0B70">
        <w:rPr>
          <w:rFonts w:ascii="Times New Roman" w:eastAsia="Times New Roman" w:hAnsi="Times New Roman" w:cs="Times New Roman"/>
          <w:sz w:val="24"/>
          <w:szCs w:val="24"/>
        </w:rPr>
        <w:t xml:space="preserve"> transmissibilidade</w:t>
      </w:r>
      <w:r w:rsidR="00655A3F" w:rsidRPr="009B0B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que, entre as </w:t>
      </w:r>
      <w:r w:rsidR="005E7C44" w:rsidRPr="009B0B70">
        <w:rPr>
          <w:rFonts w:ascii="Times New Roman" w:eastAsia="Times New Roman" w:hAnsi="Times New Roman" w:cs="Times New Roman"/>
          <w:sz w:val="24"/>
          <w:szCs w:val="24"/>
        </w:rPr>
        <w:t>várias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consequências, acarreta diversas alterações hematológicas</w:t>
      </w:r>
      <w:r w:rsidR="00876A17" w:rsidRPr="009B0B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715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876A17" w:rsidRPr="009B0B7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êm </w:t>
      </w:r>
      <w:r w:rsidR="00655A3F" w:rsidRPr="009B0B70">
        <w:rPr>
          <w:rFonts w:ascii="Times New Roman" w:eastAsia="Times New Roman" w:hAnsi="Times New Roman" w:cs="Times New Roman"/>
          <w:sz w:val="24"/>
          <w:szCs w:val="24"/>
        </w:rPr>
        <w:t>elevadas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A3F" w:rsidRPr="009B0B70">
        <w:rPr>
          <w:rFonts w:ascii="Times New Roman" w:eastAsia="Times New Roman" w:hAnsi="Times New Roman" w:cs="Times New Roman"/>
          <w:sz w:val="24"/>
          <w:szCs w:val="24"/>
        </w:rPr>
        <w:t>prevalências</w:t>
      </w:r>
      <w:r w:rsidR="00876A17" w:rsidRPr="009B0B70">
        <w:rPr>
          <w:rFonts w:ascii="Times New Roman" w:eastAsia="Times New Roman" w:hAnsi="Times New Roman" w:cs="Times New Roman"/>
          <w:sz w:val="24"/>
          <w:szCs w:val="24"/>
        </w:rPr>
        <w:t xml:space="preserve"> em casos mais graves, como o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aumento de D-dímero, </w:t>
      </w:r>
      <w:r w:rsidR="00876A17" w:rsidRPr="009B0B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876A17" w:rsidRPr="009B0B70">
        <w:rPr>
          <w:rFonts w:ascii="Times New Roman" w:eastAsia="Times New Roman" w:hAnsi="Times New Roman" w:cs="Times New Roman"/>
          <w:sz w:val="24"/>
          <w:szCs w:val="24"/>
        </w:rPr>
        <w:t>linfopenia</w:t>
      </w:r>
      <w:proofErr w:type="spellEnd"/>
      <w:r w:rsidR="00876A17" w:rsidRPr="009B0B70">
        <w:rPr>
          <w:rFonts w:ascii="Times New Roman" w:eastAsia="Times New Roman" w:hAnsi="Times New Roman" w:cs="Times New Roman"/>
          <w:sz w:val="24"/>
          <w:szCs w:val="24"/>
        </w:rPr>
        <w:t xml:space="preserve"> e as </w:t>
      </w:r>
      <w:proofErr w:type="spellStart"/>
      <w:r w:rsidRPr="009B0B70">
        <w:rPr>
          <w:rFonts w:ascii="Times New Roman" w:eastAsia="Times New Roman" w:hAnsi="Times New Roman" w:cs="Times New Roman"/>
          <w:sz w:val="24"/>
          <w:szCs w:val="24"/>
        </w:rPr>
        <w:t>coagulopatia</w:t>
      </w:r>
      <w:r w:rsidR="00876A17" w:rsidRPr="009B0B7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196A38" w:rsidRPr="009B0B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5A3F" w:rsidRPr="009B0B70">
        <w:rPr>
          <w:rFonts w:ascii="Times New Roman" w:eastAsia="Times New Roman" w:hAnsi="Times New Roman" w:cs="Times New Roman"/>
          <w:sz w:val="24"/>
          <w:szCs w:val="24"/>
        </w:rPr>
        <w:t>chegando a atingir mais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de 60%.</w:t>
      </w:r>
      <w:r w:rsidRPr="009B0B70">
        <w:rPr>
          <w:rFonts w:ascii="Times New Roman" w:eastAsia="Times New Roman" w:hAnsi="Times New Roman" w:cs="Times New Roman"/>
          <w:b/>
          <w:sz w:val="24"/>
          <w:szCs w:val="24"/>
        </w:rPr>
        <w:t xml:space="preserve"> Objetivos: 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>Identificar as principais alterações hematológicas causadas pel</w:t>
      </w:r>
      <w:r w:rsidR="00655A3F" w:rsidRPr="009B0B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COVID-19. </w:t>
      </w:r>
      <w:r w:rsidRPr="009B0B70">
        <w:rPr>
          <w:rFonts w:ascii="Times New Roman" w:eastAsia="Times New Roman" w:hAnsi="Times New Roman" w:cs="Times New Roman"/>
          <w:b/>
          <w:sz w:val="24"/>
          <w:szCs w:val="24"/>
        </w:rPr>
        <w:t>Métodos: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Trata-se de uma revisão integrativa, realizada por meio da pesquisa de artigos científicos, nas bases de dados BVS e PubMed, com os descritores “</w:t>
      </w:r>
      <w:proofErr w:type="spellStart"/>
      <w:r w:rsidRPr="009B0B70">
        <w:rPr>
          <w:rFonts w:ascii="Times New Roman" w:eastAsia="Times New Roman" w:hAnsi="Times New Roman" w:cs="Times New Roman"/>
          <w:i/>
          <w:sz w:val="24"/>
          <w:szCs w:val="24"/>
        </w:rPr>
        <w:t>hematological</w:t>
      </w:r>
      <w:proofErr w:type="spellEnd"/>
      <w:r w:rsidRPr="009B0B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B70">
        <w:rPr>
          <w:rFonts w:ascii="Times New Roman" w:eastAsia="Times New Roman" w:hAnsi="Times New Roman" w:cs="Times New Roman"/>
          <w:i/>
          <w:sz w:val="24"/>
          <w:szCs w:val="24"/>
        </w:rPr>
        <w:t>changes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</w:rPr>
        <w:t>”, “</w:t>
      </w:r>
      <w:r w:rsidRPr="009B0B70">
        <w:rPr>
          <w:rFonts w:ascii="Times New Roman" w:eastAsia="Times New Roman" w:hAnsi="Times New Roman" w:cs="Times New Roman"/>
          <w:i/>
          <w:sz w:val="24"/>
          <w:szCs w:val="24"/>
        </w:rPr>
        <w:t>COVID-19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>” e “</w:t>
      </w:r>
      <w:proofErr w:type="spellStart"/>
      <w:r w:rsidRPr="009B0B70">
        <w:rPr>
          <w:rFonts w:ascii="Times New Roman" w:eastAsia="Times New Roman" w:hAnsi="Times New Roman" w:cs="Times New Roman"/>
          <w:i/>
          <w:sz w:val="24"/>
          <w:szCs w:val="24"/>
        </w:rPr>
        <w:t>coagulation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”, publicados </w:t>
      </w:r>
      <w:r w:rsidR="001919A9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2020, nas línguas inglesa e portuguesa. </w:t>
      </w:r>
      <w:r w:rsidR="001919A9">
        <w:rPr>
          <w:rFonts w:ascii="Times New Roman" w:eastAsia="Times New Roman" w:hAnsi="Times New Roman" w:cs="Times New Roman"/>
          <w:sz w:val="24"/>
          <w:szCs w:val="24"/>
        </w:rPr>
        <w:t>Assim,</w:t>
      </w:r>
      <w:r w:rsidR="00655A3F" w:rsidRPr="009B0B70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oram encontrados 15 artigos, </w:t>
      </w:r>
      <w:r w:rsidR="001919A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foram lidos </w:t>
      </w:r>
      <w:r w:rsidR="009B550F" w:rsidRPr="009B0B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1919A9">
        <w:rPr>
          <w:rFonts w:ascii="Times New Roman" w:eastAsia="Times New Roman" w:hAnsi="Times New Roman" w:cs="Times New Roman"/>
          <w:sz w:val="24"/>
          <w:szCs w:val="24"/>
        </w:rPr>
        <w:t>analisados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. Como critério de inclusão, foram considerados artigos de revisão, artigos </w:t>
      </w:r>
      <w:r w:rsidR="00390637" w:rsidRPr="009B0B70">
        <w:rPr>
          <w:rFonts w:ascii="Times New Roman" w:eastAsia="Times New Roman" w:hAnsi="Times New Roman" w:cs="Times New Roman"/>
          <w:sz w:val="24"/>
          <w:szCs w:val="24"/>
        </w:rPr>
        <w:t>originais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e relatos de caso que retratassem a temática </w:t>
      </w:r>
      <w:r w:rsidR="001919A9">
        <w:rPr>
          <w:rFonts w:ascii="Times New Roman" w:eastAsia="Times New Roman" w:hAnsi="Times New Roman" w:cs="Times New Roman"/>
          <w:sz w:val="24"/>
          <w:szCs w:val="24"/>
        </w:rPr>
        <w:t>proposta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>. Após a leitura, foram selecionados 8 artigos para a elaboração d</w:t>
      </w:r>
      <w:r w:rsidR="001919A9">
        <w:rPr>
          <w:rFonts w:ascii="Times New Roman" w:eastAsia="Times New Roman" w:hAnsi="Times New Roman" w:cs="Times New Roman"/>
          <w:sz w:val="24"/>
          <w:szCs w:val="24"/>
        </w:rPr>
        <w:t>esse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estudo. </w:t>
      </w:r>
      <w:r w:rsidRPr="009B0B70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Resultados: 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>Pacientes diagnosticados com COVID-19 foram submetidos a exames</w:t>
      </w:r>
      <w:r w:rsidR="00FF3B0D" w:rsidRPr="009B0B70">
        <w:rPr>
          <w:rFonts w:ascii="Times New Roman" w:eastAsia="Times New Roman" w:hAnsi="Times New Roman" w:cs="Times New Roman"/>
          <w:sz w:val="24"/>
          <w:szCs w:val="24"/>
        </w:rPr>
        <w:t xml:space="preserve">, como hemograma, dosagem de D-dímero e outros testes de </w:t>
      </w:r>
      <w:r w:rsidR="004B2BB5" w:rsidRPr="009B0B70">
        <w:rPr>
          <w:rFonts w:ascii="Times New Roman" w:eastAsia="Times New Roman" w:hAnsi="Times New Roman" w:cs="Times New Roman"/>
          <w:sz w:val="24"/>
          <w:szCs w:val="24"/>
        </w:rPr>
        <w:t>coagulação</w:t>
      </w:r>
      <w:r w:rsidR="00FF3B0D" w:rsidRPr="009B0B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que confirmaram a presença de alterações hematológicas</w:t>
      </w:r>
      <w:r w:rsidR="001919A9">
        <w:rPr>
          <w:rFonts w:ascii="Times New Roman" w:eastAsia="Times New Roman" w:hAnsi="Times New Roman" w:cs="Times New Roman"/>
          <w:sz w:val="24"/>
          <w:szCs w:val="24"/>
        </w:rPr>
        <w:t>, como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: aumento no nível de D-dímero em 12%, redução no número de plaquetas </w:t>
      </w:r>
      <w:r w:rsidR="004B2BB5" w:rsidRPr="009B0B70">
        <w:rPr>
          <w:rFonts w:ascii="Times New Roman" w:eastAsia="Times New Roman" w:hAnsi="Times New Roman" w:cs="Times New Roman"/>
          <w:sz w:val="24"/>
          <w:szCs w:val="24"/>
        </w:rPr>
        <w:t xml:space="preserve">em pacientes com doença crítica, com diferença significativa em relação a casos não críticos 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(p&lt;0,0001), níveis de fibrinogênio aumentados em cerca de 60%, </w:t>
      </w:r>
      <w:proofErr w:type="spellStart"/>
      <w:r w:rsidRPr="009B0B70">
        <w:rPr>
          <w:rFonts w:ascii="Times New Roman" w:eastAsia="Times New Roman" w:hAnsi="Times New Roman" w:cs="Times New Roman"/>
          <w:sz w:val="24"/>
          <w:szCs w:val="24"/>
        </w:rPr>
        <w:t>linfopenia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em 45%, aumento de leucócitos, con</w:t>
      </w:r>
      <w:r w:rsidR="00FF3B0D" w:rsidRPr="009B0B70">
        <w:rPr>
          <w:rFonts w:ascii="Times New Roman" w:eastAsia="Times New Roman" w:hAnsi="Times New Roman" w:cs="Times New Roman"/>
          <w:sz w:val="24"/>
          <w:szCs w:val="24"/>
        </w:rPr>
        <w:t>tagem elevada de neutrófilos (2</w:t>
      </w:r>
      <w:r w:rsidR="00AF1B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3 vezes </w:t>
      </w:r>
      <w:r w:rsidR="004B2BB5" w:rsidRPr="009B0B70">
        <w:rPr>
          <w:rFonts w:ascii="Times New Roman" w:eastAsia="Times New Roman" w:hAnsi="Times New Roman" w:cs="Times New Roman"/>
          <w:sz w:val="24"/>
          <w:szCs w:val="24"/>
        </w:rPr>
        <w:t xml:space="preserve">superior </w:t>
      </w:r>
      <w:r w:rsidR="00AF1BA7">
        <w:rPr>
          <w:rFonts w:ascii="Times New Roman" w:eastAsia="Times New Roman" w:hAnsi="Times New Roman" w:cs="Times New Roman"/>
          <w:sz w:val="24"/>
          <w:szCs w:val="24"/>
        </w:rPr>
        <w:t>aos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linfócitos) e </w:t>
      </w:r>
      <w:r w:rsidR="00FF3B0D" w:rsidRPr="009B0B70">
        <w:rPr>
          <w:rFonts w:ascii="Times New Roman" w:eastAsia="Times New Roman" w:hAnsi="Times New Roman" w:cs="Times New Roman"/>
          <w:sz w:val="24"/>
          <w:szCs w:val="24"/>
        </w:rPr>
        <w:t>alteração das provas de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coagulação. No entanto, essas alterações são variáveis, principalmente em casos mais leves da doença. Nos pacientes em estágios mais avançados da COVID-19, a contagem de plaquetas reduziu significativamente, o que demonstra o consumo e a geração de trombina, fundamental para identificar a gravidade e a presença de </w:t>
      </w:r>
      <w:proofErr w:type="spellStart"/>
      <w:r w:rsidRPr="009B0B70">
        <w:rPr>
          <w:rFonts w:ascii="Times New Roman" w:eastAsia="Times New Roman" w:hAnsi="Times New Roman" w:cs="Times New Roman"/>
          <w:sz w:val="24"/>
          <w:szCs w:val="24"/>
        </w:rPr>
        <w:t>coagulopatia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</w:rPr>
        <w:t>, complicação que acomete</w:t>
      </w:r>
      <w:r w:rsidR="004B2BB5" w:rsidRPr="009B0B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r w:rsidR="00E167A4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casos graves. Outro fator </w:t>
      </w:r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>observado</w:t>
      </w:r>
      <w:r w:rsidR="00E167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 xml:space="preserve"> foi em decorrência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do aumento de citocinas pró-inflamatórias, visto que induzem a formação anormal do coágulo, </w:t>
      </w:r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>hiperativação</w:t>
      </w:r>
      <w:proofErr w:type="spellEnd"/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 xml:space="preserve"> das plaquetas, além de 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consequências </w:t>
      </w:r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 xml:space="preserve">mais 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comuns </w:t>
      </w:r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>doenças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infecciosas, 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como a </w:t>
      </w:r>
      <w:proofErr w:type="spellStart"/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>linfopenia</w:t>
      </w:r>
      <w:proofErr w:type="spellEnd"/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 xml:space="preserve">leucocitose com </w:t>
      </w:r>
      <w:proofErr w:type="spellStart"/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>neutrofilia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</w:rPr>
        <w:t>. Somado a isso, um estudo com 1099 pacientes positivos para COVID-19 de 552 hospitais da China observou concentra</w:t>
      </w:r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>ções de D-dímero acima do limite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 xml:space="preserve">de referência 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em 46,4% dos pacientes, dos quais 60% desenvolveram manifestações graves. Ademais, associou-se essa elevação dos níveis de D-dímeros com os produtos de degradação de fibrina, o que levou a quadros de </w:t>
      </w:r>
      <w:proofErr w:type="spellStart"/>
      <w:r w:rsidRPr="009B0B70">
        <w:rPr>
          <w:rFonts w:ascii="Times New Roman" w:eastAsia="Times New Roman" w:hAnsi="Times New Roman" w:cs="Times New Roman"/>
          <w:sz w:val="24"/>
          <w:szCs w:val="24"/>
        </w:rPr>
        <w:t>hipercoaguabilidade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associados a trombose e infecção. </w:t>
      </w:r>
      <w:r w:rsidRPr="009B0B70">
        <w:rPr>
          <w:rFonts w:ascii="Times New Roman" w:eastAsia="Times New Roman" w:hAnsi="Times New Roman" w:cs="Times New Roman"/>
          <w:b/>
          <w:sz w:val="24"/>
          <w:szCs w:val="24"/>
        </w:rPr>
        <w:t>Conclusão: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865">
        <w:rPr>
          <w:rFonts w:ascii="Times New Roman" w:eastAsia="Times New Roman" w:hAnsi="Times New Roman" w:cs="Times New Roman"/>
          <w:sz w:val="24"/>
          <w:szCs w:val="24"/>
        </w:rPr>
        <w:t>F</w:t>
      </w:r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 xml:space="preserve">icou evidenciado que 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D0403" w:rsidRPr="009B0B70">
        <w:rPr>
          <w:rFonts w:ascii="Times New Roman" w:eastAsia="Times New Roman" w:hAnsi="Times New Roman" w:cs="Times New Roman"/>
          <w:sz w:val="24"/>
          <w:szCs w:val="24"/>
        </w:rPr>
        <w:t xml:space="preserve">doença do COVID-19 manifesta </w:t>
      </w:r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>alterações hematológicas importantes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, com destaque para </w:t>
      </w:r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>as elevações dos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níveis </w:t>
      </w:r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 xml:space="preserve">sanguíneos 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>de D-dímero e fatores de coagulação</w:t>
      </w:r>
      <w:r w:rsidR="000D254B" w:rsidRPr="009B0B70">
        <w:rPr>
          <w:rFonts w:ascii="Times New Roman" w:eastAsia="Times New Roman" w:hAnsi="Times New Roman" w:cs="Times New Roman"/>
          <w:sz w:val="24"/>
          <w:szCs w:val="24"/>
        </w:rPr>
        <w:t>, alé</w:t>
      </w:r>
      <w:r w:rsidR="006D0403" w:rsidRPr="009B0B70">
        <w:rPr>
          <w:rFonts w:ascii="Times New Roman" w:eastAsia="Times New Roman" w:hAnsi="Times New Roman" w:cs="Times New Roman"/>
          <w:sz w:val="24"/>
          <w:szCs w:val="24"/>
        </w:rPr>
        <w:t>m do hemograma, cujos exames podem indicar o prognóstico e a prescrição do tratamento, com a finalidade de minimizar as complicações pulmonares e vasculares da infecção, entre outras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4865">
        <w:rPr>
          <w:rFonts w:ascii="Times New Roman" w:eastAsia="Times New Roman" w:hAnsi="Times New Roman" w:cs="Times New Roman"/>
          <w:sz w:val="24"/>
          <w:szCs w:val="24"/>
        </w:rPr>
        <w:t>Ressalta-se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, ainda, que essas alterações são diretamente proporcionais ao estágio da doença no qual o indivíduo se encontra. Considerando o fato </w:t>
      </w:r>
      <w:r w:rsidR="00A74F3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doença ter sido recentemente identificada, e seu atual contexto pandêmico, uma </w:t>
      </w:r>
      <w:r w:rsidR="00A74F3D">
        <w:rPr>
          <w:rFonts w:ascii="Times New Roman" w:eastAsia="Times New Roman" w:hAnsi="Times New Roman" w:cs="Times New Roman"/>
          <w:sz w:val="24"/>
          <w:szCs w:val="24"/>
        </w:rPr>
        <w:t>avaliação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laboratorial dessas manifestações, </w:t>
      </w:r>
      <w:r w:rsidR="006D0403" w:rsidRPr="009B0B70">
        <w:rPr>
          <w:rFonts w:ascii="Times New Roman" w:eastAsia="Times New Roman" w:hAnsi="Times New Roman" w:cs="Times New Roman"/>
          <w:sz w:val="24"/>
          <w:szCs w:val="24"/>
        </w:rPr>
        <w:t xml:space="preserve">bem 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6D0403" w:rsidRPr="009B0B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403" w:rsidRPr="009B0B70">
        <w:rPr>
          <w:rFonts w:ascii="Times New Roman" w:eastAsia="Times New Roman" w:hAnsi="Times New Roman" w:cs="Times New Roman"/>
          <w:sz w:val="24"/>
          <w:szCs w:val="24"/>
        </w:rPr>
        <w:t>o diagnóstico precoce, por meio da detecção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do RNA viral através do RT-PCR, com amostras do </w:t>
      </w:r>
      <w:proofErr w:type="spellStart"/>
      <w:r w:rsidR="006D0403" w:rsidRPr="009B0B70">
        <w:rPr>
          <w:rFonts w:ascii="Times New Roman" w:eastAsia="Times New Roman" w:hAnsi="Times New Roman" w:cs="Times New Roman"/>
          <w:sz w:val="24"/>
          <w:szCs w:val="24"/>
        </w:rPr>
        <w:t>swab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nasal e orofaríngeo, pode </w:t>
      </w:r>
      <w:r w:rsidR="006D0403" w:rsidRPr="009B0B70">
        <w:rPr>
          <w:rFonts w:ascii="Times New Roman" w:eastAsia="Times New Roman" w:hAnsi="Times New Roman" w:cs="Times New Roman"/>
          <w:sz w:val="24"/>
          <w:szCs w:val="24"/>
        </w:rPr>
        <w:t>permitir a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escolha </w:t>
      </w:r>
      <w:r w:rsidR="006D0403" w:rsidRPr="009B0B70">
        <w:rPr>
          <w:rFonts w:ascii="Times New Roman" w:eastAsia="Times New Roman" w:hAnsi="Times New Roman" w:cs="Times New Roman"/>
          <w:sz w:val="24"/>
          <w:szCs w:val="24"/>
        </w:rPr>
        <w:t>do tratamento apropriado dos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indivíduos</w:t>
      </w:r>
      <w:r w:rsidR="006D0403" w:rsidRPr="009B0B70">
        <w:rPr>
          <w:rFonts w:ascii="Times New Roman" w:eastAsia="Times New Roman" w:hAnsi="Times New Roman" w:cs="Times New Roman"/>
          <w:sz w:val="24"/>
          <w:szCs w:val="24"/>
        </w:rPr>
        <w:t xml:space="preserve"> detectados, com a maior brevidade possível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  <w:r w:rsidRPr="009B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125C6E" w14:textId="77777777" w:rsidR="006D0403" w:rsidRPr="009B0B70" w:rsidRDefault="006D04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4FA91F04" w:rsidR="006808CC" w:rsidRPr="009B0B70" w:rsidRDefault="00507B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B70"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 w:rsidRPr="009B0B70">
        <w:rPr>
          <w:rFonts w:ascii="Times New Roman" w:eastAsia="Times New Roman" w:hAnsi="Times New Roman" w:cs="Times New Roman"/>
          <w:sz w:val="24"/>
          <w:szCs w:val="24"/>
        </w:rPr>
        <w:t>Coagulação; COVID-19; Hematologia.</w:t>
      </w:r>
      <w:r w:rsidR="006D0403" w:rsidRPr="009B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6808CC" w:rsidRPr="009B0B70" w:rsidRDefault="006808CC">
      <w:pPr>
        <w:jc w:val="both"/>
        <w:rPr>
          <w:sz w:val="24"/>
          <w:szCs w:val="24"/>
        </w:rPr>
      </w:pPr>
    </w:p>
    <w:p w14:paraId="0000000A" w14:textId="77777777" w:rsidR="006808CC" w:rsidRPr="009B0B70" w:rsidRDefault="00507B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0B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REFERÊNCIAS</w:t>
      </w:r>
    </w:p>
    <w:p w14:paraId="0000000B" w14:textId="77777777" w:rsidR="006808CC" w:rsidRPr="009B0B70" w:rsidRDefault="00507B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>Miesbach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W, </w:t>
      </w:r>
      <w:proofErr w:type="spellStart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>Makris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 COVID-19: Coagulopathy, Risk of Thrombosis, and the Rationale for Anticoagulation. </w:t>
      </w:r>
      <w:proofErr w:type="spellStart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>Thromb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>2020;26:1</w:t>
      </w:r>
      <w:proofErr w:type="gramEnd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>-7.</w:t>
      </w:r>
    </w:p>
    <w:p w14:paraId="0000000C" w14:textId="77777777" w:rsidR="006808CC" w:rsidRPr="009B0B70" w:rsidRDefault="00507B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Liao D, Zhou F, Luo L, Xu M, Wang H, Xia J, et al. </w:t>
      </w:r>
      <w:proofErr w:type="spellStart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>Haematological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characteristics and risk factors in the classification and prognosis evaluation of COVID-19: a retrospective cohort study. Lancet </w:t>
      </w:r>
      <w:proofErr w:type="spellStart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>Haematol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>. 2020;7(July</w:t>
      </w:r>
      <w:proofErr w:type="gramStart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>):e</w:t>
      </w:r>
      <w:proofErr w:type="gramEnd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>671-678.</w:t>
      </w:r>
    </w:p>
    <w:p w14:paraId="0000000D" w14:textId="77777777" w:rsidR="006808CC" w:rsidRDefault="00507B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Connors JM, Levy JH. COVID-19 and its implications for thrombosis and </w:t>
      </w:r>
      <w:proofErr w:type="spellStart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>anticoagulations</w:t>
      </w:r>
      <w:proofErr w:type="spellEnd"/>
      <w:r w:rsidRPr="009B0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B0B70">
        <w:rPr>
          <w:rFonts w:ascii="Times New Roman" w:eastAsia="Times New Roman" w:hAnsi="Times New Roman" w:cs="Times New Roman"/>
          <w:sz w:val="24"/>
          <w:szCs w:val="24"/>
        </w:rPr>
        <w:t>2020;135:2033</w:t>
      </w:r>
      <w:proofErr w:type="gramEnd"/>
      <w:r w:rsidRPr="009B0B70">
        <w:rPr>
          <w:rFonts w:ascii="Times New Roman" w:eastAsia="Times New Roman" w:hAnsi="Times New Roman" w:cs="Times New Roman"/>
          <w:sz w:val="24"/>
          <w:szCs w:val="24"/>
        </w:rPr>
        <w:t>-2040.</w:t>
      </w:r>
    </w:p>
    <w:p w14:paraId="0000000E" w14:textId="77777777" w:rsidR="006808CC" w:rsidRDefault="006808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808CC">
      <w:pgSz w:w="11900" w:h="16840"/>
      <w:pgMar w:top="1701" w:right="1418" w:bottom="1418" w:left="1701" w:header="709" w:footer="141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CC"/>
    <w:rsid w:val="00013A5F"/>
    <w:rsid w:val="00097ED0"/>
    <w:rsid w:val="000D254B"/>
    <w:rsid w:val="001919A9"/>
    <w:rsid w:val="00196A38"/>
    <w:rsid w:val="00390637"/>
    <w:rsid w:val="004B2BB5"/>
    <w:rsid w:val="00507BC3"/>
    <w:rsid w:val="005E7C44"/>
    <w:rsid w:val="00655A3F"/>
    <w:rsid w:val="006808CC"/>
    <w:rsid w:val="006D0403"/>
    <w:rsid w:val="00876A17"/>
    <w:rsid w:val="009B0B70"/>
    <w:rsid w:val="009B550F"/>
    <w:rsid w:val="00A74F3D"/>
    <w:rsid w:val="00AF1BA7"/>
    <w:rsid w:val="00B97715"/>
    <w:rsid w:val="00C74865"/>
    <w:rsid w:val="00E167A4"/>
    <w:rsid w:val="00EF49F4"/>
    <w:rsid w:val="00FC45C1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444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714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Henrique Nascente Costa</cp:lastModifiedBy>
  <cp:revision>6</cp:revision>
  <dcterms:created xsi:type="dcterms:W3CDTF">2020-09-11T18:12:00Z</dcterms:created>
  <dcterms:modified xsi:type="dcterms:W3CDTF">2020-09-15T01:06:00Z</dcterms:modified>
</cp:coreProperties>
</file>