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A2DE4" w14:textId="44366B79" w:rsidR="00421AA8" w:rsidRPr="00D77021" w:rsidRDefault="00421AA8" w:rsidP="35FF8953">
      <w:pPr>
        <w:spacing w:after="0" w:line="360" w:lineRule="auto"/>
        <w:ind w:firstLine="900"/>
        <w:jc w:val="both"/>
        <w:rPr>
          <w:rFonts w:ascii="Candara" w:eastAsia="Candara" w:hAnsi="Candara" w:cs="Candara"/>
          <w:sz w:val="36"/>
          <w:szCs w:val="36"/>
        </w:rPr>
      </w:pPr>
      <w:r w:rsidRPr="00D77021">
        <w:rPr>
          <w:rFonts w:ascii="Candara" w:eastAsia="Candara" w:hAnsi="Candara" w:cs="Candara"/>
          <w:sz w:val="36"/>
          <w:szCs w:val="36"/>
        </w:rPr>
        <w:t>Impactos da pandemia da covid-19 na balança comercial inter-regional e interestadual do Nordeste brasileiro</w:t>
      </w:r>
      <w:r w:rsidR="003E4B6F" w:rsidRPr="00D77021">
        <w:rPr>
          <w:rStyle w:val="Refdenotaderodap"/>
          <w:rFonts w:ascii="Candara" w:eastAsia="Candara" w:hAnsi="Candara" w:cs="Candara"/>
          <w:sz w:val="36"/>
          <w:szCs w:val="36"/>
        </w:rPr>
        <w:footnoteReference w:id="2"/>
      </w:r>
    </w:p>
    <w:p w14:paraId="632F7A70" w14:textId="52C748B1" w:rsidR="00421AA8" w:rsidRPr="00D77021" w:rsidRDefault="00421AA8" w:rsidP="35FF8953">
      <w:pPr>
        <w:spacing w:after="0" w:line="240" w:lineRule="auto"/>
        <w:ind w:firstLine="851"/>
        <w:jc w:val="right"/>
        <w:rPr>
          <w:rFonts w:ascii="Candara" w:eastAsia="Candara" w:hAnsi="Candara" w:cs="Candara"/>
          <w:b/>
          <w:bCs/>
        </w:rPr>
      </w:pPr>
      <w:r w:rsidRPr="00D77021">
        <w:rPr>
          <w:rFonts w:ascii="Candara" w:eastAsia="Candara" w:hAnsi="Candara" w:cs="Candara"/>
          <w:b/>
          <w:bCs/>
        </w:rPr>
        <w:t>Abimael Francisco de Souza</w:t>
      </w:r>
      <w:r w:rsidRPr="00D77021">
        <w:rPr>
          <w:rFonts w:ascii="Candara" w:eastAsia="Candara" w:hAnsi="Candara" w:cs="Candara"/>
          <w:b/>
          <w:bCs/>
          <w:vertAlign w:val="superscript"/>
        </w:rPr>
        <w:footnoteReference w:id="3"/>
      </w:r>
    </w:p>
    <w:p w14:paraId="2F790935" w14:textId="101C029C" w:rsidR="00421AA8" w:rsidRPr="00D77021" w:rsidRDefault="00421AA8" w:rsidP="35FF8953">
      <w:pPr>
        <w:spacing w:after="0" w:line="240" w:lineRule="auto"/>
        <w:ind w:firstLine="851"/>
        <w:jc w:val="right"/>
        <w:rPr>
          <w:rFonts w:ascii="Candara" w:eastAsia="Candara" w:hAnsi="Candara" w:cs="Candara"/>
          <w:b/>
          <w:bCs/>
        </w:rPr>
      </w:pPr>
      <w:r w:rsidRPr="00D77021">
        <w:rPr>
          <w:rFonts w:ascii="Candara" w:eastAsia="Candara" w:hAnsi="Candara" w:cs="Candara"/>
          <w:b/>
          <w:bCs/>
        </w:rPr>
        <w:t>Caio Cezar Fernandes da Silva</w:t>
      </w:r>
      <w:r w:rsidRPr="00D77021">
        <w:rPr>
          <w:rFonts w:ascii="Candara" w:eastAsia="Candara" w:hAnsi="Candara" w:cs="Candara"/>
          <w:b/>
          <w:bCs/>
          <w:vertAlign w:val="superscript"/>
        </w:rPr>
        <w:footnoteReference w:id="4"/>
      </w:r>
    </w:p>
    <w:p w14:paraId="301EF234" w14:textId="2ADD9A05" w:rsidR="00421AA8" w:rsidRPr="00D77021" w:rsidRDefault="00421AA8" w:rsidP="35FF8953">
      <w:pPr>
        <w:spacing w:after="0" w:line="240" w:lineRule="auto"/>
        <w:ind w:firstLine="851"/>
        <w:jc w:val="right"/>
        <w:rPr>
          <w:rFonts w:ascii="Candara" w:eastAsia="Candara" w:hAnsi="Candara" w:cs="Candara"/>
          <w:b/>
          <w:bCs/>
        </w:rPr>
      </w:pPr>
      <w:r w:rsidRPr="00D77021">
        <w:rPr>
          <w:rFonts w:ascii="Candara" w:eastAsia="Candara" w:hAnsi="Candara" w:cs="Candara"/>
          <w:b/>
          <w:bCs/>
        </w:rPr>
        <w:t>Carlos Eduardo Pereira do Nascimento</w:t>
      </w:r>
      <w:r w:rsidR="006125D8" w:rsidRPr="00D77021">
        <w:rPr>
          <w:rStyle w:val="Refdenotaderodap"/>
          <w:rFonts w:ascii="Candara" w:eastAsia="Candara" w:hAnsi="Candara" w:cs="Candara"/>
          <w:b/>
          <w:bCs/>
        </w:rPr>
        <w:footnoteReference w:id="5"/>
      </w:r>
    </w:p>
    <w:p w14:paraId="2E3E73C2" w14:textId="77777777" w:rsidR="00421AA8" w:rsidRPr="00D77021" w:rsidRDefault="00421AA8" w:rsidP="35FF8953">
      <w:pPr>
        <w:spacing w:after="0" w:line="240" w:lineRule="auto"/>
        <w:jc w:val="both"/>
        <w:rPr>
          <w:rFonts w:ascii="Candara" w:eastAsia="Candara" w:hAnsi="Candara" w:cs="Candara"/>
          <w:b/>
          <w:bCs/>
        </w:rPr>
      </w:pPr>
    </w:p>
    <w:p w14:paraId="4A7337A7" w14:textId="140B5059" w:rsidR="001F69F8" w:rsidRPr="00D77021" w:rsidRDefault="35FF8953" w:rsidP="35FF8953">
      <w:pPr>
        <w:spacing w:after="120" w:line="240" w:lineRule="auto"/>
        <w:jc w:val="both"/>
        <w:rPr>
          <w:rFonts w:ascii="Candara" w:eastAsia="Candara" w:hAnsi="Candara" w:cs="Candara"/>
        </w:rPr>
      </w:pPr>
      <w:r w:rsidRPr="00D77021">
        <w:rPr>
          <w:rFonts w:ascii="Candara" w:eastAsia="Candara" w:hAnsi="Candara" w:cs="Candara"/>
          <w:b/>
          <w:bCs/>
        </w:rPr>
        <w:t xml:space="preserve">Resumo: </w:t>
      </w:r>
      <w:r w:rsidRPr="00D77021">
        <w:rPr>
          <w:rFonts w:ascii="Candara" w:eastAsia="Candara" w:hAnsi="Candara" w:cs="Candara"/>
        </w:rPr>
        <w:t>O presente estudo buscou analisar o impacto da pandemia da Covid-19 nas relações de comércio inter-regionais e interestaduais do Nordeste brasileiro através dos dados de compra, venda e saldo do comércio interestadual entre 2017 e 2022, além de dados do PIB para calcular as proporções dos saldos comerciais inter-regionais do Nordeste com as demais macrorregiões. O método utilizado é o exploratório-descritivo. Conclui-se que durante o período houve um aumento significativo dos déficits do Nordeste nas relações comerciais, exacerbado pela pandemia da Covid-19, evidenciando a dependência econômica da região em relação a outras macrorregiões. A continuidade desses déficits ameaça a competitividade regional e sugere a necessidade urgente de políticas públicas que promovam a diversificação produtiva e o fortalecimento de setores estratégicos para um desenvolvimento econômico mais equilibrado e sustentável. Esses resultados indicam um aprofundamento e uma aceleração das tendências estruturais históricas do Nordeste, reproduzindo cenários deficitários, mas também refletindo o papel da região nas geografias de produção e consumo, tanto em relação à própria região quanto com as demais.</w:t>
      </w:r>
    </w:p>
    <w:p w14:paraId="77853586" w14:textId="6B515AE6" w:rsidR="00421AA8" w:rsidRPr="00D77021" w:rsidRDefault="35FF8953" w:rsidP="35FF8953">
      <w:pPr>
        <w:tabs>
          <w:tab w:val="left" w:pos="2385"/>
        </w:tabs>
        <w:spacing w:after="120" w:line="240" w:lineRule="auto"/>
        <w:jc w:val="both"/>
        <w:rPr>
          <w:rFonts w:ascii="Candara" w:eastAsia="Candara" w:hAnsi="Candara" w:cs="Candara"/>
          <w:lang w:val="en-US"/>
        </w:rPr>
      </w:pPr>
      <w:r w:rsidRPr="00D77021">
        <w:rPr>
          <w:rFonts w:ascii="Candara" w:eastAsia="Candara" w:hAnsi="Candara" w:cs="Candara"/>
          <w:b/>
          <w:bCs/>
        </w:rPr>
        <w:t>Palavras-chave:</w:t>
      </w:r>
      <w:r w:rsidRPr="00D77021">
        <w:rPr>
          <w:rFonts w:ascii="Candara" w:eastAsia="Candara" w:hAnsi="Candara" w:cs="Candara"/>
        </w:rPr>
        <w:t xml:space="preserve"> Região Nordeste. Comércio Inter-regional e Interestadual. </w:t>
      </w:r>
      <w:proofErr w:type="spellStart"/>
      <w:r w:rsidRPr="00D77021">
        <w:rPr>
          <w:rFonts w:ascii="Candara" w:eastAsia="Candara" w:hAnsi="Candara" w:cs="Candara"/>
          <w:lang w:val="en-US"/>
        </w:rPr>
        <w:t>Pandemia</w:t>
      </w:r>
      <w:proofErr w:type="spellEnd"/>
      <w:r w:rsidRPr="00D77021">
        <w:rPr>
          <w:rFonts w:ascii="Candara" w:eastAsia="Candara" w:hAnsi="Candara" w:cs="Candara"/>
          <w:lang w:val="en-US"/>
        </w:rPr>
        <w:t xml:space="preserve"> da Covid-19. </w:t>
      </w:r>
    </w:p>
    <w:p w14:paraId="19DFB10E" w14:textId="77777777" w:rsidR="00421AA8" w:rsidRPr="00D77021" w:rsidRDefault="00421AA8" w:rsidP="35FF8953">
      <w:pPr>
        <w:spacing w:after="120" w:line="240" w:lineRule="auto"/>
        <w:jc w:val="both"/>
        <w:rPr>
          <w:rFonts w:ascii="Candara" w:eastAsia="Candara" w:hAnsi="Candara" w:cs="Candara"/>
          <w:lang w:val="en-US"/>
        </w:rPr>
      </w:pPr>
    </w:p>
    <w:p w14:paraId="7CE9A809" w14:textId="77777777" w:rsidR="00B94E31" w:rsidRPr="00D77021" w:rsidRDefault="00B94E31" w:rsidP="35FF8953">
      <w:pPr>
        <w:spacing w:after="120" w:line="240" w:lineRule="auto"/>
        <w:jc w:val="both"/>
        <w:rPr>
          <w:rFonts w:ascii="Candara" w:eastAsia="Candara" w:hAnsi="Candara" w:cs="Candara"/>
          <w:lang w:val="en-US"/>
        </w:rPr>
      </w:pPr>
    </w:p>
    <w:p w14:paraId="35982B2C" w14:textId="7D4E37E1" w:rsidR="00421AA8" w:rsidRPr="00D77021" w:rsidRDefault="35FF8953" w:rsidP="35FF8953">
      <w:pPr>
        <w:spacing w:after="0" w:line="360" w:lineRule="auto"/>
        <w:ind w:firstLine="851"/>
        <w:jc w:val="both"/>
        <w:rPr>
          <w:rFonts w:ascii="Candara" w:eastAsia="Candara" w:hAnsi="Candara" w:cs="Candara"/>
          <w:sz w:val="36"/>
          <w:szCs w:val="36"/>
          <w:lang w:val="en-US"/>
        </w:rPr>
      </w:pPr>
      <w:r w:rsidRPr="00D77021">
        <w:rPr>
          <w:rFonts w:ascii="Candara" w:eastAsia="Candara" w:hAnsi="Candara" w:cs="Candara"/>
          <w:sz w:val="36"/>
          <w:szCs w:val="36"/>
          <w:lang w:val="en-US"/>
        </w:rPr>
        <w:t>Impacts of the Covid-19 pandemic on the inter-regional and interstate trade balance of Northeast Brazil</w:t>
      </w:r>
    </w:p>
    <w:p w14:paraId="29BCFC98" w14:textId="77777777" w:rsidR="00421AA8" w:rsidRPr="00D77021" w:rsidRDefault="00421AA8" w:rsidP="35FF8953">
      <w:pPr>
        <w:spacing w:after="0" w:line="240" w:lineRule="auto"/>
        <w:jc w:val="both"/>
        <w:rPr>
          <w:rFonts w:ascii="Candara" w:eastAsia="Candara" w:hAnsi="Candara" w:cs="Candara"/>
          <w:b/>
          <w:bCs/>
          <w:lang w:val="en-US"/>
        </w:rPr>
      </w:pPr>
    </w:p>
    <w:p w14:paraId="70CEE7A8" w14:textId="32DE2CCF" w:rsidR="001F69F8" w:rsidRPr="00D77021" w:rsidRDefault="35FF8953" w:rsidP="35FF8953">
      <w:pPr>
        <w:spacing w:after="120" w:line="240" w:lineRule="auto"/>
        <w:jc w:val="both"/>
        <w:rPr>
          <w:rFonts w:ascii="Candara" w:eastAsia="Candara" w:hAnsi="Candara" w:cs="Candara"/>
          <w:lang w:val="en-US"/>
        </w:rPr>
      </w:pPr>
      <w:r w:rsidRPr="00D77021">
        <w:rPr>
          <w:rFonts w:ascii="Candara" w:eastAsia="Candara" w:hAnsi="Candara" w:cs="Candara"/>
          <w:b/>
          <w:bCs/>
          <w:lang w:val="en-US"/>
        </w:rPr>
        <w:t xml:space="preserve">Abstract: </w:t>
      </w:r>
      <w:r w:rsidRPr="00D77021">
        <w:rPr>
          <w:rFonts w:ascii="Candara" w:eastAsia="Candara" w:hAnsi="Candara" w:cs="Candara"/>
          <w:lang w:val="en-US"/>
        </w:rPr>
        <w:t>The present study aimed to analyze the impact of the Covid-19 pandemic on inter-regional and interstate trade relations in Northeastern Brazil by examining data on purchases, sales, and trade balance between 2017 and 2022, as well as GDP data to calculate the proportions of Northeastern inter-regional trade balances with other macro-regions. The method used is exploratory-descriptive. It is concluded that during this period there was a significant increase in the Northeast's trade deficits, exacerbated by the Covid-19 pandemic, highlighting the region's economic dependence on other macro-regions. The persistence of these deficits threatens regional competitiveness and suggests the urgent need for public policies that promote productive diversification and the strengthening of strategic sectors for more balanced and sustainable economic development. These results indicate a deepening and acceleration of the historical structural trends in the Northeast, reproducing deficit scenarios but also reflecting the region's role in the geographies of production and consumption, both within the region and in relation to others.</w:t>
      </w:r>
    </w:p>
    <w:p w14:paraId="004EEB9C" w14:textId="332ED8E5" w:rsidR="00421AA8" w:rsidRPr="00D77021" w:rsidRDefault="35FF8953" w:rsidP="35FF8953">
      <w:pPr>
        <w:spacing w:after="120" w:line="240" w:lineRule="auto"/>
        <w:jc w:val="both"/>
        <w:rPr>
          <w:rFonts w:ascii="Candara" w:eastAsia="Candara" w:hAnsi="Candara" w:cs="Candara"/>
        </w:rPr>
      </w:pPr>
      <w:r w:rsidRPr="00D77021">
        <w:rPr>
          <w:rFonts w:ascii="Candara" w:eastAsia="Candara" w:hAnsi="Candara" w:cs="Candara"/>
          <w:b/>
          <w:bCs/>
          <w:lang w:val="en-US"/>
        </w:rPr>
        <w:t>Keywords:</w:t>
      </w:r>
      <w:r w:rsidRPr="00D77021">
        <w:rPr>
          <w:rFonts w:ascii="Candara" w:eastAsia="Candara" w:hAnsi="Candara" w:cs="Candara"/>
          <w:lang w:val="en-US"/>
        </w:rPr>
        <w:t xml:space="preserve"> Northeast Region. Inter-regional and Interstate Trade. </w:t>
      </w:r>
      <w:r w:rsidRPr="00D77021">
        <w:rPr>
          <w:rFonts w:ascii="Candara" w:eastAsia="Candara" w:hAnsi="Candara" w:cs="Candara"/>
        </w:rPr>
        <w:t xml:space="preserve">Covid-19 </w:t>
      </w:r>
      <w:proofErr w:type="spellStart"/>
      <w:r w:rsidRPr="00D77021">
        <w:rPr>
          <w:rFonts w:ascii="Candara" w:eastAsia="Candara" w:hAnsi="Candara" w:cs="Candara"/>
        </w:rPr>
        <w:t>Pandemic</w:t>
      </w:r>
      <w:proofErr w:type="spellEnd"/>
      <w:r w:rsidRPr="00D77021">
        <w:rPr>
          <w:rFonts w:ascii="Candara" w:eastAsia="Candara" w:hAnsi="Candara" w:cs="Candara"/>
        </w:rPr>
        <w:t>.</w:t>
      </w:r>
    </w:p>
    <w:p w14:paraId="63065420" w14:textId="17FDB4C5" w:rsidR="00F014EC" w:rsidRPr="00D77021" w:rsidRDefault="00F014EC" w:rsidP="35FF8953">
      <w:pPr>
        <w:spacing w:after="120" w:line="240" w:lineRule="auto"/>
        <w:jc w:val="both"/>
        <w:rPr>
          <w:rFonts w:ascii="Candara" w:eastAsia="Candara" w:hAnsi="Candara" w:cs="Candara"/>
        </w:rPr>
      </w:pPr>
    </w:p>
    <w:p w14:paraId="0E3FBC92" w14:textId="244BF0AA" w:rsidR="20AF2EE4" w:rsidRPr="00D77021" w:rsidRDefault="20AF2EE4" w:rsidP="35FF8953">
      <w:pPr>
        <w:spacing w:after="120" w:line="240" w:lineRule="auto"/>
        <w:jc w:val="both"/>
        <w:rPr>
          <w:rFonts w:ascii="Candara" w:eastAsia="Candara" w:hAnsi="Candara" w:cs="Candara"/>
        </w:rPr>
      </w:pPr>
    </w:p>
    <w:p w14:paraId="49827589" w14:textId="70B82424" w:rsidR="000D799E" w:rsidRPr="00D77021" w:rsidRDefault="35FF8953" w:rsidP="35FF8953">
      <w:pPr>
        <w:spacing w:after="120" w:line="360" w:lineRule="auto"/>
        <w:ind w:firstLine="851"/>
        <w:jc w:val="both"/>
        <w:rPr>
          <w:rFonts w:ascii="Candara" w:eastAsia="Candara" w:hAnsi="Candara" w:cs="Candara"/>
          <w:sz w:val="28"/>
          <w:szCs w:val="28"/>
        </w:rPr>
      </w:pPr>
      <w:r w:rsidRPr="00D77021">
        <w:rPr>
          <w:rFonts w:ascii="Candara" w:eastAsia="Candara" w:hAnsi="Candara" w:cs="Candara"/>
          <w:sz w:val="28"/>
          <w:szCs w:val="28"/>
        </w:rPr>
        <w:t>1 Introdução</w:t>
      </w:r>
    </w:p>
    <w:p w14:paraId="3D5D4A61" w14:textId="009025F8" w:rsidR="000D799E"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 xml:space="preserve">As divergências regionais têm ganhado destaque no debate público, refletindo não só disparidades econômicas, como as diferenças de produto </w:t>
      </w:r>
      <w:r w:rsidRPr="00D77021">
        <w:rPr>
          <w:rFonts w:ascii="Candara" w:eastAsia="Candara" w:hAnsi="Candara" w:cs="Candara"/>
          <w:i/>
          <w:iCs/>
          <w:sz w:val="24"/>
          <w:szCs w:val="24"/>
        </w:rPr>
        <w:t>per capita</w:t>
      </w:r>
      <w:r w:rsidRPr="00D77021">
        <w:rPr>
          <w:rFonts w:ascii="Candara" w:eastAsia="Candara" w:hAnsi="Candara" w:cs="Candara"/>
          <w:sz w:val="24"/>
          <w:szCs w:val="24"/>
        </w:rPr>
        <w:t>, mas também dissensões políticas e eleitorais (Storper, 2018).</w:t>
      </w:r>
    </w:p>
    <w:p w14:paraId="09AF3873" w14:textId="04D54B4A" w:rsidR="000D799E"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 xml:space="preserve">Em alinhamento a estas preocupações, neste artigo, analisamos as mudanças nos fluxos comerciais internos do Nordeste entre 2017 e 2022, destacando a persistência de um déficit estrutural. A articulação entre regiões, historicamente </w:t>
      </w:r>
      <w:r w:rsidRPr="00D77021">
        <w:rPr>
          <w:rFonts w:ascii="Candara" w:eastAsia="Candara" w:hAnsi="Candara" w:cs="Candara"/>
          <w:sz w:val="24"/>
          <w:szCs w:val="24"/>
        </w:rPr>
        <w:lastRenderedPageBreak/>
        <w:t>marcada pela hegemonia econômica de São Paulo, contribui para as desigualdades regionais (Brandão, 2012).</w:t>
      </w:r>
    </w:p>
    <w:p w14:paraId="0AEC697F" w14:textId="723212F9" w:rsidR="000D799E"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 xml:space="preserve">Nas últimas décadas, o Brasil experimentou um ciclo de crescimento (2004-14), seguido por recessão (2015-16) e estagnação (2017-19), culminando na pandemia de 2020-21, que provocou distorções nos mercados globais. Essas flutuações podem ter impactado de forma significativa o contexto regional, especialmente em áreas como o Nordeste, que já apresentava um déficit comercial elevado em relação às demais regiões, com piora no pós-pandemia (Bezerra </w:t>
      </w:r>
      <w:r w:rsidRPr="00D77021">
        <w:rPr>
          <w:rFonts w:ascii="Candara" w:eastAsia="Candara" w:hAnsi="Candara" w:cs="Candara"/>
          <w:i/>
          <w:iCs/>
          <w:sz w:val="24"/>
          <w:szCs w:val="24"/>
        </w:rPr>
        <w:t>et al.</w:t>
      </w:r>
      <w:r w:rsidRPr="00D77021">
        <w:rPr>
          <w:rFonts w:ascii="Candara" w:eastAsia="Candara" w:hAnsi="Candara" w:cs="Candara"/>
          <w:sz w:val="24"/>
          <w:szCs w:val="24"/>
        </w:rPr>
        <w:t xml:space="preserve">, 2015; Galvão, 1999; Macedo, 2023; Vidal </w:t>
      </w:r>
      <w:r w:rsidRPr="00D77021">
        <w:rPr>
          <w:rFonts w:ascii="Candara" w:eastAsia="Candara" w:hAnsi="Candara" w:cs="Candara"/>
          <w:i/>
          <w:iCs/>
          <w:sz w:val="24"/>
          <w:szCs w:val="24"/>
        </w:rPr>
        <w:t>et al.</w:t>
      </w:r>
      <w:r w:rsidRPr="00D77021">
        <w:rPr>
          <w:rFonts w:ascii="Candara" w:eastAsia="Candara" w:hAnsi="Candara" w:cs="Candara"/>
          <w:sz w:val="24"/>
          <w:szCs w:val="24"/>
        </w:rPr>
        <w:t>, 2021). Formulamos hipóteses para explicar esse fenômeno, visando contribuir para futuros estudos.</w:t>
      </w:r>
    </w:p>
    <w:p w14:paraId="398316F1" w14:textId="041AD6E8" w:rsidR="000D799E"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 xml:space="preserve">O artigo está organizado em quatro seções, além desta introdução. Na próxima seção, discutimos considerações sobre a literatura especializada nas relações comerciais </w:t>
      </w:r>
      <w:proofErr w:type="spellStart"/>
      <w:r w:rsidRPr="00D77021">
        <w:rPr>
          <w:rFonts w:ascii="Candara" w:eastAsia="Candara" w:hAnsi="Candara" w:cs="Candara"/>
          <w:sz w:val="24"/>
          <w:szCs w:val="24"/>
        </w:rPr>
        <w:t>intra</w:t>
      </w:r>
      <w:proofErr w:type="spellEnd"/>
      <w:r w:rsidRPr="00D77021">
        <w:rPr>
          <w:rFonts w:ascii="Candara" w:eastAsia="Candara" w:hAnsi="Candara" w:cs="Candara"/>
          <w:sz w:val="24"/>
          <w:szCs w:val="24"/>
        </w:rPr>
        <w:t xml:space="preserve"> e inter-regionais no Brasil. A terceira seção aborda notas metodológicas sucintas, seguida pela análise dos dados e suas interpretações na quarta seção, onde também apresentamos hipóteses explicativas. Por fim, concluímos o texto com os principais achados e sugestões para futuras pesquisas.</w:t>
      </w:r>
    </w:p>
    <w:p w14:paraId="5409E77E" w14:textId="77777777" w:rsidR="000E792F" w:rsidRPr="00D77021" w:rsidRDefault="000E792F" w:rsidP="35FF8953">
      <w:pPr>
        <w:spacing w:after="120" w:line="360" w:lineRule="auto"/>
        <w:jc w:val="both"/>
        <w:rPr>
          <w:rFonts w:ascii="Candara" w:eastAsia="Candara" w:hAnsi="Candara" w:cs="Candara"/>
          <w:sz w:val="24"/>
          <w:szCs w:val="24"/>
        </w:rPr>
      </w:pPr>
    </w:p>
    <w:p w14:paraId="1F233902" w14:textId="217B5B6B" w:rsidR="00FA606E" w:rsidRPr="00D77021" w:rsidRDefault="35FF8953" w:rsidP="35FF8953">
      <w:pPr>
        <w:spacing w:after="120" w:line="360" w:lineRule="auto"/>
        <w:ind w:firstLine="708"/>
        <w:jc w:val="both"/>
        <w:rPr>
          <w:rFonts w:ascii="Candara" w:eastAsia="Candara" w:hAnsi="Candara" w:cs="Candara"/>
          <w:sz w:val="28"/>
          <w:szCs w:val="28"/>
        </w:rPr>
      </w:pPr>
      <w:r w:rsidRPr="00D77021">
        <w:rPr>
          <w:rFonts w:ascii="Candara" w:eastAsia="Candara" w:hAnsi="Candara" w:cs="Candara"/>
          <w:sz w:val="28"/>
          <w:szCs w:val="28"/>
        </w:rPr>
        <w:t xml:space="preserve">2 Considerações sobre relações comerciais </w:t>
      </w:r>
      <w:proofErr w:type="spellStart"/>
      <w:r w:rsidRPr="00D77021">
        <w:rPr>
          <w:rFonts w:ascii="Candara" w:eastAsia="Candara" w:hAnsi="Candara" w:cs="Candara"/>
          <w:sz w:val="28"/>
          <w:szCs w:val="28"/>
        </w:rPr>
        <w:t>intra</w:t>
      </w:r>
      <w:proofErr w:type="spellEnd"/>
      <w:r w:rsidRPr="00D77021">
        <w:rPr>
          <w:rFonts w:ascii="Candara" w:eastAsia="Candara" w:hAnsi="Candara" w:cs="Candara"/>
          <w:sz w:val="28"/>
          <w:szCs w:val="28"/>
        </w:rPr>
        <w:t xml:space="preserve"> e inter-regionais no Brasil</w:t>
      </w:r>
    </w:p>
    <w:p w14:paraId="095F3974" w14:textId="2610DDB4" w:rsidR="00FA606E" w:rsidRPr="00D77021" w:rsidRDefault="35FF8953" w:rsidP="35FF8953">
      <w:pPr>
        <w:spacing w:after="120" w:line="360" w:lineRule="auto"/>
        <w:ind w:firstLine="708"/>
        <w:jc w:val="both"/>
        <w:rPr>
          <w:rFonts w:ascii="Candara" w:eastAsia="Candara" w:hAnsi="Candara" w:cs="Candara"/>
          <w:sz w:val="24"/>
          <w:szCs w:val="24"/>
        </w:rPr>
      </w:pPr>
      <w:r w:rsidRPr="00D77021">
        <w:rPr>
          <w:rFonts w:ascii="Candara" w:eastAsia="Candara" w:hAnsi="Candara" w:cs="Candara"/>
          <w:sz w:val="24"/>
          <w:szCs w:val="24"/>
        </w:rPr>
        <w:t xml:space="preserve">As transformações internacionais das últimas décadas, como o avanço tecnológico e as mudanças na divisão internacional do trabalho, impactaram o padrão de localização industrial e o comércio interestadual e inter-regional no Brasil </w:t>
      </w:r>
      <w:r w:rsidRPr="00D77021">
        <w:rPr>
          <w:rFonts w:ascii="Candara" w:eastAsia="Candara" w:hAnsi="Candara" w:cs="Candara"/>
          <w:sz w:val="24"/>
          <w:szCs w:val="24"/>
        </w:rPr>
        <w:lastRenderedPageBreak/>
        <w:t>(Magalhães; Domingues, 2008). Embora o comércio interno seja crucial, há poucos estudos sobre o tema, apesar de sua importância em um país de dimensões continentais como o Brasil (Castro, Carris e Rodrigues, 1999).</w:t>
      </w:r>
    </w:p>
    <w:p w14:paraId="73928057" w14:textId="72C563CB" w:rsidR="00FA606E" w:rsidRPr="00D77021" w:rsidRDefault="35FF8953" w:rsidP="35FF8953">
      <w:pPr>
        <w:spacing w:after="120" w:line="360" w:lineRule="auto"/>
        <w:ind w:firstLine="708"/>
        <w:jc w:val="both"/>
        <w:rPr>
          <w:rFonts w:ascii="Candara" w:eastAsia="Candara" w:hAnsi="Candara" w:cs="Candara"/>
          <w:sz w:val="24"/>
          <w:szCs w:val="24"/>
        </w:rPr>
      </w:pPr>
      <w:r w:rsidRPr="00D77021">
        <w:rPr>
          <w:rFonts w:ascii="Candara" w:eastAsia="Candara" w:hAnsi="Candara" w:cs="Candara"/>
          <w:sz w:val="24"/>
          <w:szCs w:val="24"/>
        </w:rPr>
        <w:t>A integração macrorregional do Brasil começou a ganhar força a partir da década de 1950, com o crescimento dos fluxos inter-regionais. Até então, a cabotagem</w:t>
      </w:r>
      <w:r w:rsidR="20AF2EE4" w:rsidRPr="00D77021">
        <w:rPr>
          <w:rStyle w:val="Refdenotaderodap"/>
          <w:rFonts w:ascii="Candara" w:eastAsia="Candara" w:hAnsi="Candara" w:cs="Candara"/>
          <w:sz w:val="24"/>
          <w:szCs w:val="24"/>
        </w:rPr>
        <w:footnoteReference w:id="6"/>
      </w:r>
      <w:r w:rsidRPr="00D77021">
        <w:rPr>
          <w:rFonts w:ascii="Candara" w:eastAsia="Candara" w:hAnsi="Candara" w:cs="Candara"/>
          <w:sz w:val="24"/>
          <w:szCs w:val="24"/>
        </w:rPr>
        <w:t>, limitada e ineficiente, mantinha as regiões relativamente isoladas, com economias voltadas para o mercado internacional, resultando em um mercado interno frágil até os anos 1940 (Galvão, 1999; 2021). A expansão do sistema ferroviário teve um papel relevante, mas suas limitações impediram uma integração mais ampla entre as macrorregiões.</w:t>
      </w:r>
    </w:p>
    <w:p w14:paraId="499629D3" w14:textId="2D64F78B" w:rsidR="00FA606E" w:rsidRPr="00D77021" w:rsidRDefault="35FF8953" w:rsidP="35FF8953">
      <w:pPr>
        <w:spacing w:after="120" w:line="360" w:lineRule="auto"/>
        <w:ind w:firstLine="708"/>
        <w:jc w:val="both"/>
        <w:rPr>
          <w:rFonts w:ascii="Candara" w:eastAsia="Candara" w:hAnsi="Candara" w:cs="Candara"/>
          <w:sz w:val="24"/>
          <w:szCs w:val="24"/>
        </w:rPr>
      </w:pPr>
      <w:r w:rsidRPr="00D77021">
        <w:rPr>
          <w:rFonts w:ascii="Candara" w:eastAsia="Candara" w:hAnsi="Candara" w:cs="Candara"/>
          <w:sz w:val="24"/>
          <w:szCs w:val="24"/>
        </w:rPr>
        <w:t>Nas décadas de 1950 e 1960, as rodovias promoveram uma significativa expansão do comércio inter-regional, rompendo o isolamento regional. A indústria automobilística e os avanços em telecomunicações reconfiguraram o território nacional, impulsionando a integração comercial e produtiva (Diniz, 1995).</w:t>
      </w:r>
    </w:p>
    <w:p w14:paraId="0D765BC7" w14:textId="21B6601A" w:rsidR="00FA606E" w:rsidRPr="00D77021" w:rsidRDefault="35FF8953" w:rsidP="35FF8953">
      <w:pPr>
        <w:spacing w:after="120" w:line="360" w:lineRule="auto"/>
        <w:ind w:firstLine="708"/>
        <w:jc w:val="both"/>
        <w:rPr>
          <w:rFonts w:ascii="Candara" w:eastAsia="Candara" w:hAnsi="Candara" w:cs="Candara"/>
          <w:sz w:val="24"/>
          <w:szCs w:val="24"/>
        </w:rPr>
      </w:pPr>
      <w:r w:rsidRPr="00D77021">
        <w:rPr>
          <w:rFonts w:ascii="Candara" w:eastAsia="Candara" w:hAnsi="Candara" w:cs="Candara"/>
          <w:sz w:val="24"/>
          <w:szCs w:val="24"/>
        </w:rPr>
        <w:t xml:space="preserve">Alguns estudos foram realizados para as relações de comércio interno no Brasil, destacando as dimensões </w:t>
      </w:r>
      <w:proofErr w:type="spellStart"/>
      <w:r w:rsidRPr="00D77021">
        <w:rPr>
          <w:rFonts w:ascii="Candara" w:eastAsia="Candara" w:hAnsi="Candara" w:cs="Candara"/>
          <w:sz w:val="24"/>
          <w:szCs w:val="24"/>
        </w:rPr>
        <w:t>intra</w:t>
      </w:r>
      <w:proofErr w:type="spellEnd"/>
      <w:r w:rsidRPr="00D77021">
        <w:rPr>
          <w:rFonts w:ascii="Candara" w:eastAsia="Candara" w:hAnsi="Candara" w:cs="Candara"/>
          <w:sz w:val="24"/>
          <w:szCs w:val="24"/>
        </w:rPr>
        <w:t xml:space="preserve"> e inter-regionais. Galvão (1999) verificou empiricamente, através de quatro matrizes (1943, 1947, 1961 e 1969), a importância do comércio interestadual por vias internas, destacando a reversão do quadro da supremacia do mercado internacional e da pouca relevância do comércio interno até a década de 1940 para uma integração comercial mais acentuada entre as macrorregiões a partir da década de 1950 através de políticas de desenvolvimento, </w:t>
      </w:r>
      <w:r w:rsidRPr="00D77021">
        <w:rPr>
          <w:rFonts w:ascii="Candara" w:eastAsia="Candara" w:hAnsi="Candara" w:cs="Candara"/>
          <w:sz w:val="24"/>
          <w:szCs w:val="24"/>
        </w:rPr>
        <w:lastRenderedPageBreak/>
        <w:t>de modo que as relações interestaduais foram mais intensas, superando as exportações. Todavia, uma das contribuições destacou que a integração comercial foi heterogênea, afetando desigualmente as regiões e gerando repercussões diferenciadas sobre seus desenvolvimentos.</w:t>
      </w:r>
    </w:p>
    <w:p w14:paraId="10AB94C6" w14:textId="1DF50531" w:rsidR="00FA606E"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Castro, Carris e Rodrigues (1999) discutiram as dimensões do comércio interestadual para o ano de 1985. Concluíram que a distribuição do comércio brasileiro se caracterizava por forte concentração espacial, pois as importações e exportações estavam centralizadas em poucos estados, sobretudo nas regiões Sul e Sudeste, por apresentarem maior densidade populacional e estruturas de produção mais modernas e industrializadas. A título de comparação, São Paulo concentrava 32% das exportações interestaduais, sendo um percentual superior ao somatório das macrorregiões Centro-Oeste, Nordeste e Norte (22,5%).</w:t>
      </w:r>
    </w:p>
    <w:p w14:paraId="10C4C19B" w14:textId="4400867A" w:rsidR="00FA606E"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Hidalgo e Vergolino (1998) buscaram analisar o fluxo de comércio da região Nordeste para o Brasil e o exterior, assim como a importância das fronteiras endógenas e exógenas sobre o padrão do comércio internacional e interestadual. Tendo 1991 como ano de referência, usando o modelo da equação de gravidade, concluíram que havia uma alta elasticidade das exportações em relação ao produto doméstico bruto regional. Constataram que a existência de fronteiras como a fronteira internacional tendeu a ser um importante determinante do comércio. Ademais, os resultados indicaram uma maior densidade comercial internamente em comparação ao âmbito internacional.</w:t>
      </w:r>
    </w:p>
    <w:p w14:paraId="7EB16FBD" w14:textId="558308D1" w:rsidR="00FA606E"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 xml:space="preserve">Vasconcelos e Oliveira (2006) buscaram analisar a pauta das exportações do comércio interno no Brasil, permitindo uma compreensão das relações comerciais </w:t>
      </w:r>
      <w:r w:rsidRPr="00D77021">
        <w:rPr>
          <w:rFonts w:ascii="Candara" w:eastAsia="Candara" w:hAnsi="Candara" w:cs="Candara"/>
          <w:sz w:val="24"/>
          <w:szCs w:val="24"/>
        </w:rPr>
        <w:lastRenderedPageBreak/>
        <w:t>entre os estados, a utilização de produtos importados, a natureza das atividades econômicas exportadoras, e os fatores de competição dessas atividades para 1999. Entre os principais pontos, destacaram que houve uma concentração significativa das exportações interestaduais em poucas atividades econômicas; o Sudeste foi a principal região de destino das exportações interestaduais, seguido pelo Sul, sugerindo uma centralização das atividades econômicas exportadoras em algumas regiões específicas do Brasil; e, embora houvesse concentração em certas atividades, também foi observada uma diversificação significativa nas atividades econômicas envolvidas no comércio interestadual, abrangendo desde a fabricação de alimentos e bebidas até produtos têxteis e máquinas.</w:t>
      </w:r>
    </w:p>
    <w:p w14:paraId="10200B73" w14:textId="643E0A4F" w:rsidR="00FA606E"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Almeida e Silva (2007) analisaram o efeito-fronteira nos comércios nacional e internacional, tendo 1999 como ano de referência. Concluíram que há pouca integração entre os estados e ao mercado internacional. Os problemas de desigualdade produtiva e de renda, de infraestrutura física e de transportes foram determinantes para o baixo grau de integração comercial interestadual.</w:t>
      </w:r>
    </w:p>
    <w:p w14:paraId="38640688" w14:textId="27E3A193" w:rsidR="00FA606E"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Magalhães e Domingues (2008) indicaram que as estruturas produtivas regionais do Brasil, em termos de renda e de diversificação, mostraram-se relacionadas com os fluxos de comércio interestadual. Ademais, atestaram para o fator distância como termômetro das trocas comerciais (quanto mais distante, menores são as relações e vice-versa).</w:t>
      </w:r>
    </w:p>
    <w:p w14:paraId="1F18277B" w14:textId="5058475B" w:rsidR="00FA606E"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 xml:space="preserve">Perobelli </w:t>
      </w:r>
      <w:r w:rsidRPr="00D77021">
        <w:rPr>
          <w:rFonts w:ascii="Candara" w:eastAsia="Candara" w:hAnsi="Candara" w:cs="Candara"/>
          <w:i/>
          <w:iCs/>
          <w:sz w:val="24"/>
          <w:szCs w:val="24"/>
        </w:rPr>
        <w:t>et al.</w:t>
      </w:r>
      <w:r w:rsidRPr="00D77021">
        <w:rPr>
          <w:rFonts w:ascii="Candara" w:eastAsia="Candara" w:hAnsi="Candara" w:cs="Candara"/>
          <w:sz w:val="24"/>
          <w:szCs w:val="24"/>
        </w:rPr>
        <w:t xml:space="preserve"> (2008) observaram que grande parte das unidades federativas brasileiras reduziram seus níveis de dependência </w:t>
      </w:r>
      <w:proofErr w:type="spellStart"/>
      <w:r w:rsidRPr="00D77021">
        <w:rPr>
          <w:rFonts w:ascii="Candara" w:eastAsia="Candara" w:hAnsi="Candara" w:cs="Candara"/>
          <w:sz w:val="24"/>
          <w:szCs w:val="24"/>
        </w:rPr>
        <w:t>intra</w:t>
      </w:r>
      <w:proofErr w:type="spellEnd"/>
      <w:r w:rsidRPr="00D77021">
        <w:rPr>
          <w:rFonts w:ascii="Candara" w:eastAsia="Candara" w:hAnsi="Candara" w:cs="Candara"/>
          <w:sz w:val="24"/>
          <w:szCs w:val="24"/>
        </w:rPr>
        <w:t xml:space="preserve"> e intersetorialmente, </w:t>
      </w:r>
      <w:r w:rsidRPr="00D77021">
        <w:rPr>
          <w:rFonts w:ascii="Candara" w:eastAsia="Candara" w:hAnsi="Candara" w:cs="Candara"/>
          <w:sz w:val="24"/>
          <w:szCs w:val="24"/>
        </w:rPr>
        <w:lastRenderedPageBreak/>
        <w:t>relacionando-os ao restante do país. Contudo, não surtiram o efeito esperado na estrutura econômica e espacial brasileira.</w:t>
      </w:r>
    </w:p>
    <w:p w14:paraId="7BCD9F7B" w14:textId="216F874B" w:rsidR="00FA606E"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 xml:space="preserve">Por fim, cabe destacar dois estudos do Banco do Nordeste do Brasil (BNB), Bezerra </w:t>
      </w:r>
      <w:r w:rsidRPr="00D77021">
        <w:rPr>
          <w:rFonts w:ascii="Candara" w:eastAsia="Candara" w:hAnsi="Candara" w:cs="Candara"/>
          <w:i/>
          <w:iCs/>
          <w:sz w:val="24"/>
          <w:szCs w:val="24"/>
        </w:rPr>
        <w:t>et al.</w:t>
      </w:r>
      <w:r w:rsidRPr="00D77021">
        <w:rPr>
          <w:rFonts w:ascii="Candara" w:eastAsia="Candara" w:hAnsi="Candara" w:cs="Candara"/>
          <w:sz w:val="24"/>
          <w:szCs w:val="24"/>
        </w:rPr>
        <w:t xml:space="preserve"> (2015) e Vidal </w:t>
      </w:r>
      <w:r w:rsidRPr="00D77021">
        <w:rPr>
          <w:rFonts w:ascii="Candara" w:eastAsia="Candara" w:hAnsi="Candara" w:cs="Candara"/>
          <w:i/>
          <w:iCs/>
          <w:sz w:val="24"/>
          <w:szCs w:val="24"/>
        </w:rPr>
        <w:t>et al.</w:t>
      </w:r>
      <w:r w:rsidRPr="00D77021">
        <w:rPr>
          <w:rFonts w:ascii="Candara" w:eastAsia="Candara" w:hAnsi="Candara" w:cs="Candara"/>
          <w:sz w:val="24"/>
          <w:szCs w:val="24"/>
        </w:rPr>
        <w:t xml:space="preserve"> (2021). O primeiro refere-se a uma análise das compras e vendas de insumos dos estados nordestinos em 2009, utilizando matriz insumo-produto da região Nordeste e de seus estados. Concluíram que quatro estados apresentaram superavit comercial (Alagoas, Maranhão, Pernambuco e Sergipe) e os outros cinco registraram déficits comerciais (Bahia, Ceará, Paraíba, Piauí e Rio Grande do Norte).</w:t>
      </w:r>
    </w:p>
    <w:p w14:paraId="1A6C2CA5" w14:textId="00A813E5" w:rsidR="00FA606E"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O Segundo estudo refere-se a uma análise da balança comercial inter-regional e interestadual nordestina, utilizando dados do Conselho Nacional de Política Fazendária (CONFAZ) para o ano de 2020. Concluíram que a região Nordeste apresentou déficit comercial com todas as demais macrorregiões, sobretudo com a região Sul (24,6% do déficit nordestino de R$ 220,7 bilhões) e Sudeste (65,9% do déficit nordestino). Quando observado os estados nordestinos, três deles contribuíram mais intensamente para o déficit comercial, sendo o Ceará (19,5%), Bahia (19,0%) e Maranhão (13,1%).</w:t>
      </w:r>
    </w:p>
    <w:p w14:paraId="42F96C44" w14:textId="245D77F1" w:rsidR="00FA606E"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 xml:space="preserve">Diante da literatura exposta sobre as relações comerciais </w:t>
      </w:r>
      <w:proofErr w:type="spellStart"/>
      <w:r w:rsidRPr="00D77021">
        <w:rPr>
          <w:rFonts w:ascii="Candara" w:eastAsia="Candara" w:hAnsi="Candara" w:cs="Candara"/>
          <w:sz w:val="24"/>
          <w:szCs w:val="24"/>
        </w:rPr>
        <w:t>intra</w:t>
      </w:r>
      <w:proofErr w:type="spellEnd"/>
      <w:r w:rsidRPr="00D77021">
        <w:rPr>
          <w:rFonts w:ascii="Candara" w:eastAsia="Candara" w:hAnsi="Candara" w:cs="Candara"/>
          <w:sz w:val="24"/>
          <w:szCs w:val="24"/>
        </w:rPr>
        <w:t xml:space="preserve"> e inter-regionais no Brasil, observa-se que o comércio interno é um fator relevante para estimular o crescimento e desenvolvimento nacionais. A partir da dinâmica do comércio inter-regional é possível compreender as interações na mesma escala, avaliando o peso do comercio interestadual sobre o desenvolvimento econômico das regiões (Magalhães; Domingues, 2008). Fatores como menor alcance geográfico, uso </w:t>
      </w:r>
      <w:r w:rsidRPr="00D77021">
        <w:rPr>
          <w:rFonts w:ascii="Candara" w:eastAsia="Candara" w:hAnsi="Candara" w:cs="Candara"/>
          <w:sz w:val="24"/>
          <w:szCs w:val="24"/>
        </w:rPr>
        <w:lastRenderedPageBreak/>
        <w:t xml:space="preserve">da mesma moeda, integração do mercado de capitais e do sistema financeiro e barreiras menores e menos complexas embasam a importância do mercado interno (Perobelli </w:t>
      </w:r>
      <w:r w:rsidRPr="00D77021">
        <w:rPr>
          <w:rFonts w:ascii="Candara" w:eastAsia="Candara" w:hAnsi="Candara" w:cs="Candara"/>
          <w:i/>
          <w:iCs/>
          <w:sz w:val="24"/>
          <w:szCs w:val="24"/>
        </w:rPr>
        <w:t>et al.</w:t>
      </w:r>
      <w:r w:rsidRPr="00D77021">
        <w:rPr>
          <w:rFonts w:ascii="Candara" w:eastAsia="Candara" w:hAnsi="Candara" w:cs="Candara"/>
          <w:sz w:val="24"/>
          <w:szCs w:val="24"/>
        </w:rPr>
        <w:t>, 2008).</w:t>
      </w:r>
    </w:p>
    <w:p w14:paraId="547C4B7E" w14:textId="6C3C99BA" w:rsidR="20AF2EE4" w:rsidRPr="00D77021" w:rsidRDefault="20AF2EE4" w:rsidP="35FF8953">
      <w:pPr>
        <w:spacing w:after="120" w:line="360" w:lineRule="auto"/>
        <w:ind w:firstLine="851"/>
        <w:jc w:val="both"/>
        <w:rPr>
          <w:rFonts w:ascii="Candara" w:eastAsia="Candara" w:hAnsi="Candara" w:cs="Candara"/>
          <w:sz w:val="24"/>
          <w:szCs w:val="24"/>
        </w:rPr>
      </w:pPr>
    </w:p>
    <w:p w14:paraId="099A52AC" w14:textId="40DEE1AA" w:rsidR="1A97B0E4" w:rsidRPr="00D77021" w:rsidRDefault="35FF8953" w:rsidP="35FF8953">
      <w:pPr>
        <w:spacing w:after="120" w:line="360" w:lineRule="auto"/>
        <w:ind w:firstLine="851"/>
        <w:jc w:val="both"/>
        <w:rPr>
          <w:rFonts w:ascii="Candara" w:eastAsia="Candara" w:hAnsi="Candara" w:cs="Candara"/>
          <w:sz w:val="28"/>
          <w:szCs w:val="28"/>
        </w:rPr>
      </w:pPr>
      <w:r w:rsidRPr="00D77021">
        <w:rPr>
          <w:rFonts w:ascii="Candara" w:eastAsia="Candara" w:hAnsi="Candara" w:cs="Candara"/>
          <w:sz w:val="28"/>
          <w:szCs w:val="28"/>
        </w:rPr>
        <w:t>3 Metodologia</w:t>
      </w:r>
    </w:p>
    <w:p w14:paraId="5CBB822A" w14:textId="5BD9DD6B" w:rsidR="1A97B0E4"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Para avaliar o impacto da pandemia de covid-19 nas relações de comércio inter-regionais e intrarregionais do Nordeste brasileiro serão analisados os dados de compra, venda e o saldo da matriz de comércio interestadual elaborada pelo CONFAZ do Ministério da Fazenda, de 2017 a 2022, em um esforço inédito de prover uma base de dados com uma série temporal contínua com base em notas fiscais emitidas pelos órgãos fazendários estaduais.</w:t>
      </w:r>
    </w:p>
    <w:p w14:paraId="43C64A8B" w14:textId="67178A24" w:rsidR="1A97B0E4"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 xml:space="preserve">Para fins de tabelamento das relações inter-regionais, foram agregados os dados referentes aos estados das macrorregiões comparando seus resultados e relações comerciais com a macrorregião Nordeste. Ademais, foram utilizados os dados do Produto Interno Bruto (PIB) para calcular as proporções dos saldos comerciais inter-regionais do Nordeste com as demais macrorregiões e o Brasil em proporção ao PIB. A análise é exploratória e descritiva, buscando verificar o comportamento do saldo comercial nordestino comparativamente as demais macrorregiões e o Brasil em um período que </w:t>
      </w:r>
      <w:proofErr w:type="spellStart"/>
      <w:r w:rsidRPr="00D77021">
        <w:rPr>
          <w:rFonts w:ascii="Candara" w:eastAsia="Candara" w:hAnsi="Candara" w:cs="Candara"/>
          <w:sz w:val="24"/>
          <w:szCs w:val="24"/>
        </w:rPr>
        <w:t>pré</w:t>
      </w:r>
      <w:proofErr w:type="spellEnd"/>
      <w:r w:rsidRPr="00D77021">
        <w:rPr>
          <w:rFonts w:ascii="Candara" w:eastAsia="Candara" w:hAnsi="Candara" w:cs="Candara"/>
          <w:sz w:val="24"/>
          <w:szCs w:val="24"/>
        </w:rPr>
        <w:t xml:space="preserve"> e pós-período pandêmico.</w:t>
      </w:r>
    </w:p>
    <w:p w14:paraId="54A5AA48" w14:textId="4357C444" w:rsidR="20AF2EE4" w:rsidRPr="00D77021" w:rsidRDefault="20AF2EE4" w:rsidP="35FF8953">
      <w:pPr>
        <w:spacing w:after="120" w:line="360" w:lineRule="auto"/>
        <w:ind w:firstLine="851"/>
        <w:jc w:val="both"/>
        <w:rPr>
          <w:rFonts w:ascii="Candara" w:eastAsia="Candara" w:hAnsi="Candara" w:cs="Candara"/>
          <w:sz w:val="24"/>
          <w:szCs w:val="24"/>
        </w:rPr>
      </w:pPr>
    </w:p>
    <w:p w14:paraId="69CDE978" w14:textId="37DBF215" w:rsidR="003E0D45" w:rsidRPr="00D77021" w:rsidRDefault="35FF8953" w:rsidP="35FF8953">
      <w:pPr>
        <w:spacing w:after="120" w:line="360" w:lineRule="auto"/>
        <w:ind w:firstLine="851"/>
        <w:jc w:val="both"/>
        <w:rPr>
          <w:rFonts w:ascii="Candara" w:eastAsia="Candara" w:hAnsi="Candara" w:cs="Candara"/>
          <w:sz w:val="28"/>
          <w:szCs w:val="28"/>
        </w:rPr>
      </w:pPr>
      <w:r w:rsidRPr="00D77021">
        <w:rPr>
          <w:rFonts w:ascii="Candara" w:eastAsia="Candara" w:hAnsi="Candara" w:cs="Candara"/>
          <w:sz w:val="28"/>
          <w:szCs w:val="28"/>
        </w:rPr>
        <w:t>4 Balança comercial inter-regional e interestadual do Nordeste brasileiro e hipóteses acerca das repercussões da pandemia</w:t>
      </w:r>
    </w:p>
    <w:p w14:paraId="3D630B09" w14:textId="1B0760D3" w:rsidR="00977776" w:rsidRPr="00D77021" w:rsidRDefault="0092030B" w:rsidP="35FF8953">
      <w:pPr>
        <w:spacing w:after="120" w:line="360" w:lineRule="auto"/>
        <w:ind w:firstLine="810"/>
        <w:jc w:val="both"/>
        <w:rPr>
          <w:rFonts w:ascii="Candara" w:eastAsia="Candara" w:hAnsi="Candara" w:cs="Candara"/>
          <w:sz w:val="24"/>
          <w:szCs w:val="24"/>
        </w:rPr>
      </w:pPr>
      <w:r w:rsidRPr="00D77021">
        <w:rPr>
          <w:rFonts w:ascii="Candara" w:eastAsia="Candara" w:hAnsi="Candara" w:cs="Candara"/>
          <w:sz w:val="24"/>
          <w:szCs w:val="24"/>
        </w:rPr>
        <w:lastRenderedPageBreak/>
        <w:tab/>
      </w:r>
      <w:r w:rsidR="00656B51" w:rsidRPr="00D77021">
        <w:rPr>
          <w:rFonts w:ascii="Candara" w:eastAsia="Candara" w:hAnsi="Candara" w:cs="Candara"/>
          <w:sz w:val="24"/>
          <w:szCs w:val="24"/>
        </w:rPr>
        <w:t xml:space="preserve">As discussões </w:t>
      </w:r>
      <w:r w:rsidR="00EB2FA0" w:rsidRPr="00D77021">
        <w:rPr>
          <w:rFonts w:ascii="Candara" w:eastAsia="Candara" w:hAnsi="Candara" w:cs="Candara"/>
          <w:sz w:val="24"/>
          <w:szCs w:val="24"/>
        </w:rPr>
        <w:t>acerca</w:t>
      </w:r>
      <w:r w:rsidR="00656B51" w:rsidRPr="00D77021">
        <w:rPr>
          <w:rFonts w:ascii="Candara" w:eastAsia="Candara" w:hAnsi="Candara" w:cs="Candara"/>
          <w:sz w:val="24"/>
          <w:szCs w:val="24"/>
        </w:rPr>
        <w:t xml:space="preserve"> da importância do comércio são vastas</w:t>
      </w:r>
      <w:r w:rsidR="00FD6517" w:rsidRPr="00D77021">
        <w:rPr>
          <w:rFonts w:ascii="Candara" w:eastAsia="Candara" w:hAnsi="Candara" w:cs="Candara"/>
          <w:sz w:val="24"/>
          <w:szCs w:val="24"/>
        </w:rPr>
        <w:t xml:space="preserve">. </w:t>
      </w:r>
      <w:r w:rsidR="00A33226" w:rsidRPr="00D77021">
        <w:rPr>
          <w:rFonts w:ascii="Candara" w:eastAsia="Candara" w:hAnsi="Candara" w:cs="Candara"/>
          <w:sz w:val="24"/>
          <w:szCs w:val="24"/>
        </w:rPr>
        <w:t>Para além de sua função primária como fonte de abastecimento de bens e serviços</w:t>
      </w:r>
      <w:r w:rsidR="004D620E" w:rsidRPr="00D77021">
        <w:rPr>
          <w:rFonts w:ascii="Candara" w:eastAsia="Candara" w:hAnsi="Candara" w:cs="Candara"/>
          <w:sz w:val="24"/>
          <w:szCs w:val="24"/>
        </w:rPr>
        <w:t xml:space="preserve">, </w:t>
      </w:r>
      <w:r w:rsidR="009B027A" w:rsidRPr="00D77021">
        <w:rPr>
          <w:rFonts w:ascii="Candara" w:eastAsia="Candara" w:hAnsi="Candara" w:cs="Candara"/>
          <w:sz w:val="24"/>
          <w:szCs w:val="24"/>
        </w:rPr>
        <w:t>a literatura especializada discute</w:t>
      </w:r>
      <w:r w:rsidR="004D620E" w:rsidRPr="00D77021">
        <w:rPr>
          <w:rFonts w:ascii="Candara" w:eastAsia="Candara" w:hAnsi="Candara" w:cs="Candara"/>
          <w:sz w:val="24"/>
          <w:szCs w:val="24"/>
        </w:rPr>
        <w:t xml:space="preserve"> qual o papel do comércio</w:t>
      </w:r>
      <w:r w:rsidR="00785DC7" w:rsidRPr="00D77021">
        <w:rPr>
          <w:rFonts w:ascii="Candara" w:eastAsia="Candara" w:hAnsi="Candara" w:cs="Candara"/>
          <w:sz w:val="24"/>
          <w:szCs w:val="24"/>
        </w:rPr>
        <w:t xml:space="preserve">, </w:t>
      </w:r>
      <w:r w:rsidR="00EB2FA0" w:rsidRPr="00D77021">
        <w:rPr>
          <w:rFonts w:ascii="Candara" w:eastAsia="Candara" w:hAnsi="Candara" w:cs="Candara"/>
          <w:sz w:val="24"/>
          <w:szCs w:val="24"/>
        </w:rPr>
        <w:t xml:space="preserve">seja </w:t>
      </w:r>
      <w:r w:rsidR="00266080" w:rsidRPr="00D77021">
        <w:rPr>
          <w:rFonts w:ascii="Candara" w:eastAsia="Candara" w:hAnsi="Candara" w:cs="Candara"/>
          <w:sz w:val="24"/>
          <w:szCs w:val="24"/>
        </w:rPr>
        <w:t>entre países ou regiões</w:t>
      </w:r>
      <w:r w:rsidR="00785DC7" w:rsidRPr="00D77021">
        <w:rPr>
          <w:rFonts w:ascii="Candara" w:eastAsia="Candara" w:hAnsi="Candara" w:cs="Candara"/>
          <w:sz w:val="24"/>
          <w:szCs w:val="24"/>
        </w:rPr>
        <w:t>,</w:t>
      </w:r>
      <w:r w:rsidR="00266080" w:rsidRPr="00D77021">
        <w:rPr>
          <w:rFonts w:ascii="Candara" w:eastAsia="Candara" w:hAnsi="Candara" w:cs="Candara"/>
          <w:sz w:val="24"/>
          <w:szCs w:val="24"/>
        </w:rPr>
        <w:t xml:space="preserve"> </w:t>
      </w:r>
      <w:r w:rsidR="00E311AF" w:rsidRPr="00D77021">
        <w:rPr>
          <w:rFonts w:ascii="Candara" w:eastAsia="Candara" w:hAnsi="Candara" w:cs="Candara"/>
          <w:sz w:val="24"/>
          <w:szCs w:val="24"/>
        </w:rPr>
        <w:t>no crescimento e desenvolvimento econômico</w:t>
      </w:r>
      <w:r w:rsidR="00BC03B1" w:rsidRPr="00D77021">
        <w:rPr>
          <w:rFonts w:ascii="Candara" w:eastAsia="Candara" w:hAnsi="Candara" w:cs="Candara"/>
          <w:sz w:val="24"/>
          <w:szCs w:val="24"/>
        </w:rPr>
        <w:t>, a partir</w:t>
      </w:r>
      <w:r w:rsidR="004B5591" w:rsidRPr="00D77021">
        <w:rPr>
          <w:rFonts w:ascii="Candara" w:eastAsia="Candara" w:hAnsi="Candara" w:cs="Candara"/>
          <w:sz w:val="24"/>
          <w:szCs w:val="24"/>
        </w:rPr>
        <w:t xml:space="preserve"> de seus impactos </w:t>
      </w:r>
      <w:r w:rsidR="00DA5BB5" w:rsidRPr="00D77021">
        <w:rPr>
          <w:rFonts w:ascii="Candara" w:eastAsia="Candara" w:hAnsi="Candara" w:cs="Candara"/>
          <w:sz w:val="24"/>
          <w:szCs w:val="24"/>
        </w:rPr>
        <w:t>sobre as</w:t>
      </w:r>
      <w:r w:rsidR="004B5591" w:rsidRPr="00D77021">
        <w:rPr>
          <w:rFonts w:ascii="Candara" w:eastAsia="Candara" w:hAnsi="Candara" w:cs="Candara"/>
          <w:sz w:val="24"/>
          <w:szCs w:val="24"/>
        </w:rPr>
        <w:t xml:space="preserve"> estruturas de produção</w:t>
      </w:r>
      <w:r w:rsidR="00BF0E8D" w:rsidRPr="00D77021">
        <w:rPr>
          <w:rFonts w:ascii="Candara" w:eastAsia="Candara" w:hAnsi="Candara" w:cs="Candara"/>
          <w:sz w:val="24"/>
          <w:szCs w:val="24"/>
        </w:rPr>
        <w:t xml:space="preserve"> e emprego</w:t>
      </w:r>
      <w:r w:rsidR="00DD39C7" w:rsidRPr="00D77021">
        <w:rPr>
          <w:rFonts w:ascii="Candara" w:eastAsia="Candara" w:hAnsi="Candara" w:cs="Candara"/>
          <w:sz w:val="24"/>
          <w:szCs w:val="24"/>
        </w:rPr>
        <w:t xml:space="preserve"> e indicadores sociais</w:t>
      </w:r>
      <w:r w:rsidR="00BF0E8D" w:rsidRPr="00D77021">
        <w:rPr>
          <w:rFonts w:ascii="Candara" w:eastAsia="Candara" w:hAnsi="Candara" w:cs="Candara"/>
          <w:sz w:val="24"/>
          <w:szCs w:val="24"/>
        </w:rPr>
        <w:t>, como</w:t>
      </w:r>
      <w:r w:rsidR="00DD39C7" w:rsidRPr="00D77021">
        <w:rPr>
          <w:rFonts w:ascii="Candara" w:eastAsia="Candara" w:hAnsi="Candara" w:cs="Candara"/>
          <w:sz w:val="24"/>
          <w:szCs w:val="24"/>
        </w:rPr>
        <w:t xml:space="preserve"> pobreza e desigualdade</w:t>
      </w:r>
      <w:r w:rsidR="00EB2FA0" w:rsidRPr="00D77021">
        <w:rPr>
          <w:rFonts w:ascii="Candara" w:eastAsia="Candara" w:hAnsi="Candara" w:cs="Candara"/>
          <w:sz w:val="24"/>
          <w:szCs w:val="24"/>
        </w:rPr>
        <w:t>.</w:t>
      </w:r>
      <w:r w:rsidR="00A87E2D" w:rsidRPr="00D77021">
        <w:rPr>
          <w:rFonts w:ascii="Candara" w:eastAsia="Candara" w:hAnsi="Candara" w:cs="Candara"/>
          <w:sz w:val="24"/>
          <w:szCs w:val="24"/>
        </w:rPr>
        <w:t xml:space="preserve"> </w:t>
      </w:r>
      <w:r w:rsidR="00792D7F" w:rsidRPr="00D77021">
        <w:rPr>
          <w:rFonts w:ascii="Candara" w:eastAsia="Candara" w:hAnsi="Candara" w:cs="Candara"/>
          <w:sz w:val="24"/>
          <w:szCs w:val="24"/>
        </w:rPr>
        <w:t>O caso da região Nordeste do Brasil</w:t>
      </w:r>
      <w:r w:rsidR="0025442C" w:rsidRPr="00D77021">
        <w:rPr>
          <w:rFonts w:ascii="Candara" w:eastAsia="Candara" w:hAnsi="Candara" w:cs="Candara"/>
          <w:sz w:val="24"/>
          <w:szCs w:val="24"/>
        </w:rPr>
        <w:t xml:space="preserve"> </w:t>
      </w:r>
      <w:r w:rsidR="00792D7F" w:rsidRPr="00D77021">
        <w:rPr>
          <w:rFonts w:ascii="Candara" w:eastAsia="Candara" w:hAnsi="Candara" w:cs="Candara"/>
          <w:sz w:val="24"/>
          <w:szCs w:val="24"/>
        </w:rPr>
        <w:t xml:space="preserve">é marcado </w:t>
      </w:r>
      <w:r w:rsidR="00CE3AA5" w:rsidRPr="00D77021">
        <w:rPr>
          <w:rFonts w:ascii="Candara" w:eastAsia="Candara" w:hAnsi="Candara" w:cs="Candara"/>
          <w:sz w:val="24"/>
          <w:szCs w:val="24"/>
        </w:rPr>
        <w:t xml:space="preserve">por uma </w:t>
      </w:r>
      <w:r w:rsidR="005A2F4B" w:rsidRPr="00D77021">
        <w:rPr>
          <w:rFonts w:ascii="Candara" w:eastAsia="Candara" w:hAnsi="Candara" w:cs="Candara"/>
          <w:sz w:val="24"/>
          <w:szCs w:val="24"/>
        </w:rPr>
        <w:t>dupla</w:t>
      </w:r>
      <w:r w:rsidR="00CE3AA5" w:rsidRPr="00D77021">
        <w:rPr>
          <w:rFonts w:ascii="Candara" w:eastAsia="Candara" w:hAnsi="Candara" w:cs="Candara"/>
          <w:sz w:val="24"/>
          <w:szCs w:val="24"/>
        </w:rPr>
        <w:t xml:space="preserve"> </w:t>
      </w:r>
      <w:r w:rsidR="005A2F4B" w:rsidRPr="00D77021">
        <w:rPr>
          <w:rFonts w:ascii="Candara" w:eastAsia="Candara" w:hAnsi="Candara" w:cs="Candara"/>
          <w:sz w:val="24"/>
          <w:szCs w:val="24"/>
        </w:rPr>
        <w:t xml:space="preserve">heterogeneidade, </w:t>
      </w:r>
      <w:r w:rsidR="0025442C" w:rsidRPr="00D77021">
        <w:rPr>
          <w:rFonts w:ascii="Candara" w:eastAsia="Candara" w:hAnsi="Candara" w:cs="Candara"/>
          <w:sz w:val="24"/>
          <w:szCs w:val="24"/>
        </w:rPr>
        <w:t xml:space="preserve">revelada </w:t>
      </w:r>
      <w:r w:rsidR="005A2F4B" w:rsidRPr="00D77021">
        <w:rPr>
          <w:rFonts w:ascii="Candara" w:eastAsia="Candara" w:hAnsi="Candara" w:cs="Candara"/>
          <w:sz w:val="24"/>
          <w:szCs w:val="24"/>
        </w:rPr>
        <w:t xml:space="preserve">tanto </w:t>
      </w:r>
      <w:r w:rsidR="0025442C" w:rsidRPr="00D77021">
        <w:rPr>
          <w:rFonts w:ascii="Candara" w:eastAsia="Candara" w:hAnsi="Candara" w:cs="Candara"/>
          <w:sz w:val="24"/>
          <w:szCs w:val="24"/>
        </w:rPr>
        <w:t>na comparação com</w:t>
      </w:r>
      <w:r w:rsidR="00626916" w:rsidRPr="00D77021">
        <w:rPr>
          <w:rFonts w:ascii="Candara" w:eastAsia="Candara" w:hAnsi="Candara" w:cs="Candara"/>
          <w:sz w:val="24"/>
          <w:szCs w:val="24"/>
        </w:rPr>
        <w:t xml:space="preserve"> as demais regiões, como nos fluxos comerciais internos</w:t>
      </w:r>
      <w:r w:rsidR="00D2760E" w:rsidRPr="00D77021">
        <w:rPr>
          <w:rFonts w:ascii="Candara" w:eastAsia="Candara" w:hAnsi="Candara" w:cs="Candara"/>
          <w:sz w:val="24"/>
          <w:szCs w:val="24"/>
        </w:rPr>
        <w:t>.</w:t>
      </w:r>
    </w:p>
    <w:p w14:paraId="2EAB3A5E" w14:textId="6EC11BF0" w:rsidR="00977776" w:rsidRPr="00D77021" w:rsidRDefault="0092030B" w:rsidP="35FF8953">
      <w:pPr>
        <w:spacing w:after="120" w:line="360" w:lineRule="auto"/>
        <w:ind w:firstLine="810"/>
        <w:jc w:val="both"/>
        <w:rPr>
          <w:rFonts w:ascii="Candara" w:eastAsia="Candara" w:hAnsi="Candara" w:cs="Candara"/>
          <w:sz w:val="24"/>
          <w:szCs w:val="24"/>
        </w:rPr>
      </w:pPr>
      <w:r w:rsidRPr="00D77021">
        <w:rPr>
          <w:rFonts w:ascii="Candara" w:eastAsia="Candara" w:hAnsi="Candara" w:cs="Candara"/>
          <w:sz w:val="24"/>
          <w:szCs w:val="24"/>
        </w:rPr>
        <w:t>No período recente analisado, entre os anos de 201</w:t>
      </w:r>
      <w:r w:rsidR="00BA36EC" w:rsidRPr="00D77021">
        <w:rPr>
          <w:rFonts w:ascii="Candara" w:eastAsia="Candara" w:hAnsi="Candara" w:cs="Candara"/>
          <w:sz w:val="24"/>
          <w:szCs w:val="24"/>
        </w:rPr>
        <w:t>7</w:t>
      </w:r>
      <w:r w:rsidRPr="00D77021">
        <w:rPr>
          <w:rFonts w:ascii="Candara" w:eastAsia="Candara" w:hAnsi="Candara" w:cs="Candara"/>
          <w:sz w:val="24"/>
          <w:szCs w:val="24"/>
        </w:rPr>
        <w:t xml:space="preserve"> e 2022, a partir dos dados do </w:t>
      </w:r>
      <w:r w:rsidR="7727BA7C" w:rsidRPr="00D77021">
        <w:rPr>
          <w:rFonts w:ascii="Candara" w:eastAsia="Candara" w:hAnsi="Candara" w:cs="Candara"/>
          <w:sz w:val="24"/>
          <w:szCs w:val="24"/>
        </w:rPr>
        <w:t>CONFAZ</w:t>
      </w:r>
      <w:r w:rsidRPr="00D77021">
        <w:rPr>
          <w:rFonts w:ascii="Candara" w:eastAsia="Candara" w:hAnsi="Candara" w:cs="Candara"/>
          <w:sz w:val="24"/>
          <w:szCs w:val="24"/>
        </w:rPr>
        <w:t xml:space="preserve">, o Nordeste segue enfrentando um cenário de déficit no comercio inter-regional, principalmente com a região Sudeste, a qual possui </w:t>
      </w:r>
      <w:r w:rsidR="00C102B8" w:rsidRPr="00D77021">
        <w:rPr>
          <w:rFonts w:ascii="Candara" w:eastAsia="Candara" w:hAnsi="Candara" w:cs="Candara"/>
          <w:sz w:val="24"/>
          <w:szCs w:val="24"/>
        </w:rPr>
        <w:t xml:space="preserve">uma relação histórica de </w:t>
      </w:r>
      <w:r w:rsidRPr="00D77021">
        <w:rPr>
          <w:rFonts w:ascii="Candara" w:eastAsia="Candara" w:hAnsi="Candara" w:cs="Candara"/>
          <w:sz w:val="24"/>
          <w:szCs w:val="24"/>
        </w:rPr>
        <w:t>dependência</w:t>
      </w:r>
      <w:r w:rsidR="002775E5" w:rsidRPr="00D77021">
        <w:rPr>
          <w:rFonts w:ascii="Candara" w:eastAsia="Candara" w:hAnsi="Candara" w:cs="Candara"/>
          <w:sz w:val="24"/>
          <w:szCs w:val="24"/>
        </w:rPr>
        <w:t xml:space="preserve"> comercial</w:t>
      </w:r>
      <w:r w:rsidRPr="00D77021">
        <w:rPr>
          <w:rFonts w:ascii="Candara" w:eastAsia="Candara" w:hAnsi="Candara" w:cs="Candara"/>
          <w:sz w:val="24"/>
          <w:szCs w:val="24"/>
        </w:rPr>
        <w:t xml:space="preserve">. Valente Junior, Alves e Santos (2022) ressaltaram a crescente ampliação do déficit no Nordeste ao longo do período de 2017 a 2020. </w:t>
      </w:r>
      <w:r w:rsidR="00012C36" w:rsidRPr="00D77021">
        <w:rPr>
          <w:rFonts w:ascii="Candara" w:eastAsia="Candara" w:hAnsi="Candara" w:cs="Candara"/>
          <w:sz w:val="24"/>
          <w:szCs w:val="24"/>
        </w:rPr>
        <w:t>Dessa forma</w:t>
      </w:r>
      <w:r w:rsidRPr="00D77021">
        <w:rPr>
          <w:rFonts w:ascii="Candara" w:eastAsia="Candara" w:hAnsi="Candara" w:cs="Candara"/>
          <w:sz w:val="24"/>
          <w:szCs w:val="24"/>
        </w:rPr>
        <w:t xml:space="preserve">, o </w:t>
      </w:r>
      <w:r w:rsidR="00D05531" w:rsidRPr="00D77021">
        <w:rPr>
          <w:rFonts w:ascii="Candara" w:eastAsia="Candara" w:hAnsi="Candara" w:cs="Candara"/>
          <w:sz w:val="24"/>
          <w:szCs w:val="24"/>
        </w:rPr>
        <w:t>déficit</w:t>
      </w:r>
      <w:r w:rsidRPr="00D77021">
        <w:rPr>
          <w:rFonts w:ascii="Candara" w:eastAsia="Candara" w:hAnsi="Candara" w:cs="Candara"/>
          <w:sz w:val="24"/>
          <w:szCs w:val="24"/>
        </w:rPr>
        <w:t xml:space="preserve"> apresentou crescimento em todos os anos, passando de R$ 140,</w:t>
      </w:r>
      <w:r w:rsidR="00FA1CE0" w:rsidRPr="00D77021">
        <w:rPr>
          <w:rFonts w:ascii="Candara" w:eastAsia="Candara" w:hAnsi="Candara" w:cs="Candara"/>
          <w:sz w:val="24"/>
          <w:szCs w:val="24"/>
        </w:rPr>
        <w:t>4</w:t>
      </w:r>
      <w:r w:rsidRPr="00D77021">
        <w:rPr>
          <w:rFonts w:ascii="Candara" w:eastAsia="Candara" w:hAnsi="Candara" w:cs="Candara"/>
          <w:sz w:val="24"/>
          <w:szCs w:val="24"/>
        </w:rPr>
        <w:t xml:space="preserve"> bilhões em 2017 para R$ </w:t>
      </w:r>
      <w:r w:rsidR="00FA1CE0" w:rsidRPr="00D77021">
        <w:rPr>
          <w:rFonts w:ascii="Candara" w:eastAsia="Candara" w:hAnsi="Candara" w:cs="Candara"/>
          <w:sz w:val="24"/>
          <w:szCs w:val="24"/>
        </w:rPr>
        <w:t>178,5</w:t>
      </w:r>
      <w:r w:rsidRPr="00D77021">
        <w:rPr>
          <w:rFonts w:ascii="Candara" w:eastAsia="Candara" w:hAnsi="Candara" w:cs="Candara"/>
          <w:sz w:val="24"/>
          <w:szCs w:val="24"/>
        </w:rPr>
        <w:t xml:space="preserve"> bilhões em 2020, </w:t>
      </w:r>
      <w:r w:rsidR="009F56D1" w:rsidRPr="00D77021">
        <w:rPr>
          <w:rFonts w:ascii="Candara" w:eastAsia="Candara" w:hAnsi="Candara" w:cs="Candara"/>
          <w:sz w:val="24"/>
          <w:szCs w:val="24"/>
        </w:rPr>
        <w:t>representando</w:t>
      </w:r>
      <w:r w:rsidR="00012C36" w:rsidRPr="00D77021">
        <w:rPr>
          <w:rFonts w:ascii="Candara" w:eastAsia="Candara" w:hAnsi="Candara" w:cs="Candara"/>
          <w:sz w:val="24"/>
          <w:szCs w:val="24"/>
        </w:rPr>
        <w:t xml:space="preserve"> um </w:t>
      </w:r>
      <w:r w:rsidR="0028305A" w:rsidRPr="00D77021">
        <w:rPr>
          <w:rFonts w:ascii="Candara" w:eastAsia="Candara" w:hAnsi="Candara" w:cs="Candara"/>
          <w:sz w:val="24"/>
          <w:szCs w:val="24"/>
        </w:rPr>
        <w:t>crescimento em termos reais</w:t>
      </w:r>
      <w:r w:rsidR="00012C36" w:rsidRPr="00D77021">
        <w:rPr>
          <w:rFonts w:ascii="Candara" w:eastAsia="Candara" w:hAnsi="Candara" w:cs="Candara"/>
          <w:sz w:val="24"/>
          <w:szCs w:val="24"/>
        </w:rPr>
        <w:t xml:space="preserve"> </w:t>
      </w:r>
      <w:r w:rsidRPr="00D77021">
        <w:rPr>
          <w:rFonts w:ascii="Candara" w:eastAsia="Candara" w:hAnsi="Candara" w:cs="Candara"/>
          <w:sz w:val="24"/>
          <w:szCs w:val="24"/>
        </w:rPr>
        <w:t xml:space="preserve">de </w:t>
      </w:r>
      <w:r w:rsidR="009F56D1" w:rsidRPr="00D77021">
        <w:rPr>
          <w:rFonts w:ascii="Candara" w:eastAsia="Candara" w:hAnsi="Candara" w:cs="Candara"/>
          <w:sz w:val="24"/>
          <w:szCs w:val="24"/>
        </w:rPr>
        <w:t>aproximadamente 27</w:t>
      </w:r>
      <w:r w:rsidRPr="00D77021">
        <w:rPr>
          <w:rFonts w:ascii="Candara" w:eastAsia="Candara" w:hAnsi="Candara" w:cs="Candara"/>
          <w:sz w:val="24"/>
          <w:szCs w:val="24"/>
        </w:rPr>
        <w:t>%</w:t>
      </w:r>
      <w:r w:rsidR="002834B2" w:rsidRPr="00D77021">
        <w:rPr>
          <w:rStyle w:val="Refdenotaderodap"/>
          <w:rFonts w:ascii="Candara" w:eastAsia="Candara" w:hAnsi="Candara" w:cs="Candara"/>
          <w:sz w:val="24"/>
          <w:szCs w:val="24"/>
        </w:rPr>
        <w:footnoteReference w:id="7"/>
      </w:r>
      <w:r w:rsidR="7EF6D10B" w:rsidRPr="00D77021">
        <w:rPr>
          <w:rFonts w:ascii="Candara" w:eastAsia="Candara" w:hAnsi="Candara" w:cs="Candara"/>
          <w:sz w:val="24"/>
          <w:szCs w:val="24"/>
        </w:rPr>
        <w:t>.</w:t>
      </w:r>
    </w:p>
    <w:p w14:paraId="54F3D1EB" w14:textId="3FD53CA8" w:rsidR="00C12618"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 xml:space="preserve">Os dados revelam que a relação de trocas inter-regionais apresentou uma mudança qualitativa a partir de 2020, com o déficit comercial tornando-se mais intenso com os impactos da pandemia (Tabela 1). Comparando a taxa de crescimento dos déficits de 2017/20 e de 2020/21, a diferença é substancial, pois enquanto no primeiro foi de aproximadamente 27%, no segundo foi de 68%. A partir de 2020, as transações nordestinas com a região Norte foram as únicas que apresentaram </w:t>
      </w:r>
      <w:r w:rsidRPr="00D77021">
        <w:rPr>
          <w:rFonts w:ascii="Candara" w:eastAsia="Candara" w:hAnsi="Candara" w:cs="Candara"/>
          <w:sz w:val="24"/>
          <w:szCs w:val="24"/>
        </w:rPr>
        <w:lastRenderedPageBreak/>
        <w:t>superávit comercial, mesmo após o período de maior agravamento da crise, e somente em 2018 e 2020 foram registrados déficits comerciais do Nordeste com a região Norte (Tabela 1).</w:t>
      </w:r>
    </w:p>
    <w:p w14:paraId="1C7783FA" w14:textId="7A16AF1D" w:rsidR="00656284" w:rsidRPr="00D77021" w:rsidRDefault="35FF8953" w:rsidP="35FF8953">
      <w:pPr>
        <w:spacing w:after="0" w:line="240" w:lineRule="auto"/>
        <w:jc w:val="both"/>
        <w:rPr>
          <w:rFonts w:ascii="Candara" w:eastAsia="Candara" w:hAnsi="Candara" w:cs="Candara"/>
          <w:sz w:val="24"/>
          <w:szCs w:val="24"/>
        </w:rPr>
      </w:pPr>
      <w:r w:rsidRPr="00D77021">
        <w:rPr>
          <w:rFonts w:ascii="Candara" w:eastAsia="Candara" w:hAnsi="Candara" w:cs="Candara"/>
          <w:b/>
          <w:bCs/>
          <w:sz w:val="24"/>
          <w:szCs w:val="24"/>
        </w:rPr>
        <w:t xml:space="preserve">Tabela </w:t>
      </w:r>
      <w:r w:rsidR="20AF2EE4" w:rsidRPr="00D77021">
        <w:rPr>
          <w:rFonts w:ascii="Candara" w:eastAsia="Candara" w:hAnsi="Candara" w:cs="Candara"/>
          <w:b/>
          <w:bCs/>
          <w:sz w:val="24"/>
          <w:szCs w:val="24"/>
        </w:rPr>
        <w:fldChar w:fldCharType="begin"/>
      </w:r>
      <w:r w:rsidR="20AF2EE4" w:rsidRPr="00D77021">
        <w:rPr>
          <w:rFonts w:ascii="Candara" w:eastAsia="Candara" w:hAnsi="Candara" w:cs="Candara"/>
          <w:b/>
          <w:bCs/>
          <w:sz w:val="24"/>
          <w:szCs w:val="24"/>
        </w:rPr>
        <w:instrText xml:space="preserve"> SEQ Tabela \* ARABIC </w:instrText>
      </w:r>
      <w:r w:rsidR="20AF2EE4" w:rsidRPr="00D77021">
        <w:rPr>
          <w:rFonts w:ascii="Candara" w:eastAsia="Candara" w:hAnsi="Candara" w:cs="Candara"/>
          <w:b/>
          <w:bCs/>
          <w:sz w:val="24"/>
          <w:szCs w:val="24"/>
        </w:rPr>
        <w:fldChar w:fldCharType="separate"/>
      </w:r>
      <w:r w:rsidRPr="00D77021">
        <w:rPr>
          <w:rFonts w:ascii="Candara" w:eastAsia="Candara" w:hAnsi="Candara" w:cs="Candara"/>
          <w:b/>
          <w:bCs/>
          <w:sz w:val="24"/>
          <w:szCs w:val="24"/>
        </w:rPr>
        <w:t>1</w:t>
      </w:r>
      <w:r w:rsidR="20AF2EE4" w:rsidRPr="00D77021">
        <w:rPr>
          <w:rFonts w:ascii="Candara" w:eastAsia="Candara" w:hAnsi="Candara" w:cs="Candara"/>
          <w:sz w:val="24"/>
          <w:szCs w:val="24"/>
        </w:rPr>
        <w:fldChar w:fldCharType="end"/>
      </w:r>
      <w:r w:rsidRPr="00D77021">
        <w:rPr>
          <w:rFonts w:ascii="Candara" w:eastAsia="Candara" w:hAnsi="Candara" w:cs="Candara"/>
          <w:sz w:val="24"/>
          <w:szCs w:val="24"/>
        </w:rPr>
        <w:t xml:space="preserve"> – Saldo do comércio inter-regional do Nordeste com as demais macrorregiões, 2017 a 2022 (em bilhões de reais)</w:t>
      </w:r>
    </w:p>
    <w:tbl>
      <w:tblPr>
        <w:tblStyle w:val="SimplesTabela3"/>
        <w:tblW w:w="5000" w:type="pct"/>
        <w:tblLook w:val="04A0" w:firstRow="1" w:lastRow="0" w:firstColumn="1" w:lastColumn="0" w:noHBand="0" w:noVBand="1"/>
      </w:tblPr>
      <w:tblGrid>
        <w:gridCol w:w="857"/>
        <w:gridCol w:w="1733"/>
        <w:gridCol w:w="2192"/>
        <w:gridCol w:w="1861"/>
        <w:gridCol w:w="1861"/>
      </w:tblGrid>
      <w:tr w:rsidR="00D77021" w:rsidRPr="00D77021" w14:paraId="6DF120F2" w14:textId="6D9549EB" w:rsidTr="35FF8953">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3" w:type="pct"/>
            <w:tcBorders>
              <w:top w:val="single" w:sz="4" w:space="0" w:color="auto"/>
              <w:bottom w:val="single" w:sz="8" w:space="0" w:color="000000" w:themeColor="text1"/>
            </w:tcBorders>
            <w:shd w:val="clear" w:color="auto" w:fill="FFFFFF" w:themeFill="background1"/>
            <w:noWrap/>
            <w:vAlign w:val="center"/>
            <w:hideMark/>
          </w:tcPr>
          <w:p w14:paraId="3D73E7B8" w14:textId="16849EC4" w:rsidR="00600450" w:rsidRPr="00D77021" w:rsidRDefault="35FF8953" w:rsidP="35FF8953">
            <w:pPr>
              <w:jc w:val="center"/>
              <w:rPr>
                <w:rFonts w:ascii="Candara" w:hAnsi="Candara"/>
                <w:sz w:val="20"/>
                <w:szCs w:val="20"/>
              </w:rPr>
            </w:pPr>
            <w:r w:rsidRPr="00D77021">
              <w:rPr>
                <w:rFonts w:ascii="Candara" w:hAnsi="Candara"/>
                <w:caps w:val="0"/>
                <w:sz w:val="20"/>
                <w:szCs w:val="20"/>
              </w:rPr>
              <w:t>Ano</w:t>
            </w:r>
          </w:p>
        </w:tc>
        <w:tc>
          <w:tcPr>
            <w:tcW w:w="1019" w:type="pct"/>
            <w:tcBorders>
              <w:top w:val="single" w:sz="4" w:space="0" w:color="auto"/>
              <w:bottom w:val="single" w:sz="4" w:space="0" w:color="auto"/>
            </w:tcBorders>
            <w:shd w:val="clear" w:color="auto" w:fill="FFFFFF" w:themeFill="background1"/>
            <w:noWrap/>
            <w:vAlign w:val="center"/>
            <w:hideMark/>
          </w:tcPr>
          <w:p w14:paraId="228D592F" w14:textId="3279AA85" w:rsidR="00600450" w:rsidRPr="00D77021" w:rsidRDefault="35FF8953" w:rsidP="35FF8953">
            <w:pPr>
              <w:jc w:val="center"/>
              <w:cnfStyle w:val="100000000000" w:firstRow="1" w:lastRow="0" w:firstColumn="0" w:lastColumn="0" w:oddVBand="0" w:evenVBand="0" w:oddHBand="0" w:evenHBand="0" w:firstRowFirstColumn="0" w:firstRowLastColumn="0" w:lastRowFirstColumn="0" w:lastRowLastColumn="0"/>
              <w:rPr>
                <w:rFonts w:ascii="Candara" w:hAnsi="Candara"/>
                <w:b w:val="0"/>
                <w:bCs w:val="0"/>
                <w:sz w:val="20"/>
                <w:szCs w:val="20"/>
              </w:rPr>
            </w:pPr>
            <w:r w:rsidRPr="00D77021">
              <w:rPr>
                <w:rFonts w:ascii="Candara" w:hAnsi="Candara"/>
                <w:caps w:val="0"/>
                <w:sz w:val="20"/>
                <w:szCs w:val="20"/>
              </w:rPr>
              <w:t>Norte</w:t>
            </w:r>
          </w:p>
        </w:tc>
        <w:tc>
          <w:tcPr>
            <w:tcW w:w="1289" w:type="pct"/>
            <w:tcBorders>
              <w:top w:val="single" w:sz="4" w:space="0" w:color="auto"/>
              <w:bottom w:val="single" w:sz="4" w:space="0" w:color="auto"/>
            </w:tcBorders>
            <w:shd w:val="clear" w:color="auto" w:fill="FFFFFF" w:themeFill="background1"/>
            <w:noWrap/>
            <w:vAlign w:val="center"/>
            <w:hideMark/>
          </w:tcPr>
          <w:p w14:paraId="23A323A9" w14:textId="1C2D03CB" w:rsidR="00600450" w:rsidRPr="00D77021" w:rsidRDefault="35FF8953" w:rsidP="35FF8953">
            <w:pPr>
              <w:jc w:val="center"/>
              <w:cnfStyle w:val="100000000000" w:firstRow="1" w:lastRow="0" w:firstColumn="0" w:lastColumn="0" w:oddVBand="0" w:evenVBand="0" w:oddHBand="0" w:evenHBand="0" w:firstRowFirstColumn="0" w:firstRowLastColumn="0" w:lastRowFirstColumn="0" w:lastRowLastColumn="0"/>
              <w:rPr>
                <w:rFonts w:ascii="Candara" w:hAnsi="Candara"/>
                <w:b w:val="0"/>
                <w:bCs w:val="0"/>
                <w:sz w:val="20"/>
                <w:szCs w:val="20"/>
              </w:rPr>
            </w:pPr>
            <w:r w:rsidRPr="00D77021">
              <w:rPr>
                <w:rFonts w:ascii="Candara" w:hAnsi="Candara"/>
                <w:caps w:val="0"/>
                <w:sz w:val="20"/>
                <w:szCs w:val="20"/>
              </w:rPr>
              <w:t>Centro-oeste</w:t>
            </w:r>
          </w:p>
        </w:tc>
        <w:tc>
          <w:tcPr>
            <w:tcW w:w="1094" w:type="pct"/>
            <w:tcBorders>
              <w:top w:val="single" w:sz="4" w:space="0" w:color="auto"/>
              <w:bottom w:val="single" w:sz="4" w:space="0" w:color="auto"/>
            </w:tcBorders>
            <w:shd w:val="clear" w:color="auto" w:fill="FFFFFF" w:themeFill="background1"/>
            <w:noWrap/>
            <w:vAlign w:val="center"/>
            <w:hideMark/>
          </w:tcPr>
          <w:p w14:paraId="2AA3EE13" w14:textId="7B579E4E" w:rsidR="00600450" w:rsidRPr="00D77021" w:rsidRDefault="35FF8953" w:rsidP="35FF8953">
            <w:pPr>
              <w:jc w:val="center"/>
              <w:cnfStyle w:val="100000000000" w:firstRow="1" w:lastRow="0" w:firstColumn="0" w:lastColumn="0" w:oddVBand="0" w:evenVBand="0" w:oddHBand="0" w:evenHBand="0" w:firstRowFirstColumn="0" w:firstRowLastColumn="0" w:lastRowFirstColumn="0" w:lastRowLastColumn="0"/>
              <w:rPr>
                <w:rFonts w:ascii="Candara" w:hAnsi="Candara"/>
                <w:b w:val="0"/>
                <w:bCs w:val="0"/>
                <w:sz w:val="20"/>
                <w:szCs w:val="20"/>
              </w:rPr>
            </w:pPr>
            <w:r w:rsidRPr="00D77021">
              <w:rPr>
                <w:rFonts w:ascii="Candara" w:hAnsi="Candara"/>
                <w:caps w:val="0"/>
                <w:sz w:val="20"/>
                <w:szCs w:val="20"/>
              </w:rPr>
              <w:t>Sul</w:t>
            </w:r>
          </w:p>
        </w:tc>
        <w:tc>
          <w:tcPr>
            <w:tcW w:w="1094" w:type="pct"/>
            <w:tcBorders>
              <w:top w:val="single" w:sz="4" w:space="0" w:color="auto"/>
              <w:bottom w:val="single" w:sz="4" w:space="0" w:color="auto"/>
            </w:tcBorders>
            <w:shd w:val="clear" w:color="auto" w:fill="FFFFFF" w:themeFill="background1"/>
            <w:vAlign w:val="center"/>
          </w:tcPr>
          <w:p w14:paraId="7D65F6FB" w14:textId="03C92F18" w:rsidR="00600450" w:rsidRPr="00D77021" w:rsidRDefault="35FF8953" w:rsidP="35FF8953">
            <w:pPr>
              <w:jc w:val="center"/>
              <w:cnfStyle w:val="100000000000" w:firstRow="1" w:lastRow="0" w:firstColumn="0" w:lastColumn="0" w:oddVBand="0" w:evenVBand="0" w:oddHBand="0" w:evenHBand="0" w:firstRowFirstColumn="0" w:firstRowLastColumn="0" w:lastRowFirstColumn="0" w:lastRowLastColumn="0"/>
              <w:rPr>
                <w:rFonts w:ascii="Candara" w:hAnsi="Candara"/>
                <w:sz w:val="20"/>
                <w:szCs w:val="20"/>
              </w:rPr>
            </w:pPr>
            <w:r w:rsidRPr="00D77021">
              <w:rPr>
                <w:rFonts w:ascii="Candara" w:hAnsi="Candara"/>
                <w:caps w:val="0"/>
                <w:sz w:val="20"/>
                <w:szCs w:val="20"/>
              </w:rPr>
              <w:t>Sudeste</w:t>
            </w:r>
          </w:p>
        </w:tc>
      </w:tr>
      <w:tr w:rsidR="00D77021" w:rsidRPr="00D77021" w14:paraId="7C761DC2" w14:textId="74E3D167" w:rsidTr="35FF8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3" w:type="pct"/>
            <w:tcBorders>
              <w:top w:val="single" w:sz="8" w:space="0" w:color="000000" w:themeColor="text1"/>
              <w:left w:val="none" w:sz="12" w:space="0" w:color="000000" w:themeColor="text1"/>
              <w:bottom w:val="none" w:sz="12" w:space="0" w:color="000000" w:themeColor="text1"/>
              <w:right w:val="none" w:sz="4" w:space="0" w:color="7F7F7F" w:themeColor="text1" w:themeTint="80"/>
            </w:tcBorders>
            <w:shd w:val="clear" w:color="auto" w:fill="auto"/>
            <w:noWrap/>
            <w:vAlign w:val="center"/>
            <w:hideMark/>
          </w:tcPr>
          <w:p w14:paraId="5689E025" w14:textId="77777777" w:rsidR="00600450" w:rsidRPr="00D77021" w:rsidRDefault="35FF8953" w:rsidP="35FF8953">
            <w:pPr>
              <w:jc w:val="center"/>
              <w:rPr>
                <w:rFonts w:ascii="Candara" w:hAnsi="Candara"/>
                <w:b w:val="0"/>
                <w:bCs w:val="0"/>
                <w:sz w:val="20"/>
                <w:szCs w:val="20"/>
              </w:rPr>
            </w:pPr>
            <w:r w:rsidRPr="00D77021">
              <w:rPr>
                <w:rFonts w:ascii="Candara" w:hAnsi="Candara"/>
                <w:b w:val="0"/>
                <w:bCs w:val="0"/>
                <w:sz w:val="20"/>
                <w:szCs w:val="20"/>
              </w:rPr>
              <w:t>2017</w:t>
            </w:r>
          </w:p>
        </w:tc>
        <w:tc>
          <w:tcPr>
            <w:tcW w:w="1019" w:type="pct"/>
            <w:tcBorders>
              <w:top w:val="single" w:sz="4" w:space="0" w:color="auto"/>
              <w:left w:val="none" w:sz="4" w:space="0" w:color="7F7F7F" w:themeColor="text1" w:themeTint="80"/>
              <w:bottom w:val="none" w:sz="12" w:space="0" w:color="000000" w:themeColor="text1"/>
            </w:tcBorders>
            <w:shd w:val="clear" w:color="auto" w:fill="auto"/>
            <w:noWrap/>
            <w:vAlign w:val="center"/>
            <w:hideMark/>
          </w:tcPr>
          <w:p w14:paraId="0268CB94" w14:textId="37B34C02" w:rsidR="00600450" w:rsidRPr="00D77021" w:rsidRDefault="35FF8953" w:rsidP="35FF895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D77021">
              <w:rPr>
                <w:rFonts w:ascii="Candara" w:hAnsi="Candara"/>
                <w:sz w:val="20"/>
                <w:szCs w:val="20"/>
              </w:rPr>
              <w:t>0,96</w:t>
            </w:r>
          </w:p>
        </w:tc>
        <w:tc>
          <w:tcPr>
            <w:tcW w:w="1289" w:type="pct"/>
            <w:tcBorders>
              <w:top w:val="single" w:sz="4" w:space="0" w:color="auto"/>
            </w:tcBorders>
            <w:shd w:val="clear" w:color="auto" w:fill="auto"/>
            <w:noWrap/>
            <w:vAlign w:val="center"/>
            <w:hideMark/>
          </w:tcPr>
          <w:p w14:paraId="0956A1F8" w14:textId="3098700C" w:rsidR="00600450" w:rsidRPr="00D77021" w:rsidRDefault="35FF8953" w:rsidP="35FF895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D77021">
              <w:rPr>
                <w:rFonts w:ascii="Candara" w:hAnsi="Candara"/>
                <w:sz w:val="20"/>
                <w:szCs w:val="20"/>
              </w:rPr>
              <w:t>-14,38</w:t>
            </w:r>
          </w:p>
        </w:tc>
        <w:tc>
          <w:tcPr>
            <w:tcW w:w="1094" w:type="pct"/>
            <w:tcBorders>
              <w:top w:val="single" w:sz="4" w:space="0" w:color="auto"/>
            </w:tcBorders>
            <w:shd w:val="clear" w:color="auto" w:fill="auto"/>
            <w:noWrap/>
            <w:vAlign w:val="center"/>
            <w:hideMark/>
          </w:tcPr>
          <w:p w14:paraId="4BBBBE08" w14:textId="00024778" w:rsidR="00600450" w:rsidRPr="00D77021" w:rsidRDefault="35FF8953" w:rsidP="35FF895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D77021">
              <w:rPr>
                <w:rFonts w:ascii="Candara" w:hAnsi="Candara"/>
                <w:sz w:val="20"/>
                <w:szCs w:val="20"/>
              </w:rPr>
              <w:t>-46,23</w:t>
            </w:r>
          </w:p>
        </w:tc>
        <w:tc>
          <w:tcPr>
            <w:tcW w:w="1094" w:type="pct"/>
            <w:tcBorders>
              <w:top w:val="single" w:sz="4" w:space="0" w:color="auto"/>
            </w:tcBorders>
            <w:shd w:val="clear" w:color="auto" w:fill="auto"/>
            <w:vAlign w:val="center"/>
          </w:tcPr>
          <w:p w14:paraId="4FDCF692" w14:textId="2EA498C5" w:rsidR="00600450" w:rsidRPr="00D77021" w:rsidRDefault="35FF8953" w:rsidP="35FF895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D77021">
              <w:rPr>
                <w:rFonts w:ascii="Candara" w:hAnsi="Candara"/>
                <w:sz w:val="20"/>
                <w:szCs w:val="20"/>
              </w:rPr>
              <w:t>-140,40</w:t>
            </w:r>
          </w:p>
        </w:tc>
      </w:tr>
      <w:tr w:rsidR="00D77021" w:rsidRPr="00D77021" w14:paraId="675C3AF8" w14:textId="228DA98C" w:rsidTr="35FF8953">
        <w:trPr>
          <w:trHeight w:val="300"/>
        </w:trPr>
        <w:tc>
          <w:tcPr>
            <w:cnfStyle w:val="001000000000" w:firstRow="0" w:lastRow="0" w:firstColumn="1" w:lastColumn="0" w:oddVBand="0" w:evenVBand="0" w:oddHBand="0" w:evenHBand="0" w:firstRowFirstColumn="0" w:firstRowLastColumn="0" w:lastRowFirstColumn="0" w:lastRowLastColumn="0"/>
            <w:tcW w:w="503" w:type="pct"/>
            <w:tcBorders>
              <w:top w:val="none" w:sz="12" w:space="0" w:color="000000" w:themeColor="text1"/>
              <w:right w:val="none" w:sz="4" w:space="0" w:color="7F7F7F" w:themeColor="text1" w:themeTint="80"/>
            </w:tcBorders>
            <w:shd w:val="clear" w:color="auto" w:fill="auto"/>
            <w:noWrap/>
            <w:vAlign w:val="center"/>
            <w:hideMark/>
          </w:tcPr>
          <w:p w14:paraId="5A60880C" w14:textId="77777777" w:rsidR="00600450" w:rsidRPr="00D77021" w:rsidRDefault="35FF8953" w:rsidP="35FF8953">
            <w:pPr>
              <w:jc w:val="center"/>
              <w:rPr>
                <w:rFonts w:ascii="Candara" w:hAnsi="Candara"/>
                <w:b w:val="0"/>
                <w:bCs w:val="0"/>
                <w:sz w:val="20"/>
                <w:szCs w:val="20"/>
              </w:rPr>
            </w:pPr>
            <w:r w:rsidRPr="00D77021">
              <w:rPr>
                <w:rFonts w:ascii="Candara" w:hAnsi="Candara"/>
                <w:b w:val="0"/>
                <w:bCs w:val="0"/>
                <w:sz w:val="20"/>
                <w:szCs w:val="20"/>
              </w:rPr>
              <w:t>2018</w:t>
            </w:r>
          </w:p>
        </w:tc>
        <w:tc>
          <w:tcPr>
            <w:tcW w:w="1019" w:type="pct"/>
            <w:tcBorders>
              <w:top w:val="none" w:sz="12" w:space="0" w:color="000000" w:themeColor="text1"/>
              <w:left w:val="none" w:sz="12" w:space="0" w:color="000000" w:themeColor="text1"/>
              <w:bottom w:val="none" w:sz="12" w:space="0" w:color="000000" w:themeColor="text1"/>
              <w:right w:val="none" w:sz="12" w:space="0" w:color="000000" w:themeColor="text1"/>
            </w:tcBorders>
            <w:shd w:val="clear" w:color="auto" w:fill="auto"/>
            <w:noWrap/>
            <w:vAlign w:val="center"/>
            <w:hideMark/>
          </w:tcPr>
          <w:p w14:paraId="445015D7" w14:textId="291C7BFA" w:rsidR="00600450" w:rsidRPr="00D77021" w:rsidRDefault="35FF8953" w:rsidP="35FF8953">
            <w:pPr>
              <w:spacing w:line="276" w:lineRule="auto"/>
              <w:jc w:val="cente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D77021">
              <w:rPr>
                <w:rFonts w:ascii="Candara" w:hAnsi="Candara"/>
                <w:sz w:val="20"/>
                <w:szCs w:val="20"/>
              </w:rPr>
              <w:t>-2,06</w:t>
            </w:r>
          </w:p>
        </w:tc>
        <w:tc>
          <w:tcPr>
            <w:tcW w:w="1289" w:type="pct"/>
            <w:tcBorders>
              <w:left w:val="none" w:sz="12" w:space="0" w:color="000000" w:themeColor="text1"/>
            </w:tcBorders>
            <w:shd w:val="clear" w:color="auto" w:fill="auto"/>
            <w:noWrap/>
            <w:vAlign w:val="center"/>
            <w:hideMark/>
          </w:tcPr>
          <w:p w14:paraId="4F62BF02" w14:textId="05DADAB1" w:rsidR="00600450" w:rsidRPr="00D77021" w:rsidRDefault="35FF8953" w:rsidP="35FF8953">
            <w:pPr>
              <w:spacing w:line="276" w:lineRule="auto"/>
              <w:jc w:val="cente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D77021">
              <w:rPr>
                <w:rFonts w:ascii="Candara" w:hAnsi="Candara"/>
                <w:sz w:val="20"/>
                <w:szCs w:val="20"/>
              </w:rPr>
              <w:t>-12,12</w:t>
            </w:r>
          </w:p>
        </w:tc>
        <w:tc>
          <w:tcPr>
            <w:tcW w:w="1094" w:type="pct"/>
            <w:shd w:val="clear" w:color="auto" w:fill="auto"/>
            <w:noWrap/>
            <w:vAlign w:val="center"/>
            <w:hideMark/>
          </w:tcPr>
          <w:p w14:paraId="1F464F48" w14:textId="0F3D1DF0" w:rsidR="00600450" w:rsidRPr="00D77021" w:rsidRDefault="35FF8953" w:rsidP="35FF8953">
            <w:pPr>
              <w:spacing w:line="276" w:lineRule="auto"/>
              <w:jc w:val="cente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D77021">
              <w:rPr>
                <w:rFonts w:ascii="Candara" w:hAnsi="Candara"/>
                <w:sz w:val="20"/>
                <w:szCs w:val="20"/>
              </w:rPr>
              <w:t>-56,67</w:t>
            </w:r>
          </w:p>
        </w:tc>
        <w:tc>
          <w:tcPr>
            <w:tcW w:w="1094" w:type="pct"/>
            <w:shd w:val="clear" w:color="auto" w:fill="auto"/>
            <w:vAlign w:val="center"/>
          </w:tcPr>
          <w:p w14:paraId="737C8FB3" w14:textId="7B8588F1" w:rsidR="00600450" w:rsidRPr="00D77021" w:rsidRDefault="35FF8953" w:rsidP="35FF8953">
            <w:pPr>
              <w:spacing w:line="276" w:lineRule="auto"/>
              <w:jc w:val="cente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D77021">
              <w:rPr>
                <w:rFonts w:ascii="Candara" w:hAnsi="Candara"/>
                <w:sz w:val="20"/>
                <w:szCs w:val="20"/>
              </w:rPr>
              <w:t>-136,62</w:t>
            </w:r>
          </w:p>
        </w:tc>
      </w:tr>
      <w:tr w:rsidR="00D77021" w:rsidRPr="00D77021" w14:paraId="3D3DD12A" w14:textId="7F67B80E" w:rsidTr="35FF8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3" w:type="pct"/>
            <w:tcBorders>
              <w:right w:val="none" w:sz="4" w:space="0" w:color="7F7F7F" w:themeColor="text1" w:themeTint="80"/>
            </w:tcBorders>
            <w:shd w:val="clear" w:color="auto" w:fill="auto"/>
            <w:noWrap/>
            <w:vAlign w:val="center"/>
            <w:hideMark/>
          </w:tcPr>
          <w:p w14:paraId="584F36AD" w14:textId="77777777" w:rsidR="00600450" w:rsidRPr="00D77021" w:rsidRDefault="35FF8953" w:rsidP="35FF8953">
            <w:pPr>
              <w:jc w:val="center"/>
              <w:rPr>
                <w:rFonts w:ascii="Candara" w:hAnsi="Candara"/>
                <w:b w:val="0"/>
                <w:bCs w:val="0"/>
                <w:sz w:val="20"/>
                <w:szCs w:val="20"/>
              </w:rPr>
            </w:pPr>
            <w:r w:rsidRPr="00D77021">
              <w:rPr>
                <w:rFonts w:ascii="Candara" w:hAnsi="Candara"/>
                <w:b w:val="0"/>
                <w:bCs w:val="0"/>
                <w:sz w:val="20"/>
                <w:szCs w:val="20"/>
              </w:rPr>
              <w:t>2019</w:t>
            </w:r>
          </w:p>
        </w:tc>
        <w:tc>
          <w:tcPr>
            <w:tcW w:w="1019" w:type="pct"/>
            <w:tcBorders>
              <w:top w:val="none" w:sz="12" w:space="0" w:color="000000" w:themeColor="text1"/>
              <w:left w:val="none" w:sz="12" w:space="0" w:color="000000" w:themeColor="text1"/>
              <w:bottom w:val="none" w:sz="12" w:space="0" w:color="000000" w:themeColor="text1"/>
              <w:right w:val="none" w:sz="12" w:space="0" w:color="000000" w:themeColor="text1"/>
            </w:tcBorders>
            <w:shd w:val="clear" w:color="auto" w:fill="auto"/>
            <w:noWrap/>
            <w:vAlign w:val="center"/>
            <w:hideMark/>
          </w:tcPr>
          <w:p w14:paraId="71F16AFA" w14:textId="6E550857" w:rsidR="00600450" w:rsidRPr="00D77021" w:rsidRDefault="35FF8953" w:rsidP="35FF895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D77021">
              <w:rPr>
                <w:rFonts w:ascii="Candara" w:hAnsi="Candara"/>
                <w:sz w:val="20"/>
                <w:szCs w:val="20"/>
              </w:rPr>
              <w:t>0,98</w:t>
            </w:r>
          </w:p>
        </w:tc>
        <w:tc>
          <w:tcPr>
            <w:tcW w:w="1289" w:type="pct"/>
            <w:tcBorders>
              <w:left w:val="none" w:sz="12" w:space="0" w:color="000000" w:themeColor="text1"/>
            </w:tcBorders>
            <w:shd w:val="clear" w:color="auto" w:fill="auto"/>
            <w:noWrap/>
            <w:vAlign w:val="center"/>
            <w:hideMark/>
          </w:tcPr>
          <w:p w14:paraId="55A1FABF" w14:textId="2E637DD0" w:rsidR="00600450" w:rsidRPr="00D77021" w:rsidRDefault="35FF8953" w:rsidP="35FF895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D77021">
              <w:rPr>
                <w:rFonts w:ascii="Candara" w:hAnsi="Candara"/>
                <w:sz w:val="20"/>
                <w:szCs w:val="20"/>
              </w:rPr>
              <w:t>-15,35</w:t>
            </w:r>
          </w:p>
        </w:tc>
        <w:tc>
          <w:tcPr>
            <w:tcW w:w="1094" w:type="pct"/>
            <w:shd w:val="clear" w:color="auto" w:fill="auto"/>
            <w:noWrap/>
            <w:vAlign w:val="center"/>
            <w:hideMark/>
          </w:tcPr>
          <w:p w14:paraId="78ADC3CF" w14:textId="48E767B9" w:rsidR="00600450" w:rsidRPr="00D77021" w:rsidRDefault="35FF8953" w:rsidP="35FF895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D77021">
              <w:rPr>
                <w:rFonts w:ascii="Candara" w:hAnsi="Candara"/>
                <w:sz w:val="20"/>
                <w:szCs w:val="20"/>
              </w:rPr>
              <w:t>-56,00</w:t>
            </w:r>
          </w:p>
        </w:tc>
        <w:tc>
          <w:tcPr>
            <w:tcW w:w="1094" w:type="pct"/>
            <w:shd w:val="clear" w:color="auto" w:fill="auto"/>
            <w:vAlign w:val="center"/>
          </w:tcPr>
          <w:p w14:paraId="2D018785" w14:textId="4CE37B6A" w:rsidR="00600450" w:rsidRPr="00D77021" w:rsidRDefault="35FF8953" w:rsidP="35FF895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D77021">
              <w:rPr>
                <w:rFonts w:ascii="Candara" w:hAnsi="Candara"/>
                <w:sz w:val="20"/>
                <w:szCs w:val="20"/>
              </w:rPr>
              <w:t>-138,92</w:t>
            </w:r>
          </w:p>
        </w:tc>
      </w:tr>
      <w:tr w:rsidR="00D77021" w:rsidRPr="00D77021" w14:paraId="17F853EF" w14:textId="1792D7EE" w:rsidTr="35FF8953">
        <w:trPr>
          <w:trHeight w:val="300"/>
        </w:trPr>
        <w:tc>
          <w:tcPr>
            <w:cnfStyle w:val="001000000000" w:firstRow="0" w:lastRow="0" w:firstColumn="1" w:lastColumn="0" w:oddVBand="0" w:evenVBand="0" w:oddHBand="0" w:evenHBand="0" w:firstRowFirstColumn="0" w:firstRowLastColumn="0" w:lastRowFirstColumn="0" w:lastRowLastColumn="0"/>
            <w:tcW w:w="503" w:type="pct"/>
            <w:tcBorders>
              <w:right w:val="none" w:sz="4" w:space="0" w:color="7F7F7F" w:themeColor="text1" w:themeTint="80"/>
            </w:tcBorders>
            <w:shd w:val="clear" w:color="auto" w:fill="auto"/>
            <w:noWrap/>
            <w:vAlign w:val="center"/>
            <w:hideMark/>
          </w:tcPr>
          <w:p w14:paraId="078E0091" w14:textId="77777777" w:rsidR="00600450" w:rsidRPr="00D77021" w:rsidRDefault="35FF8953" w:rsidP="35FF8953">
            <w:pPr>
              <w:jc w:val="center"/>
              <w:rPr>
                <w:rFonts w:ascii="Candara" w:hAnsi="Candara"/>
                <w:b w:val="0"/>
                <w:bCs w:val="0"/>
                <w:sz w:val="20"/>
                <w:szCs w:val="20"/>
              </w:rPr>
            </w:pPr>
            <w:r w:rsidRPr="00D77021">
              <w:rPr>
                <w:rFonts w:ascii="Candara" w:hAnsi="Candara"/>
                <w:b w:val="0"/>
                <w:bCs w:val="0"/>
                <w:sz w:val="20"/>
                <w:szCs w:val="20"/>
              </w:rPr>
              <w:t>2020</w:t>
            </w:r>
          </w:p>
        </w:tc>
        <w:tc>
          <w:tcPr>
            <w:tcW w:w="1019" w:type="pct"/>
            <w:tcBorders>
              <w:top w:val="none" w:sz="12" w:space="0" w:color="000000" w:themeColor="text1"/>
              <w:left w:val="none" w:sz="12" w:space="0" w:color="000000" w:themeColor="text1"/>
              <w:bottom w:val="none" w:sz="12" w:space="0" w:color="000000" w:themeColor="text1"/>
              <w:right w:val="none" w:sz="12" w:space="0" w:color="000000" w:themeColor="text1"/>
            </w:tcBorders>
            <w:shd w:val="clear" w:color="auto" w:fill="auto"/>
            <w:noWrap/>
            <w:vAlign w:val="center"/>
            <w:hideMark/>
          </w:tcPr>
          <w:p w14:paraId="6DB87903" w14:textId="6BA98BEB" w:rsidR="00600450" w:rsidRPr="00D77021" w:rsidRDefault="35FF8953" w:rsidP="35FF8953">
            <w:pPr>
              <w:spacing w:line="276" w:lineRule="auto"/>
              <w:jc w:val="cente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D77021">
              <w:rPr>
                <w:rFonts w:ascii="Candara" w:hAnsi="Candara"/>
                <w:sz w:val="20"/>
                <w:szCs w:val="20"/>
              </w:rPr>
              <w:t>-2,96</w:t>
            </w:r>
          </w:p>
        </w:tc>
        <w:tc>
          <w:tcPr>
            <w:tcW w:w="1289" w:type="pct"/>
            <w:tcBorders>
              <w:left w:val="none" w:sz="12" w:space="0" w:color="000000" w:themeColor="text1"/>
            </w:tcBorders>
            <w:shd w:val="clear" w:color="auto" w:fill="auto"/>
            <w:noWrap/>
            <w:vAlign w:val="center"/>
            <w:hideMark/>
          </w:tcPr>
          <w:p w14:paraId="59076D16" w14:textId="09ED556A" w:rsidR="00600450" w:rsidRPr="00D77021" w:rsidRDefault="35FF8953" w:rsidP="35FF8953">
            <w:pPr>
              <w:spacing w:line="276" w:lineRule="auto"/>
              <w:jc w:val="cente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D77021">
              <w:rPr>
                <w:rFonts w:ascii="Candara" w:hAnsi="Candara"/>
                <w:sz w:val="20"/>
                <w:szCs w:val="20"/>
              </w:rPr>
              <w:t>-22,86</w:t>
            </w:r>
          </w:p>
        </w:tc>
        <w:tc>
          <w:tcPr>
            <w:tcW w:w="1094" w:type="pct"/>
            <w:shd w:val="clear" w:color="auto" w:fill="auto"/>
            <w:noWrap/>
            <w:vAlign w:val="center"/>
            <w:hideMark/>
          </w:tcPr>
          <w:p w14:paraId="0D3727A3" w14:textId="5F627E3A" w:rsidR="00600450" w:rsidRPr="00D77021" w:rsidRDefault="35FF8953" w:rsidP="35FF8953">
            <w:pPr>
              <w:spacing w:line="276" w:lineRule="auto"/>
              <w:jc w:val="cente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D77021">
              <w:rPr>
                <w:rFonts w:ascii="Candara" w:hAnsi="Candara"/>
                <w:sz w:val="20"/>
                <w:szCs w:val="20"/>
              </w:rPr>
              <w:t>-66,57</w:t>
            </w:r>
          </w:p>
        </w:tc>
        <w:tc>
          <w:tcPr>
            <w:tcW w:w="1094" w:type="pct"/>
            <w:shd w:val="clear" w:color="auto" w:fill="auto"/>
            <w:vAlign w:val="center"/>
          </w:tcPr>
          <w:p w14:paraId="08EB6B8E" w14:textId="4E0260B5" w:rsidR="00600450" w:rsidRPr="00D77021" w:rsidRDefault="35FF8953" w:rsidP="35FF8953">
            <w:pPr>
              <w:spacing w:line="276" w:lineRule="auto"/>
              <w:jc w:val="cente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D77021">
              <w:rPr>
                <w:rFonts w:ascii="Candara" w:hAnsi="Candara"/>
                <w:sz w:val="20"/>
                <w:szCs w:val="20"/>
              </w:rPr>
              <w:t>-178,46</w:t>
            </w:r>
          </w:p>
        </w:tc>
      </w:tr>
      <w:tr w:rsidR="00D77021" w:rsidRPr="00D77021" w14:paraId="0271CD86" w14:textId="563F4531" w:rsidTr="35FF89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3" w:type="pct"/>
            <w:tcBorders>
              <w:bottom w:val="none" w:sz="12" w:space="0" w:color="000000" w:themeColor="text1"/>
              <w:right w:val="none" w:sz="4" w:space="0" w:color="7F7F7F" w:themeColor="text1" w:themeTint="80"/>
            </w:tcBorders>
            <w:shd w:val="clear" w:color="auto" w:fill="auto"/>
            <w:noWrap/>
            <w:vAlign w:val="center"/>
            <w:hideMark/>
          </w:tcPr>
          <w:p w14:paraId="2CB8C8C0" w14:textId="77777777" w:rsidR="00600450" w:rsidRPr="00D77021" w:rsidRDefault="35FF8953" w:rsidP="35FF8953">
            <w:pPr>
              <w:jc w:val="center"/>
              <w:rPr>
                <w:rFonts w:ascii="Candara" w:hAnsi="Candara"/>
                <w:b w:val="0"/>
                <w:bCs w:val="0"/>
                <w:sz w:val="20"/>
                <w:szCs w:val="20"/>
              </w:rPr>
            </w:pPr>
            <w:r w:rsidRPr="00D77021">
              <w:rPr>
                <w:rFonts w:ascii="Candara" w:hAnsi="Candara"/>
                <w:b w:val="0"/>
                <w:bCs w:val="0"/>
                <w:sz w:val="20"/>
                <w:szCs w:val="20"/>
              </w:rPr>
              <w:t>2021</w:t>
            </w:r>
          </w:p>
        </w:tc>
        <w:tc>
          <w:tcPr>
            <w:tcW w:w="1019" w:type="pct"/>
            <w:tcBorders>
              <w:top w:val="none" w:sz="12" w:space="0" w:color="000000" w:themeColor="text1"/>
              <w:left w:val="none" w:sz="12" w:space="0" w:color="000000" w:themeColor="text1"/>
              <w:bottom w:val="none" w:sz="12" w:space="0" w:color="000000" w:themeColor="text1"/>
              <w:right w:val="none" w:sz="12" w:space="0" w:color="000000" w:themeColor="text1"/>
            </w:tcBorders>
            <w:shd w:val="clear" w:color="auto" w:fill="auto"/>
            <w:noWrap/>
            <w:vAlign w:val="center"/>
            <w:hideMark/>
          </w:tcPr>
          <w:p w14:paraId="47FA27D2" w14:textId="428084D1" w:rsidR="00600450" w:rsidRPr="00D77021" w:rsidRDefault="35FF8953" w:rsidP="35FF895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D77021">
              <w:rPr>
                <w:rFonts w:ascii="Candara" w:hAnsi="Candara"/>
                <w:sz w:val="20"/>
                <w:szCs w:val="20"/>
              </w:rPr>
              <w:t>13,49</w:t>
            </w:r>
          </w:p>
        </w:tc>
        <w:tc>
          <w:tcPr>
            <w:tcW w:w="1289" w:type="pct"/>
            <w:tcBorders>
              <w:left w:val="none" w:sz="12" w:space="0" w:color="000000" w:themeColor="text1"/>
            </w:tcBorders>
            <w:shd w:val="clear" w:color="auto" w:fill="auto"/>
            <w:noWrap/>
            <w:vAlign w:val="center"/>
            <w:hideMark/>
          </w:tcPr>
          <w:p w14:paraId="62D6745C" w14:textId="1B8F03EA" w:rsidR="00600450" w:rsidRPr="00D77021" w:rsidRDefault="35FF8953" w:rsidP="35FF895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D77021">
              <w:rPr>
                <w:rFonts w:ascii="Candara" w:hAnsi="Candara"/>
                <w:sz w:val="20"/>
                <w:szCs w:val="20"/>
              </w:rPr>
              <w:t>-24,19</w:t>
            </w:r>
          </w:p>
        </w:tc>
        <w:tc>
          <w:tcPr>
            <w:tcW w:w="1094" w:type="pct"/>
            <w:shd w:val="clear" w:color="auto" w:fill="auto"/>
            <w:noWrap/>
            <w:vAlign w:val="center"/>
            <w:hideMark/>
          </w:tcPr>
          <w:p w14:paraId="650EC393" w14:textId="64E0E50F" w:rsidR="00600450" w:rsidRPr="00D77021" w:rsidRDefault="35FF8953" w:rsidP="35FF895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D77021">
              <w:rPr>
                <w:rFonts w:ascii="Candara" w:hAnsi="Candara"/>
                <w:sz w:val="20"/>
                <w:szCs w:val="20"/>
              </w:rPr>
              <w:t>-102,43</w:t>
            </w:r>
          </w:p>
        </w:tc>
        <w:tc>
          <w:tcPr>
            <w:tcW w:w="1094" w:type="pct"/>
            <w:shd w:val="clear" w:color="auto" w:fill="auto"/>
            <w:vAlign w:val="center"/>
          </w:tcPr>
          <w:p w14:paraId="2029F903" w14:textId="4C44D95E" w:rsidR="00600450" w:rsidRPr="00D77021" w:rsidRDefault="35FF8953" w:rsidP="35FF895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D77021">
              <w:rPr>
                <w:rFonts w:ascii="Candara" w:hAnsi="Candara"/>
                <w:sz w:val="20"/>
                <w:szCs w:val="20"/>
              </w:rPr>
              <w:t>-266,93</w:t>
            </w:r>
          </w:p>
        </w:tc>
      </w:tr>
      <w:tr w:rsidR="00D77021" w:rsidRPr="00D77021" w14:paraId="6E5FC06A" w14:textId="4AC22186" w:rsidTr="35FF8953">
        <w:trPr>
          <w:trHeight w:val="300"/>
        </w:trPr>
        <w:tc>
          <w:tcPr>
            <w:cnfStyle w:val="001000000000" w:firstRow="0" w:lastRow="0" w:firstColumn="1" w:lastColumn="0" w:oddVBand="0" w:evenVBand="0" w:oddHBand="0" w:evenHBand="0" w:firstRowFirstColumn="0" w:firstRowLastColumn="0" w:lastRowFirstColumn="0" w:lastRowLastColumn="0"/>
            <w:tcW w:w="503" w:type="pct"/>
            <w:tcBorders>
              <w:top w:val="none" w:sz="12" w:space="0" w:color="000000" w:themeColor="text1"/>
              <w:left w:val="none" w:sz="12" w:space="0" w:color="000000" w:themeColor="text1"/>
              <w:bottom w:val="single" w:sz="8" w:space="0" w:color="000000" w:themeColor="text1"/>
              <w:right w:val="none" w:sz="4" w:space="0" w:color="7F7F7F" w:themeColor="text1" w:themeTint="80"/>
            </w:tcBorders>
            <w:shd w:val="clear" w:color="auto" w:fill="auto"/>
            <w:noWrap/>
            <w:vAlign w:val="center"/>
            <w:hideMark/>
          </w:tcPr>
          <w:p w14:paraId="62E64F77" w14:textId="4B7ACE78" w:rsidR="00600450" w:rsidRPr="00D77021" w:rsidRDefault="35FF8953" w:rsidP="35FF8953">
            <w:pPr>
              <w:jc w:val="center"/>
              <w:rPr>
                <w:rFonts w:ascii="Candara" w:hAnsi="Candara"/>
                <w:b w:val="0"/>
                <w:bCs w:val="0"/>
                <w:sz w:val="20"/>
                <w:szCs w:val="20"/>
              </w:rPr>
            </w:pPr>
            <w:r w:rsidRPr="00D77021">
              <w:rPr>
                <w:rFonts w:ascii="Candara" w:hAnsi="Candara"/>
                <w:b w:val="0"/>
                <w:bCs w:val="0"/>
                <w:sz w:val="20"/>
                <w:szCs w:val="20"/>
              </w:rPr>
              <w:t>2022</w:t>
            </w:r>
          </w:p>
        </w:tc>
        <w:tc>
          <w:tcPr>
            <w:tcW w:w="1019" w:type="pct"/>
            <w:tcBorders>
              <w:top w:val="none" w:sz="12" w:space="0" w:color="000000" w:themeColor="text1"/>
              <w:left w:val="none" w:sz="4" w:space="0" w:color="7F7F7F" w:themeColor="text1" w:themeTint="80"/>
              <w:bottom w:val="single" w:sz="4" w:space="0" w:color="auto"/>
            </w:tcBorders>
            <w:shd w:val="clear" w:color="auto" w:fill="auto"/>
            <w:noWrap/>
            <w:vAlign w:val="center"/>
            <w:hideMark/>
          </w:tcPr>
          <w:p w14:paraId="38837481" w14:textId="46AC8205" w:rsidR="00600450" w:rsidRPr="00D77021" w:rsidRDefault="35FF8953" w:rsidP="35FF8953">
            <w:pPr>
              <w:spacing w:line="276" w:lineRule="auto"/>
              <w:jc w:val="cente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D77021">
              <w:rPr>
                <w:rFonts w:ascii="Candara" w:hAnsi="Candara"/>
                <w:sz w:val="20"/>
                <w:szCs w:val="20"/>
              </w:rPr>
              <w:t>10,14</w:t>
            </w:r>
          </w:p>
        </w:tc>
        <w:tc>
          <w:tcPr>
            <w:tcW w:w="1289" w:type="pct"/>
            <w:tcBorders>
              <w:bottom w:val="single" w:sz="4" w:space="0" w:color="auto"/>
            </w:tcBorders>
            <w:shd w:val="clear" w:color="auto" w:fill="auto"/>
            <w:noWrap/>
            <w:vAlign w:val="center"/>
            <w:hideMark/>
          </w:tcPr>
          <w:p w14:paraId="26195567" w14:textId="4AA32C6D" w:rsidR="00600450" w:rsidRPr="00D77021" w:rsidRDefault="35FF8953" w:rsidP="35FF8953">
            <w:pPr>
              <w:spacing w:line="276" w:lineRule="auto"/>
              <w:jc w:val="cente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D77021">
              <w:rPr>
                <w:rFonts w:ascii="Candara" w:hAnsi="Candara"/>
                <w:sz w:val="20"/>
                <w:szCs w:val="20"/>
              </w:rPr>
              <w:t>-26,14</w:t>
            </w:r>
          </w:p>
        </w:tc>
        <w:tc>
          <w:tcPr>
            <w:tcW w:w="1094" w:type="pct"/>
            <w:tcBorders>
              <w:bottom w:val="single" w:sz="4" w:space="0" w:color="auto"/>
            </w:tcBorders>
            <w:shd w:val="clear" w:color="auto" w:fill="auto"/>
            <w:noWrap/>
            <w:vAlign w:val="center"/>
            <w:hideMark/>
          </w:tcPr>
          <w:p w14:paraId="2BF84444" w14:textId="63ADB066" w:rsidR="00600450" w:rsidRPr="00D77021" w:rsidRDefault="35FF8953" w:rsidP="35FF8953">
            <w:pPr>
              <w:spacing w:line="276" w:lineRule="auto"/>
              <w:jc w:val="cente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D77021">
              <w:rPr>
                <w:rFonts w:ascii="Candara" w:hAnsi="Candara"/>
                <w:sz w:val="20"/>
                <w:szCs w:val="20"/>
              </w:rPr>
              <w:t>-95,82</w:t>
            </w:r>
          </w:p>
        </w:tc>
        <w:tc>
          <w:tcPr>
            <w:tcW w:w="1094" w:type="pct"/>
            <w:tcBorders>
              <w:bottom w:val="single" w:sz="4" w:space="0" w:color="auto"/>
            </w:tcBorders>
            <w:shd w:val="clear" w:color="auto" w:fill="auto"/>
            <w:vAlign w:val="center"/>
          </w:tcPr>
          <w:p w14:paraId="3C6510B7" w14:textId="0853CE48" w:rsidR="00600450" w:rsidRPr="00D77021" w:rsidRDefault="35FF8953" w:rsidP="35FF8953">
            <w:pPr>
              <w:spacing w:line="276" w:lineRule="auto"/>
              <w:jc w:val="center"/>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D77021">
              <w:rPr>
                <w:rFonts w:ascii="Candara" w:hAnsi="Candara"/>
                <w:sz w:val="20"/>
                <w:szCs w:val="20"/>
              </w:rPr>
              <w:t>-300,34</w:t>
            </w:r>
          </w:p>
        </w:tc>
      </w:tr>
    </w:tbl>
    <w:p w14:paraId="54431E5A" w14:textId="488EA336" w:rsidR="00656284" w:rsidRPr="00D77021" w:rsidRDefault="35FF8953" w:rsidP="35FF8953">
      <w:pPr>
        <w:spacing w:after="120" w:line="240" w:lineRule="auto"/>
        <w:jc w:val="both"/>
        <w:rPr>
          <w:rFonts w:ascii="Candara" w:eastAsia="Candara" w:hAnsi="Candara" w:cs="Candara"/>
          <w:sz w:val="20"/>
          <w:szCs w:val="20"/>
        </w:rPr>
      </w:pPr>
      <w:r w:rsidRPr="00D77021">
        <w:rPr>
          <w:rFonts w:ascii="Candara" w:eastAsia="Candara" w:hAnsi="Candara" w:cs="Candara"/>
          <w:b/>
          <w:bCs/>
          <w:sz w:val="20"/>
          <w:szCs w:val="20"/>
        </w:rPr>
        <w:t>Fonte:</w:t>
      </w:r>
      <w:r w:rsidRPr="00D77021">
        <w:rPr>
          <w:rFonts w:ascii="Candara" w:eastAsia="Candara" w:hAnsi="Candara" w:cs="Candara"/>
          <w:sz w:val="20"/>
          <w:szCs w:val="20"/>
        </w:rPr>
        <w:t xml:space="preserve"> Elaboração própria com dados do CONFAZ. </w:t>
      </w:r>
      <w:r w:rsidRPr="00D77021">
        <w:rPr>
          <w:rFonts w:ascii="Candara" w:eastAsia="Candara" w:hAnsi="Candara" w:cs="Candara"/>
          <w:b/>
          <w:bCs/>
          <w:sz w:val="20"/>
          <w:szCs w:val="20"/>
        </w:rPr>
        <w:t>Nota:</w:t>
      </w:r>
      <w:r w:rsidRPr="00D77021">
        <w:rPr>
          <w:rFonts w:ascii="Candara" w:eastAsia="Candara" w:hAnsi="Candara" w:cs="Candara"/>
          <w:sz w:val="20"/>
          <w:szCs w:val="20"/>
        </w:rPr>
        <w:t xml:space="preserve"> Dados a preços constantes de 2022, a partir do deflator implícito do PIB.</w:t>
      </w:r>
    </w:p>
    <w:p w14:paraId="5692FD8A" w14:textId="713AE158" w:rsidR="00D87E9E"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 xml:space="preserve">Os níveis de transações comerciais do Nordeste com as outras grandes regiões são elevadas. Vidal </w:t>
      </w:r>
      <w:r w:rsidRPr="00D77021">
        <w:rPr>
          <w:rFonts w:ascii="Candara" w:eastAsia="Candara" w:hAnsi="Candara" w:cs="Candara"/>
          <w:i/>
          <w:iCs/>
          <w:sz w:val="24"/>
          <w:szCs w:val="24"/>
        </w:rPr>
        <w:t>et al.</w:t>
      </w:r>
      <w:r w:rsidRPr="00D77021">
        <w:rPr>
          <w:rFonts w:ascii="Candara" w:eastAsia="Candara" w:hAnsi="Candara" w:cs="Candara"/>
          <w:sz w:val="24"/>
          <w:szCs w:val="24"/>
        </w:rPr>
        <w:t xml:space="preserve"> (2021) destacaram que em 2020 o fluxo de compras do Nordeste foi de 2,5 vezes maior do que foi vendido para a região Sul. Quando observada a relação com o Sudeste, as compras são quase o dobro que é vendido. O nível de consumo das exportações dos estados da própria região totalizou no ano de 2020 cerca de 46,5%; no mesmo ano, o segundo maior destino das vendas foi para o Sudeste que consumiu aproximadamente 31,7% dos produtos nordestinos, com o estado de São Paulo respondendo por 19,1% deste total (Vidal, </w:t>
      </w:r>
      <w:r w:rsidRPr="00D77021">
        <w:rPr>
          <w:rFonts w:ascii="Candara" w:eastAsia="Candara" w:hAnsi="Candara" w:cs="Candara"/>
          <w:i/>
          <w:iCs/>
          <w:sz w:val="24"/>
          <w:szCs w:val="24"/>
        </w:rPr>
        <w:t>et al</w:t>
      </w:r>
      <w:r w:rsidRPr="00D77021">
        <w:rPr>
          <w:rFonts w:ascii="Candara" w:eastAsia="Candara" w:hAnsi="Candara" w:cs="Candara"/>
          <w:sz w:val="24"/>
          <w:szCs w:val="24"/>
        </w:rPr>
        <w:t>. 2021).</w:t>
      </w:r>
    </w:p>
    <w:p w14:paraId="798A23CE" w14:textId="31552F1D" w:rsidR="00D22C04"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 xml:space="preserve">A relação comercial entre o Nordeste e as demais grandes regiões do país também apresentaram um déficit significativo (Tabela 1). Esse desequilíbrio reforça aspectos fundamentais sobre a economia nordestina, o primeiro deles diz respeito a dependência que a região tem das compras provenientes de outras regiões; o </w:t>
      </w:r>
      <w:r w:rsidRPr="00D77021">
        <w:rPr>
          <w:rFonts w:ascii="Candara" w:eastAsia="Candara" w:hAnsi="Candara" w:cs="Candara"/>
          <w:sz w:val="24"/>
          <w:szCs w:val="24"/>
        </w:rPr>
        <w:lastRenderedPageBreak/>
        <w:t>segundo é quanto ao histórico de déficit no comércio interno que é presente desde a segunda metade do século passado.</w:t>
      </w:r>
    </w:p>
    <w:p w14:paraId="065C97B2" w14:textId="2685E40A" w:rsidR="00EC68F9" w:rsidRPr="00D77021" w:rsidRDefault="35FF8953" w:rsidP="35FF8953">
      <w:pPr>
        <w:spacing w:after="0" w:line="240" w:lineRule="auto"/>
        <w:jc w:val="both"/>
        <w:rPr>
          <w:rFonts w:ascii="Candara" w:eastAsia="Candara" w:hAnsi="Candara" w:cs="Candara"/>
          <w:sz w:val="24"/>
          <w:szCs w:val="24"/>
        </w:rPr>
      </w:pPr>
      <w:r w:rsidRPr="00D77021">
        <w:rPr>
          <w:rFonts w:ascii="Candara" w:eastAsia="Candara" w:hAnsi="Candara" w:cs="Candara"/>
          <w:b/>
          <w:bCs/>
          <w:sz w:val="24"/>
          <w:szCs w:val="24"/>
        </w:rPr>
        <w:t xml:space="preserve">Gráfico </w:t>
      </w:r>
      <w:r w:rsidR="20AF2EE4" w:rsidRPr="00D77021">
        <w:rPr>
          <w:rFonts w:ascii="Candara" w:eastAsia="Candara" w:hAnsi="Candara" w:cs="Candara"/>
          <w:b/>
          <w:bCs/>
          <w:sz w:val="24"/>
          <w:szCs w:val="24"/>
        </w:rPr>
        <w:fldChar w:fldCharType="begin"/>
      </w:r>
      <w:r w:rsidR="20AF2EE4" w:rsidRPr="00D77021">
        <w:rPr>
          <w:rFonts w:ascii="Candara" w:eastAsia="Candara" w:hAnsi="Candara" w:cs="Candara"/>
          <w:b/>
          <w:bCs/>
          <w:sz w:val="24"/>
          <w:szCs w:val="24"/>
        </w:rPr>
        <w:instrText xml:space="preserve"> SEQ Tabela \* ARABIC </w:instrText>
      </w:r>
      <w:r w:rsidR="20AF2EE4" w:rsidRPr="00D77021">
        <w:rPr>
          <w:rFonts w:ascii="Candara" w:eastAsia="Candara" w:hAnsi="Candara" w:cs="Candara"/>
          <w:b/>
          <w:bCs/>
          <w:sz w:val="24"/>
          <w:szCs w:val="24"/>
        </w:rPr>
        <w:fldChar w:fldCharType="separate"/>
      </w:r>
      <w:r w:rsidRPr="00D77021">
        <w:rPr>
          <w:rFonts w:ascii="Candara" w:eastAsia="Candara" w:hAnsi="Candara" w:cs="Candara"/>
          <w:b/>
          <w:bCs/>
          <w:sz w:val="24"/>
          <w:szCs w:val="24"/>
        </w:rPr>
        <w:t>1</w:t>
      </w:r>
      <w:r w:rsidR="20AF2EE4" w:rsidRPr="00D77021">
        <w:rPr>
          <w:rFonts w:ascii="Candara" w:eastAsia="Candara" w:hAnsi="Candara" w:cs="Candara"/>
          <w:sz w:val="24"/>
          <w:szCs w:val="24"/>
        </w:rPr>
        <w:fldChar w:fldCharType="end"/>
      </w:r>
      <w:r w:rsidRPr="00D77021">
        <w:rPr>
          <w:rFonts w:ascii="Candara" w:eastAsia="Candara" w:hAnsi="Candara" w:cs="Candara"/>
          <w:sz w:val="24"/>
          <w:szCs w:val="24"/>
        </w:rPr>
        <w:t xml:space="preserve"> – Saldo do comércio inter-regional do Nordeste com as demais macrorregiões em proporção do PIB, 2017 a 2021</w:t>
      </w:r>
    </w:p>
    <w:p w14:paraId="67EDB38A" w14:textId="7EE7F8FC" w:rsidR="00B36FF3" w:rsidRPr="00D77021" w:rsidRDefault="005F64C3" w:rsidP="35FF8953">
      <w:pPr>
        <w:spacing w:after="120" w:line="240" w:lineRule="auto"/>
        <w:jc w:val="both"/>
        <w:rPr>
          <w:rFonts w:ascii="Candara" w:eastAsia="Candara" w:hAnsi="Candara" w:cs="Candara"/>
          <w:sz w:val="20"/>
          <w:szCs w:val="20"/>
        </w:rPr>
      </w:pPr>
      <w:r w:rsidRPr="00D77021">
        <w:rPr>
          <w:noProof/>
        </w:rPr>
        <w:drawing>
          <wp:inline distT="0" distB="0" distL="0" distR="0" wp14:anchorId="2426667B" wp14:editId="1C7DE901">
            <wp:extent cx="5400000" cy="2880000"/>
            <wp:effectExtent l="0" t="0" r="10795" b="15875"/>
            <wp:docPr id="468369331" name="Gráfico 1">
              <a:extLst xmlns:a="http://schemas.openxmlformats.org/drawingml/2006/main">
                <a:ext uri="{FF2B5EF4-FFF2-40B4-BE49-F238E27FC236}">
                  <a16:creationId xmlns:a16="http://schemas.microsoft.com/office/drawing/2014/main" id="{91C9F09E-EDD8-DE34-F60D-655598C0CC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20AF2EE4" w:rsidRPr="00D77021">
        <w:rPr>
          <w:rFonts w:ascii="Candara" w:eastAsia="Candara" w:hAnsi="Candara" w:cs="Candara"/>
          <w:b/>
          <w:bCs/>
          <w:sz w:val="20"/>
          <w:szCs w:val="20"/>
        </w:rPr>
        <w:t>Fonte:</w:t>
      </w:r>
      <w:r w:rsidR="20AF2EE4" w:rsidRPr="00D77021">
        <w:rPr>
          <w:rFonts w:ascii="Candara" w:eastAsia="Candara" w:hAnsi="Candara" w:cs="Candara"/>
          <w:sz w:val="20"/>
          <w:szCs w:val="20"/>
        </w:rPr>
        <w:t xml:space="preserve"> Elaboração própria com dados do CONFAZ e do sistema de contas regionais do IBGE. </w:t>
      </w:r>
      <w:r w:rsidR="20AF2EE4" w:rsidRPr="00D77021">
        <w:rPr>
          <w:rFonts w:ascii="Candara" w:eastAsia="Candara" w:hAnsi="Candara" w:cs="Candara"/>
          <w:b/>
          <w:bCs/>
          <w:sz w:val="20"/>
          <w:szCs w:val="20"/>
        </w:rPr>
        <w:t xml:space="preserve">Nota: </w:t>
      </w:r>
      <w:r w:rsidR="20AF2EE4" w:rsidRPr="00D77021">
        <w:rPr>
          <w:rFonts w:ascii="Candara" w:eastAsia="Candara" w:hAnsi="Candara" w:cs="Candara"/>
          <w:sz w:val="20"/>
          <w:szCs w:val="20"/>
        </w:rPr>
        <w:t>Proporção calculada utilizando PIB e Saldo comercial a preços constantes de 2022.</w:t>
      </w:r>
    </w:p>
    <w:p w14:paraId="5774D56B" w14:textId="52DF9F43" w:rsidR="00525578"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Com um ambiente de baixo crescimento econômico e aumento do saldo comercial, há uma piora significativa do déficit em proporção do PIB a partir de 2021, ano imediatamente posterior a fase mais aguda da pandemia de Covid-19. Conforme Gráfico 1, no saldo total há uma piora de aproximadamente 10% do PIB agregado dos estados do Nordeste em um período muito curto. A piora decorre, principalmente, com o aprofundamento do déficit com as regiões Sudeste e Sul.</w:t>
      </w:r>
    </w:p>
    <w:p w14:paraId="52E564BA" w14:textId="5B127897" w:rsidR="00AC23AE"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 xml:space="preserve">Segundo os dados do IBGE e do CONFAZ, especialmente entre 2020 e 2021, as transações comerciais entre as regiões cresceram a taxas muito mais expressivas que o crescimento do PIB dos estados do Nordeste. O PIB do Nordeste decresceu a </w:t>
      </w:r>
      <w:r w:rsidRPr="00D77021">
        <w:rPr>
          <w:rFonts w:ascii="Candara" w:eastAsia="Candara" w:hAnsi="Candara" w:cs="Candara"/>
          <w:sz w:val="24"/>
          <w:szCs w:val="24"/>
        </w:rPr>
        <w:lastRenderedPageBreak/>
        <w:t>uma taxa média de -0,13% ao ano entre 2017 e 2021, enquanto as exportações e importações para outras regiões cresceram 18,17% e 17,97% respectivamente, influenciadas pelo salto ocorrido entre 2020 e 2021 de 72,72% e 62,97%. Frente a estas estatísticas não podemos descartar a possibilidade dos dados, que ainda estão em construção, apresentem alguma subnotificação para os anos anteriores a 2021, ou estejam superestimados para o período posterior.</w:t>
      </w:r>
    </w:p>
    <w:p w14:paraId="4654B3BB" w14:textId="744635F0" w:rsidR="0060613A"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 xml:space="preserve">Embora ainda não tenhamos dados suficientes e o distanciamento histórico necessário para afirmar que essa mudança observada corresponda a uma flutuação de curto prazo que tenderá a ser revertida, ou a um novo “equilíbrio” de longo prazo para as relações comerciais, quaisquer dos cenários têm potencial para gerar impactos sobre o crescimento econômico da região Nordeste. </w:t>
      </w:r>
    </w:p>
    <w:p w14:paraId="2FDDB00F" w14:textId="5A339865" w:rsidR="35FF8953"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 xml:space="preserve">Os persistentes déficits apontados pelos dados e pela literatura (Bezerra </w:t>
      </w:r>
      <w:r w:rsidRPr="00D77021">
        <w:rPr>
          <w:rFonts w:ascii="Candara" w:eastAsia="Candara" w:hAnsi="Candara" w:cs="Candara"/>
          <w:i/>
          <w:iCs/>
          <w:sz w:val="24"/>
          <w:szCs w:val="24"/>
        </w:rPr>
        <w:t>et al.</w:t>
      </w:r>
      <w:r w:rsidRPr="00D77021">
        <w:rPr>
          <w:rFonts w:ascii="Candara" w:eastAsia="Candara" w:hAnsi="Candara" w:cs="Candara"/>
          <w:sz w:val="24"/>
          <w:szCs w:val="24"/>
        </w:rPr>
        <w:t xml:space="preserve">, 2015; Galvão, 1999; Macedo, 2023; Vidal </w:t>
      </w:r>
      <w:r w:rsidRPr="00D77021">
        <w:rPr>
          <w:rFonts w:ascii="Candara" w:eastAsia="Candara" w:hAnsi="Candara" w:cs="Candara"/>
          <w:i/>
          <w:iCs/>
          <w:sz w:val="24"/>
          <w:szCs w:val="24"/>
        </w:rPr>
        <w:t>et al.</w:t>
      </w:r>
      <w:r w:rsidRPr="00D77021">
        <w:rPr>
          <w:rFonts w:ascii="Candara" w:eastAsia="Candara" w:hAnsi="Candara" w:cs="Candara"/>
          <w:sz w:val="24"/>
          <w:szCs w:val="24"/>
        </w:rPr>
        <w:t>, 2021) evidenciam, em nível microeconômico, a fragilidade das empresas nordestinas em abastecer mercados regionais devido à baixa competitividade e eficiência produtiva. Em termos estruturais, refletem a incapacidade da região em desenvolver novas capacidades produtivas e tecnológicas, entrar em novos setores e avançar na “substituição regional de importações”.</w:t>
      </w:r>
    </w:p>
    <w:p w14:paraId="77524E30" w14:textId="2D2638F4" w:rsidR="00C26AD8"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 xml:space="preserve">Mas os problemas microeconômicos e estruturais que marcam a forma de integração produtiva do Nordeste em relação as demais regiões não são explicação suficiente para a piora aguda observada no pós-pandemia. Uma hipótese que pode ir em direção a confirmação do pior cenário (uma mudança duradoura nas relações comerciais para uma posição mais desvantajosa para o Nordeste) é que a estrutura </w:t>
      </w:r>
      <w:r w:rsidRPr="00D77021">
        <w:rPr>
          <w:rFonts w:ascii="Candara" w:eastAsia="Candara" w:hAnsi="Candara" w:cs="Candara"/>
          <w:sz w:val="24"/>
          <w:szCs w:val="24"/>
        </w:rPr>
        <w:lastRenderedPageBreak/>
        <w:t xml:space="preserve">produtiva do Nordeste esteve mais exposta aos efeitos do choque da pandemia, deteriorando ainda mais sua capacidade competitiva de alguns setores em relação as demais regiões. O que determinará se este cenário se confirma, ou tende a ser superado, é a duração dos eventuais efeitos do choque sobre a competitividade e inserção comercial das empresas nordestinas. </w:t>
      </w:r>
    </w:p>
    <w:p w14:paraId="3B948C2C" w14:textId="7CB8A4BD" w:rsidR="007321C5"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 xml:space="preserve">No entanto, a taxa de crescimento semelhante tanto das “importações” e “exportações” indicam (mesmo que não reflitam perfeitamente a amplitude real das variações) que a piora da proporção do saldo em relação ao PIB é explicada por um aumento na escala das relações comerciais em um ambiente de quase estagnação. Isso significa que pode ter aumentado a complementariedade dos fluxos comerciais entre o Nordeste e as regiões Sudeste e Sul, implicando em um aprofundamento da configuração atual da divisão regional da produção e do trabalho. Considerando que não houve variação significativa da renda, e é improvável de ter ocorrido um avanço progressivo no padrão tecnológico médio das firmas, a mudança observada no pós-pandemia pode refletir em maior especialização da estrutura de produção da região Nordeste como produtora de bens e serviços de baixo valor agregado. </w:t>
      </w:r>
    </w:p>
    <w:p w14:paraId="3EB0488D" w14:textId="170C5DC7" w:rsidR="00656284" w:rsidRPr="00D77021" w:rsidRDefault="001E733F"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Especificando a análise para os</w:t>
      </w:r>
      <w:r w:rsidR="00656284" w:rsidRPr="00D77021">
        <w:rPr>
          <w:rFonts w:ascii="Candara" w:eastAsia="Candara" w:hAnsi="Candara" w:cs="Candara"/>
          <w:sz w:val="24"/>
          <w:szCs w:val="24"/>
        </w:rPr>
        <w:t xml:space="preserve"> estados nordestinos </w:t>
      </w:r>
      <w:r w:rsidRPr="00D77021">
        <w:rPr>
          <w:rFonts w:ascii="Candara" w:eastAsia="Candara" w:hAnsi="Candara" w:cs="Candara"/>
          <w:sz w:val="24"/>
          <w:szCs w:val="24"/>
        </w:rPr>
        <w:t>e suas relações comerciais com o restante do Brasil</w:t>
      </w:r>
      <w:r w:rsidR="005B2926" w:rsidRPr="00D77021">
        <w:rPr>
          <w:rStyle w:val="Refdenotaderodap"/>
          <w:rFonts w:ascii="Candara" w:eastAsia="Candara" w:hAnsi="Candara" w:cs="Candara"/>
          <w:sz w:val="24"/>
          <w:szCs w:val="24"/>
        </w:rPr>
        <w:footnoteReference w:id="8"/>
      </w:r>
      <w:r w:rsidR="00656284" w:rsidRPr="00D77021">
        <w:rPr>
          <w:rFonts w:ascii="Candara" w:eastAsia="Candara" w:hAnsi="Candara" w:cs="Candara"/>
          <w:sz w:val="24"/>
          <w:szCs w:val="24"/>
        </w:rPr>
        <w:t xml:space="preserve">, é importante evidenciar que apenas o estado do Pernambuco registrou saldos positivos entre os anos observados. Pernambuco registrou superávits entre os anos de 2017 e 2019 e em 2022. Entretanto, assim como </w:t>
      </w:r>
      <w:r w:rsidR="00656284" w:rsidRPr="00D77021">
        <w:rPr>
          <w:rFonts w:ascii="Candara" w:eastAsia="Candara" w:hAnsi="Candara" w:cs="Candara"/>
          <w:sz w:val="24"/>
          <w:szCs w:val="24"/>
        </w:rPr>
        <w:lastRenderedPageBreak/>
        <w:t>os demais estados nordestinos nos anos de 2020 e 2021, contribuiu para o déficit comercial Nordestino.</w:t>
      </w:r>
      <w:r w:rsidR="009108C7" w:rsidRPr="00D77021">
        <w:rPr>
          <w:rFonts w:ascii="Candara" w:eastAsia="Candara" w:hAnsi="Candara" w:cs="Candara"/>
          <w:sz w:val="24"/>
          <w:szCs w:val="24"/>
        </w:rPr>
        <w:t xml:space="preserve"> </w:t>
      </w:r>
      <w:r w:rsidR="00656284" w:rsidRPr="00D77021">
        <w:rPr>
          <w:rFonts w:ascii="Candara" w:eastAsia="Candara" w:hAnsi="Candara" w:cs="Candara"/>
          <w:sz w:val="24"/>
          <w:szCs w:val="24"/>
        </w:rPr>
        <w:t xml:space="preserve">A Bahia se destacou com saldo negativo mais acentuado quando comparado aos demais, especialmente a partir de 2020, registrando seu pior desempenho em 2022, com um déficit de R$ 117 bilhões (Gráfico </w:t>
      </w:r>
      <w:r w:rsidR="00E7174F" w:rsidRPr="00D77021">
        <w:rPr>
          <w:rFonts w:ascii="Candara" w:eastAsia="Candara" w:hAnsi="Candara" w:cs="Candara"/>
          <w:sz w:val="24"/>
          <w:szCs w:val="24"/>
        </w:rPr>
        <w:t>2</w:t>
      </w:r>
      <w:r w:rsidR="006E0705" w:rsidRPr="00D77021">
        <w:rPr>
          <w:rFonts w:ascii="Candara" w:eastAsia="Candara" w:hAnsi="Candara" w:cs="Candara"/>
          <w:sz w:val="24"/>
          <w:szCs w:val="24"/>
        </w:rPr>
        <w:t>a</w:t>
      </w:r>
      <w:r w:rsidR="00656284" w:rsidRPr="00D77021">
        <w:rPr>
          <w:rFonts w:ascii="Candara" w:eastAsia="Candara" w:hAnsi="Candara" w:cs="Candara"/>
          <w:sz w:val="24"/>
          <w:szCs w:val="24"/>
        </w:rPr>
        <w:t>).</w:t>
      </w:r>
    </w:p>
    <w:p w14:paraId="79E33037" w14:textId="25C8B64F" w:rsidR="00AA3936"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 xml:space="preserve">Embora os estados com economias maiores contribuam de forma mais significativa com o nível do déficit comercial, em termos relativos ao nível de produto de cada estado fica claro que os déficits são mais significativos nas economias de estados mais pobres. Assim, o Rio Grande do Norte, Paraíba e Piauí se destacam com os maiores fluxos comerciais negativos em proporção do PIB, alcançando níveis que podem ser prejudiciais a capacidade de crescimento a longo prazo (Fernandes, 2022; </w:t>
      </w:r>
      <w:proofErr w:type="spellStart"/>
      <w:r w:rsidRPr="00D77021">
        <w:rPr>
          <w:rFonts w:ascii="Candara" w:eastAsia="Candara" w:hAnsi="Candara" w:cs="Candara"/>
          <w:sz w:val="24"/>
          <w:szCs w:val="24"/>
        </w:rPr>
        <w:t>Thirlwall</w:t>
      </w:r>
      <w:proofErr w:type="spellEnd"/>
      <w:r w:rsidRPr="00D77021">
        <w:rPr>
          <w:rFonts w:ascii="Candara" w:eastAsia="Candara" w:hAnsi="Candara" w:cs="Candara"/>
          <w:sz w:val="24"/>
          <w:szCs w:val="24"/>
        </w:rPr>
        <w:t>, 1980).</w:t>
      </w:r>
    </w:p>
    <w:p w14:paraId="089F246F" w14:textId="65C3A7C9" w:rsidR="00C75C9C"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Mesmo com saldos comerciais aquém do desejado nas transações interestaduais pautados pelos cenários de incerteza, desaceleração econômica e instabilidade que ocorrem a partir da segunda metade dos anos 2010, é importante ressaltar o aspecto de integração entre as unidades federativas, em que “nos anos recentes, todas as 27 Unidades Federativas apresentam conexão a todas as outras 26 Unidades Federativas, sem exceção” (Oliveira, 2022, p. 33). Dessa forma, as conexões ocorridas entre os anos de 2017 e 2022 tendem a ser superiores a observadas em anos anteriores. Sendo esse aspecto um reflexo dos incorridos custos fixos entras as UF, assim como a presença de menores barreiras comerciais interestaduais (Oliveira, 2022).</w:t>
      </w:r>
    </w:p>
    <w:p w14:paraId="73545CA0" w14:textId="50C3F852" w:rsidR="00F3518A"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 xml:space="preserve">No que diz respeito ao comércio, exclusivamente, entre os estados do Nordeste, segundo dados do CONFAZ (2024), as maiores participações no fluxo </w:t>
      </w:r>
      <w:r w:rsidRPr="00D77021">
        <w:rPr>
          <w:rFonts w:ascii="Candara" w:eastAsia="Candara" w:hAnsi="Candara" w:cs="Candara"/>
          <w:sz w:val="24"/>
          <w:szCs w:val="24"/>
        </w:rPr>
        <w:lastRenderedPageBreak/>
        <w:t>interestadual entre 2017 e 2022, tem-se em média 69,2% das entradas (compras) originadas de três estados: Pernambuco (29,6%), Bahia (27,8%) e Ceará (11,8%). Entre as saídas (vendas), para o mesmo período, a totalidade média de 70,7% é dividida entre quatro estados: Bahia (26%), Pernambuco (21%), Ceará (13,8%) e Maranhão (9,9%).</w:t>
      </w:r>
    </w:p>
    <w:p w14:paraId="36D12667" w14:textId="4DC44D70" w:rsidR="00D9301B" w:rsidRPr="00D77021" w:rsidRDefault="35FF8953" w:rsidP="35FF8953">
      <w:pPr>
        <w:spacing w:after="0" w:line="240" w:lineRule="auto"/>
        <w:jc w:val="both"/>
        <w:rPr>
          <w:rFonts w:ascii="Candara" w:eastAsia="Candara" w:hAnsi="Candara" w:cs="Candara"/>
          <w:sz w:val="24"/>
          <w:szCs w:val="24"/>
        </w:rPr>
      </w:pPr>
      <w:r w:rsidRPr="00D77021">
        <w:rPr>
          <w:rFonts w:ascii="Candara" w:eastAsia="Candara" w:hAnsi="Candara" w:cs="Candara"/>
          <w:b/>
          <w:bCs/>
          <w:sz w:val="24"/>
          <w:szCs w:val="24"/>
        </w:rPr>
        <w:t>Gráfico 2</w:t>
      </w:r>
      <w:r w:rsidRPr="00D77021">
        <w:rPr>
          <w:rFonts w:ascii="Candara" w:eastAsia="Candara" w:hAnsi="Candara" w:cs="Candara"/>
          <w:sz w:val="24"/>
          <w:szCs w:val="24"/>
        </w:rPr>
        <w:t xml:space="preserve"> - Saldo do comércio interestadual dos estados do Nordeste com o Brasil, de 2017 a 2022 (em bilhões de reais)</w:t>
      </w:r>
    </w:p>
    <w:p w14:paraId="3B07C656" w14:textId="77777777" w:rsidR="009367FF" w:rsidRPr="00D77021" w:rsidRDefault="00D9301B" w:rsidP="35FF8953">
      <w:pPr>
        <w:spacing w:after="0" w:line="240" w:lineRule="auto"/>
        <w:jc w:val="both"/>
        <w:rPr>
          <w:rFonts w:ascii="Candara" w:eastAsia="Candara" w:hAnsi="Candara" w:cs="Candara"/>
          <w:b/>
          <w:bCs/>
          <w:sz w:val="20"/>
          <w:szCs w:val="20"/>
        </w:rPr>
      </w:pPr>
      <w:r w:rsidRPr="00D77021">
        <w:rPr>
          <w:rFonts w:ascii="Candara" w:eastAsia="Candara" w:hAnsi="Candara" w:cs="Candara"/>
          <w:noProof/>
          <w:sz w:val="20"/>
          <w:szCs w:val="20"/>
        </w:rPr>
        <w:drawing>
          <wp:inline distT="0" distB="0" distL="0" distR="0" wp14:anchorId="711C9750" wp14:editId="4726DB28">
            <wp:extent cx="5400040" cy="2880000"/>
            <wp:effectExtent l="0" t="0" r="10160" b="15875"/>
            <wp:docPr id="1455117465" name="Gráfico 1">
              <a:extLst xmlns:a="http://schemas.openxmlformats.org/drawingml/2006/main">
                <a:ext uri="{FF2B5EF4-FFF2-40B4-BE49-F238E27FC236}">
                  <a16:creationId xmlns:a16="http://schemas.microsoft.com/office/drawing/2014/main" id="{F6C9EDDC-0CF5-E162-ECBE-D5B142F73F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A64C472" w14:textId="6FC0470D" w:rsidR="009367FF" w:rsidRPr="00D77021" w:rsidRDefault="009367FF" w:rsidP="35FF8953">
      <w:pPr>
        <w:spacing w:after="120" w:line="240" w:lineRule="auto"/>
        <w:jc w:val="both"/>
        <w:rPr>
          <w:rFonts w:ascii="Candara" w:eastAsia="Candara" w:hAnsi="Candara" w:cs="Candara"/>
          <w:sz w:val="20"/>
          <w:szCs w:val="20"/>
        </w:rPr>
      </w:pPr>
      <w:r w:rsidRPr="00D77021">
        <w:rPr>
          <w:noProof/>
        </w:rPr>
        <w:lastRenderedPageBreak/>
        <w:drawing>
          <wp:inline distT="0" distB="0" distL="0" distR="0" wp14:anchorId="644BEB40" wp14:editId="61D96885">
            <wp:extent cx="5400000" cy="2880000"/>
            <wp:effectExtent l="0" t="0" r="10795" b="15875"/>
            <wp:docPr id="1215213404" name="Gráfico 1">
              <a:extLst xmlns:a="http://schemas.openxmlformats.org/drawingml/2006/main">
                <a:ext uri="{FF2B5EF4-FFF2-40B4-BE49-F238E27FC236}">
                  <a16:creationId xmlns:a16="http://schemas.microsoft.com/office/drawing/2014/main" id="{ABA39981-DDCB-3053-A873-A49E69BD33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20AF2EE4" w:rsidRPr="00D77021">
        <w:rPr>
          <w:rFonts w:ascii="Candara" w:eastAsia="Candara" w:hAnsi="Candara" w:cs="Candara"/>
          <w:b/>
          <w:bCs/>
          <w:sz w:val="20"/>
          <w:szCs w:val="20"/>
        </w:rPr>
        <w:t>Fonte:</w:t>
      </w:r>
      <w:r w:rsidR="20AF2EE4" w:rsidRPr="00D77021">
        <w:rPr>
          <w:rFonts w:ascii="Candara" w:eastAsia="Candara" w:hAnsi="Candara" w:cs="Candara"/>
          <w:sz w:val="20"/>
          <w:szCs w:val="20"/>
        </w:rPr>
        <w:t xml:space="preserve"> Elaboração própria com dados da CONFAZ.  </w:t>
      </w:r>
      <w:r w:rsidR="20AF2EE4" w:rsidRPr="00D77021">
        <w:rPr>
          <w:rFonts w:ascii="Candara" w:eastAsia="Candara" w:hAnsi="Candara" w:cs="Candara"/>
          <w:b/>
          <w:bCs/>
          <w:sz w:val="20"/>
          <w:szCs w:val="20"/>
        </w:rPr>
        <w:t>Nota:</w:t>
      </w:r>
      <w:r w:rsidR="20AF2EE4" w:rsidRPr="00D77021">
        <w:rPr>
          <w:rFonts w:ascii="Candara" w:eastAsia="Candara" w:hAnsi="Candara" w:cs="Candara"/>
          <w:sz w:val="20"/>
          <w:szCs w:val="20"/>
        </w:rPr>
        <w:t xml:space="preserve"> Dados a preços constantes de 2022, a partir do deflator implícito do PIB.</w:t>
      </w:r>
    </w:p>
    <w:p w14:paraId="15178DAD" w14:textId="72D22BD2" w:rsidR="00656284"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 xml:space="preserve">Ainda no que diz respeito ao comércio intrarregional nordestino, é possível observar que somente Pernambuco e Bahia registraram saldos positivos até 2022, com o primeiro tendo um saldo significativamente superior ao segundo. Mesmo após o período mais intenso da pandemia, os dois estados têm registrado saldos positivos quando consideradas as relações intrarregionais nordestinas (Gráfico 3a). Em termos de proporção do PIB, fica claro que o superávit comercial de Pernambuco é significativamente mais importante para essa economia em comparação ao superávit baiano (Gráfico 3b). </w:t>
      </w:r>
    </w:p>
    <w:p w14:paraId="583EC4EB" w14:textId="0130A111" w:rsidR="00656284" w:rsidRPr="00D77021" w:rsidRDefault="35FF8953" w:rsidP="35FF8953">
      <w:pPr>
        <w:spacing w:after="0" w:line="240" w:lineRule="auto"/>
        <w:jc w:val="both"/>
        <w:rPr>
          <w:rFonts w:ascii="Candara" w:eastAsia="Candara" w:hAnsi="Candara" w:cs="Candara"/>
          <w:sz w:val="24"/>
          <w:szCs w:val="24"/>
        </w:rPr>
      </w:pPr>
      <w:r w:rsidRPr="00D77021">
        <w:rPr>
          <w:rFonts w:ascii="Candara" w:eastAsia="Candara" w:hAnsi="Candara" w:cs="Candara"/>
          <w:b/>
          <w:bCs/>
          <w:sz w:val="24"/>
          <w:szCs w:val="24"/>
        </w:rPr>
        <w:t>Gráfico 3</w:t>
      </w:r>
      <w:r w:rsidRPr="00D77021">
        <w:rPr>
          <w:rFonts w:ascii="Candara" w:eastAsia="Candara" w:hAnsi="Candara" w:cs="Candara"/>
          <w:sz w:val="24"/>
          <w:szCs w:val="24"/>
        </w:rPr>
        <w:t xml:space="preserve"> - Saldo do comércio intrarregional nordestino, de 2017 a 2022 (em bilhões de reais)</w:t>
      </w:r>
    </w:p>
    <w:p w14:paraId="0B74AB7D" w14:textId="77777777" w:rsidR="00745E75" w:rsidRPr="00D77021" w:rsidRDefault="00656284" w:rsidP="35FF8953">
      <w:pPr>
        <w:spacing w:after="0" w:line="240" w:lineRule="auto"/>
        <w:jc w:val="both"/>
        <w:rPr>
          <w:rFonts w:ascii="Candara" w:eastAsia="Candara" w:hAnsi="Candara" w:cs="Candara"/>
          <w:b/>
          <w:bCs/>
          <w:sz w:val="20"/>
          <w:szCs w:val="20"/>
        </w:rPr>
      </w:pPr>
      <w:r w:rsidRPr="00D77021">
        <w:rPr>
          <w:rFonts w:ascii="Candara" w:eastAsia="Candara" w:hAnsi="Candara" w:cs="Candara"/>
          <w:noProof/>
          <w:sz w:val="24"/>
          <w:szCs w:val="24"/>
        </w:rPr>
        <w:lastRenderedPageBreak/>
        <w:drawing>
          <wp:inline distT="0" distB="0" distL="0" distR="0" wp14:anchorId="1813C2D8" wp14:editId="4F28044B">
            <wp:extent cx="5400040" cy="2880000"/>
            <wp:effectExtent l="0" t="0" r="10160" b="15875"/>
            <wp:docPr id="772199614" name="Gráfico 1">
              <a:extLst xmlns:a="http://schemas.openxmlformats.org/drawingml/2006/main">
                <a:ext uri="{FF2B5EF4-FFF2-40B4-BE49-F238E27FC236}">
                  <a16:creationId xmlns:a16="http://schemas.microsoft.com/office/drawing/2014/main" id="{DDE51480-F302-1D54-1FA3-24C71485F6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E6D81D3" w14:textId="7FBE020E" w:rsidR="000F0D24" w:rsidRPr="00D77021" w:rsidRDefault="00745E75" w:rsidP="35FF8953">
      <w:pPr>
        <w:spacing w:after="120" w:line="240" w:lineRule="auto"/>
        <w:jc w:val="both"/>
        <w:rPr>
          <w:rFonts w:ascii="Candara" w:eastAsia="Candara" w:hAnsi="Candara" w:cs="Candara"/>
          <w:sz w:val="20"/>
          <w:szCs w:val="20"/>
        </w:rPr>
      </w:pPr>
      <w:r w:rsidRPr="00D77021">
        <w:rPr>
          <w:noProof/>
        </w:rPr>
        <w:drawing>
          <wp:inline distT="0" distB="0" distL="0" distR="0" wp14:anchorId="3761DCCE" wp14:editId="078432B7">
            <wp:extent cx="5400000" cy="2880000"/>
            <wp:effectExtent l="0" t="0" r="10795" b="15875"/>
            <wp:docPr id="1073765758" name="Gráfico 1">
              <a:extLst xmlns:a="http://schemas.openxmlformats.org/drawingml/2006/main">
                <a:ext uri="{FF2B5EF4-FFF2-40B4-BE49-F238E27FC236}">
                  <a16:creationId xmlns:a16="http://schemas.microsoft.com/office/drawing/2014/main" id="{AF2C5722-584E-CDDF-9A88-088DF8D889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656284" w:rsidRPr="00D77021">
        <w:rPr>
          <w:rFonts w:ascii="Candara" w:eastAsia="Candara" w:hAnsi="Candara" w:cs="Candara"/>
          <w:b/>
          <w:bCs/>
          <w:sz w:val="20"/>
          <w:szCs w:val="20"/>
        </w:rPr>
        <w:t xml:space="preserve">Fonte: </w:t>
      </w:r>
      <w:r w:rsidR="00656284" w:rsidRPr="00D77021">
        <w:rPr>
          <w:rFonts w:ascii="Candara" w:eastAsia="Candara" w:hAnsi="Candara" w:cs="Candara"/>
          <w:sz w:val="20"/>
          <w:szCs w:val="20"/>
        </w:rPr>
        <w:t xml:space="preserve">Elaboração própria com dados da CONFAZ. </w:t>
      </w:r>
      <w:r w:rsidR="000F0D24" w:rsidRPr="00D77021">
        <w:rPr>
          <w:rFonts w:ascii="Candara" w:eastAsia="Candara" w:hAnsi="Candara" w:cs="Candara"/>
          <w:b/>
          <w:bCs/>
          <w:sz w:val="20"/>
          <w:szCs w:val="20"/>
        </w:rPr>
        <w:t>Nota:</w:t>
      </w:r>
      <w:r w:rsidR="000F0D24" w:rsidRPr="00D77021">
        <w:rPr>
          <w:rFonts w:ascii="Candara" w:eastAsia="Candara" w:hAnsi="Candara" w:cs="Candara"/>
          <w:sz w:val="20"/>
          <w:szCs w:val="20"/>
        </w:rPr>
        <w:t xml:space="preserve"> Dados a preços constantes de 2022, a partir do deflator implícito do PIB.</w:t>
      </w:r>
    </w:p>
    <w:p w14:paraId="27DF5DB7" w14:textId="2235D5EA" w:rsidR="0008420F" w:rsidRPr="00D77021" w:rsidRDefault="1893D5E5" w:rsidP="35FF8953">
      <w:pPr>
        <w:pStyle w:val="SemEspaamento"/>
        <w:spacing w:after="120" w:line="360" w:lineRule="auto"/>
        <w:ind w:firstLine="708"/>
        <w:jc w:val="both"/>
        <w:rPr>
          <w:rFonts w:ascii="Candara" w:eastAsia="Candara" w:hAnsi="Candara" w:cs="Candara"/>
          <w:sz w:val="24"/>
          <w:szCs w:val="24"/>
        </w:rPr>
      </w:pPr>
      <w:r w:rsidRPr="00D77021">
        <w:rPr>
          <w:rFonts w:ascii="Candara" w:eastAsia="Candara" w:hAnsi="Candara" w:cs="Candara"/>
          <w:sz w:val="24"/>
          <w:szCs w:val="24"/>
        </w:rPr>
        <w:t xml:space="preserve">Macedo (2023), ao fazer uma reflexão quanto à situação do comércio interno e internacional nordestino, reforça que historicamente a região enfrentou déficits no </w:t>
      </w:r>
      <w:r w:rsidRPr="00D77021">
        <w:rPr>
          <w:rFonts w:ascii="Candara" w:eastAsia="Candara" w:hAnsi="Candara" w:cs="Candara"/>
          <w:sz w:val="24"/>
          <w:szCs w:val="24"/>
        </w:rPr>
        <w:lastRenderedPageBreak/>
        <w:t>comércio interno e superávits comerciais na balança internacional, ao analisar o período de 1975 a 2021</w:t>
      </w:r>
      <w:r w:rsidR="6121CB96" w:rsidRPr="00D77021">
        <w:rPr>
          <w:rStyle w:val="Refdenotaderodap"/>
          <w:rFonts w:ascii="Candara" w:eastAsia="Candara" w:hAnsi="Candara" w:cs="Candara"/>
          <w:sz w:val="24"/>
          <w:szCs w:val="24"/>
        </w:rPr>
        <w:footnoteReference w:id="9"/>
      </w:r>
      <w:r w:rsidR="613FE68F" w:rsidRPr="00D77021">
        <w:rPr>
          <w:rFonts w:ascii="Candara" w:eastAsia="Candara" w:hAnsi="Candara" w:cs="Candara"/>
          <w:sz w:val="24"/>
          <w:szCs w:val="24"/>
        </w:rPr>
        <w:t>.</w:t>
      </w:r>
      <w:r w:rsidR="40541D39" w:rsidRPr="00D77021">
        <w:rPr>
          <w:rFonts w:ascii="Candara" w:eastAsia="Candara" w:hAnsi="Candara" w:cs="Candara"/>
          <w:sz w:val="24"/>
          <w:szCs w:val="24"/>
        </w:rPr>
        <w:t xml:space="preserve"> </w:t>
      </w:r>
      <w:r w:rsidR="613FE68F" w:rsidRPr="00D77021">
        <w:rPr>
          <w:rFonts w:ascii="Candara" w:eastAsia="Candara" w:hAnsi="Candara" w:cs="Candara"/>
          <w:sz w:val="24"/>
          <w:szCs w:val="24"/>
        </w:rPr>
        <w:t>Até 1995, o Nordeste apresentou superávits com o comércio internacional “[...]</w:t>
      </w:r>
      <w:r w:rsidRPr="00D77021">
        <w:rPr>
          <w:rFonts w:ascii="Candara" w:eastAsia="Candara" w:hAnsi="Candara" w:cs="Candara"/>
          <w:sz w:val="24"/>
          <w:szCs w:val="24"/>
        </w:rPr>
        <w:t xml:space="preserve"> os quais amorteciam os déficits que a região historicamente apresenta no comércio interestadual, em especial com o estado de São Paulo” (Macedo, 2023, p. 147). </w:t>
      </w:r>
      <w:r w:rsidR="6B93BB6B" w:rsidRPr="00D77021">
        <w:rPr>
          <w:rFonts w:ascii="Candara" w:eastAsia="Candara" w:hAnsi="Candara" w:cs="Candara"/>
          <w:sz w:val="24"/>
          <w:szCs w:val="24"/>
        </w:rPr>
        <w:t xml:space="preserve">Ainda de acordo com o autor, de 2000 a 2022, a balança comercial internacional foi deficitária em grande parte dos anos, excetuando </w:t>
      </w:r>
      <w:r w:rsidR="4E47BA47" w:rsidRPr="00D77021">
        <w:rPr>
          <w:rFonts w:ascii="Candara" w:eastAsia="Candara" w:hAnsi="Candara" w:cs="Candara"/>
          <w:sz w:val="24"/>
          <w:szCs w:val="24"/>
        </w:rPr>
        <w:t xml:space="preserve">os </w:t>
      </w:r>
      <w:r w:rsidR="41A88816" w:rsidRPr="00D77021">
        <w:rPr>
          <w:rFonts w:ascii="Candara" w:eastAsia="Candara" w:hAnsi="Candara" w:cs="Candara"/>
          <w:sz w:val="24"/>
          <w:szCs w:val="24"/>
        </w:rPr>
        <w:t xml:space="preserve">anos </w:t>
      </w:r>
      <w:r w:rsidR="783444B4" w:rsidRPr="00D77021">
        <w:rPr>
          <w:rFonts w:ascii="Candara" w:eastAsia="Candara" w:hAnsi="Candara" w:cs="Candara"/>
          <w:sz w:val="24"/>
          <w:szCs w:val="24"/>
        </w:rPr>
        <w:t xml:space="preserve">de </w:t>
      </w:r>
      <w:r w:rsidR="41A88816" w:rsidRPr="00D77021">
        <w:rPr>
          <w:rFonts w:ascii="Candara" w:eastAsia="Candara" w:hAnsi="Candara" w:cs="Candara"/>
          <w:sz w:val="24"/>
          <w:szCs w:val="24"/>
        </w:rPr>
        <w:t>2001</w:t>
      </w:r>
      <w:r w:rsidR="6B93BB6B" w:rsidRPr="00D77021">
        <w:rPr>
          <w:rFonts w:ascii="Candara" w:eastAsia="Candara" w:hAnsi="Candara" w:cs="Candara"/>
          <w:sz w:val="24"/>
          <w:szCs w:val="24"/>
        </w:rPr>
        <w:t xml:space="preserve"> a 2006; 2009; 2020 e 2022</w:t>
      </w:r>
      <w:r w:rsidR="6121CB96" w:rsidRPr="00D77021">
        <w:rPr>
          <w:rStyle w:val="Refdenotaderodap"/>
          <w:rFonts w:ascii="Candara" w:eastAsia="Candara" w:hAnsi="Candara" w:cs="Candara"/>
          <w:sz w:val="24"/>
          <w:szCs w:val="24"/>
        </w:rPr>
        <w:footnoteReference w:id="10"/>
      </w:r>
      <w:r w:rsidR="02393A04" w:rsidRPr="00D77021">
        <w:rPr>
          <w:rFonts w:ascii="Candara" w:eastAsia="Candara" w:hAnsi="Candara" w:cs="Candara"/>
          <w:sz w:val="24"/>
          <w:szCs w:val="24"/>
        </w:rPr>
        <w:t>.</w:t>
      </w:r>
    </w:p>
    <w:p w14:paraId="288E2237" w14:textId="024B2B9E" w:rsidR="0008420F" w:rsidRPr="00D77021" w:rsidRDefault="35FF8953" w:rsidP="35FF8953">
      <w:pPr>
        <w:pStyle w:val="SemEspaamento"/>
        <w:spacing w:after="120" w:line="360" w:lineRule="auto"/>
        <w:ind w:firstLine="708"/>
        <w:jc w:val="both"/>
        <w:rPr>
          <w:rFonts w:ascii="Candara" w:eastAsia="Candara" w:hAnsi="Candara" w:cs="Candara"/>
          <w:sz w:val="24"/>
          <w:szCs w:val="24"/>
        </w:rPr>
      </w:pPr>
      <w:r w:rsidRPr="00D77021">
        <w:rPr>
          <w:rFonts w:ascii="Candara" w:eastAsia="Candara" w:hAnsi="Candara" w:cs="Candara"/>
          <w:sz w:val="24"/>
          <w:szCs w:val="24"/>
        </w:rPr>
        <w:t>Com o fim dessa característica que possibilitava a redução do déficit de comércio interno da região em relação as demais unidades federativas nas relações inter-regionais e interestaduais, o Nordeste passa a operar em déficits em ambos os cenários. No período mais recente, entre 2017 e 2022, a situação não foi diferente quanto aos saldos negativos. Quando observado o comércio internacional da região Nordeste, somente em 2020 foi registrado superávit.</w:t>
      </w:r>
    </w:p>
    <w:p w14:paraId="089A7DFE" w14:textId="1028A709" w:rsidR="00656284"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Conforme o Gráfico 4, é possível destacar que a Bahia, Maranhão e Piauí têm contribuído com saldos positivos na balança externa no período recente; e, ao contrário do que ocorreu no saldo interestadual, Pernambuco foi o que mais contribuiu com o déficit nordestino no comércio internacional. Essa característica ocorre devido à preferência do estado Pernambuco em importar mais produtos provenientes do mercado externo e comprar menos no comércio interno (interestadual e inter-regional).</w:t>
      </w:r>
    </w:p>
    <w:p w14:paraId="29E02A47" w14:textId="6EC18BBE" w:rsidR="00656284" w:rsidRPr="00D77021" w:rsidRDefault="35FF8953" w:rsidP="35FF8953">
      <w:pPr>
        <w:spacing w:after="0" w:line="240" w:lineRule="auto"/>
        <w:jc w:val="both"/>
        <w:rPr>
          <w:rFonts w:ascii="Candara" w:eastAsia="Candara" w:hAnsi="Candara" w:cs="Candara"/>
          <w:sz w:val="24"/>
          <w:szCs w:val="24"/>
        </w:rPr>
      </w:pPr>
      <w:r w:rsidRPr="00D77021">
        <w:rPr>
          <w:rFonts w:ascii="Candara" w:eastAsia="Candara" w:hAnsi="Candara" w:cs="Candara"/>
          <w:b/>
          <w:bCs/>
          <w:sz w:val="24"/>
          <w:szCs w:val="24"/>
        </w:rPr>
        <w:lastRenderedPageBreak/>
        <w:t xml:space="preserve">Gráfico 4 – </w:t>
      </w:r>
      <w:r w:rsidRPr="00D77021">
        <w:rPr>
          <w:rFonts w:ascii="Candara" w:eastAsia="Candara" w:hAnsi="Candara" w:cs="Candara"/>
          <w:sz w:val="24"/>
          <w:szCs w:val="24"/>
        </w:rPr>
        <w:t>Saldo do comércio internacional dos estados nordestinos, de 2017 a 2022 (em bilhões de dólares)</w:t>
      </w:r>
    </w:p>
    <w:p w14:paraId="05A959FA" w14:textId="77777777" w:rsidR="00656284" w:rsidRPr="00D77021" w:rsidRDefault="00656284" w:rsidP="35FF8953">
      <w:pPr>
        <w:spacing w:after="120" w:line="240" w:lineRule="auto"/>
        <w:jc w:val="both"/>
        <w:rPr>
          <w:rFonts w:ascii="Candara" w:eastAsia="Candara" w:hAnsi="Candara" w:cs="Candara"/>
          <w:sz w:val="24"/>
          <w:szCs w:val="24"/>
        </w:rPr>
      </w:pPr>
      <w:r w:rsidRPr="00D77021">
        <w:rPr>
          <w:rFonts w:ascii="Candara" w:eastAsia="Candara" w:hAnsi="Candara" w:cs="Candara"/>
          <w:b/>
          <w:bCs/>
          <w:noProof/>
          <w:sz w:val="24"/>
          <w:szCs w:val="24"/>
        </w:rPr>
        <w:drawing>
          <wp:inline distT="0" distB="0" distL="0" distR="0" wp14:anchorId="6A1DCEB1" wp14:editId="35C2EF18">
            <wp:extent cx="5400000" cy="2880000"/>
            <wp:effectExtent l="0" t="0" r="10795" b="15875"/>
            <wp:docPr id="763325104" name="Gráfico 1">
              <a:extLst xmlns:a="http://schemas.openxmlformats.org/drawingml/2006/main">
                <a:ext uri="{FF2B5EF4-FFF2-40B4-BE49-F238E27FC236}">
                  <a16:creationId xmlns:a16="http://schemas.microsoft.com/office/drawing/2014/main" id="{87DBC224-8F90-852F-AE74-6B5E11A4CD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D77021">
        <w:rPr>
          <w:rFonts w:ascii="Candara" w:eastAsia="Candara" w:hAnsi="Candara" w:cs="Candara"/>
          <w:b/>
          <w:bCs/>
          <w:sz w:val="20"/>
          <w:szCs w:val="20"/>
        </w:rPr>
        <w:t>Fonte:</w:t>
      </w:r>
      <w:r w:rsidRPr="00D77021">
        <w:rPr>
          <w:rFonts w:ascii="Candara" w:eastAsia="Candara" w:hAnsi="Candara" w:cs="Candara"/>
          <w:sz w:val="20"/>
          <w:szCs w:val="20"/>
        </w:rPr>
        <w:t xml:space="preserve"> Elaboração própria com dados da </w:t>
      </w:r>
      <w:proofErr w:type="spellStart"/>
      <w:r w:rsidRPr="00D77021">
        <w:rPr>
          <w:rFonts w:ascii="Candara" w:eastAsia="Candara" w:hAnsi="Candara" w:cs="Candara"/>
          <w:sz w:val="20"/>
          <w:szCs w:val="20"/>
        </w:rPr>
        <w:t>ComexStat</w:t>
      </w:r>
      <w:proofErr w:type="spellEnd"/>
      <w:r w:rsidRPr="00D77021">
        <w:rPr>
          <w:rFonts w:ascii="Candara" w:eastAsia="Candara" w:hAnsi="Candara" w:cs="Candara"/>
          <w:sz w:val="20"/>
          <w:szCs w:val="20"/>
        </w:rPr>
        <w:t>/MDIC.</w:t>
      </w:r>
    </w:p>
    <w:p w14:paraId="7DE5D6CE" w14:textId="125B30F5" w:rsidR="36894A8F"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Por toda a década de 2010, a região Nordeste registrou uma sequência de déficits comerciais na pauta externa. Com exceção do ano de 2020, com um leve suspiro, mas que passa a ser retomar o cenário de incertezas e instabilidades devido à crise sanitária global da pandemia. Em 2020, a economia nordestina obteve um superavit em torno de US$ 615 milhões.</w:t>
      </w:r>
    </w:p>
    <w:p w14:paraId="20708EFC" w14:textId="1EE562CB" w:rsidR="36894A8F" w:rsidRPr="00D77021" w:rsidRDefault="49EF98BE"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Entre as unidades federativas nordestinas há uma heterogeneidade</w:t>
      </w:r>
      <w:r w:rsidR="00E95340" w:rsidRPr="00D77021">
        <w:rPr>
          <w:rStyle w:val="Refdenotaderodap"/>
          <w:rFonts w:ascii="Candara" w:eastAsia="Candara" w:hAnsi="Candara" w:cs="Candara"/>
          <w:sz w:val="24"/>
          <w:szCs w:val="24"/>
        </w:rPr>
        <w:footnoteReference w:id="11"/>
      </w:r>
      <w:r w:rsidRPr="00D77021">
        <w:rPr>
          <w:rFonts w:ascii="Candara" w:eastAsia="Candara" w:hAnsi="Candara" w:cs="Candara"/>
          <w:sz w:val="24"/>
          <w:szCs w:val="24"/>
        </w:rPr>
        <w:t xml:space="preserve"> também no grau de participação no comércio internacional, assim</w:t>
      </w:r>
      <w:r w:rsidR="00446638" w:rsidRPr="00D77021">
        <w:rPr>
          <w:rFonts w:ascii="Candara" w:eastAsia="Candara" w:hAnsi="Candara" w:cs="Candara"/>
          <w:sz w:val="24"/>
          <w:szCs w:val="24"/>
        </w:rPr>
        <w:t xml:space="preserve"> como ocorre no </w:t>
      </w:r>
      <w:r w:rsidR="00446638" w:rsidRPr="00D77021">
        <w:rPr>
          <w:rFonts w:ascii="Candara" w:eastAsia="Candara" w:hAnsi="Candara" w:cs="Candara"/>
          <w:sz w:val="24"/>
          <w:szCs w:val="24"/>
        </w:rPr>
        <w:lastRenderedPageBreak/>
        <w:t>comércio interestadual. Logo,</w:t>
      </w:r>
      <w:r w:rsidR="00BD2CBC" w:rsidRPr="00D77021">
        <w:rPr>
          <w:rFonts w:ascii="Candara" w:eastAsia="Candara" w:hAnsi="Candara" w:cs="Candara"/>
          <w:sz w:val="24"/>
          <w:szCs w:val="24"/>
        </w:rPr>
        <w:t xml:space="preserve"> no comércio externo</w:t>
      </w:r>
      <w:r w:rsidRPr="00D77021">
        <w:rPr>
          <w:rFonts w:ascii="Candara" w:eastAsia="Candara" w:hAnsi="Candara" w:cs="Candara"/>
          <w:sz w:val="24"/>
          <w:szCs w:val="24"/>
        </w:rPr>
        <w:t xml:space="preserve"> as economias da Bahia e do Maranhão representam juntas, </w:t>
      </w:r>
      <w:r w:rsidR="787BD999" w:rsidRPr="00D77021">
        <w:rPr>
          <w:rFonts w:ascii="Candara" w:eastAsia="Candara" w:hAnsi="Candara" w:cs="Candara"/>
          <w:sz w:val="24"/>
          <w:szCs w:val="24"/>
        </w:rPr>
        <w:t>desde 2017</w:t>
      </w:r>
      <w:r w:rsidR="36556B91" w:rsidRPr="00D77021">
        <w:rPr>
          <w:rFonts w:ascii="Candara" w:eastAsia="Candara" w:hAnsi="Candara" w:cs="Candara"/>
          <w:sz w:val="24"/>
          <w:szCs w:val="24"/>
        </w:rPr>
        <w:t>,</w:t>
      </w:r>
      <w:r w:rsidR="787BD999" w:rsidRPr="00D77021">
        <w:rPr>
          <w:rFonts w:ascii="Candara" w:eastAsia="Candara" w:hAnsi="Candara" w:cs="Candara"/>
          <w:sz w:val="24"/>
          <w:szCs w:val="24"/>
        </w:rPr>
        <w:t xml:space="preserve"> </w:t>
      </w:r>
      <w:r w:rsidRPr="00D77021">
        <w:rPr>
          <w:rFonts w:ascii="Candara" w:eastAsia="Candara" w:hAnsi="Candara" w:cs="Candara"/>
          <w:sz w:val="24"/>
          <w:szCs w:val="24"/>
        </w:rPr>
        <w:t xml:space="preserve">em média 68,61% das exportações da região. Quando adicionadas as participações das economias do Ceará e Pernambuco nas exportações, tem-se ainda mais disparidades, sendo em média 90,56%. Quanto às importações, </w:t>
      </w:r>
      <w:r w:rsidR="4A00BE99" w:rsidRPr="00D77021">
        <w:rPr>
          <w:rFonts w:ascii="Candara" w:eastAsia="Candara" w:hAnsi="Candara" w:cs="Candara"/>
          <w:sz w:val="24"/>
          <w:szCs w:val="24"/>
        </w:rPr>
        <w:t>os níveis</w:t>
      </w:r>
      <w:r w:rsidRPr="00D77021">
        <w:rPr>
          <w:rFonts w:ascii="Candara" w:eastAsia="Candara" w:hAnsi="Candara" w:cs="Candara"/>
          <w:sz w:val="24"/>
          <w:szCs w:val="24"/>
        </w:rPr>
        <w:t xml:space="preserve"> de concentração não são distintos, </w:t>
      </w:r>
      <w:r w:rsidR="7C0482A1" w:rsidRPr="00D77021">
        <w:rPr>
          <w:rFonts w:ascii="Candara" w:eastAsia="Candara" w:hAnsi="Candara" w:cs="Candara"/>
          <w:sz w:val="24"/>
          <w:szCs w:val="24"/>
        </w:rPr>
        <w:t xml:space="preserve">liderados </w:t>
      </w:r>
      <w:r w:rsidRPr="00D77021">
        <w:rPr>
          <w:rFonts w:ascii="Candara" w:eastAsia="Candara" w:hAnsi="Candara" w:cs="Candara"/>
          <w:sz w:val="24"/>
          <w:szCs w:val="24"/>
        </w:rPr>
        <w:t xml:space="preserve">pela Bahia e Pernambuco, os </w:t>
      </w:r>
      <w:r w:rsidR="458648FB" w:rsidRPr="00D77021">
        <w:rPr>
          <w:rFonts w:ascii="Candara" w:eastAsia="Candara" w:hAnsi="Candara" w:cs="Candara"/>
          <w:sz w:val="24"/>
          <w:szCs w:val="24"/>
        </w:rPr>
        <w:t>quais</w:t>
      </w:r>
      <w:r w:rsidRPr="00D77021">
        <w:rPr>
          <w:rFonts w:ascii="Candara" w:eastAsia="Candara" w:hAnsi="Candara" w:cs="Candara"/>
          <w:sz w:val="24"/>
          <w:szCs w:val="24"/>
        </w:rPr>
        <w:t xml:space="preserve"> juntos são em média de 60,70%.  Quando acrescentado as importações dos estados do Maranhão e Ceará, os quatro são em média 90,85%</w:t>
      </w:r>
      <w:r w:rsidR="36894A8F" w:rsidRPr="00D77021">
        <w:rPr>
          <w:rStyle w:val="Refdenotaderodap"/>
          <w:rFonts w:ascii="Candara" w:eastAsia="Candara" w:hAnsi="Candara" w:cs="Candara"/>
          <w:sz w:val="24"/>
          <w:szCs w:val="24"/>
        </w:rPr>
        <w:footnoteReference w:id="12"/>
      </w:r>
      <w:r w:rsidR="7EF6D10B" w:rsidRPr="00D77021">
        <w:rPr>
          <w:rFonts w:ascii="Candara" w:eastAsia="Candara" w:hAnsi="Candara" w:cs="Candara"/>
          <w:sz w:val="24"/>
          <w:szCs w:val="24"/>
        </w:rPr>
        <w:t>.</w:t>
      </w:r>
    </w:p>
    <w:p w14:paraId="0E414752" w14:textId="08B0F19B" w:rsidR="00460923"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Mas esse perfil de discrepâncias nas participações das transações comerciais entre as unidades federativas é uma característica da região, assim como a sua heterogeneidade. Embora os outros estados nordestinos tenham aumentado seu grau de participação nos últimos anos na pauta de comercio externo, ainda é altamente concentrada em poucos deles, assim como ocorre no cenário de comercio interestadual.</w:t>
      </w:r>
    </w:p>
    <w:p w14:paraId="59D1FF1E" w14:textId="12F17887" w:rsidR="20AF2EE4" w:rsidRPr="00D77021" w:rsidRDefault="20AF2EE4" w:rsidP="35FF8953">
      <w:pPr>
        <w:spacing w:after="120" w:line="360" w:lineRule="auto"/>
        <w:jc w:val="both"/>
        <w:rPr>
          <w:rFonts w:ascii="Candara" w:eastAsia="Candara" w:hAnsi="Candara" w:cs="Candara"/>
          <w:sz w:val="24"/>
          <w:szCs w:val="24"/>
        </w:rPr>
      </w:pPr>
    </w:p>
    <w:p w14:paraId="3C940A57" w14:textId="54D4D47B" w:rsidR="00402E34"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8"/>
          <w:szCs w:val="28"/>
        </w:rPr>
        <w:t>5 Considerações finais</w:t>
      </w:r>
    </w:p>
    <w:p w14:paraId="41737E17" w14:textId="72EE1799" w:rsidR="00402E34"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 xml:space="preserve">O texto buscou salientar a importância do comércio interno (relações de comércio inter-regional, intrarregional ou interestadual) para o desenvolvimento </w:t>
      </w:r>
      <w:r w:rsidRPr="00D77021">
        <w:rPr>
          <w:rFonts w:ascii="Candara" w:eastAsia="Candara" w:hAnsi="Candara" w:cs="Candara"/>
          <w:sz w:val="24"/>
          <w:szCs w:val="24"/>
        </w:rPr>
        <w:lastRenderedPageBreak/>
        <w:t>econômico, sobretudo em um período crítico sanitário global, pela pandemia da covid-19.</w:t>
      </w:r>
    </w:p>
    <w:p w14:paraId="3DDA44C1" w14:textId="7F1B0974" w:rsidR="00402E34"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Analisando os dados para o período definido, entre 2017 e 2020, houve um aumento significativo do déficit comercial inter-regional, excetuando a macrorregião Norte, em que o Nordeste foi superavitário em quase todos os anos (excetuando 2018 e 2020). As relações inter-regionais foram mais intensas com as macrorregiões Sudeste e Sul, sobretudo a primeira. A pandemia trouxe maior intensidade nos déficits, elevando-os vertiginosamente. Esse cenário pode ser explicado pelo alto volume de compras vis-à-vis as vendas com outras macrorregiões.</w:t>
      </w:r>
    </w:p>
    <w:p w14:paraId="6AD46986" w14:textId="5086880C" w:rsidR="00402E34"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Analisando os déficits em proporção do PIB, os percentuais são elevados. Entre 2017 e 2021, há um aumento no déficit em relação ao PIB de aproximadamente 10%, sendo que metade desse crescimento foi entre 2020 e 2021. Isso nos mostra o impacto dos déficits comerciais ao longo de 2017 a 2022, principalmente os impactos da pandemia na economia nordestina. Ademais, o PIB nordestino no período em média sofreu queda (-0,13%) ao passo que as exportações e importações inter-regionais em média cresceram (18,17% e 17,97%, respectivamente), puxados pelos efeitos da pandemia. Frente a essas estatísticas, cabe salientar a possibilidade que ainda estão em fase de construção, possam estar subestimados ou superestimados.</w:t>
      </w:r>
    </w:p>
    <w:p w14:paraId="74E1EADB" w14:textId="47F63A45" w:rsidR="00402E34"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Quanto ao comércio intrarregional nordestino, três estados se destacaram nas entradas e saídas: Bahia, Ceará e Pernambuco, os principais centros econômicos da macrorregião. Apenas Bahia e Pernambuco registraram superávit no período, sendo que o segundo foi mais beneficiado economicamente (Gráficos 3a e 3b).</w:t>
      </w:r>
    </w:p>
    <w:p w14:paraId="75C3D3DA" w14:textId="302A4709" w:rsidR="00402E34" w:rsidRPr="00D77021" w:rsidRDefault="20AF2EE4"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lastRenderedPageBreak/>
        <w:t>Por fim, o comportamento das relações comerciais internacionais, Bahia, Maranhão e Piauí contribuíram com superávits para a balança externa no período recente, o que pode ser explicado pelo avanço da fronteira agrícola no recorte territorial conhecido como MATOPIBA</w:t>
      </w:r>
      <w:r w:rsidR="6C941616" w:rsidRPr="00D77021">
        <w:rPr>
          <w:rStyle w:val="Refdenotaderodap"/>
          <w:rFonts w:ascii="Candara" w:eastAsia="Candara" w:hAnsi="Candara" w:cs="Candara"/>
          <w:sz w:val="24"/>
          <w:szCs w:val="24"/>
        </w:rPr>
        <w:footnoteReference w:id="13"/>
      </w:r>
      <w:r w:rsidRPr="00D77021">
        <w:rPr>
          <w:rFonts w:ascii="Candara" w:eastAsia="Candara" w:hAnsi="Candara" w:cs="Candara"/>
          <w:sz w:val="24"/>
          <w:szCs w:val="24"/>
        </w:rPr>
        <w:t>. Pernambuco foi quem mais contribui para os déficits comerciais por transacionar mais com o mercado externo do que com o mercado doméstico.</w:t>
      </w:r>
    </w:p>
    <w:p w14:paraId="1807360E" w14:textId="636397CA" w:rsidR="00402E34"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 xml:space="preserve">O contexto destaca a heterogeneidade de participação das unidades federativas nas transações comerciais internacionais, concentrada em poucos estados, reflexo da estrutura historicamente desenvolvida pelo passado colonial. </w:t>
      </w:r>
    </w:p>
    <w:p w14:paraId="7AA5267E" w14:textId="1E7A5D1E" w:rsidR="00402E34"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O cenário microeconômico e estrutural apresentado no período não apresenta elementos suficientes para explicar a piora aguda no pós-pandemia. Uma hipótese poderia estar relacionada ao maior nível de exposição da economia nordestina aos impactos da pandemia, reduzindo a capacidade competitividade de determinados setores comparativamente as demais regiões.</w:t>
      </w:r>
    </w:p>
    <w:p w14:paraId="57C7DCE1" w14:textId="47CBA288" w:rsidR="00402E34" w:rsidRPr="00D77021" w:rsidRDefault="35FF8953" w:rsidP="35FF8953">
      <w:pPr>
        <w:spacing w:after="120" w:line="360" w:lineRule="auto"/>
        <w:ind w:firstLine="851"/>
        <w:jc w:val="both"/>
        <w:rPr>
          <w:rFonts w:ascii="Candara" w:eastAsia="Candara" w:hAnsi="Candara" w:cs="Candara"/>
          <w:sz w:val="24"/>
          <w:szCs w:val="24"/>
        </w:rPr>
      </w:pPr>
      <w:r w:rsidRPr="00D77021">
        <w:rPr>
          <w:rFonts w:ascii="Candara" w:eastAsia="Candara" w:hAnsi="Candara" w:cs="Candara"/>
          <w:sz w:val="24"/>
          <w:szCs w:val="24"/>
        </w:rPr>
        <w:t xml:space="preserve">Portanto, a intensificação dos déficits comerciais observados a partir de 2020 sugere que o choque econômico gerado pela pandemia teve um impacto duradouro na capacidade competitiva da região. Embora o aumento do comércio inter-regional possa indicar uma maior complementaridade entre as regiões, a dependência do Nordeste em relação às compras de outras macrorregiões continua a ser um fator crítico que impede um desenvolvimento econômico mais equilibrado e sustentável. No entanto, o estudo também aponta para algumas oportunidades emergentes, como o potencial de diversificação produtiva e o fortalecimento de setores </w:t>
      </w:r>
      <w:r w:rsidRPr="00D77021">
        <w:rPr>
          <w:rFonts w:ascii="Candara" w:eastAsia="Candara" w:hAnsi="Candara" w:cs="Candara"/>
          <w:sz w:val="24"/>
          <w:szCs w:val="24"/>
        </w:rPr>
        <w:lastRenderedPageBreak/>
        <w:t>específicos que poderiam, no futuro, reduzir a dependência externa da região. Para que o Nordeste possa reverter a tendência de déficits comerciais e avançar em direção a um desenvolvimento mais equilibrado e sustentável, será crucial a implementação de políticas públicas que incentivem a inovação, o investimento em infraestrutura e o apoio a setores estratégicos com potencial de crescimento.</w:t>
      </w:r>
    </w:p>
    <w:p w14:paraId="17F78B7B" w14:textId="5DD62098" w:rsidR="00402E34" w:rsidRPr="00D77021" w:rsidRDefault="00402E34" w:rsidP="35FF8953">
      <w:pPr>
        <w:spacing w:after="120" w:line="360" w:lineRule="auto"/>
        <w:jc w:val="both"/>
        <w:rPr>
          <w:rFonts w:ascii="Candara" w:eastAsia="Candara" w:hAnsi="Candara" w:cs="Candara"/>
          <w:sz w:val="24"/>
          <w:szCs w:val="24"/>
        </w:rPr>
      </w:pPr>
    </w:p>
    <w:p w14:paraId="36FFB06F" w14:textId="6591310E" w:rsidR="00584CAF" w:rsidRPr="00D77021" w:rsidRDefault="35FF8953" w:rsidP="35FF8953">
      <w:pPr>
        <w:ind w:firstLine="851"/>
        <w:jc w:val="both"/>
        <w:rPr>
          <w:rFonts w:ascii="Candara" w:eastAsia="Candara" w:hAnsi="Candara" w:cs="Candara"/>
          <w:b/>
          <w:bCs/>
          <w:sz w:val="28"/>
          <w:szCs w:val="28"/>
        </w:rPr>
      </w:pPr>
      <w:r w:rsidRPr="00D77021">
        <w:rPr>
          <w:rFonts w:ascii="Candara" w:eastAsia="Candara" w:hAnsi="Candara" w:cs="Candara"/>
          <w:b/>
          <w:bCs/>
          <w:sz w:val="28"/>
          <w:szCs w:val="28"/>
        </w:rPr>
        <w:t>Referências</w:t>
      </w:r>
    </w:p>
    <w:p w14:paraId="47BEDAE6" w14:textId="7D7811D6" w:rsidR="002E271C" w:rsidRPr="00D77021" w:rsidRDefault="35FF8953" w:rsidP="35FF8953">
      <w:pPr>
        <w:pStyle w:val="SemEspaamento"/>
        <w:spacing w:after="120"/>
        <w:jc w:val="both"/>
        <w:rPr>
          <w:rFonts w:ascii="Candara" w:eastAsia="Candara" w:hAnsi="Candara" w:cs="Candara"/>
          <w:sz w:val="24"/>
          <w:szCs w:val="24"/>
        </w:rPr>
      </w:pPr>
      <w:r w:rsidRPr="00D77021">
        <w:rPr>
          <w:rFonts w:ascii="Candara" w:eastAsia="Candara" w:hAnsi="Candara" w:cs="Candara"/>
          <w:sz w:val="24"/>
          <w:szCs w:val="24"/>
        </w:rPr>
        <w:t xml:space="preserve">AMARAL FILHO, J. O Nordeste que dá certo. </w:t>
      </w:r>
      <w:r w:rsidRPr="00D77021">
        <w:rPr>
          <w:rFonts w:ascii="Candara" w:eastAsia="Candara" w:hAnsi="Candara" w:cs="Candara"/>
          <w:i/>
          <w:iCs/>
          <w:sz w:val="24"/>
          <w:szCs w:val="24"/>
        </w:rPr>
        <w:t>Cadernos do Desenvolvimento</w:t>
      </w:r>
      <w:r w:rsidRPr="00D77021">
        <w:rPr>
          <w:rFonts w:ascii="Candara" w:eastAsia="Candara" w:hAnsi="Candara" w:cs="Candara"/>
          <w:sz w:val="24"/>
          <w:szCs w:val="24"/>
        </w:rPr>
        <w:t>, v. 5, n. 7, p. 55-83, 2010.</w:t>
      </w:r>
    </w:p>
    <w:p w14:paraId="7EFFA555" w14:textId="1EB603DC" w:rsidR="20AF2EE4" w:rsidRPr="00D77021" w:rsidRDefault="35FF8953" w:rsidP="35FF8953">
      <w:pPr>
        <w:pStyle w:val="SemEspaamento"/>
        <w:spacing w:after="120"/>
        <w:jc w:val="both"/>
        <w:rPr>
          <w:rFonts w:ascii="Candara" w:eastAsia="Candara" w:hAnsi="Candara" w:cs="Candara"/>
          <w:sz w:val="24"/>
          <w:szCs w:val="24"/>
        </w:rPr>
      </w:pPr>
      <w:r w:rsidRPr="00D77021">
        <w:rPr>
          <w:rFonts w:ascii="Candara" w:eastAsia="Candara" w:hAnsi="Candara" w:cs="Candara"/>
          <w:sz w:val="24"/>
          <w:szCs w:val="24"/>
        </w:rPr>
        <w:t xml:space="preserve">ALMEIDA, F. M.; SILVA, O. M. Comércio e integração dos estados brasileiros. </w:t>
      </w:r>
      <w:r w:rsidRPr="00D77021">
        <w:rPr>
          <w:rFonts w:ascii="Candara" w:eastAsia="Candara" w:hAnsi="Candara" w:cs="Candara"/>
          <w:i/>
          <w:iCs/>
          <w:sz w:val="24"/>
          <w:szCs w:val="24"/>
        </w:rPr>
        <w:t>Revista de Economia e Agronegócio</w:t>
      </w:r>
      <w:r w:rsidRPr="00D77021">
        <w:rPr>
          <w:rFonts w:ascii="Candara" w:eastAsia="Candara" w:hAnsi="Candara" w:cs="Candara"/>
          <w:sz w:val="24"/>
          <w:szCs w:val="24"/>
        </w:rPr>
        <w:t>, v. 5, n. 4, p. 487-499. 2007.</w:t>
      </w:r>
    </w:p>
    <w:p w14:paraId="0514B383" w14:textId="13E7A452" w:rsidR="35FF8953" w:rsidRPr="00D77021" w:rsidRDefault="35FF8953" w:rsidP="35FF8953">
      <w:pPr>
        <w:pStyle w:val="SemEspaamento"/>
        <w:spacing w:after="120"/>
        <w:jc w:val="both"/>
        <w:rPr>
          <w:rFonts w:ascii="Candara" w:eastAsia="Candara" w:hAnsi="Candara" w:cs="Candara"/>
          <w:sz w:val="24"/>
          <w:szCs w:val="24"/>
        </w:rPr>
      </w:pPr>
      <w:r w:rsidRPr="00D77021">
        <w:rPr>
          <w:rFonts w:ascii="Candara" w:eastAsia="Candara" w:hAnsi="Candara" w:cs="Candara"/>
          <w:sz w:val="24"/>
          <w:szCs w:val="24"/>
        </w:rPr>
        <w:t xml:space="preserve">ARAÚJO, T. B. </w:t>
      </w:r>
      <w:r w:rsidRPr="00D77021">
        <w:rPr>
          <w:rFonts w:ascii="Candara" w:eastAsia="Candara" w:hAnsi="Candara" w:cs="Candara"/>
          <w:i/>
          <w:iCs/>
          <w:sz w:val="24"/>
          <w:szCs w:val="24"/>
        </w:rPr>
        <w:t xml:space="preserve">Ensaios sobre o desenvolvimento brasileiro: </w:t>
      </w:r>
      <w:r w:rsidRPr="00D77021">
        <w:rPr>
          <w:rFonts w:ascii="Candara" w:eastAsia="Candara" w:hAnsi="Candara" w:cs="Candara"/>
          <w:sz w:val="24"/>
          <w:szCs w:val="24"/>
        </w:rPr>
        <w:t>heranças e urgências. Rio de Janeiro: Editora Revan, 2000.</w:t>
      </w:r>
    </w:p>
    <w:p w14:paraId="37378803" w14:textId="765E9DBD" w:rsidR="00A51C63" w:rsidRPr="00D77021" w:rsidRDefault="35FF8953" w:rsidP="35FF8953">
      <w:pPr>
        <w:pStyle w:val="SemEspaamento"/>
        <w:spacing w:after="120"/>
        <w:jc w:val="both"/>
        <w:rPr>
          <w:rFonts w:ascii="Candara" w:eastAsia="Candara" w:hAnsi="Candara" w:cs="Candara"/>
          <w:sz w:val="24"/>
          <w:szCs w:val="24"/>
        </w:rPr>
      </w:pPr>
      <w:r w:rsidRPr="00D77021">
        <w:rPr>
          <w:rFonts w:ascii="Candara" w:eastAsia="Candara" w:hAnsi="Candara" w:cs="Candara"/>
          <w:sz w:val="24"/>
          <w:szCs w:val="24"/>
        </w:rPr>
        <w:t xml:space="preserve">______. Nordeste, Nordeste: que </w:t>
      </w:r>
      <w:proofErr w:type="gramStart"/>
      <w:r w:rsidRPr="00D77021">
        <w:rPr>
          <w:rFonts w:ascii="Candara" w:eastAsia="Candara" w:hAnsi="Candara" w:cs="Candara"/>
          <w:sz w:val="24"/>
          <w:szCs w:val="24"/>
        </w:rPr>
        <w:t>Nordeste?.</w:t>
      </w:r>
      <w:proofErr w:type="gramEnd"/>
      <w:r w:rsidRPr="00D77021">
        <w:rPr>
          <w:rFonts w:ascii="Candara" w:eastAsia="Candara" w:hAnsi="Candara" w:cs="Candara"/>
          <w:sz w:val="24"/>
          <w:szCs w:val="24"/>
        </w:rPr>
        <w:t xml:space="preserve"> IN: AFFONSO, R. B. A.; SILVA, P. B. (ORG). </w:t>
      </w:r>
      <w:r w:rsidRPr="00D77021">
        <w:rPr>
          <w:rFonts w:ascii="Candara" w:eastAsia="Candara" w:hAnsi="Candara" w:cs="Candara"/>
          <w:i/>
          <w:iCs/>
          <w:sz w:val="24"/>
          <w:szCs w:val="24"/>
        </w:rPr>
        <w:t>A Federação em Perspectiva</w:t>
      </w:r>
      <w:r w:rsidRPr="00D77021">
        <w:rPr>
          <w:rFonts w:ascii="Candara" w:eastAsia="Candara" w:hAnsi="Candara" w:cs="Candara"/>
          <w:sz w:val="24"/>
          <w:szCs w:val="24"/>
        </w:rPr>
        <w:t>, São Paulo, SP: FUNDAP, 1995, p. 125-194.</w:t>
      </w:r>
    </w:p>
    <w:p w14:paraId="1603EA69" w14:textId="262D3CBE" w:rsidR="20AF2EE4" w:rsidRPr="00D77021" w:rsidRDefault="35FF8953" w:rsidP="35FF8953">
      <w:pPr>
        <w:pStyle w:val="SemEspaamento"/>
        <w:spacing w:after="120"/>
        <w:jc w:val="both"/>
        <w:rPr>
          <w:rFonts w:ascii="Candara" w:eastAsia="Candara" w:hAnsi="Candara" w:cs="Candara"/>
          <w:sz w:val="24"/>
          <w:szCs w:val="24"/>
        </w:rPr>
      </w:pPr>
      <w:r w:rsidRPr="00D77021">
        <w:rPr>
          <w:rFonts w:ascii="Candara" w:eastAsia="Candara" w:hAnsi="Candara" w:cs="Candara"/>
          <w:sz w:val="24"/>
          <w:szCs w:val="24"/>
        </w:rPr>
        <w:t xml:space="preserve">BEZERRA, F. J. A.; BERNARDO, T. R. R.; XIMENES, L. F.; VALENTE JUNIOR, A. S. </w:t>
      </w:r>
      <w:r w:rsidRPr="00D77021">
        <w:rPr>
          <w:rFonts w:ascii="Candara" w:eastAsia="Candara" w:hAnsi="Candara" w:cs="Candara"/>
          <w:i/>
          <w:iCs/>
          <w:sz w:val="24"/>
          <w:szCs w:val="24"/>
        </w:rPr>
        <w:t>Série Perfil Socioeconômico dos Estados</w:t>
      </w:r>
      <w:r w:rsidRPr="00D77021">
        <w:rPr>
          <w:rFonts w:ascii="Candara" w:eastAsia="Candara" w:hAnsi="Candara" w:cs="Candara"/>
          <w:sz w:val="24"/>
          <w:szCs w:val="24"/>
        </w:rPr>
        <w:t xml:space="preserve">. Fortaleza: Banco do Nordeste do Brasil, 2015. </w:t>
      </w:r>
    </w:p>
    <w:p w14:paraId="30356063" w14:textId="2FFB2C93" w:rsidR="00FA11F2" w:rsidRPr="00D77021" w:rsidRDefault="35FF8953" w:rsidP="35FF8953">
      <w:pPr>
        <w:pStyle w:val="SemEspaamento"/>
        <w:spacing w:after="120"/>
        <w:jc w:val="both"/>
        <w:rPr>
          <w:rFonts w:ascii="Candara" w:eastAsia="Candara" w:hAnsi="Candara" w:cs="Candara"/>
          <w:sz w:val="24"/>
          <w:szCs w:val="24"/>
        </w:rPr>
      </w:pPr>
      <w:r w:rsidRPr="00D77021">
        <w:rPr>
          <w:rFonts w:ascii="Candara" w:eastAsia="Candara" w:hAnsi="Candara" w:cs="Candara"/>
          <w:sz w:val="24"/>
          <w:szCs w:val="24"/>
        </w:rPr>
        <w:t xml:space="preserve">BRANDÃO, A. C. </w:t>
      </w:r>
      <w:r w:rsidRPr="00D77021">
        <w:rPr>
          <w:rFonts w:ascii="Candara" w:eastAsia="Candara" w:hAnsi="Candara" w:cs="Candara"/>
          <w:i/>
          <w:iCs/>
          <w:sz w:val="24"/>
          <w:szCs w:val="24"/>
        </w:rPr>
        <w:t>Território e desenvolvimento:</w:t>
      </w:r>
      <w:r w:rsidRPr="00D77021">
        <w:rPr>
          <w:rFonts w:ascii="Candara" w:eastAsia="Candara" w:hAnsi="Candara" w:cs="Candara"/>
          <w:sz w:val="24"/>
          <w:szCs w:val="24"/>
        </w:rPr>
        <w:t xml:space="preserve"> As Múltiplas escalas entre o local e o global. Editora da Unicamp, 2012.</w:t>
      </w:r>
    </w:p>
    <w:p w14:paraId="29A31BF5" w14:textId="77A0E33F" w:rsidR="20AF2EE4" w:rsidRPr="00D77021" w:rsidRDefault="35FF8953" w:rsidP="35FF8953">
      <w:pPr>
        <w:pStyle w:val="SemEspaamento"/>
        <w:spacing w:after="120"/>
        <w:jc w:val="both"/>
        <w:rPr>
          <w:rFonts w:ascii="Candara" w:eastAsia="Candara" w:hAnsi="Candara" w:cs="Candara"/>
          <w:sz w:val="24"/>
          <w:szCs w:val="24"/>
        </w:rPr>
      </w:pPr>
      <w:r w:rsidRPr="00D77021">
        <w:rPr>
          <w:rFonts w:ascii="Candara" w:eastAsia="Candara" w:hAnsi="Candara" w:cs="Candara"/>
          <w:sz w:val="24"/>
          <w:szCs w:val="24"/>
        </w:rPr>
        <w:t xml:space="preserve">CASTRO, N. de; CARRIS, L.; RODRIGUES, B. Custos de transporte e a estrutura espacial do comércio interestadual brasileiro. </w:t>
      </w:r>
      <w:r w:rsidRPr="00D77021">
        <w:rPr>
          <w:rFonts w:ascii="Candara" w:eastAsia="Candara" w:hAnsi="Candara" w:cs="Candara"/>
          <w:i/>
          <w:iCs/>
          <w:sz w:val="24"/>
          <w:szCs w:val="24"/>
        </w:rPr>
        <w:t>Revista Pesquisa Planejamento Econômico</w:t>
      </w:r>
      <w:r w:rsidRPr="00D77021">
        <w:rPr>
          <w:rFonts w:ascii="Candara" w:eastAsia="Candara" w:hAnsi="Candara" w:cs="Candara"/>
          <w:sz w:val="24"/>
          <w:szCs w:val="24"/>
        </w:rPr>
        <w:t>, v. 29, n. 3, p. 347-400, 1999.</w:t>
      </w:r>
    </w:p>
    <w:p w14:paraId="283A51FF" w14:textId="0589420E" w:rsidR="20AF2EE4" w:rsidRPr="00D77021" w:rsidRDefault="35FF8953" w:rsidP="35FF8953">
      <w:pPr>
        <w:pStyle w:val="SemEspaamento"/>
        <w:spacing w:after="120"/>
        <w:jc w:val="both"/>
        <w:rPr>
          <w:rFonts w:ascii="Candara" w:eastAsia="Candara" w:hAnsi="Candara" w:cs="Candara"/>
          <w:sz w:val="24"/>
          <w:szCs w:val="24"/>
        </w:rPr>
      </w:pPr>
      <w:r w:rsidRPr="00D77021">
        <w:rPr>
          <w:rFonts w:ascii="Candara" w:eastAsia="Candara" w:hAnsi="Candara" w:cs="Candara"/>
          <w:sz w:val="24"/>
          <w:szCs w:val="24"/>
        </w:rPr>
        <w:t xml:space="preserve">COMEX STAT/MDIC. </w:t>
      </w:r>
      <w:r w:rsidRPr="00D77021">
        <w:rPr>
          <w:rFonts w:ascii="Candara" w:eastAsia="Candara" w:hAnsi="Candara" w:cs="Candara"/>
          <w:i/>
          <w:iCs/>
          <w:sz w:val="24"/>
          <w:szCs w:val="24"/>
        </w:rPr>
        <w:t>Dados gerais</w:t>
      </w:r>
      <w:r w:rsidRPr="00D77021">
        <w:rPr>
          <w:rFonts w:ascii="Candara" w:eastAsia="Candara" w:hAnsi="Candara" w:cs="Candara"/>
          <w:sz w:val="24"/>
          <w:szCs w:val="24"/>
        </w:rPr>
        <w:t xml:space="preserve">. Disponível em: </w:t>
      </w:r>
      <w:hyperlink r:id="rId14">
        <w:r w:rsidRPr="00D77021">
          <w:rPr>
            <w:rStyle w:val="Hyperlink"/>
            <w:rFonts w:ascii="Candara" w:eastAsia="Candara" w:hAnsi="Candara" w:cs="Candara"/>
            <w:color w:val="auto"/>
            <w:sz w:val="24"/>
            <w:szCs w:val="24"/>
          </w:rPr>
          <w:t>https://comexstat.mdic.gov.br/pt/home</w:t>
        </w:r>
      </w:hyperlink>
      <w:r w:rsidRPr="00D77021">
        <w:rPr>
          <w:rFonts w:ascii="Candara" w:eastAsia="Candara" w:hAnsi="Candara" w:cs="Candara"/>
          <w:sz w:val="24"/>
          <w:szCs w:val="24"/>
        </w:rPr>
        <w:t>. Acesso em: 15 abr. 2024.</w:t>
      </w:r>
    </w:p>
    <w:p w14:paraId="634317E9" w14:textId="7F646E5E" w:rsidR="20AF2EE4" w:rsidRPr="00D77021" w:rsidRDefault="35FF8953" w:rsidP="35FF8953">
      <w:pPr>
        <w:pStyle w:val="SemEspaamento"/>
        <w:spacing w:after="120"/>
        <w:jc w:val="both"/>
        <w:rPr>
          <w:rFonts w:ascii="Candara" w:eastAsia="Candara" w:hAnsi="Candara" w:cs="Candara"/>
          <w:sz w:val="24"/>
          <w:szCs w:val="24"/>
        </w:rPr>
      </w:pPr>
      <w:r w:rsidRPr="00D77021">
        <w:rPr>
          <w:rFonts w:ascii="Candara" w:eastAsia="Candara" w:hAnsi="Candara" w:cs="Candara"/>
          <w:sz w:val="24"/>
          <w:szCs w:val="24"/>
        </w:rPr>
        <w:t xml:space="preserve">CONFAZ – Conselho Nacional de Política Fazendária. </w:t>
      </w:r>
      <w:r w:rsidRPr="00D77021">
        <w:rPr>
          <w:rFonts w:ascii="Candara" w:eastAsia="Candara" w:hAnsi="Candara" w:cs="Candara"/>
          <w:i/>
          <w:iCs/>
          <w:sz w:val="24"/>
          <w:szCs w:val="24"/>
        </w:rPr>
        <w:t>Balança comercial interestadual</w:t>
      </w:r>
      <w:r w:rsidRPr="00D77021">
        <w:rPr>
          <w:rFonts w:ascii="Candara" w:eastAsia="Candara" w:hAnsi="Candara" w:cs="Candara"/>
          <w:sz w:val="24"/>
          <w:szCs w:val="24"/>
        </w:rPr>
        <w:t xml:space="preserve">. Brasília: Ministério da Economia. Disponível em: </w:t>
      </w:r>
      <w:hyperlink r:id="rId15">
        <w:r w:rsidRPr="00D77021">
          <w:rPr>
            <w:rStyle w:val="Hyperlink"/>
            <w:rFonts w:ascii="Candara" w:eastAsia="Candara" w:hAnsi="Candara" w:cs="Candara"/>
            <w:color w:val="auto"/>
            <w:sz w:val="24"/>
            <w:szCs w:val="24"/>
            <w:u w:val="none"/>
          </w:rPr>
          <w:t>https://www.confaz.fazenda.gov.br/boletim-de-arrecadacao-dos-tributos-estaduais</w:t>
        </w:r>
      </w:hyperlink>
      <w:r w:rsidRPr="00D77021">
        <w:rPr>
          <w:rFonts w:ascii="Candara" w:eastAsia="Candara" w:hAnsi="Candara" w:cs="Candara"/>
          <w:sz w:val="24"/>
          <w:szCs w:val="24"/>
        </w:rPr>
        <w:t>. Acesso em: 15 abr. 2024.</w:t>
      </w:r>
    </w:p>
    <w:p w14:paraId="5212B58D" w14:textId="5CCF8490" w:rsidR="20AF2EE4" w:rsidRPr="00D77021" w:rsidRDefault="35FF8953" w:rsidP="35FF8953">
      <w:pPr>
        <w:pStyle w:val="SemEspaamento"/>
        <w:spacing w:after="120"/>
        <w:jc w:val="both"/>
        <w:rPr>
          <w:rFonts w:ascii="Candara" w:eastAsia="Candara" w:hAnsi="Candara" w:cs="Candara"/>
          <w:sz w:val="24"/>
          <w:szCs w:val="24"/>
        </w:rPr>
      </w:pPr>
      <w:r w:rsidRPr="00D77021">
        <w:rPr>
          <w:rFonts w:ascii="Candara" w:eastAsia="Candara" w:hAnsi="Candara" w:cs="Candara"/>
          <w:sz w:val="24"/>
          <w:szCs w:val="24"/>
        </w:rPr>
        <w:lastRenderedPageBreak/>
        <w:t xml:space="preserve">DINIZ, C. C. A dinâmica regional recente da economia brasileira e suas perspectivas. </w:t>
      </w:r>
      <w:r w:rsidRPr="00D77021">
        <w:rPr>
          <w:rFonts w:ascii="Candara" w:eastAsia="Candara" w:hAnsi="Candara" w:cs="Candara"/>
          <w:i/>
          <w:iCs/>
          <w:sz w:val="24"/>
          <w:szCs w:val="24"/>
        </w:rPr>
        <w:t>Texto para discussão nº 375</w:t>
      </w:r>
      <w:r w:rsidRPr="00D77021">
        <w:rPr>
          <w:rFonts w:ascii="Candara" w:eastAsia="Candara" w:hAnsi="Candara" w:cs="Candara"/>
          <w:sz w:val="24"/>
          <w:szCs w:val="24"/>
        </w:rPr>
        <w:t>. Brasília: IPEA, 1995.</w:t>
      </w:r>
    </w:p>
    <w:p w14:paraId="17E0169D" w14:textId="7A3041F5" w:rsidR="00D84A51" w:rsidRPr="00D77021" w:rsidRDefault="35FF8953" w:rsidP="35FF8953">
      <w:pPr>
        <w:pStyle w:val="SemEspaamento"/>
        <w:spacing w:after="120"/>
        <w:jc w:val="both"/>
        <w:rPr>
          <w:rFonts w:ascii="Candara" w:eastAsia="Candara" w:hAnsi="Candara" w:cs="Candara"/>
          <w:sz w:val="24"/>
          <w:szCs w:val="24"/>
        </w:rPr>
      </w:pPr>
      <w:r w:rsidRPr="00D77021">
        <w:rPr>
          <w:rFonts w:ascii="Candara" w:eastAsia="Candara" w:hAnsi="Candara" w:cs="Candara"/>
          <w:sz w:val="24"/>
          <w:szCs w:val="24"/>
        </w:rPr>
        <w:t xml:space="preserve">FERNANDES, C. C. Crescimento, Desigualdades Regionais e Causação Cumulativa em Modelos Baseados no </w:t>
      </w:r>
      <w:proofErr w:type="spellStart"/>
      <w:r w:rsidRPr="00D77021">
        <w:rPr>
          <w:rFonts w:ascii="Candara" w:eastAsia="Candara" w:hAnsi="Candara" w:cs="Candara"/>
          <w:sz w:val="24"/>
          <w:szCs w:val="24"/>
        </w:rPr>
        <w:t>Supermultiplicador</w:t>
      </w:r>
      <w:proofErr w:type="spellEnd"/>
      <w:r w:rsidRPr="00D77021">
        <w:rPr>
          <w:rFonts w:ascii="Candara" w:eastAsia="Candara" w:hAnsi="Candara" w:cs="Candara"/>
          <w:sz w:val="24"/>
          <w:szCs w:val="24"/>
        </w:rPr>
        <w:t xml:space="preserve">. </w:t>
      </w:r>
      <w:r w:rsidRPr="00D77021">
        <w:rPr>
          <w:rFonts w:ascii="Candara" w:eastAsia="Candara" w:hAnsi="Candara" w:cs="Candara"/>
          <w:i/>
          <w:iCs/>
          <w:sz w:val="24"/>
          <w:szCs w:val="24"/>
        </w:rPr>
        <w:t>Revista de Economia Regional, Urbana e do Trabalho</w:t>
      </w:r>
      <w:r w:rsidRPr="00D77021">
        <w:rPr>
          <w:rFonts w:ascii="Candara" w:eastAsia="Candara" w:hAnsi="Candara" w:cs="Candara"/>
          <w:sz w:val="24"/>
          <w:szCs w:val="24"/>
        </w:rPr>
        <w:t xml:space="preserve">, v. 11, n. 1, p.  29-62, 2022. </w:t>
      </w:r>
    </w:p>
    <w:p w14:paraId="281F4A47" w14:textId="76C1B47C" w:rsidR="20AF2EE4" w:rsidRPr="00D77021" w:rsidRDefault="35FF8953" w:rsidP="35FF8953">
      <w:pPr>
        <w:pStyle w:val="SemEspaamento"/>
        <w:spacing w:after="120"/>
        <w:jc w:val="both"/>
        <w:rPr>
          <w:rFonts w:ascii="Candara" w:eastAsia="Candara" w:hAnsi="Candara" w:cs="Candara"/>
          <w:sz w:val="24"/>
          <w:szCs w:val="24"/>
        </w:rPr>
      </w:pPr>
      <w:r w:rsidRPr="00D77021">
        <w:rPr>
          <w:rFonts w:ascii="Candara" w:eastAsia="Candara" w:hAnsi="Candara" w:cs="Candara"/>
          <w:sz w:val="24"/>
          <w:szCs w:val="24"/>
        </w:rPr>
        <w:t xml:space="preserve">GALVÃO, O. J. de A. Comércio inter-regional no Brasil: Do fim do arquipélago a uma integração assimétrica – 1943-2006. </w:t>
      </w:r>
      <w:r w:rsidRPr="00D77021">
        <w:rPr>
          <w:rFonts w:ascii="Candara" w:eastAsia="Candara" w:hAnsi="Candara" w:cs="Candara"/>
          <w:i/>
          <w:iCs/>
          <w:sz w:val="24"/>
          <w:szCs w:val="24"/>
        </w:rPr>
        <w:t>Revista Política e Planejamento Regional</w:t>
      </w:r>
      <w:r w:rsidRPr="00D77021">
        <w:rPr>
          <w:rFonts w:ascii="Candara" w:eastAsia="Candara" w:hAnsi="Candara" w:cs="Candara"/>
          <w:sz w:val="24"/>
          <w:szCs w:val="24"/>
        </w:rPr>
        <w:t>, v. 8, n. 2, p. 297-319, 2021.</w:t>
      </w:r>
    </w:p>
    <w:p w14:paraId="0CE9E0FF" w14:textId="59F1577E" w:rsidR="20AF2EE4" w:rsidRPr="00D77021" w:rsidRDefault="35FF8953" w:rsidP="35FF8953">
      <w:pPr>
        <w:pStyle w:val="SemEspaamento"/>
        <w:spacing w:after="120"/>
        <w:jc w:val="both"/>
        <w:rPr>
          <w:rFonts w:ascii="Candara" w:eastAsia="Candara" w:hAnsi="Candara" w:cs="Candara"/>
          <w:sz w:val="24"/>
          <w:szCs w:val="24"/>
        </w:rPr>
      </w:pPr>
      <w:r w:rsidRPr="00D77021">
        <w:rPr>
          <w:rFonts w:ascii="Candara" w:eastAsia="Candara" w:hAnsi="Candara" w:cs="Candara"/>
          <w:sz w:val="24"/>
          <w:szCs w:val="24"/>
        </w:rPr>
        <w:t xml:space="preserve">______. Inserção comercial da economia do Nordeste no exterior e no Brasil e proposição de políticas. </w:t>
      </w:r>
      <w:r w:rsidRPr="00D77021">
        <w:rPr>
          <w:rFonts w:ascii="Candara" w:eastAsia="Candara" w:hAnsi="Candara" w:cs="Candara"/>
          <w:i/>
          <w:iCs/>
          <w:sz w:val="24"/>
          <w:szCs w:val="24"/>
        </w:rPr>
        <w:t>Análise temática dos estudos prospectivos sobre o desenvolvimento do Nordeste para o BNB</w:t>
      </w:r>
      <w:r w:rsidRPr="00D77021">
        <w:rPr>
          <w:rFonts w:ascii="Candara" w:eastAsia="Candara" w:hAnsi="Candara" w:cs="Candara"/>
          <w:sz w:val="24"/>
          <w:szCs w:val="24"/>
        </w:rPr>
        <w:t>, p. 6-103, 2014.</w:t>
      </w:r>
    </w:p>
    <w:p w14:paraId="4A64E239" w14:textId="0ED2B6CD" w:rsidR="35FF8953" w:rsidRPr="00D77021" w:rsidRDefault="35FF8953" w:rsidP="35FF8953">
      <w:pPr>
        <w:pStyle w:val="SemEspaamento"/>
        <w:spacing w:after="120"/>
        <w:jc w:val="both"/>
        <w:rPr>
          <w:rFonts w:ascii="Candara" w:eastAsia="Candara" w:hAnsi="Candara" w:cs="Candara"/>
          <w:sz w:val="24"/>
          <w:szCs w:val="24"/>
        </w:rPr>
      </w:pPr>
      <w:r w:rsidRPr="00D77021">
        <w:rPr>
          <w:rFonts w:ascii="Candara" w:eastAsia="Candara" w:hAnsi="Candara" w:cs="Candara"/>
          <w:sz w:val="24"/>
          <w:szCs w:val="24"/>
        </w:rPr>
        <w:t xml:space="preserve">______. 45 anos de comércio exterior no Nordeste do Brasil: 1960-2004. </w:t>
      </w:r>
      <w:r w:rsidRPr="00D77021">
        <w:rPr>
          <w:rFonts w:ascii="Candara" w:eastAsia="Candara" w:hAnsi="Candara" w:cs="Candara"/>
          <w:i/>
          <w:iCs/>
          <w:sz w:val="24"/>
          <w:szCs w:val="24"/>
        </w:rPr>
        <w:t>Revista Econômica do Nordeste</w:t>
      </w:r>
      <w:r w:rsidRPr="00D77021">
        <w:rPr>
          <w:rFonts w:ascii="Candara" w:eastAsia="Candara" w:hAnsi="Candara" w:cs="Candara"/>
          <w:sz w:val="24"/>
          <w:szCs w:val="24"/>
        </w:rPr>
        <w:t xml:space="preserve">, v. 38, n. 1, p. 1-31, 2007.  </w:t>
      </w:r>
    </w:p>
    <w:p w14:paraId="73E840E6" w14:textId="31060D93" w:rsidR="20AF2EE4" w:rsidRPr="00D77021" w:rsidRDefault="35FF8953" w:rsidP="35FF8953">
      <w:pPr>
        <w:pStyle w:val="SemEspaamento"/>
        <w:spacing w:after="120"/>
        <w:jc w:val="both"/>
        <w:rPr>
          <w:rFonts w:ascii="Candara" w:eastAsia="Candara" w:hAnsi="Candara" w:cs="Candara"/>
          <w:sz w:val="24"/>
          <w:szCs w:val="24"/>
        </w:rPr>
      </w:pPr>
      <w:r w:rsidRPr="00D77021">
        <w:rPr>
          <w:rFonts w:ascii="Candara" w:eastAsia="Candara" w:hAnsi="Candara" w:cs="Candara"/>
          <w:sz w:val="24"/>
          <w:szCs w:val="24"/>
        </w:rPr>
        <w:t xml:space="preserve">______. Comércio Interestadual por Vias Internas e Integração Regional no Brasil, 1943- 1969. </w:t>
      </w:r>
      <w:r w:rsidRPr="00D77021">
        <w:rPr>
          <w:rFonts w:ascii="Candara" w:eastAsia="Candara" w:hAnsi="Candara" w:cs="Candara"/>
          <w:i/>
          <w:iCs/>
          <w:sz w:val="24"/>
          <w:szCs w:val="24"/>
        </w:rPr>
        <w:t>Revista Brasileira de Economia</w:t>
      </w:r>
      <w:r w:rsidRPr="00D77021">
        <w:rPr>
          <w:rFonts w:ascii="Candara" w:eastAsia="Candara" w:hAnsi="Candara" w:cs="Candara"/>
          <w:sz w:val="24"/>
          <w:szCs w:val="24"/>
        </w:rPr>
        <w:t>, v. 53, n. 4, p. 523-558, 1999.</w:t>
      </w:r>
    </w:p>
    <w:p w14:paraId="16684841" w14:textId="46F5BDC8" w:rsidR="20AF2EE4" w:rsidRPr="00D77021" w:rsidRDefault="35FF8953" w:rsidP="35FF8953">
      <w:pPr>
        <w:pStyle w:val="SemEspaamento"/>
        <w:spacing w:after="120"/>
        <w:jc w:val="both"/>
        <w:rPr>
          <w:rFonts w:ascii="Candara" w:eastAsia="Candara" w:hAnsi="Candara" w:cs="Candara"/>
          <w:sz w:val="24"/>
          <w:szCs w:val="24"/>
        </w:rPr>
      </w:pPr>
      <w:r w:rsidRPr="00D77021">
        <w:rPr>
          <w:rFonts w:ascii="Candara" w:eastAsia="Candara" w:hAnsi="Candara" w:cs="Candara"/>
          <w:sz w:val="24"/>
          <w:szCs w:val="24"/>
        </w:rPr>
        <w:t xml:space="preserve">HIDALGO, A. B.; VERGOLINO, J. R. O Nordeste e o comércio inter-regional e internacional: um teste dos impactos por meio do modelo gravitacional. </w:t>
      </w:r>
      <w:r w:rsidRPr="00D77021">
        <w:rPr>
          <w:rFonts w:ascii="Candara" w:eastAsia="Candara" w:hAnsi="Candara" w:cs="Candara"/>
          <w:i/>
          <w:iCs/>
          <w:sz w:val="24"/>
          <w:szCs w:val="24"/>
        </w:rPr>
        <w:t>Economia Aplicada</w:t>
      </w:r>
      <w:r w:rsidRPr="00D77021">
        <w:rPr>
          <w:rFonts w:ascii="Candara" w:eastAsia="Candara" w:hAnsi="Candara" w:cs="Candara"/>
          <w:sz w:val="24"/>
          <w:szCs w:val="24"/>
        </w:rPr>
        <w:t>, v. 2, n. 4, p. 707-725, 1998.</w:t>
      </w:r>
    </w:p>
    <w:p w14:paraId="5ED232FA" w14:textId="2B870DCD" w:rsidR="20AF2EE4" w:rsidRPr="00D77021" w:rsidRDefault="35FF8953" w:rsidP="35FF8953">
      <w:pPr>
        <w:pStyle w:val="SemEspaamento"/>
        <w:spacing w:after="120"/>
        <w:jc w:val="both"/>
        <w:rPr>
          <w:rFonts w:ascii="Candara" w:eastAsia="Candara" w:hAnsi="Candara" w:cs="Candara"/>
          <w:sz w:val="24"/>
          <w:szCs w:val="24"/>
        </w:rPr>
      </w:pPr>
      <w:r w:rsidRPr="00D77021">
        <w:rPr>
          <w:rFonts w:ascii="Candara" w:eastAsia="Candara" w:hAnsi="Candara" w:cs="Candara"/>
          <w:sz w:val="24"/>
          <w:szCs w:val="24"/>
        </w:rPr>
        <w:t xml:space="preserve">MACEDO, F. C. de. </w:t>
      </w:r>
      <w:r w:rsidRPr="00D77021">
        <w:rPr>
          <w:rFonts w:ascii="Candara" w:eastAsia="Candara" w:hAnsi="Candara" w:cs="Candara"/>
          <w:i/>
          <w:iCs/>
          <w:sz w:val="24"/>
          <w:szCs w:val="24"/>
        </w:rPr>
        <w:t>Desenvolvimento regional no Brasil no século XXI</w:t>
      </w:r>
      <w:r w:rsidRPr="00D77021">
        <w:rPr>
          <w:rFonts w:ascii="Candara" w:eastAsia="Candara" w:hAnsi="Candara" w:cs="Candara"/>
          <w:sz w:val="24"/>
          <w:szCs w:val="24"/>
        </w:rPr>
        <w:t>. Campina Grande, PB: EDUEPB, 2023.</w:t>
      </w:r>
    </w:p>
    <w:p w14:paraId="247439FE" w14:textId="11087D1C" w:rsidR="20AF2EE4" w:rsidRPr="00D77021" w:rsidRDefault="35FF8953" w:rsidP="35FF8953">
      <w:pPr>
        <w:pStyle w:val="SemEspaamento"/>
        <w:spacing w:after="120"/>
        <w:jc w:val="both"/>
        <w:rPr>
          <w:rFonts w:ascii="Candara" w:eastAsia="Candara" w:hAnsi="Candara" w:cs="Candara"/>
          <w:sz w:val="24"/>
          <w:szCs w:val="24"/>
        </w:rPr>
      </w:pPr>
      <w:r w:rsidRPr="00D77021">
        <w:rPr>
          <w:rFonts w:ascii="Candara" w:eastAsia="Candara" w:hAnsi="Candara" w:cs="Candara"/>
          <w:sz w:val="24"/>
          <w:szCs w:val="24"/>
        </w:rPr>
        <w:t xml:space="preserve">MAGALHAES, A. S.; DOMINGUES, E. P. Relações interestaduais e intersetoriais de comércio no Brasil: uma análise gravitacional e regional. </w:t>
      </w:r>
      <w:r w:rsidRPr="00D77021">
        <w:rPr>
          <w:rFonts w:ascii="Candara" w:eastAsia="Candara" w:hAnsi="Candara" w:cs="Candara"/>
          <w:i/>
          <w:iCs/>
          <w:sz w:val="24"/>
          <w:szCs w:val="24"/>
        </w:rPr>
        <w:t>Revista Brasileira de Estudos Regionais e Urbanos</w:t>
      </w:r>
      <w:r w:rsidRPr="00D77021">
        <w:rPr>
          <w:rFonts w:ascii="Candara" w:eastAsia="Candara" w:hAnsi="Candara" w:cs="Candara"/>
          <w:sz w:val="24"/>
          <w:szCs w:val="24"/>
        </w:rPr>
        <w:t>, v. 2, n. 1, p. 76-102, 2008.</w:t>
      </w:r>
    </w:p>
    <w:p w14:paraId="32C067C6" w14:textId="555A692F" w:rsidR="20AF2EE4" w:rsidRPr="00D77021" w:rsidRDefault="35FF8953" w:rsidP="35FF8953">
      <w:pPr>
        <w:pStyle w:val="SemEspaamento"/>
        <w:spacing w:after="120"/>
        <w:jc w:val="both"/>
        <w:rPr>
          <w:rFonts w:ascii="Candara" w:eastAsia="Candara" w:hAnsi="Candara" w:cs="Candara"/>
          <w:sz w:val="24"/>
          <w:szCs w:val="24"/>
        </w:rPr>
      </w:pPr>
      <w:r w:rsidRPr="00D77021">
        <w:rPr>
          <w:rFonts w:ascii="Candara" w:eastAsia="Candara" w:hAnsi="Candara" w:cs="Candara"/>
          <w:sz w:val="24"/>
          <w:szCs w:val="24"/>
        </w:rPr>
        <w:t xml:space="preserve">PEROBELLI, F. S.; HADDAD, E. A.; MOTTA, G. P. </w:t>
      </w:r>
      <w:proofErr w:type="spellStart"/>
      <w:r w:rsidRPr="00D77021">
        <w:rPr>
          <w:rFonts w:ascii="Candara" w:eastAsia="Candara" w:hAnsi="Candara" w:cs="Candara"/>
          <w:sz w:val="24"/>
          <w:szCs w:val="24"/>
        </w:rPr>
        <w:t>da</w:t>
      </w:r>
      <w:proofErr w:type="spellEnd"/>
      <w:r w:rsidRPr="00D77021">
        <w:rPr>
          <w:rFonts w:ascii="Candara" w:eastAsia="Candara" w:hAnsi="Candara" w:cs="Candara"/>
          <w:sz w:val="24"/>
          <w:szCs w:val="24"/>
        </w:rPr>
        <w:t xml:space="preserve">; FARINAZZO, R. A. Estrutura de comércio inter-regional no Brasil: uma análise espacial de insumo produto para o período 1996 e 2002. In: 36° Encontro Nacional de Economia. </w:t>
      </w:r>
      <w:r w:rsidRPr="00D77021">
        <w:rPr>
          <w:rFonts w:ascii="Candara" w:eastAsia="Candara" w:hAnsi="Candara" w:cs="Candara"/>
          <w:i/>
          <w:iCs/>
          <w:sz w:val="24"/>
          <w:szCs w:val="24"/>
        </w:rPr>
        <w:t>Anais...</w:t>
      </w:r>
      <w:r w:rsidRPr="00D77021">
        <w:rPr>
          <w:rFonts w:ascii="Candara" w:eastAsia="Candara" w:hAnsi="Candara" w:cs="Candara"/>
          <w:sz w:val="24"/>
          <w:szCs w:val="24"/>
        </w:rPr>
        <w:t xml:space="preserve"> Salvador/BA: ANPEC, 2008. </w:t>
      </w:r>
    </w:p>
    <w:p w14:paraId="53C54E11" w14:textId="0DC51239" w:rsidR="20AF2EE4" w:rsidRPr="00D77021" w:rsidRDefault="35FF8953" w:rsidP="35FF8953">
      <w:pPr>
        <w:pStyle w:val="SemEspaamento"/>
        <w:spacing w:after="120"/>
        <w:jc w:val="both"/>
        <w:rPr>
          <w:rFonts w:ascii="Candara" w:eastAsia="Candara" w:hAnsi="Candara" w:cs="Candara"/>
          <w:sz w:val="24"/>
          <w:szCs w:val="24"/>
        </w:rPr>
      </w:pPr>
      <w:r w:rsidRPr="00D77021">
        <w:rPr>
          <w:rFonts w:ascii="Candara" w:eastAsia="Candara" w:hAnsi="Candara" w:cs="Candara"/>
          <w:sz w:val="24"/>
          <w:szCs w:val="24"/>
        </w:rPr>
        <w:t xml:space="preserve">OLIVEIRA, L. J. de. </w:t>
      </w:r>
      <w:r w:rsidRPr="00D77021">
        <w:rPr>
          <w:rFonts w:ascii="Candara" w:eastAsia="Candara" w:hAnsi="Candara" w:cs="Candara"/>
          <w:i/>
          <w:iCs/>
          <w:sz w:val="24"/>
          <w:szCs w:val="24"/>
        </w:rPr>
        <w:t>Dinâmica de retroalimentação entre o PIB das Unidades Federativas e a topologia do comércio doméstico brasileiro</w:t>
      </w:r>
      <w:r w:rsidRPr="00D77021">
        <w:rPr>
          <w:rFonts w:ascii="Candara" w:eastAsia="Candara" w:hAnsi="Candara" w:cs="Candara"/>
          <w:sz w:val="24"/>
          <w:szCs w:val="24"/>
        </w:rPr>
        <w:t>. 54 p. Dissertação (Mestrado em Modelagem de Sistemas Complexos) – Escola de Artes, Ciências e Humanidades, Universidade de São Paulo, São Paulo, 2022.</w:t>
      </w:r>
    </w:p>
    <w:p w14:paraId="1B920C19" w14:textId="68898CBF" w:rsidR="20AF2EE4" w:rsidRPr="00D77021" w:rsidRDefault="35FF8953" w:rsidP="35FF8953">
      <w:pPr>
        <w:pStyle w:val="SemEspaamento"/>
        <w:spacing w:after="120"/>
        <w:jc w:val="both"/>
        <w:rPr>
          <w:rFonts w:ascii="Candara" w:eastAsia="Candara" w:hAnsi="Candara" w:cs="Candara"/>
          <w:sz w:val="24"/>
          <w:szCs w:val="24"/>
        </w:rPr>
      </w:pPr>
      <w:r w:rsidRPr="00D77021">
        <w:rPr>
          <w:rFonts w:ascii="Candara" w:eastAsia="Candara" w:hAnsi="Candara" w:cs="Candara"/>
          <w:sz w:val="24"/>
          <w:szCs w:val="24"/>
        </w:rPr>
        <w:lastRenderedPageBreak/>
        <w:t xml:space="preserve">SOUZA, A. F. de. </w:t>
      </w:r>
      <w:r w:rsidRPr="00D77021">
        <w:rPr>
          <w:rFonts w:ascii="Candara" w:eastAsia="Candara" w:hAnsi="Candara" w:cs="Candara"/>
          <w:i/>
          <w:iCs/>
          <w:sz w:val="24"/>
          <w:szCs w:val="24"/>
        </w:rPr>
        <w:t>O comércio internacional da região Nordeste do Brasil</w:t>
      </w:r>
      <w:r w:rsidRPr="00D77021">
        <w:rPr>
          <w:rFonts w:ascii="Candara" w:eastAsia="Candara" w:hAnsi="Candara" w:cs="Candara"/>
          <w:sz w:val="24"/>
          <w:szCs w:val="24"/>
        </w:rPr>
        <w:t>: competitividade e padrão de especialização (2000-2019). 107 p. Dissertação (Mestrado em Desenvolvimento Econômico) – Instituto de Economia, Universidade Estadual de Campinas, Campinas, SP, 2024.</w:t>
      </w:r>
    </w:p>
    <w:p w14:paraId="081EA098" w14:textId="42E547C8" w:rsidR="00F00303" w:rsidRPr="00D77021" w:rsidRDefault="35FF8953" w:rsidP="35FF8953">
      <w:pPr>
        <w:pStyle w:val="SemEspaamento"/>
        <w:spacing w:after="120"/>
        <w:jc w:val="both"/>
        <w:rPr>
          <w:rFonts w:ascii="Candara" w:eastAsia="Candara" w:hAnsi="Candara" w:cs="Candara"/>
          <w:sz w:val="24"/>
          <w:szCs w:val="24"/>
          <w:lang w:val="en-US"/>
        </w:rPr>
      </w:pPr>
      <w:r w:rsidRPr="00D77021">
        <w:rPr>
          <w:rFonts w:ascii="Candara" w:eastAsia="Candara" w:hAnsi="Candara" w:cs="Candara"/>
          <w:sz w:val="24"/>
          <w:szCs w:val="24"/>
          <w:lang w:val="en-US"/>
        </w:rPr>
        <w:t xml:space="preserve">STORPER, M. Separate Worlds? Explaining the current wave of regional economic polarization. </w:t>
      </w:r>
      <w:r w:rsidRPr="00D77021">
        <w:rPr>
          <w:rFonts w:ascii="Candara" w:eastAsia="Candara" w:hAnsi="Candara" w:cs="Candara"/>
          <w:i/>
          <w:iCs/>
          <w:sz w:val="24"/>
          <w:szCs w:val="24"/>
          <w:lang w:val="en-US"/>
        </w:rPr>
        <w:t>Journal Of Economic Geography</w:t>
      </w:r>
      <w:r w:rsidRPr="00D77021">
        <w:rPr>
          <w:rFonts w:ascii="Candara" w:eastAsia="Candara" w:hAnsi="Candara" w:cs="Candara"/>
          <w:sz w:val="24"/>
          <w:szCs w:val="24"/>
          <w:lang w:val="en-US"/>
        </w:rPr>
        <w:t>, [S.L.], v. 18, n. 2, p. 247-270, 2018.</w:t>
      </w:r>
    </w:p>
    <w:p w14:paraId="5707DD0A" w14:textId="3BBC1C26" w:rsidR="35FF8953" w:rsidRPr="00D77021" w:rsidRDefault="35FF8953" w:rsidP="35FF8953">
      <w:pPr>
        <w:pStyle w:val="SemEspaamento"/>
        <w:spacing w:after="120"/>
        <w:jc w:val="both"/>
        <w:rPr>
          <w:rFonts w:ascii="Candara" w:eastAsia="Candara" w:hAnsi="Candara" w:cs="Candara"/>
          <w:sz w:val="24"/>
          <w:szCs w:val="24"/>
        </w:rPr>
      </w:pPr>
      <w:r w:rsidRPr="00D77021">
        <w:rPr>
          <w:rFonts w:ascii="Candara" w:eastAsia="Candara" w:hAnsi="Candara" w:cs="Candara"/>
          <w:sz w:val="24"/>
          <w:szCs w:val="24"/>
          <w:lang w:val="en-US"/>
        </w:rPr>
        <w:t xml:space="preserve">THIRLWALL, A. P. Regional Problems are “Balance-of-Payments” Problems. </w:t>
      </w:r>
      <w:r w:rsidRPr="00D77021">
        <w:rPr>
          <w:rFonts w:ascii="Candara" w:eastAsia="Candara" w:hAnsi="Candara" w:cs="Candara"/>
          <w:i/>
          <w:iCs/>
          <w:sz w:val="24"/>
          <w:szCs w:val="24"/>
        </w:rPr>
        <w:t xml:space="preserve">Regional </w:t>
      </w:r>
      <w:proofErr w:type="spellStart"/>
      <w:r w:rsidRPr="00D77021">
        <w:rPr>
          <w:rFonts w:ascii="Candara" w:eastAsia="Candara" w:hAnsi="Candara" w:cs="Candara"/>
          <w:i/>
          <w:iCs/>
          <w:sz w:val="24"/>
          <w:szCs w:val="24"/>
        </w:rPr>
        <w:t>Studies</w:t>
      </w:r>
      <w:proofErr w:type="spellEnd"/>
      <w:r w:rsidRPr="00D77021">
        <w:rPr>
          <w:rFonts w:ascii="Candara" w:eastAsia="Candara" w:hAnsi="Candara" w:cs="Candara"/>
          <w:sz w:val="24"/>
          <w:szCs w:val="24"/>
        </w:rPr>
        <w:t>, [S.L.], v. 41, n. 1, p. 89-95, 2007.</w:t>
      </w:r>
    </w:p>
    <w:p w14:paraId="0A647E6E" w14:textId="52764523" w:rsidR="20AF2EE4" w:rsidRPr="00D77021" w:rsidRDefault="35FF8953" w:rsidP="35FF8953">
      <w:pPr>
        <w:pStyle w:val="SemEspaamento"/>
        <w:spacing w:after="120"/>
        <w:jc w:val="both"/>
        <w:rPr>
          <w:rFonts w:ascii="Candara" w:eastAsia="Candara" w:hAnsi="Candara" w:cs="Candara"/>
          <w:sz w:val="24"/>
          <w:szCs w:val="24"/>
        </w:rPr>
      </w:pPr>
      <w:r w:rsidRPr="00D77021">
        <w:rPr>
          <w:rFonts w:ascii="Candara" w:eastAsia="Candara" w:hAnsi="Candara" w:cs="Candara"/>
          <w:sz w:val="24"/>
          <w:szCs w:val="24"/>
        </w:rPr>
        <w:t xml:space="preserve">VALENTE JUNIOR, A. S.; ALVES, M. O.; SANTOS, C. R. C. dos. </w:t>
      </w:r>
      <w:r w:rsidRPr="00D77021">
        <w:rPr>
          <w:rFonts w:ascii="Candara" w:eastAsia="Candara" w:hAnsi="Candara" w:cs="Candara"/>
          <w:i/>
          <w:iCs/>
          <w:sz w:val="24"/>
          <w:szCs w:val="24"/>
        </w:rPr>
        <w:t>Banco do Nordeste do Brasil:</w:t>
      </w:r>
      <w:r w:rsidRPr="00D77021">
        <w:rPr>
          <w:rFonts w:ascii="Candara" w:eastAsia="Candara" w:hAnsi="Candara" w:cs="Candara"/>
          <w:sz w:val="24"/>
          <w:szCs w:val="24"/>
        </w:rPr>
        <w:t xml:space="preserve"> 70 anos de contribuição para o desenvolvimento regional. Fortaleza, CE: BNB, 2022.</w:t>
      </w:r>
    </w:p>
    <w:p w14:paraId="5A3BB6B8" w14:textId="28897602" w:rsidR="20AF2EE4" w:rsidRPr="00D77021" w:rsidRDefault="35FF8953" w:rsidP="35FF8953">
      <w:pPr>
        <w:pStyle w:val="SemEspaamento"/>
        <w:spacing w:after="120"/>
        <w:jc w:val="both"/>
        <w:rPr>
          <w:rFonts w:ascii="Candara" w:eastAsia="Candara" w:hAnsi="Candara" w:cs="Candara"/>
          <w:sz w:val="24"/>
          <w:szCs w:val="24"/>
        </w:rPr>
      </w:pPr>
      <w:r w:rsidRPr="00D77021">
        <w:rPr>
          <w:rFonts w:ascii="Candara" w:eastAsia="Candara" w:hAnsi="Candara" w:cs="Candara"/>
          <w:sz w:val="24"/>
          <w:szCs w:val="24"/>
        </w:rPr>
        <w:t xml:space="preserve">VASCONCELOS, J. R.; OLIVEIRA, A. M. Análise da matriz por atividade econômica do comércio interestadual no Brasil – 1999. </w:t>
      </w:r>
      <w:r w:rsidRPr="00D77021">
        <w:rPr>
          <w:rFonts w:ascii="Candara" w:eastAsia="Candara" w:hAnsi="Candara" w:cs="Candara"/>
          <w:i/>
          <w:iCs/>
          <w:sz w:val="24"/>
          <w:szCs w:val="24"/>
        </w:rPr>
        <w:t>Texto para Discussão nº 1159</w:t>
      </w:r>
      <w:r w:rsidRPr="00D77021">
        <w:rPr>
          <w:rFonts w:ascii="Candara" w:eastAsia="Candara" w:hAnsi="Candara" w:cs="Candara"/>
          <w:sz w:val="24"/>
          <w:szCs w:val="24"/>
        </w:rPr>
        <w:t>. Rio de Janeiro: IPEA, 2006.</w:t>
      </w:r>
    </w:p>
    <w:p w14:paraId="13B72D07" w14:textId="21EAEC80" w:rsidR="20AF2EE4" w:rsidRPr="00D77021" w:rsidRDefault="35FF8953" w:rsidP="35FF8953">
      <w:pPr>
        <w:pStyle w:val="SemEspaamento"/>
        <w:spacing w:after="120"/>
        <w:jc w:val="both"/>
        <w:rPr>
          <w:rFonts w:ascii="Candara" w:eastAsia="Candara" w:hAnsi="Candara" w:cs="Candara"/>
          <w:sz w:val="24"/>
          <w:szCs w:val="24"/>
        </w:rPr>
      </w:pPr>
      <w:r w:rsidRPr="00D77021">
        <w:rPr>
          <w:rFonts w:ascii="Candara" w:eastAsia="Candara" w:hAnsi="Candara" w:cs="Candara"/>
          <w:sz w:val="24"/>
          <w:szCs w:val="24"/>
        </w:rPr>
        <w:t xml:space="preserve">VIDAL, A. R. de N.; MARTINS, A. D. de O.; ALMEIDA, M. P. de; SANTOS, R. H. S. Balança comercial inter-regional do Nordeste – 2020. </w:t>
      </w:r>
      <w:r w:rsidRPr="00D77021">
        <w:rPr>
          <w:rFonts w:ascii="Candara" w:eastAsia="Candara" w:hAnsi="Candara" w:cs="Candara"/>
          <w:i/>
          <w:iCs/>
          <w:sz w:val="24"/>
          <w:szCs w:val="24"/>
        </w:rPr>
        <w:t>Informe ETENE,</w:t>
      </w:r>
      <w:r w:rsidRPr="00D77021">
        <w:rPr>
          <w:rFonts w:ascii="Candara" w:eastAsia="Candara" w:hAnsi="Candara" w:cs="Candara"/>
          <w:sz w:val="24"/>
          <w:szCs w:val="24"/>
        </w:rPr>
        <w:t xml:space="preserve"> ano 6, n. 17, 2021.</w:t>
      </w:r>
    </w:p>
    <w:sectPr w:rsidR="20AF2EE4" w:rsidRPr="00D77021">
      <w:headerReference w:type="default" r:id="rId16"/>
      <w:footerReference w:type="default" r:id="rId17"/>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B2850" w14:textId="77777777" w:rsidR="00EC0A52" w:rsidRDefault="00EC0A52" w:rsidP="00421AA8">
      <w:pPr>
        <w:spacing w:after="0" w:line="240" w:lineRule="auto"/>
      </w:pPr>
      <w:r>
        <w:separator/>
      </w:r>
    </w:p>
  </w:endnote>
  <w:endnote w:type="continuationSeparator" w:id="0">
    <w:p w14:paraId="338B5326" w14:textId="77777777" w:rsidR="00EC0A52" w:rsidRDefault="00EC0A52" w:rsidP="00421AA8">
      <w:pPr>
        <w:spacing w:after="0" w:line="240" w:lineRule="auto"/>
      </w:pPr>
      <w:r>
        <w:continuationSeparator/>
      </w:r>
    </w:p>
  </w:endnote>
  <w:endnote w:type="continuationNotice" w:id="1">
    <w:p w14:paraId="73E16D98" w14:textId="77777777" w:rsidR="00EC0A52" w:rsidRDefault="00EC0A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4D750" w14:textId="77777777" w:rsidR="00097B03" w:rsidRDefault="00DC04C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5" behindDoc="0" locked="0" layoutInCell="1" hidden="0" allowOverlap="1" wp14:anchorId="7CFE9743" wp14:editId="4DFDDD9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58249" behindDoc="0" locked="0" layoutInCell="1" hidden="0" allowOverlap="1" wp14:anchorId="1F2B24F4" wp14:editId="55356D78">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58246" behindDoc="0" locked="0" layoutInCell="1" hidden="0" allowOverlap="1" wp14:anchorId="7DB583B5" wp14:editId="378AC545">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58244" behindDoc="0" locked="0" layoutInCell="1" hidden="0" allowOverlap="1" wp14:anchorId="61BEAE1F" wp14:editId="6B2AD518">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6C74E370" w14:textId="77777777" w:rsidR="00097B03" w:rsidRDefault="00DC04C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1" behindDoc="0" locked="0" layoutInCell="1" hidden="0" allowOverlap="1" wp14:anchorId="653DE0E5" wp14:editId="11E98FAE">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5B46358C" w14:textId="77777777" w:rsidR="00097B03" w:rsidRDefault="00097B03">
    <w:pPr>
      <w:pBdr>
        <w:top w:val="nil"/>
        <w:left w:val="nil"/>
        <w:bottom w:val="nil"/>
        <w:right w:val="nil"/>
        <w:between w:val="nil"/>
      </w:pBdr>
      <w:tabs>
        <w:tab w:val="center" w:pos="4252"/>
        <w:tab w:val="right" w:pos="8504"/>
      </w:tabs>
      <w:spacing w:after="0" w:line="240" w:lineRule="auto"/>
      <w:rPr>
        <w:color w:val="000000"/>
      </w:rPr>
    </w:pPr>
  </w:p>
  <w:p w14:paraId="2F81316C" w14:textId="77777777" w:rsidR="00097B03" w:rsidRDefault="00DC04C0">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0A51D5DA" w14:textId="77777777" w:rsidR="00097B03" w:rsidRDefault="00DC04C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7" behindDoc="0" locked="0" layoutInCell="1" hidden="0" allowOverlap="1" wp14:anchorId="4839BB8F" wp14:editId="69DD4360">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58242" behindDoc="0" locked="0" layoutInCell="1" hidden="0" allowOverlap="1" wp14:anchorId="686E9F53" wp14:editId="76E3311B">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58248" behindDoc="0" locked="0" layoutInCell="1" hidden="0" allowOverlap="1" wp14:anchorId="04DFBF9D" wp14:editId="16C6A59B">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hidden="0" allowOverlap="1" wp14:anchorId="5DCBEE4B" wp14:editId="73819BEB">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0085C8F7" w14:textId="77777777" w:rsidR="00097B03" w:rsidRDefault="00DC04C0">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277B6B1F" w14:textId="77777777" w:rsidR="00097B03" w:rsidRDefault="00097B03">
    <w:pPr>
      <w:pBdr>
        <w:top w:val="nil"/>
        <w:left w:val="nil"/>
        <w:bottom w:val="nil"/>
        <w:right w:val="nil"/>
        <w:between w:val="nil"/>
      </w:pBdr>
      <w:tabs>
        <w:tab w:val="center" w:pos="4252"/>
        <w:tab w:val="right" w:pos="8504"/>
      </w:tabs>
      <w:spacing w:after="0" w:line="240" w:lineRule="auto"/>
      <w:rPr>
        <w:color w:val="000000"/>
      </w:rPr>
    </w:pPr>
  </w:p>
  <w:p w14:paraId="44C9515D" w14:textId="77777777" w:rsidR="00097B03" w:rsidRDefault="00097B03">
    <w:pPr>
      <w:pBdr>
        <w:top w:val="nil"/>
        <w:left w:val="nil"/>
        <w:bottom w:val="nil"/>
        <w:right w:val="nil"/>
        <w:between w:val="nil"/>
      </w:pBdr>
      <w:tabs>
        <w:tab w:val="center" w:pos="4252"/>
        <w:tab w:val="right" w:pos="8504"/>
      </w:tabs>
      <w:spacing w:after="0" w:line="240" w:lineRule="auto"/>
      <w:rPr>
        <w:color w:val="000000"/>
      </w:rPr>
    </w:pPr>
  </w:p>
  <w:p w14:paraId="7A433E9A" w14:textId="77777777" w:rsidR="00097B03" w:rsidRDefault="00DC04C0">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5B395" w14:textId="77777777" w:rsidR="00EC0A52" w:rsidRDefault="00EC0A52" w:rsidP="00421AA8">
      <w:pPr>
        <w:spacing w:after="0" w:line="240" w:lineRule="auto"/>
      </w:pPr>
      <w:r>
        <w:separator/>
      </w:r>
    </w:p>
  </w:footnote>
  <w:footnote w:type="continuationSeparator" w:id="0">
    <w:p w14:paraId="65BD6FBE" w14:textId="77777777" w:rsidR="00EC0A52" w:rsidRDefault="00EC0A52" w:rsidP="00421AA8">
      <w:pPr>
        <w:spacing w:after="0" w:line="240" w:lineRule="auto"/>
      </w:pPr>
      <w:r>
        <w:continuationSeparator/>
      </w:r>
    </w:p>
  </w:footnote>
  <w:footnote w:type="continuationNotice" w:id="1">
    <w:p w14:paraId="2DE2C938" w14:textId="77777777" w:rsidR="00EC0A52" w:rsidRDefault="00EC0A52">
      <w:pPr>
        <w:spacing w:after="0" w:line="240" w:lineRule="auto"/>
      </w:pPr>
    </w:p>
  </w:footnote>
  <w:footnote w:id="2">
    <w:p w14:paraId="76C5CE35" w14:textId="18EFD7DC" w:rsidR="003E4B6F" w:rsidRDefault="003E4B6F" w:rsidP="00D77021">
      <w:pPr>
        <w:pStyle w:val="Textodenotaderodap"/>
        <w:spacing w:after="120"/>
        <w:jc w:val="both"/>
      </w:pPr>
      <w:r w:rsidRPr="60CF2E6E">
        <w:rPr>
          <w:rStyle w:val="Refdenotaderodap"/>
          <w:rFonts w:ascii="Candara" w:eastAsia="Candara" w:hAnsi="Candara" w:cs="Candara"/>
        </w:rPr>
        <w:footnoteRef/>
      </w:r>
      <w:r w:rsidR="00D83F06" w:rsidRPr="60CF2E6E">
        <w:rPr>
          <w:rStyle w:val="Forte"/>
          <w:rFonts w:ascii="Candara" w:eastAsia="Candara" w:hAnsi="Candara" w:cs="Candara"/>
          <w:b w:val="0"/>
        </w:rPr>
        <w:t xml:space="preserve"> </w:t>
      </w:r>
      <w:r w:rsidRPr="60CF2E6E">
        <w:rPr>
          <w:rStyle w:val="Forte"/>
          <w:rFonts w:ascii="Candara" w:eastAsia="Candara" w:hAnsi="Candara" w:cs="Candara"/>
          <w:b w:val="0"/>
        </w:rPr>
        <w:t>O presente trabalho foi realizado com apoio da Coordenação de Aperfeiçoamento de Pessoal de Nível Superior – Brasil (CAPES) – Código de Financiamento 001</w:t>
      </w:r>
      <w:r w:rsidRPr="00421AA8">
        <w:rPr>
          <w:rFonts w:ascii="Candara" w:eastAsia="Candara" w:hAnsi="Candara" w:cs="Candara"/>
          <w:b/>
          <w:bCs/>
          <w:color w:val="000000"/>
        </w:rPr>
        <w:t>.</w:t>
      </w:r>
    </w:p>
  </w:footnote>
  <w:footnote w:id="3">
    <w:p w14:paraId="315A83B4" w14:textId="7AED685C" w:rsidR="00421AA8" w:rsidRPr="00421AA8" w:rsidRDefault="00421AA8" w:rsidP="00D77021">
      <w:pPr>
        <w:pBdr>
          <w:top w:val="nil"/>
          <w:left w:val="nil"/>
          <w:bottom w:val="nil"/>
          <w:right w:val="nil"/>
          <w:between w:val="nil"/>
        </w:pBdr>
        <w:spacing w:after="120" w:line="240" w:lineRule="auto"/>
        <w:jc w:val="both"/>
        <w:rPr>
          <w:rFonts w:ascii="Candara" w:eastAsia="Candara" w:hAnsi="Candara" w:cs="Candara"/>
          <w:color w:val="000000"/>
          <w:sz w:val="20"/>
          <w:szCs w:val="20"/>
        </w:rPr>
      </w:pPr>
      <w:r w:rsidRPr="60CF2E6E">
        <w:rPr>
          <w:rFonts w:ascii="Candara" w:eastAsia="Candara" w:hAnsi="Candara" w:cs="Candara"/>
          <w:sz w:val="20"/>
          <w:szCs w:val="20"/>
          <w:vertAlign w:val="superscript"/>
        </w:rPr>
        <w:footnoteRef/>
      </w:r>
      <w:r>
        <w:rPr>
          <w:rFonts w:ascii="Candara" w:eastAsia="Candara" w:hAnsi="Candara" w:cs="Candara"/>
          <w:color w:val="000000"/>
          <w:sz w:val="20"/>
          <w:szCs w:val="20"/>
        </w:rPr>
        <w:t>Universidade Estad</w:t>
      </w:r>
      <w:r w:rsidRPr="00421AA8">
        <w:rPr>
          <w:rFonts w:ascii="Candara" w:eastAsia="Candara" w:hAnsi="Candara" w:cs="Candara"/>
          <w:color w:val="000000"/>
          <w:sz w:val="20"/>
          <w:szCs w:val="20"/>
        </w:rPr>
        <w:t>ual</w:t>
      </w:r>
      <w:r>
        <w:rPr>
          <w:rFonts w:ascii="Candara" w:eastAsia="Candara" w:hAnsi="Candara" w:cs="Candara"/>
          <w:color w:val="000000"/>
          <w:sz w:val="20"/>
          <w:szCs w:val="20"/>
        </w:rPr>
        <w:t xml:space="preserve"> </w:t>
      </w:r>
      <w:r w:rsidRPr="00421AA8">
        <w:rPr>
          <w:rFonts w:ascii="Candara" w:eastAsia="Candara" w:hAnsi="Candara" w:cs="Candara"/>
          <w:color w:val="000000"/>
          <w:sz w:val="20"/>
          <w:szCs w:val="20"/>
        </w:rPr>
        <w:t>de Campinas (Unicamp), Campinas/SP. E-mail:</w:t>
      </w:r>
      <w:r w:rsidR="00EA5324">
        <w:rPr>
          <w:rFonts w:ascii="Candara" w:eastAsia="Candara" w:hAnsi="Candara" w:cs="Candara"/>
          <w:color w:val="000000"/>
          <w:sz w:val="20"/>
          <w:szCs w:val="20"/>
        </w:rPr>
        <w:t xml:space="preserve"> </w:t>
      </w:r>
      <w:r w:rsidR="005A46E4">
        <w:rPr>
          <w:rFonts w:ascii="Candara" w:eastAsia="Candara" w:hAnsi="Candara" w:cs="Candara"/>
          <w:color w:val="000000"/>
          <w:sz w:val="20"/>
          <w:szCs w:val="20"/>
        </w:rPr>
        <w:t>a</w:t>
      </w:r>
      <w:r w:rsidR="00EA5324">
        <w:rPr>
          <w:rFonts w:ascii="Candara" w:eastAsia="Candara" w:hAnsi="Candara" w:cs="Candara"/>
          <w:color w:val="000000"/>
          <w:sz w:val="20"/>
          <w:szCs w:val="20"/>
        </w:rPr>
        <w:t>bimaelfrancisco.econ@gmail.com</w:t>
      </w:r>
    </w:p>
  </w:footnote>
  <w:footnote w:id="4">
    <w:p w14:paraId="3053FA5E" w14:textId="24E6B98C" w:rsidR="00421AA8" w:rsidRPr="00421AA8" w:rsidRDefault="00421AA8" w:rsidP="00D77021">
      <w:pPr>
        <w:pBdr>
          <w:top w:val="nil"/>
          <w:left w:val="nil"/>
          <w:bottom w:val="nil"/>
          <w:right w:val="nil"/>
          <w:between w:val="nil"/>
        </w:pBdr>
        <w:spacing w:after="120" w:line="240" w:lineRule="auto"/>
        <w:jc w:val="both"/>
        <w:rPr>
          <w:rFonts w:ascii="Candara" w:eastAsia="Candara" w:hAnsi="Candara" w:cs="Candara"/>
          <w:color w:val="000000"/>
          <w:sz w:val="20"/>
          <w:szCs w:val="20"/>
        </w:rPr>
      </w:pPr>
      <w:r w:rsidRPr="60CF2E6E">
        <w:rPr>
          <w:rFonts w:ascii="Candara" w:eastAsia="Candara" w:hAnsi="Candara" w:cs="Candara"/>
          <w:sz w:val="20"/>
          <w:szCs w:val="20"/>
          <w:vertAlign w:val="superscript"/>
        </w:rPr>
        <w:footnoteRef/>
      </w:r>
      <w:r w:rsidR="005A46E4">
        <w:rPr>
          <w:rFonts w:ascii="Candara" w:eastAsia="Candara" w:hAnsi="Candara" w:cs="Candara"/>
          <w:color w:val="000000"/>
          <w:sz w:val="20"/>
          <w:szCs w:val="20"/>
        </w:rPr>
        <w:t xml:space="preserve"> </w:t>
      </w:r>
      <w:r>
        <w:rPr>
          <w:rFonts w:ascii="Candara" w:eastAsia="Candara" w:hAnsi="Candara" w:cs="Candara"/>
          <w:color w:val="000000"/>
          <w:sz w:val="20"/>
          <w:szCs w:val="20"/>
        </w:rPr>
        <w:t>Universidade Estad</w:t>
      </w:r>
      <w:r w:rsidRPr="00421AA8">
        <w:rPr>
          <w:rFonts w:ascii="Candara" w:eastAsia="Candara" w:hAnsi="Candara" w:cs="Candara"/>
          <w:color w:val="000000"/>
          <w:sz w:val="20"/>
          <w:szCs w:val="20"/>
        </w:rPr>
        <w:t>ual</w:t>
      </w:r>
      <w:r>
        <w:rPr>
          <w:rFonts w:ascii="Candara" w:eastAsia="Candara" w:hAnsi="Candara" w:cs="Candara"/>
          <w:color w:val="000000"/>
          <w:sz w:val="20"/>
          <w:szCs w:val="20"/>
        </w:rPr>
        <w:t xml:space="preserve"> </w:t>
      </w:r>
      <w:r w:rsidRPr="00421AA8">
        <w:rPr>
          <w:rFonts w:ascii="Candara" w:eastAsia="Candara" w:hAnsi="Candara" w:cs="Candara"/>
          <w:color w:val="000000"/>
          <w:sz w:val="20"/>
          <w:szCs w:val="20"/>
        </w:rPr>
        <w:t>de Campinas (Unicamp), Campinas/SP. E-mail:</w:t>
      </w:r>
      <w:r>
        <w:rPr>
          <w:rFonts w:ascii="Candara" w:eastAsia="Candara" w:hAnsi="Candara" w:cs="Candara"/>
          <w:color w:val="000000"/>
          <w:sz w:val="20"/>
          <w:szCs w:val="20"/>
        </w:rPr>
        <w:t xml:space="preserve"> </w:t>
      </w:r>
      <w:r w:rsidR="009421E7">
        <w:rPr>
          <w:rFonts w:ascii="Candara" w:eastAsia="Candara" w:hAnsi="Candara" w:cs="Candara"/>
          <w:color w:val="000000"/>
          <w:sz w:val="20"/>
          <w:szCs w:val="20"/>
        </w:rPr>
        <w:t>c271177@dac.unicamp.br</w:t>
      </w:r>
    </w:p>
  </w:footnote>
  <w:footnote w:id="5">
    <w:p w14:paraId="7E5337DC" w14:textId="651CE76A" w:rsidR="006125D8" w:rsidRDefault="006125D8" w:rsidP="00D77021">
      <w:pPr>
        <w:pStyle w:val="Textodenotaderodap"/>
        <w:spacing w:after="120"/>
        <w:jc w:val="both"/>
      </w:pPr>
      <w:r w:rsidRPr="60CF2E6E">
        <w:rPr>
          <w:rStyle w:val="Refdenotaderodap"/>
          <w:rFonts w:ascii="Candara" w:eastAsia="Candara" w:hAnsi="Candara" w:cs="Candara"/>
        </w:rPr>
        <w:footnoteRef/>
      </w:r>
      <w:r w:rsidRPr="60CF2E6E">
        <w:rPr>
          <w:rFonts w:ascii="Candara" w:eastAsia="Candara" w:hAnsi="Candara" w:cs="Candara"/>
        </w:rPr>
        <w:t xml:space="preserve"> Universidade Estadual de Campinas (Unicamp), Campinas/SP. E-mail: eduardocarlos2807@gmail.com</w:t>
      </w:r>
    </w:p>
  </w:footnote>
  <w:footnote w:id="6">
    <w:p w14:paraId="68AD3514" w14:textId="1F23A290" w:rsidR="35FF8953" w:rsidRDefault="35FF8953" w:rsidP="00D77021">
      <w:pPr>
        <w:pStyle w:val="Textodenotaderodap"/>
        <w:spacing w:after="120"/>
        <w:jc w:val="both"/>
        <w:rPr>
          <w:rFonts w:ascii="Candara" w:eastAsia="Candara" w:hAnsi="Candara" w:cs="Candara"/>
        </w:rPr>
      </w:pPr>
      <w:r w:rsidRPr="35FF8953">
        <w:rPr>
          <w:rStyle w:val="Refdenotaderodap"/>
          <w:rFonts w:ascii="Candara" w:eastAsia="Candara" w:hAnsi="Candara" w:cs="Candara"/>
        </w:rPr>
        <w:footnoteRef/>
      </w:r>
      <w:r w:rsidRPr="35FF8953">
        <w:rPr>
          <w:rFonts w:ascii="Candara" w:eastAsia="Candara" w:hAnsi="Candara" w:cs="Candara"/>
        </w:rPr>
        <w:t xml:space="preserve"> Um tipo de transporte marítimo que consiste no transporte de cargas e passageiros entre portos de um mesmo país, utilizando a costa do país como rota.</w:t>
      </w:r>
    </w:p>
  </w:footnote>
  <w:footnote w:id="7">
    <w:p w14:paraId="1156EEB0" w14:textId="790B2BC8" w:rsidR="002834B2" w:rsidRDefault="002834B2" w:rsidP="00D77021">
      <w:pPr>
        <w:pStyle w:val="Textodenotaderodap"/>
        <w:spacing w:after="120"/>
        <w:jc w:val="both"/>
      </w:pPr>
      <w:r w:rsidRPr="60CF2E6E">
        <w:rPr>
          <w:rStyle w:val="Refdenotaderodap"/>
          <w:rFonts w:ascii="Candara" w:eastAsia="Candara" w:hAnsi="Candara" w:cs="Candara"/>
        </w:rPr>
        <w:footnoteRef/>
      </w:r>
      <w:r w:rsidRPr="60CF2E6E">
        <w:rPr>
          <w:rFonts w:ascii="Candara" w:eastAsia="Candara" w:hAnsi="Candara" w:cs="Candara"/>
        </w:rPr>
        <w:t xml:space="preserve"> “O Nordeste foi a única região que apresentou saldo final negativo em 2020</w:t>
      </w:r>
      <w:r w:rsidR="00F949B5" w:rsidRPr="60CF2E6E">
        <w:rPr>
          <w:rFonts w:ascii="Candara" w:eastAsia="Candara" w:hAnsi="Candara" w:cs="Candara"/>
        </w:rPr>
        <w:t>”</w:t>
      </w:r>
      <w:r w:rsidR="00167D02" w:rsidRPr="60CF2E6E">
        <w:rPr>
          <w:rFonts w:ascii="Candara" w:eastAsia="Candara" w:hAnsi="Candara" w:cs="Candara"/>
        </w:rPr>
        <w:t xml:space="preserve"> </w:t>
      </w:r>
      <w:r w:rsidR="00F949B5" w:rsidRPr="60CF2E6E">
        <w:rPr>
          <w:rFonts w:ascii="Candara" w:eastAsia="Candara" w:hAnsi="Candara" w:cs="Candara"/>
        </w:rPr>
        <w:t>(Macedo, 2023, p. 211).</w:t>
      </w:r>
    </w:p>
  </w:footnote>
  <w:footnote w:id="8">
    <w:p w14:paraId="323193BA" w14:textId="70EA5D02" w:rsidR="005B2926" w:rsidRPr="007850A0" w:rsidRDefault="005B2926" w:rsidP="00D77021">
      <w:pPr>
        <w:pStyle w:val="Textodenotaderodap"/>
        <w:spacing w:after="120"/>
        <w:jc w:val="both"/>
        <w:rPr>
          <w:rFonts w:ascii="Candara" w:hAnsi="Candara"/>
        </w:rPr>
      </w:pPr>
      <w:r w:rsidRPr="60CF2E6E">
        <w:rPr>
          <w:rStyle w:val="Refdenotaderodap"/>
          <w:rFonts w:ascii="Candara" w:eastAsia="Candara" w:hAnsi="Candara" w:cs="Candara"/>
        </w:rPr>
        <w:footnoteRef/>
      </w:r>
      <w:r w:rsidRPr="60CF2E6E">
        <w:rPr>
          <w:rFonts w:ascii="Candara" w:eastAsia="Candara" w:hAnsi="Candara" w:cs="Candara"/>
        </w:rPr>
        <w:t xml:space="preserve"> Em 2017, apenas nove estados brasileiros registraram saldos positivos no comércio interno, sendo: Amazonas, Goiás, Mato Grosso do Sul, Paraná, Pernambuco, Rio Grande do Sul, Rondônia, Santa Catarina e São Paulo. Em 2022, o quantitativo foi ainda menor, em que apenas sete registraram saldos positivos: Amazonas, Espírito Santo, Mato Grosso do Sul, Paraná, Pernambuco, Santa Catarina e São Paulo.</w:t>
      </w:r>
    </w:p>
  </w:footnote>
  <w:footnote w:id="9">
    <w:p w14:paraId="2AD5F0A2" w14:textId="00E2C470" w:rsidR="3FF7155C" w:rsidRDefault="3FF7155C" w:rsidP="00D77021">
      <w:pPr>
        <w:pStyle w:val="Textodenotaderodap"/>
        <w:spacing w:after="120"/>
        <w:jc w:val="both"/>
        <w:rPr>
          <w:rFonts w:ascii="Candara" w:eastAsia="Candara" w:hAnsi="Candara" w:cs="Candara"/>
          <w:color w:val="000000" w:themeColor="text1"/>
        </w:rPr>
      </w:pPr>
      <w:r w:rsidRPr="74660F83">
        <w:rPr>
          <w:rStyle w:val="Refdenotaderodap"/>
          <w:rFonts w:ascii="Candara" w:eastAsia="Candara" w:hAnsi="Candara" w:cs="Candara"/>
        </w:rPr>
        <w:footnoteRef/>
      </w:r>
      <w:r w:rsidR="3D12D219" w:rsidRPr="74660F83">
        <w:rPr>
          <w:rFonts w:ascii="Candara" w:eastAsia="Candara" w:hAnsi="Candara" w:cs="Candara"/>
        </w:rPr>
        <w:t xml:space="preserve"> </w:t>
      </w:r>
      <w:r w:rsidR="3D12D219" w:rsidRPr="3D12D219">
        <w:rPr>
          <w:rFonts w:ascii="Candara" w:eastAsia="Candara" w:hAnsi="Candara" w:cs="Candara"/>
          <w:color w:val="000000" w:themeColor="text1"/>
        </w:rPr>
        <w:t>A</w:t>
      </w:r>
      <w:r w:rsidR="3D12D219" w:rsidRPr="3D12D219">
        <w:rPr>
          <w:rFonts w:ascii="Candara" w:eastAsia="Candara" w:hAnsi="Candara" w:cs="Candara"/>
        </w:rPr>
        <w:t>s análises dos dados são baseadas em estudos consolidados para diversos anos descontinuados, mas é possível acompanhar as tendências e movimento do comércio.</w:t>
      </w:r>
    </w:p>
  </w:footnote>
  <w:footnote w:id="10">
    <w:p w14:paraId="181FE228" w14:textId="4D5202F3" w:rsidR="6B93BB6B" w:rsidRDefault="6B93BB6B" w:rsidP="00D77021">
      <w:pPr>
        <w:spacing w:after="120" w:line="240" w:lineRule="auto"/>
        <w:jc w:val="both"/>
        <w:rPr>
          <w:rFonts w:ascii="Candara" w:eastAsia="Candara" w:hAnsi="Candara" w:cs="Candara"/>
          <w:sz w:val="20"/>
          <w:szCs w:val="20"/>
        </w:rPr>
      </w:pPr>
      <w:r w:rsidRPr="6B93BB6B">
        <w:rPr>
          <w:rStyle w:val="Refdenotaderodap"/>
          <w:rFonts w:ascii="Candara" w:eastAsia="Candara" w:hAnsi="Candara" w:cs="Candara"/>
          <w:sz w:val="20"/>
          <w:szCs w:val="20"/>
        </w:rPr>
        <w:footnoteRef/>
      </w:r>
      <w:r w:rsidRPr="6B93BB6B">
        <w:rPr>
          <w:rFonts w:ascii="Candara" w:eastAsia="Candara" w:hAnsi="Candara" w:cs="Candara"/>
          <w:sz w:val="20"/>
          <w:szCs w:val="20"/>
        </w:rPr>
        <w:t xml:space="preserve"> O comportamento foi influenciado pelos desdobramentos globais com o significativo aumento de demanda e preços das </w:t>
      </w:r>
      <w:r w:rsidRPr="6B93BB6B">
        <w:rPr>
          <w:rFonts w:ascii="Candara" w:eastAsia="Candara" w:hAnsi="Candara" w:cs="Candara"/>
          <w:i/>
          <w:iCs/>
          <w:sz w:val="20"/>
          <w:szCs w:val="20"/>
        </w:rPr>
        <w:t xml:space="preserve">commodities </w:t>
      </w:r>
      <w:r w:rsidRPr="6B93BB6B">
        <w:rPr>
          <w:rFonts w:ascii="Candara" w:eastAsia="Candara" w:hAnsi="Candara" w:cs="Candara"/>
          <w:sz w:val="20"/>
          <w:szCs w:val="20"/>
        </w:rPr>
        <w:t>(Souza, 2024).</w:t>
      </w:r>
    </w:p>
  </w:footnote>
  <w:footnote w:id="11">
    <w:p w14:paraId="578CB924" w14:textId="63D32C40" w:rsidR="005B375F" w:rsidRDefault="00E95340" w:rsidP="00D77021">
      <w:pPr>
        <w:pStyle w:val="Textodenotaderodap"/>
        <w:spacing w:after="120"/>
        <w:jc w:val="both"/>
        <w:rPr>
          <w:rFonts w:ascii="Candara" w:eastAsia="Candara" w:hAnsi="Candara" w:cs="Candara"/>
          <w:color w:val="FF0000"/>
        </w:rPr>
      </w:pPr>
      <w:r w:rsidRPr="60CF2E6E">
        <w:rPr>
          <w:rStyle w:val="Refdenotaderodap"/>
          <w:rFonts w:ascii="Candara" w:eastAsia="Candara" w:hAnsi="Candara" w:cs="Candara"/>
        </w:rPr>
        <w:footnoteRef/>
      </w:r>
      <w:r w:rsidRPr="60CF2E6E">
        <w:rPr>
          <w:rFonts w:ascii="Candara" w:eastAsia="Candara" w:hAnsi="Candara" w:cs="Candara"/>
        </w:rPr>
        <w:t xml:space="preserve"> </w:t>
      </w:r>
      <w:r w:rsidR="00B9018F" w:rsidRPr="60CF2E6E">
        <w:rPr>
          <w:rFonts w:ascii="Candara" w:eastAsia="Candara" w:hAnsi="Candara" w:cs="Candara"/>
        </w:rPr>
        <w:t>As discussões acerca da heterogeneidade nordestina são amplamente abordadas</w:t>
      </w:r>
      <w:r w:rsidR="00B9018F" w:rsidRPr="00907266">
        <w:rPr>
          <w:rFonts w:ascii="Candara" w:eastAsia="Candara" w:hAnsi="Candara" w:cs="Candara"/>
          <w:color w:val="000000" w:themeColor="text1"/>
        </w:rPr>
        <w:t xml:space="preserve">. </w:t>
      </w:r>
      <w:proofErr w:type="spellStart"/>
      <w:r w:rsidR="00B9018F" w:rsidRPr="00907266">
        <w:rPr>
          <w:rFonts w:ascii="Candara" w:eastAsia="Candara" w:hAnsi="Candara" w:cs="Candara"/>
          <w:color w:val="000000" w:themeColor="text1"/>
        </w:rPr>
        <w:t>Araujo</w:t>
      </w:r>
      <w:proofErr w:type="spellEnd"/>
      <w:r w:rsidR="00B9018F" w:rsidRPr="00907266">
        <w:rPr>
          <w:rFonts w:ascii="Candara" w:eastAsia="Candara" w:hAnsi="Candara" w:cs="Candara"/>
          <w:color w:val="000000" w:themeColor="text1"/>
        </w:rPr>
        <w:t xml:space="preserve"> (</w:t>
      </w:r>
      <w:r w:rsidR="002068E6" w:rsidRPr="00907266">
        <w:rPr>
          <w:rFonts w:ascii="Candara" w:eastAsia="Candara" w:hAnsi="Candara" w:cs="Candara"/>
          <w:color w:val="000000" w:themeColor="text1"/>
        </w:rPr>
        <w:t>2000</w:t>
      </w:r>
      <w:r w:rsidR="00B9018F" w:rsidRPr="00907266">
        <w:rPr>
          <w:rFonts w:ascii="Candara" w:eastAsia="Candara" w:hAnsi="Candara" w:cs="Candara"/>
          <w:color w:val="000000" w:themeColor="text1"/>
        </w:rPr>
        <w:t xml:space="preserve">) </w:t>
      </w:r>
      <w:r w:rsidR="00B9018F" w:rsidRPr="60CF2E6E">
        <w:rPr>
          <w:rFonts w:ascii="Candara" w:eastAsia="Candara" w:hAnsi="Candara" w:cs="Candara"/>
        </w:rPr>
        <w:t>destaca a região como multifacetada, composta por um conjunto de diversas regiões. No final do século pass</w:t>
      </w:r>
      <w:r w:rsidR="00B9018F" w:rsidRPr="00F5790D">
        <w:rPr>
          <w:rFonts w:ascii="Candara" w:eastAsia="Candara" w:hAnsi="Candara" w:cs="Candara"/>
          <w:color w:val="000000" w:themeColor="text1"/>
        </w:rPr>
        <w:t>ado, havia “[...] focos modernos convivendo ou não com estruturas econômicas tradicionais” (Araújo, 1995, p. 139). Estudos mais recentes refletem sobre a mesma realidade nordestina, associada às relações comerciais</w:t>
      </w:r>
      <w:r w:rsidR="00B9018F" w:rsidRPr="60CF2E6E">
        <w:rPr>
          <w:rFonts w:ascii="Candara" w:eastAsia="Candara" w:hAnsi="Candara" w:cs="Candara"/>
        </w:rPr>
        <w:t xml:space="preserve">, como mostram </w:t>
      </w:r>
      <w:r w:rsidR="00B9018F" w:rsidRPr="00907266">
        <w:rPr>
          <w:rFonts w:ascii="Candara" w:eastAsia="Candara" w:hAnsi="Candara" w:cs="Candara"/>
          <w:color w:val="000000" w:themeColor="text1"/>
        </w:rPr>
        <w:t xml:space="preserve">Amaral Filho (2010), Galvão (2007; </w:t>
      </w:r>
      <w:r w:rsidR="00B9018F" w:rsidRPr="60CF2E6E">
        <w:rPr>
          <w:rFonts w:ascii="Candara" w:eastAsia="Candara" w:hAnsi="Candara" w:cs="Candara"/>
        </w:rPr>
        <w:t>2014)</w:t>
      </w:r>
      <w:r w:rsidR="00F5790D">
        <w:rPr>
          <w:rFonts w:ascii="Candara" w:eastAsia="Candara" w:hAnsi="Candara" w:cs="Candara"/>
        </w:rPr>
        <w:t>.</w:t>
      </w:r>
    </w:p>
  </w:footnote>
  <w:footnote w:id="12">
    <w:p w14:paraId="2B0BADA8" w14:textId="0A30227A" w:rsidR="49EF98BE" w:rsidRPr="007850A0" w:rsidRDefault="49EF98BE" w:rsidP="00D77021">
      <w:pPr>
        <w:spacing w:after="120" w:line="240" w:lineRule="auto"/>
        <w:jc w:val="both"/>
        <w:rPr>
          <w:rFonts w:ascii="Candara" w:eastAsia="Candara" w:hAnsi="Candara" w:cs="Candara"/>
          <w:sz w:val="20"/>
          <w:szCs w:val="20"/>
        </w:rPr>
      </w:pPr>
      <w:r w:rsidRPr="60CF2E6E">
        <w:rPr>
          <w:rStyle w:val="Refdenotaderodap"/>
          <w:rFonts w:ascii="Candara" w:eastAsia="Candara" w:hAnsi="Candara" w:cs="Candara"/>
          <w:sz w:val="20"/>
          <w:szCs w:val="20"/>
        </w:rPr>
        <w:footnoteRef/>
      </w:r>
      <w:r w:rsidRPr="60CF2E6E">
        <w:rPr>
          <w:rFonts w:ascii="Candara" w:eastAsia="Candara" w:hAnsi="Candara" w:cs="Candara"/>
          <w:sz w:val="20"/>
          <w:szCs w:val="20"/>
        </w:rPr>
        <w:t xml:space="preserve"> </w:t>
      </w:r>
      <w:r w:rsidRPr="007850A0">
        <w:rPr>
          <w:rFonts w:ascii="Candara" w:eastAsia="Candara" w:hAnsi="Candara" w:cs="Candara"/>
          <w:sz w:val="20"/>
          <w:szCs w:val="20"/>
        </w:rPr>
        <w:t xml:space="preserve">Quando observado os produtos comercializados destacam principalmente as </w:t>
      </w:r>
      <w:r w:rsidRPr="20AF2EE4">
        <w:rPr>
          <w:rFonts w:ascii="Candara" w:eastAsia="Candara" w:hAnsi="Candara" w:cs="Candara"/>
          <w:i/>
          <w:iCs/>
          <w:sz w:val="20"/>
          <w:szCs w:val="20"/>
        </w:rPr>
        <w:t>commodities</w:t>
      </w:r>
      <w:r w:rsidRPr="007850A0">
        <w:rPr>
          <w:rFonts w:ascii="Candara" w:eastAsia="Candara" w:hAnsi="Candara" w:cs="Candara"/>
          <w:sz w:val="20"/>
          <w:szCs w:val="20"/>
        </w:rPr>
        <w:t xml:space="preserve"> de grão, como a soja, seguida pela pasta de madeira (celulose), minérios de ferro, petróleo/produtos petrolíferos, ferro e aço; demonstrando um perfil primário exportador da região, assim como identificado no Brasil (</w:t>
      </w:r>
      <w:r w:rsidRPr="00F569D7">
        <w:rPr>
          <w:rFonts w:ascii="Candara" w:eastAsia="Candara" w:hAnsi="Candara" w:cs="Candara"/>
          <w:color w:val="000000" w:themeColor="text1"/>
          <w:sz w:val="20"/>
          <w:szCs w:val="20"/>
        </w:rPr>
        <w:t>Galvão, 201</w:t>
      </w:r>
      <w:r w:rsidR="00F569D7" w:rsidRPr="00F569D7">
        <w:rPr>
          <w:rFonts w:ascii="Candara" w:eastAsia="Candara" w:hAnsi="Candara" w:cs="Candara"/>
          <w:color w:val="000000" w:themeColor="text1"/>
          <w:sz w:val="20"/>
          <w:szCs w:val="20"/>
        </w:rPr>
        <w:t>4</w:t>
      </w:r>
      <w:r w:rsidRPr="00F569D7">
        <w:rPr>
          <w:rFonts w:ascii="Candara" w:eastAsia="Candara" w:hAnsi="Candara" w:cs="Candara"/>
          <w:color w:val="000000" w:themeColor="text1"/>
          <w:sz w:val="20"/>
          <w:szCs w:val="20"/>
        </w:rPr>
        <w:t xml:space="preserve">; </w:t>
      </w:r>
      <w:r w:rsidRPr="007850A0">
        <w:rPr>
          <w:rFonts w:ascii="Candara" w:eastAsia="Candara" w:hAnsi="Candara" w:cs="Candara"/>
          <w:sz w:val="20"/>
          <w:szCs w:val="20"/>
        </w:rPr>
        <w:t>Souza, 2024). Nas importações outros tipos como óleos combustíveis a base de petróleo, adubos e fertilizantes (sendo para esses dois exceção de formas brutas), Válvulas e tubos, trigo, partes e acessórios de veículos automotivos (</w:t>
      </w:r>
      <w:proofErr w:type="spellStart"/>
      <w:r w:rsidRPr="007850A0">
        <w:rPr>
          <w:rFonts w:ascii="Candara" w:eastAsia="Candara" w:hAnsi="Candara" w:cs="Candara"/>
          <w:sz w:val="20"/>
          <w:szCs w:val="20"/>
        </w:rPr>
        <w:t>Comex</w:t>
      </w:r>
      <w:proofErr w:type="spellEnd"/>
      <w:r w:rsidRPr="007850A0">
        <w:rPr>
          <w:rFonts w:ascii="Candara" w:eastAsia="Candara" w:hAnsi="Candara" w:cs="Candara"/>
          <w:sz w:val="20"/>
          <w:szCs w:val="20"/>
        </w:rPr>
        <w:t xml:space="preserve"> </w:t>
      </w:r>
      <w:proofErr w:type="spellStart"/>
      <w:r w:rsidRPr="007850A0">
        <w:rPr>
          <w:rFonts w:ascii="Candara" w:eastAsia="Candara" w:hAnsi="Candara" w:cs="Candara"/>
          <w:sz w:val="20"/>
          <w:szCs w:val="20"/>
        </w:rPr>
        <w:t>Stat</w:t>
      </w:r>
      <w:proofErr w:type="spellEnd"/>
      <w:r w:rsidRPr="007850A0">
        <w:rPr>
          <w:rFonts w:ascii="Candara" w:eastAsia="Candara" w:hAnsi="Candara" w:cs="Candara"/>
          <w:sz w:val="20"/>
          <w:szCs w:val="20"/>
        </w:rPr>
        <w:t>/MDIC, 2024).</w:t>
      </w:r>
    </w:p>
  </w:footnote>
  <w:footnote w:id="13">
    <w:p w14:paraId="2D097EA0" w14:textId="3FF39404" w:rsidR="20AF2EE4" w:rsidRDefault="20AF2EE4" w:rsidP="00D77021">
      <w:pPr>
        <w:pStyle w:val="SemEspaamento"/>
        <w:spacing w:after="120"/>
        <w:jc w:val="both"/>
        <w:rPr>
          <w:rFonts w:ascii="Candara" w:eastAsia="Candara" w:hAnsi="Candara" w:cs="Candara"/>
          <w:sz w:val="20"/>
          <w:szCs w:val="20"/>
        </w:rPr>
      </w:pPr>
      <w:r w:rsidRPr="20AF2EE4">
        <w:rPr>
          <w:rFonts w:ascii="Candara" w:eastAsia="Candara" w:hAnsi="Candara" w:cs="Candara"/>
          <w:sz w:val="20"/>
          <w:szCs w:val="20"/>
        </w:rPr>
        <w:footnoteRef/>
      </w:r>
      <w:r w:rsidRPr="20AF2EE4">
        <w:rPr>
          <w:rFonts w:ascii="Candara" w:eastAsia="Candara" w:hAnsi="Candara" w:cs="Candara"/>
          <w:sz w:val="20"/>
          <w:szCs w:val="20"/>
        </w:rPr>
        <w:t xml:space="preserve"> Região que compreende os estados do Maranhão, Tocantins, Piauí e Bahia.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6C5C8" w14:textId="77777777" w:rsidR="00097B03" w:rsidRDefault="00DC04C0">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35982E12" wp14:editId="2A2C351E">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491E6452" w14:textId="77777777" w:rsidR="00097B03" w:rsidRDefault="00DC04C0">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2DFB6F63" w14:textId="77777777" w:rsidR="00097B03" w:rsidRDefault="00097B03">
    <w:pPr>
      <w:ind w:left="993" w:firstLine="708"/>
      <w:jc w:val="center"/>
      <w:rPr>
        <w:rFonts w:ascii="Times New Roman" w:eastAsia="Times New Roman" w:hAnsi="Times New Roman" w:cs="Times New Roman"/>
        <w:sz w:val="20"/>
        <w:szCs w:val="20"/>
      </w:rPr>
    </w:pPr>
  </w:p>
</w:hdr>
</file>

<file path=word/intelligence2.xml><?xml version="1.0" encoding="utf-8"?>
<int2:intelligence xmlns:int2="http://schemas.microsoft.com/office/intelligence/2020/intelligence" xmlns:oel="http://schemas.microsoft.com/office/2019/extlst">
  <int2:observations>
    <int2:textHash int2:hashCode="WfhqGcSy+NgOWx" int2:id="DFVF54Vw">
      <int2:state int2:value="Rejected" int2:type="AugLoop_Text_Critique"/>
    </int2:textHash>
    <int2:textHash int2:hashCode="j0V/mMOT19uW83" int2:id="EQIjaXGh">
      <int2:state int2:value="Rejected" int2:type="AugLoop_Text_Critique"/>
    </int2:textHash>
    <int2:textHash int2:hashCode="2HITlXkqku2P9W" int2:id="iNVETupG">
      <int2:state int2:value="Rejected" int2:type="AugLoop_Text_Critique"/>
    </int2:textHash>
    <int2:textHash int2:hashCode="u8T4FnnKB7A2FM" int2:id="sytDLKh2">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1F2212EF"/>
    <w:multiLevelType w:val="hybridMultilevel"/>
    <w:tmpl w:val="D716EA68"/>
    <w:lvl w:ilvl="0" w:tplc="2D12931A">
      <w:numFmt w:val="bullet"/>
      <w:lvlText w:val=""/>
      <w:lvlJc w:val="left"/>
      <w:pPr>
        <w:ind w:left="1068" w:hanging="360"/>
      </w:pPr>
      <w:rPr>
        <w:rFonts w:ascii="Wingdings" w:eastAsia="Candara" w:hAnsi="Wingdings" w:cs="Candara"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 w15:restartNumberingAfterBreak="0">
    <w:nsid w:val="5F080A91"/>
    <w:multiLevelType w:val="multilevel"/>
    <w:tmpl w:val="FECC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233467727">
    <w:abstractNumId w:val="0"/>
  </w:num>
  <w:num w:numId="2" w16cid:durableId="568656908">
    <w:abstractNumId w:val="3"/>
  </w:num>
  <w:num w:numId="3" w16cid:durableId="1934901626">
    <w:abstractNumId w:val="4"/>
  </w:num>
  <w:num w:numId="4" w16cid:durableId="381364273">
    <w:abstractNumId w:val="2"/>
  </w:num>
  <w:num w:numId="5" w16cid:durableId="5762799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AA8"/>
    <w:rsid w:val="00000AA7"/>
    <w:rsid w:val="000028E7"/>
    <w:rsid w:val="00004BE7"/>
    <w:rsid w:val="000059F1"/>
    <w:rsid w:val="0000638E"/>
    <w:rsid w:val="00010156"/>
    <w:rsid w:val="00012C36"/>
    <w:rsid w:val="00014F55"/>
    <w:rsid w:val="00015AC4"/>
    <w:rsid w:val="00016E87"/>
    <w:rsid w:val="0002400C"/>
    <w:rsid w:val="0002545F"/>
    <w:rsid w:val="00027070"/>
    <w:rsid w:val="00032361"/>
    <w:rsid w:val="0003301A"/>
    <w:rsid w:val="000349CE"/>
    <w:rsid w:val="00036D5F"/>
    <w:rsid w:val="000458E9"/>
    <w:rsid w:val="00047CFD"/>
    <w:rsid w:val="00053C8D"/>
    <w:rsid w:val="0005732B"/>
    <w:rsid w:val="0005796B"/>
    <w:rsid w:val="0006292E"/>
    <w:rsid w:val="00063717"/>
    <w:rsid w:val="0006394A"/>
    <w:rsid w:val="0006531D"/>
    <w:rsid w:val="000655AA"/>
    <w:rsid w:val="000753F8"/>
    <w:rsid w:val="00075C4C"/>
    <w:rsid w:val="00077C86"/>
    <w:rsid w:val="0008420F"/>
    <w:rsid w:val="00085C0D"/>
    <w:rsid w:val="000870DF"/>
    <w:rsid w:val="000900FC"/>
    <w:rsid w:val="000928B3"/>
    <w:rsid w:val="00093580"/>
    <w:rsid w:val="00095A17"/>
    <w:rsid w:val="0009729E"/>
    <w:rsid w:val="000975E7"/>
    <w:rsid w:val="00097B03"/>
    <w:rsid w:val="000A337A"/>
    <w:rsid w:val="000A4FBC"/>
    <w:rsid w:val="000A6FC5"/>
    <w:rsid w:val="000B0090"/>
    <w:rsid w:val="000B180F"/>
    <w:rsid w:val="000B30B7"/>
    <w:rsid w:val="000B380D"/>
    <w:rsid w:val="000B4E86"/>
    <w:rsid w:val="000B656D"/>
    <w:rsid w:val="000C1066"/>
    <w:rsid w:val="000C4873"/>
    <w:rsid w:val="000C5F9B"/>
    <w:rsid w:val="000C6AA4"/>
    <w:rsid w:val="000C70B4"/>
    <w:rsid w:val="000C77B6"/>
    <w:rsid w:val="000C7E4C"/>
    <w:rsid w:val="000D2832"/>
    <w:rsid w:val="000D4369"/>
    <w:rsid w:val="000D478C"/>
    <w:rsid w:val="000D5AB9"/>
    <w:rsid w:val="000D6526"/>
    <w:rsid w:val="000D6547"/>
    <w:rsid w:val="000D799E"/>
    <w:rsid w:val="000D7AD4"/>
    <w:rsid w:val="000E6038"/>
    <w:rsid w:val="000E619A"/>
    <w:rsid w:val="000E7009"/>
    <w:rsid w:val="000E792F"/>
    <w:rsid w:val="000F0D24"/>
    <w:rsid w:val="000F39A2"/>
    <w:rsid w:val="000F3D49"/>
    <w:rsid w:val="000F5208"/>
    <w:rsid w:val="000F6D3C"/>
    <w:rsid w:val="0010091F"/>
    <w:rsid w:val="00101044"/>
    <w:rsid w:val="00104077"/>
    <w:rsid w:val="00105DBB"/>
    <w:rsid w:val="00105E1B"/>
    <w:rsid w:val="00112726"/>
    <w:rsid w:val="0011709B"/>
    <w:rsid w:val="00117CD8"/>
    <w:rsid w:val="001200E6"/>
    <w:rsid w:val="001206A5"/>
    <w:rsid w:val="0012152D"/>
    <w:rsid w:val="001225BE"/>
    <w:rsid w:val="00125BAD"/>
    <w:rsid w:val="00130CF1"/>
    <w:rsid w:val="00133A11"/>
    <w:rsid w:val="00133C85"/>
    <w:rsid w:val="00141FD6"/>
    <w:rsid w:val="00142536"/>
    <w:rsid w:val="00143D16"/>
    <w:rsid w:val="00147F0D"/>
    <w:rsid w:val="0015091B"/>
    <w:rsid w:val="00154424"/>
    <w:rsid w:val="0016238A"/>
    <w:rsid w:val="00163B49"/>
    <w:rsid w:val="001668CB"/>
    <w:rsid w:val="00166A2D"/>
    <w:rsid w:val="00167D02"/>
    <w:rsid w:val="00175770"/>
    <w:rsid w:val="00177060"/>
    <w:rsid w:val="00177095"/>
    <w:rsid w:val="001822D1"/>
    <w:rsid w:val="00184E6E"/>
    <w:rsid w:val="00187219"/>
    <w:rsid w:val="001921EB"/>
    <w:rsid w:val="001934B1"/>
    <w:rsid w:val="001939FF"/>
    <w:rsid w:val="001A2D0D"/>
    <w:rsid w:val="001A2E36"/>
    <w:rsid w:val="001A53BD"/>
    <w:rsid w:val="001B076C"/>
    <w:rsid w:val="001B1849"/>
    <w:rsid w:val="001B3BB1"/>
    <w:rsid w:val="001B4529"/>
    <w:rsid w:val="001B7B76"/>
    <w:rsid w:val="001C4256"/>
    <w:rsid w:val="001C4C12"/>
    <w:rsid w:val="001C4FC2"/>
    <w:rsid w:val="001C584E"/>
    <w:rsid w:val="001D4355"/>
    <w:rsid w:val="001D4BCA"/>
    <w:rsid w:val="001D6D6E"/>
    <w:rsid w:val="001D70B6"/>
    <w:rsid w:val="001E733F"/>
    <w:rsid w:val="001F062A"/>
    <w:rsid w:val="001F12B9"/>
    <w:rsid w:val="001F1828"/>
    <w:rsid w:val="001F2DB2"/>
    <w:rsid w:val="001F3643"/>
    <w:rsid w:val="001F69F8"/>
    <w:rsid w:val="00201168"/>
    <w:rsid w:val="00201430"/>
    <w:rsid w:val="002036A0"/>
    <w:rsid w:val="00203714"/>
    <w:rsid w:val="00204A54"/>
    <w:rsid w:val="002050D4"/>
    <w:rsid w:val="002068E6"/>
    <w:rsid w:val="002070F7"/>
    <w:rsid w:val="00210786"/>
    <w:rsid w:val="002112ED"/>
    <w:rsid w:val="00212C3E"/>
    <w:rsid w:val="00213A8C"/>
    <w:rsid w:val="00217E40"/>
    <w:rsid w:val="00220F2A"/>
    <w:rsid w:val="00223365"/>
    <w:rsid w:val="00223825"/>
    <w:rsid w:val="002268F9"/>
    <w:rsid w:val="00231ACD"/>
    <w:rsid w:val="002412E7"/>
    <w:rsid w:val="002421BB"/>
    <w:rsid w:val="002445A8"/>
    <w:rsid w:val="00245873"/>
    <w:rsid w:val="0025128A"/>
    <w:rsid w:val="00251C2C"/>
    <w:rsid w:val="00251EE9"/>
    <w:rsid w:val="00252E0D"/>
    <w:rsid w:val="0025442C"/>
    <w:rsid w:val="002559F3"/>
    <w:rsid w:val="00255C32"/>
    <w:rsid w:val="00261532"/>
    <w:rsid w:val="00262C35"/>
    <w:rsid w:val="002640AE"/>
    <w:rsid w:val="00266080"/>
    <w:rsid w:val="002665FF"/>
    <w:rsid w:val="0026782D"/>
    <w:rsid w:val="002704D3"/>
    <w:rsid w:val="002706A3"/>
    <w:rsid w:val="00270758"/>
    <w:rsid w:val="002713C6"/>
    <w:rsid w:val="002775E5"/>
    <w:rsid w:val="002776F7"/>
    <w:rsid w:val="00277848"/>
    <w:rsid w:val="002812BD"/>
    <w:rsid w:val="00281627"/>
    <w:rsid w:val="00281A47"/>
    <w:rsid w:val="00282860"/>
    <w:rsid w:val="0028305A"/>
    <w:rsid w:val="002834B2"/>
    <w:rsid w:val="002847AB"/>
    <w:rsid w:val="002848CE"/>
    <w:rsid w:val="00284B9D"/>
    <w:rsid w:val="0028691E"/>
    <w:rsid w:val="00290491"/>
    <w:rsid w:val="0029228B"/>
    <w:rsid w:val="00293BC8"/>
    <w:rsid w:val="00293D5A"/>
    <w:rsid w:val="00294BA2"/>
    <w:rsid w:val="002A1683"/>
    <w:rsid w:val="002A2BF6"/>
    <w:rsid w:val="002A5248"/>
    <w:rsid w:val="002A6D20"/>
    <w:rsid w:val="002A7E23"/>
    <w:rsid w:val="002B2126"/>
    <w:rsid w:val="002B5911"/>
    <w:rsid w:val="002B75B1"/>
    <w:rsid w:val="002C1EA0"/>
    <w:rsid w:val="002C2E9B"/>
    <w:rsid w:val="002C35E3"/>
    <w:rsid w:val="002D1A00"/>
    <w:rsid w:val="002D34C4"/>
    <w:rsid w:val="002D5672"/>
    <w:rsid w:val="002D5CF7"/>
    <w:rsid w:val="002D6879"/>
    <w:rsid w:val="002D7B82"/>
    <w:rsid w:val="002E00C4"/>
    <w:rsid w:val="002E0A76"/>
    <w:rsid w:val="002E271C"/>
    <w:rsid w:val="002E4FF9"/>
    <w:rsid w:val="002E50B1"/>
    <w:rsid w:val="002E55B1"/>
    <w:rsid w:val="002E59F7"/>
    <w:rsid w:val="002E5CF1"/>
    <w:rsid w:val="002E5EB8"/>
    <w:rsid w:val="002E6748"/>
    <w:rsid w:val="002E7BF6"/>
    <w:rsid w:val="002F2688"/>
    <w:rsid w:val="002F4042"/>
    <w:rsid w:val="002F4297"/>
    <w:rsid w:val="002F5E19"/>
    <w:rsid w:val="002F7541"/>
    <w:rsid w:val="00302C7A"/>
    <w:rsid w:val="00303243"/>
    <w:rsid w:val="003064DD"/>
    <w:rsid w:val="00310F75"/>
    <w:rsid w:val="00315A59"/>
    <w:rsid w:val="003211B7"/>
    <w:rsid w:val="003226A0"/>
    <w:rsid w:val="00327AF7"/>
    <w:rsid w:val="00327F70"/>
    <w:rsid w:val="00330F82"/>
    <w:rsid w:val="0033353C"/>
    <w:rsid w:val="0033558C"/>
    <w:rsid w:val="00335BCF"/>
    <w:rsid w:val="00335BE9"/>
    <w:rsid w:val="00342243"/>
    <w:rsid w:val="00344A5F"/>
    <w:rsid w:val="003474BD"/>
    <w:rsid w:val="00347A41"/>
    <w:rsid w:val="00350B41"/>
    <w:rsid w:val="003515AA"/>
    <w:rsid w:val="00352C29"/>
    <w:rsid w:val="00352EAF"/>
    <w:rsid w:val="00353D93"/>
    <w:rsid w:val="00355BDE"/>
    <w:rsid w:val="00356AEC"/>
    <w:rsid w:val="00356FDF"/>
    <w:rsid w:val="00357A2D"/>
    <w:rsid w:val="00360775"/>
    <w:rsid w:val="00361331"/>
    <w:rsid w:val="003622FD"/>
    <w:rsid w:val="00363120"/>
    <w:rsid w:val="00366C96"/>
    <w:rsid w:val="00373B9E"/>
    <w:rsid w:val="00373D30"/>
    <w:rsid w:val="00374603"/>
    <w:rsid w:val="00377820"/>
    <w:rsid w:val="00384031"/>
    <w:rsid w:val="0038B1D4"/>
    <w:rsid w:val="00390276"/>
    <w:rsid w:val="00390CC8"/>
    <w:rsid w:val="003927CD"/>
    <w:rsid w:val="00392E3E"/>
    <w:rsid w:val="0039693B"/>
    <w:rsid w:val="003A0123"/>
    <w:rsid w:val="003A5F08"/>
    <w:rsid w:val="003A7A66"/>
    <w:rsid w:val="003B35AE"/>
    <w:rsid w:val="003B4A4C"/>
    <w:rsid w:val="003B5F15"/>
    <w:rsid w:val="003B7CE7"/>
    <w:rsid w:val="003C08A8"/>
    <w:rsid w:val="003C0A3A"/>
    <w:rsid w:val="003C341D"/>
    <w:rsid w:val="003C5CE4"/>
    <w:rsid w:val="003D0BB5"/>
    <w:rsid w:val="003D1F88"/>
    <w:rsid w:val="003D6119"/>
    <w:rsid w:val="003E019B"/>
    <w:rsid w:val="003E033A"/>
    <w:rsid w:val="003E0D45"/>
    <w:rsid w:val="003E1C66"/>
    <w:rsid w:val="003E248A"/>
    <w:rsid w:val="003E4B6F"/>
    <w:rsid w:val="003E6B12"/>
    <w:rsid w:val="004000DE"/>
    <w:rsid w:val="00400BDF"/>
    <w:rsid w:val="004016B6"/>
    <w:rsid w:val="00401E7F"/>
    <w:rsid w:val="00402629"/>
    <w:rsid w:val="00402E34"/>
    <w:rsid w:val="0040388B"/>
    <w:rsid w:val="0040471F"/>
    <w:rsid w:val="004057CE"/>
    <w:rsid w:val="00411170"/>
    <w:rsid w:val="00412C7B"/>
    <w:rsid w:val="00413344"/>
    <w:rsid w:val="00415DB0"/>
    <w:rsid w:val="004163B2"/>
    <w:rsid w:val="00421AA8"/>
    <w:rsid w:val="00425929"/>
    <w:rsid w:val="00426CB6"/>
    <w:rsid w:val="00427695"/>
    <w:rsid w:val="00434473"/>
    <w:rsid w:val="00436BD2"/>
    <w:rsid w:val="00437BB6"/>
    <w:rsid w:val="00440970"/>
    <w:rsid w:val="0044418E"/>
    <w:rsid w:val="00444BAD"/>
    <w:rsid w:val="00446638"/>
    <w:rsid w:val="004479F1"/>
    <w:rsid w:val="0045005B"/>
    <w:rsid w:val="0045017A"/>
    <w:rsid w:val="004533C9"/>
    <w:rsid w:val="00453DEB"/>
    <w:rsid w:val="00460923"/>
    <w:rsid w:val="00460C2A"/>
    <w:rsid w:val="0046212B"/>
    <w:rsid w:val="00462A1E"/>
    <w:rsid w:val="00462C37"/>
    <w:rsid w:val="00463854"/>
    <w:rsid w:val="004647CA"/>
    <w:rsid w:val="00473151"/>
    <w:rsid w:val="00473EA3"/>
    <w:rsid w:val="00473FAF"/>
    <w:rsid w:val="004744B8"/>
    <w:rsid w:val="00475BB3"/>
    <w:rsid w:val="00480DB7"/>
    <w:rsid w:val="00481A46"/>
    <w:rsid w:val="0048606C"/>
    <w:rsid w:val="004864F4"/>
    <w:rsid w:val="00492225"/>
    <w:rsid w:val="004929AC"/>
    <w:rsid w:val="004937FF"/>
    <w:rsid w:val="004949AC"/>
    <w:rsid w:val="004A189A"/>
    <w:rsid w:val="004A32CF"/>
    <w:rsid w:val="004A359A"/>
    <w:rsid w:val="004A3657"/>
    <w:rsid w:val="004A38E3"/>
    <w:rsid w:val="004A420B"/>
    <w:rsid w:val="004A4F4E"/>
    <w:rsid w:val="004A5273"/>
    <w:rsid w:val="004A5417"/>
    <w:rsid w:val="004A66E6"/>
    <w:rsid w:val="004A7049"/>
    <w:rsid w:val="004B21FA"/>
    <w:rsid w:val="004B2483"/>
    <w:rsid w:val="004B447A"/>
    <w:rsid w:val="004B524F"/>
    <w:rsid w:val="004B5591"/>
    <w:rsid w:val="004B6FE0"/>
    <w:rsid w:val="004B74D4"/>
    <w:rsid w:val="004C07FC"/>
    <w:rsid w:val="004C0A99"/>
    <w:rsid w:val="004C0CB0"/>
    <w:rsid w:val="004C1009"/>
    <w:rsid w:val="004C17E6"/>
    <w:rsid w:val="004C3842"/>
    <w:rsid w:val="004C79ED"/>
    <w:rsid w:val="004C9383"/>
    <w:rsid w:val="004D0A33"/>
    <w:rsid w:val="004D0C0F"/>
    <w:rsid w:val="004D1286"/>
    <w:rsid w:val="004D17AF"/>
    <w:rsid w:val="004D1E0C"/>
    <w:rsid w:val="004D1F16"/>
    <w:rsid w:val="004D2172"/>
    <w:rsid w:val="004D3029"/>
    <w:rsid w:val="004D33CF"/>
    <w:rsid w:val="004D3C2F"/>
    <w:rsid w:val="004D4A9B"/>
    <w:rsid w:val="004D4B2A"/>
    <w:rsid w:val="004D620E"/>
    <w:rsid w:val="004D6987"/>
    <w:rsid w:val="004E013E"/>
    <w:rsid w:val="004E09AC"/>
    <w:rsid w:val="004E0D79"/>
    <w:rsid w:val="004E4F29"/>
    <w:rsid w:val="004F01A8"/>
    <w:rsid w:val="004F0573"/>
    <w:rsid w:val="004F0815"/>
    <w:rsid w:val="004F121B"/>
    <w:rsid w:val="004F4B2E"/>
    <w:rsid w:val="004F653E"/>
    <w:rsid w:val="00501533"/>
    <w:rsid w:val="005032DB"/>
    <w:rsid w:val="00503505"/>
    <w:rsid w:val="0050436B"/>
    <w:rsid w:val="005052DE"/>
    <w:rsid w:val="00506B39"/>
    <w:rsid w:val="0051087A"/>
    <w:rsid w:val="00510EDD"/>
    <w:rsid w:val="00511291"/>
    <w:rsid w:val="005139CB"/>
    <w:rsid w:val="00514182"/>
    <w:rsid w:val="00514DF1"/>
    <w:rsid w:val="00516234"/>
    <w:rsid w:val="00520F07"/>
    <w:rsid w:val="005227AF"/>
    <w:rsid w:val="00523AD0"/>
    <w:rsid w:val="00525578"/>
    <w:rsid w:val="005340DD"/>
    <w:rsid w:val="00536560"/>
    <w:rsid w:val="005379CD"/>
    <w:rsid w:val="00537AC0"/>
    <w:rsid w:val="0054061A"/>
    <w:rsid w:val="00542AA5"/>
    <w:rsid w:val="005438A7"/>
    <w:rsid w:val="00543F2B"/>
    <w:rsid w:val="00544F16"/>
    <w:rsid w:val="00545FDD"/>
    <w:rsid w:val="005466BB"/>
    <w:rsid w:val="00546E44"/>
    <w:rsid w:val="00550AA9"/>
    <w:rsid w:val="00553307"/>
    <w:rsid w:val="00553BC0"/>
    <w:rsid w:val="005563BC"/>
    <w:rsid w:val="005566C0"/>
    <w:rsid w:val="005570CC"/>
    <w:rsid w:val="00560EA9"/>
    <w:rsid w:val="00561AF8"/>
    <w:rsid w:val="00563E27"/>
    <w:rsid w:val="005658A1"/>
    <w:rsid w:val="00565CDE"/>
    <w:rsid w:val="00567FE4"/>
    <w:rsid w:val="00572AE6"/>
    <w:rsid w:val="0057487A"/>
    <w:rsid w:val="00575D35"/>
    <w:rsid w:val="00584CAF"/>
    <w:rsid w:val="00586B3E"/>
    <w:rsid w:val="005901B3"/>
    <w:rsid w:val="00590944"/>
    <w:rsid w:val="00595E4F"/>
    <w:rsid w:val="005A02C5"/>
    <w:rsid w:val="005A21BE"/>
    <w:rsid w:val="005A2F4B"/>
    <w:rsid w:val="005A3DBB"/>
    <w:rsid w:val="005A46E4"/>
    <w:rsid w:val="005A4902"/>
    <w:rsid w:val="005A4C37"/>
    <w:rsid w:val="005A682F"/>
    <w:rsid w:val="005A7011"/>
    <w:rsid w:val="005A77DB"/>
    <w:rsid w:val="005B175A"/>
    <w:rsid w:val="005B2926"/>
    <w:rsid w:val="005B318F"/>
    <w:rsid w:val="005B3459"/>
    <w:rsid w:val="005B375F"/>
    <w:rsid w:val="005B5044"/>
    <w:rsid w:val="005B5829"/>
    <w:rsid w:val="005B634B"/>
    <w:rsid w:val="005B7CD4"/>
    <w:rsid w:val="005C1318"/>
    <w:rsid w:val="005C18DB"/>
    <w:rsid w:val="005C3620"/>
    <w:rsid w:val="005C3799"/>
    <w:rsid w:val="005C3F92"/>
    <w:rsid w:val="005C4014"/>
    <w:rsid w:val="005C4FBE"/>
    <w:rsid w:val="005D2168"/>
    <w:rsid w:val="005D2FEA"/>
    <w:rsid w:val="005D45AA"/>
    <w:rsid w:val="005D56BB"/>
    <w:rsid w:val="005D772E"/>
    <w:rsid w:val="005E0AFF"/>
    <w:rsid w:val="005E14FE"/>
    <w:rsid w:val="005E1DF5"/>
    <w:rsid w:val="005E37F4"/>
    <w:rsid w:val="005E552D"/>
    <w:rsid w:val="005F0617"/>
    <w:rsid w:val="005F1720"/>
    <w:rsid w:val="005F250E"/>
    <w:rsid w:val="005F2B07"/>
    <w:rsid w:val="005F49A1"/>
    <w:rsid w:val="005F58D3"/>
    <w:rsid w:val="005F5CF5"/>
    <w:rsid w:val="005F64C3"/>
    <w:rsid w:val="005F7E7F"/>
    <w:rsid w:val="00600450"/>
    <w:rsid w:val="0060121A"/>
    <w:rsid w:val="0060613A"/>
    <w:rsid w:val="00611BE4"/>
    <w:rsid w:val="00612468"/>
    <w:rsid w:val="006125D8"/>
    <w:rsid w:val="0061267A"/>
    <w:rsid w:val="006137D0"/>
    <w:rsid w:val="006157B0"/>
    <w:rsid w:val="00616319"/>
    <w:rsid w:val="006224B8"/>
    <w:rsid w:val="00626916"/>
    <w:rsid w:val="00630A54"/>
    <w:rsid w:val="00632634"/>
    <w:rsid w:val="006332E0"/>
    <w:rsid w:val="00635460"/>
    <w:rsid w:val="00636C13"/>
    <w:rsid w:val="00640FA6"/>
    <w:rsid w:val="00640FB7"/>
    <w:rsid w:val="00642D92"/>
    <w:rsid w:val="006514E4"/>
    <w:rsid w:val="00652A31"/>
    <w:rsid w:val="00654DEA"/>
    <w:rsid w:val="00656284"/>
    <w:rsid w:val="00656B51"/>
    <w:rsid w:val="00656B68"/>
    <w:rsid w:val="00660CC0"/>
    <w:rsid w:val="00665058"/>
    <w:rsid w:val="00665241"/>
    <w:rsid w:val="00665CDE"/>
    <w:rsid w:val="00667F99"/>
    <w:rsid w:val="00670AEE"/>
    <w:rsid w:val="00677CB4"/>
    <w:rsid w:val="0068293F"/>
    <w:rsid w:val="00690216"/>
    <w:rsid w:val="006931EA"/>
    <w:rsid w:val="00695FEF"/>
    <w:rsid w:val="006A129F"/>
    <w:rsid w:val="006A1A6A"/>
    <w:rsid w:val="006A342B"/>
    <w:rsid w:val="006A4473"/>
    <w:rsid w:val="006A5F81"/>
    <w:rsid w:val="006C428E"/>
    <w:rsid w:val="006C4340"/>
    <w:rsid w:val="006C5837"/>
    <w:rsid w:val="006C7298"/>
    <w:rsid w:val="006D0355"/>
    <w:rsid w:val="006D0EA8"/>
    <w:rsid w:val="006D3243"/>
    <w:rsid w:val="006D543F"/>
    <w:rsid w:val="006D5907"/>
    <w:rsid w:val="006D7244"/>
    <w:rsid w:val="006D7A18"/>
    <w:rsid w:val="006E0705"/>
    <w:rsid w:val="006E770B"/>
    <w:rsid w:val="006F0BE3"/>
    <w:rsid w:val="006F3786"/>
    <w:rsid w:val="006F4337"/>
    <w:rsid w:val="006F4834"/>
    <w:rsid w:val="006F57DE"/>
    <w:rsid w:val="006F6770"/>
    <w:rsid w:val="006F7204"/>
    <w:rsid w:val="00700D20"/>
    <w:rsid w:val="00701285"/>
    <w:rsid w:val="00701C46"/>
    <w:rsid w:val="00703FD1"/>
    <w:rsid w:val="00707621"/>
    <w:rsid w:val="007115F5"/>
    <w:rsid w:val="0071257D"/>
    <w:rsid w:val="00714398"/>
    <w:rsid w:val="0071457F"/>
    <w:rsid w:val="00714BE5"/>
    <w:rsid w:val="00716206"/>
    <w:rsid w:val="00717C6B"/>
    <w:rsid w:val="007200BC"/>
    <w:rsid w:val="00720A0E"/>
    <w:rsid w:val="00720C18"/>
    <w:rsid w:val="007211D1"/>
    <w:rsid w:val="00722770"/>
    <w:rsid w:val="00723F03"/>
    <w:rsid w:val="0072624D"/>
    <w:rsid w:val="007263F5"/>
    <w:rsid w:val="007321C5"/>
    <w:rsid w:val="00734474"/>
    <w:rsid w:val="00734AAF"/>
    <w:rsid w:val="00735A96"/>
    <w:rsid w:val="0073642C"/>
    <w:rsid w:val="00737948"/>
    <w:rsid w:val="00741CD7"/>
    <w:rsid w:val="007441F4"/>
    <w:rsid w:val="007444F5"/>
    <w:rsid w:val="0074481C"/>
    <w:rsid w:val="00745E75"/>
    <w:rsid w:val="00747A26"/>
    <w:rsid w:val="007515BD"/>
    <w:rsid w:val="00752E1F"/>
    <w:rsid w:val="007572F4"/>
    <w:rsid w:val="00760627"/>
    <w:rsid w:val="00760AC1"/>
    <w:rsid w:val="00761F43"/>
    <w:rsid w:val="007635F5"/>
    <w:rsid w:val="00764A40"/>
    <w:rsid w:val="00765B20"/>
    <w:rsid w:val="00765B3E"/>
    <w:rsid w:val="00767891"/>
    <w:rsid w:val="00771487"/>
    <w:rsid w:val="00772145"/>
    <w:rsid w:val="007741F0"/>
    <w:rsid w:val="00774D7C"/>
    <w:rsid w:val="00775682"/>
    <w:rsid w:val="00776492"/>
    <w:rsid w:val="007773A5"/>
    <w:rsid w:val="00780998"/>
    <w:rsid w:val="007848A1"/>
    <w:rsid w:val="007850A0"/>
    <w:rsid w:val="00785DC7"/>
    <w:rsid w:val="00791531"/>
    <w:rsid w:val="00792B0B"/>
    <w:rsid w:val="00792D7F"/>
    <w:rsid w:val="00796A04"/>
    <w:rsid w:val="007A3002"/>
    <w:rsid w:val="007A3781"/>
    <w:rsid w:val="007A62B8"/>
    <w:rsid w:val="007B0CDD"/>
    <w:rsid w:val="007B6D33"/>
    <w:rsid w:val="007B75D2"/>
    <w:rsid w:val="007C0345"/>
    <w:rsid w:val="007C253C"/>
    <w:rsid w:val="007C38CC"/>
    <w:rsid w:val="007C48BF"/>
    <w:rsid w:val="007C7C91"/>
    <w:rsid w:val="007D1617"/>
    <w:rsid w:val="007D2458"/>
    <w:rsid w:val="007D5AAF"/>
    <w:rsid w:val="007D6A10"/>
    <w:rsid w:val="007E1956"/>
    <w:rsid w:val="007E21A8"/>
    <w:rsid w:val="007E719A"/>
    <w:rsid w:val="007F1D28"/>
    <w:rsid w:val="007F431D"/>
    <w:rsid w:val="007F4829"/>
    <w:rsid w:val="007F5F07"/>
    <w:rsid w:val="007F6352"/>
    <w:rsid w:val="00800760"/>
    <w:rsid w:val="00800D51"/>
    <w:rsid w:val="00800D53"/>
    <w:rsid w:val="00801073"/>
    <w:rsid w:val="00802A5F"/>
    <w:rsid w:val="00804578"/>
    <w:rsid w:val="0080611E"/>
    <w:rsid w:val="00810D7D"/>
    <w:rsid w:val="0081209B"/>
    <w:rsid w:val="008159F0"/>
    <w:rsid w:val="008161B4"/>
    <w:rsid w:val="0082039C"/>
    <w:rsid w:val="008222FE"/>
    <w:rsid w:val="00824385"/>
    <w:rsid w:val="00830A52"/>
    <w:rsid w:val="008316AD"/>
    <w:rsid w:val="00831895"/>
    <w:rsid w:val="00833DA9"/>
    <w:rsid w:val="0083468E"/>
    <w:rsid w:val="0083798F"/>
    <w:rsid w:val="00837E5F"/>
    <w:rsid w:val="008404A3"/>
    <w:rsid w:val="00841F1C"/>
    <w:rsid w:val="00842657"/>
    <w:rsid w:val="00842748"/>
    <w:rsid w:val="00843F18"/>
    <w:rsid w:val="008452C7"/>
    <w:rsid w:val="00845751"/>
    <w:rsid w:val="008459CB"/>
    <w:rsid w:val="00846544"/>
    <w:rsid w:val="00851048"/>
    <w:rsid w:val="008520B0"/>
    <w:rsid w:val="008601C5"/>
    <w:rsid w:val="00864A30"/>
    <w:rsid w:val="00864EC5"/>
    <w:rsid w:val="008677EA"/>
    <w:rsid w:val="00872E68"/>
    <w:rsid w:val="00872EC7"/>
    <w:rsid w:val="00873725"/>
    <w:rsid w:val="0087505C"/>
    <w:rsid w:val="008764B2"/>
    <w:rsid w:val="00876C15"/>
    <w:rsid w:val="00876E82"/>
    <w:rsid w:val="00880D9C"/>
    <w:rsid w:val="00882B99"/>
    <w:rsid w:val="00885757"/>
    <w:rsid w:val="008858C2"/>
    <w:rsid w:val="00886A55"/>
    <w:rsid w:val="00886B73"/>
    <w:rsid w:val="0089038A"/>
    <w:rsid w:val="00892D84"/>
    <w:rsid w:val="00893193"/>
    <w:rsid w:val="008975A9"/>
    <w:rsid w:val="008A3C4F"/>
    <w:rsid w:val="008A50A3"/>
    <w:rsid w:val="008A6E7D"/>
    <w:rsid w:val="008A71BC"/>
    <w:rsid w:val="008B068C"/>
    <w:rsid w:val="008B14E2"/>
    <w:rsid w:val="008B1FD3"/>
    <w:rsid w:val="008B2BFC"/>
    <w:rsid w:val="008B73CC"/>
    <w:rsid w:val="008D0CAE"/>
    <w:rsid w:val="008D266C"/>
    <w:rsid w:val="008D272F"/>
    <w:rsid w:val="008D61E9"/>
    <w:rsid w:val="008E0BF7"/>
    <w:rsid w:val="008E1BC4"/>
    <w:rsid w:val="008E2994"/>
    <w:rsid w:val="008E31FC"/>
    <w:rsid w:val="008E5BFB"/>
    <w:rsid w:val="008E75CC"/>
    <w:rsid w:val="008F0081"/>
    <w:rsid w:val="008F2C4C"/>
    <w:rsid w:val="008F3DB8"/>
    <w:rsid w:val="008F46A7"/>
    <w:rsid w:val="008F5610"/>
    <w:rsid w:val="008F59CD"/>
    <w:rsid w:val="00900EC8"/>
    <w:rsid w:val="009017B1"/>
    <w:rsid w:val="00902189"/>
    <w:rsid w:val="00905BCF"/>
    <w:rsid w:val="00906F5E"/>
    <w:rsid w:val="00907266"/>
    <w:rsid w:val="0090735B"/>
    <w:rsid w:val="009108C7"/>
    <w:rsid w:val="00910A38"/>
    <w:rsid w:val="00913571"/>
    <w:rsid w:val="009135E9"/>
    <w:rsid w:val="00914987"/>
    <w:rsid w:val="00915505"/>
    <w:rsid w:val="00916C4B"/>
    <w:rsid w:val="00916D53"/>
    <w:rsid w:val="00917CFB"/>
    <w:rsid w:val="0092030B"/>
    <w:rsid w:val="0092063D"/>
    <w:rsid w:val="00920704"/>
    <w:rsid w:val="00921035"/>
    <w:rsid w:val="009214C0"/>
    <w:rsid w:val="00925A1A"/>
    <w:rsid w:val="009278CD"/>
    <w:rsid w:val="009279AA"/>
    <w:rsid w:val="00932AEF"/>
    <w:rsid w:val="009367FF"/>
    <w:rsid w:val="009421E7"/>
    <w:rsid w:val="00942DA6"/>
    <w:rsid w:val="009475AC"/>
    <w:rsid w:val="00947CC4"/>
    <w:rsid w:val="009506B4"/>
    <w:rsid w:val="009572C7"/>
    <w:rsid w:val="00960D5A"/>
    <w:rsid w:val="00961541"/>
    <w:rsid w:val="00962EAA"/>
    <w:rsid w:val="00972560"/>
    <w:rsid w:val="0097264D"/>
    <w:rsid w:val="00972A65"/>
    <w:rsid w:val="00976652"/>
    <w:rsid w:val="00977547"/>
    <w:rsid w:val="00977776"/>
    <w:rsid w:val="009831DF"/>
    <w:rsid w:val="00983ED5"/>
    <w:rsid w:val="00985787"/>
    <w:rsid w:val="0099095F"/>
    <w:rsid w:val="009939F1"/>
    <w:rsid w:val="009960EB"/>
    <w:rsid w:val="00996B19"/>
    <w:rsid w:val="009A012C"/>
    <w:rsid w:val="009A1C2A"/>
    <w:rsid w:val="009A227D"/>
    <w:rsid w:val="009B027A"/>
    <w:rsid w:val="009B365E"/>
    <w:rsid w:val="009B4846"/>
    <w:rsid w:val="009B487D"/>
    <w:rsid w:val="009B4CBC"/>
    <w:rsid w:val="009B4D19"/>
    <w:rsid w:val="009B5312"/>
    <w:rsid w:val="009B569A"/>
    <w:rsid w:val="009B5C26"/>
    <w:rsid w:val="009C1440"/>
    <w:rsid w:val="009C2043"/>
    <w:rsid w:val="009C36DC"/>
    <w:rsid w:val="009C40BF"/>
    <w:rsid w:val="009C50FD"/>
    <w:rsid w:val="009C55BB"/>
    <w:rsid w:val="009D3527"/>
    <w:rsid w:val="009D3669"/>
    <w:rsid w:val="009D3A64"/>
    <w:rsid w:val="009D4D8A"/>
    <w:rsid w:val="009D5BF7"/>
    <w:rsid w:val="009D5F48"/>
    <w:rsid w:val="009D7585"/>
    <w:rsid w:val="009E1E7A"/>
    <w:rsid w:val="009E79A9"/>
    <w:rsid w:val="009F11CB"/>
    <w:rsid w:val="009F56D1"/>
    <w:rsid w:val="00A02244"/>
    <w:rsid w:val="00A031F3"/>
    <w:rsid w:val="00A036A4"/>
    <w:rsid w:val="00A0752C"/>
    <w:rsid w:val="00A10F1B"/>
    <w:rsid w:val="00A146AB"/>
    <w:rsid w:val="00A14943"/>
    <w:rsid w:val="00A15C9F"/>
    <w:rsid w:val="00A16863"/>
    <w:rsid w:val="00A2366E"/>
    <w:rsid w:val="00A242A0"/>
    <w:rsid w:val="00A2465D"/>
    <w:rsid w:val="00A24754"/>
    <w:rsid w:val="00A25358"/>
    <w:rsid w:val="00A25AC0"/>
    <w:rsid w:val="00A31A06"/>
    <w:rsid w:val="00A32CA3"/>
    <w:rsid w:val="00A32F2D"/>
    <w:rsid w:val="00A33226"/>
    <w:rsid w:val="00A34C6F"/>
    <w:rsid w:val="00A35132"/>
    <w:rsid w:val="00A365E5"/>
    <w:rsid w:val="00A36D71"/>
    <w:rsid w:val="00A40B38"/>
    <w:rsid w:val="00A45F8E"/>
    <w:rsid w:val="00A4639F"/>
    <w:rsid w:val="00A46CEF"/>
    <w:rsid w:val="00A47B00"/>
    <w:rsid w:val="00A50367"/>
    <w:rsid w:val="00A51C63"/>
    <w:rsid w:val="00A51DDF"/>
    <w:rsid w:val="00A5315B"/>
    <w:rsid w:val="00A544B3"/>
    <w:rsid w:val="00A546F9"/>
    <w:rsid w:val="00A60B32"/>
    <w:rsid w:val="00A663FC"/>
    <w:rsid w:val="00A82C22"/>
    <w:rsid w:val="00A86C59"/>
    <w:rsid w:val="00A87E2D"/>
    <w:rsid w:val="00A906EF"/>
    <w:rsid w:val="00A91539"/>
    <w:rsid w:val="00A935F8"/>
    <w:rsid w:val="00A95081"/>
    <w:rsid w:val="00A9541E"/>
    <w:rsid w:val="00A97D39"/>
    <w:rsid w:val="00AA20DF"/>
    <w:rsid w:val="00AA351A"/>
    <w:rsid w:val="00AA3936"/>
    <w:rsid w:val="00AA4CAD"/>
    <w:rsid w:val="00AA4F9B"/>
    <w:rsid w:val="00AA5809"/>
    <w:rsid w:val="00AB2599"/>
    <w:rsid w:val="00AB494D"/>
    <w:rsid w:val="00AB6E8F"/>
    <w:rsid w:val="00AB7BF6"/>
    <w:rsid w:val="00AC1D54"/>
    <w:rsid w:val="00AC23AE"/>
    <w:rsid w:val="00AC4B7A"/>
    <w:rsid w:val="00AC7CE6"/>
    <w:rsid w:val="00AD0BF4"/>
    <w:rsid w:val="00AD1EEB"/>
    <w:rsid w:val="00AD53FE"/>
    <w:rsid w:val="00AE1AD8"/>
    <w:rsid w:val="00AE1D18"/>
    <w:rsid w:val="00AE4972"/>
    <w:rsid w:val="00AE68F9"/>
    <w:rsid w:val="00AF3EE3"/>
    <w:rsid w:val="00AF4861"/>
    <w:rsid w:val="00AF5903"/>
    <w:rsid w:val="00AF707A"/>
    <w:rsid w:val="00B01A6D"/>
    <w:rsid w:val="00B02D9F"/>
    <w:rsid w:val="00B0565C"/>
    <w:rsid w:val="00B1409D"/>
    <w:rsid w:val="00B148DC"/>
    <w:rsid w:val="00B14E4D"/>
    <w:rsid w:val="00B21D1D"/>
    <w:rsid w:val="00B240D0"/>
    <w:rsid w:val="00B24B41"/>
    <w:rsid w:val="00B2706E"/>
    <w:rsid w:val="00B31FC3"/>
    <w:rsid w:val="00B34DD3"/>
    <w:rsid w:val="00B36FF3"/>
    <w:rsid w:val="00B412D1"/>
    <w:rsid w:val="00B436BD"/>
    <w:rsid w:val="00B44EED"/>
    <w:rsid w:val="00B46F95"/>
    <w:rsid w:val="00B471C9"/>
    <w:rsid w:val="00B522FB"/>
    <w:rsid w:val="00B53835"/>
    <w:rsid w:val="00B55A67"/>
    <w:rsid w:val="00B55F12"/>
    <w:rsid w:val="00B6027B"/>
    <w:rsid w:val="00B61D3B"/>
    <w:rsid w:val="00B620A4"/>
    <w:rsid w:val="00B63517"/>
    <w:rsid w:val="00B6459C"/>
    <w:rsid w:val="00B64DCD"/>
    <w:rsid w:val="00B65C30"/>
    <w:rsid w:val="00B66159"/>
    <w:rsid w:val="00B73D7B"/>
    <w:rsid w:val="00B9018F"/>
    <w:rsid w:val="00B94E31"/>
    <w:rsid w:val="00B9588A"/>
    <w:rsid w:val="00B96F2B"/>
    <w:rsid w:val="00B970D5"/>
    <w:rsid w:val="00B97394"/>
    <w:rsid w:val="00BA1512"/>
    <w:rsid w:val="00BA2D7A"/>
    <w:rsid w:val="00BA36EC"/>
    <w:rsid w:val="00BA675B"/>
    <w:rsid w:val="00BA79AB"/>
    <w:rsid w:val="00BB01E0"/>
    <w:rsid w:val="00BB03D9"/>
    <w:rsid w:val="00BB0681"/>
    <w:rsid w:val="00BB35A8"/>
    <w:rsid w:val="00BB4307"/>
    <w:rsid w:val="00BB452F"/>
    <w:rsid w:val="00BB4FA4"/>
    <w:rsid w:val="00BC03B1"/>
    <w:rsid w:val="00BC07B9"/>
    <w:rsid w:val="00BC262D"/>
    <w:rsid w:val="00BC64FA"/>
    <w:rsid w:val="00BD0796"/>
    <w:rsid w:val="00BD0E33"/>
    <w:rsid w:val="00BD2CBC"/>
    <w:rsid w:val="00BD4051"/>
    <w:rsid w:val="00BD5E0C"/>
    <w:rsid w:val="00BD6107"/>
    <w:rsid w:val="00BD746C"/>
    <w:rsid w:val="00BD7975"/>
    <w:rsid w:val="00BE11A6"/>
    <w:rsid w:val="00BE1716"/>
    <w:rsid w:val="00BE6D6E"/>
    <w:rsid w:val="00BF0C64"/>
    <w:rsid w:val="00BF0E7B"/>
    <w:rsid w:val="00BF0E8D"/>
    <w:rsid w:val="00BF1620"/>
    <w:rsid w:val="00BF19B8"/>
    <w:rsid w:val="00BF7343"/>
    <w:rsid w:val="00C014FD"/>
    <w:rsid w:val="00C02328"/>
    <w:rsid w:val="00C05AE0"/>
    <w:rsid w:val="00C068BD"/>
    <w:rsid w:val="00C1005B"/>
    <w:rsid w:val="00C102B8"/>
    <w:rsid w:val="00C12618"/>
    <w:rsid w:val="00C13BA7"/>
    <w:rsid w:val="00C21690"/>
    <w:rsid w:val="00C225DA"/>
    <w:rsid w:val="00C258AB"/>
    <w:rsid w:val="00C26ABF"/>
    <w:rsid w:val="00C26AD8"/>
    <w:rsid w:val="00C300AD"/>
    <w:rsid w:val="00C3051B"/>
    <w:rsid w:val="00C311E9"/>
    <w:rsid w:val="00C32C76"/>
    <w:rsid w:val="00C336DA"/>
    <w:rsid w:val="00C378B5"/>
    <w:rsid w:val="00C41A3D"/>
    <w:rsid w:val="00C447ED"/>
    <w:rsid w:val="00C46A99"/>
    <w:rsid w:val="00C53DAA"/>
    <w:rsid w:val="00C54C56"/>
    <w:rsid w:val="00C55AD5"/>
    <w:rsid w:val="00C56A0B"/>
    <w:rsid w:val="00C6347B"/>
    <w:rsid w:val="00C63A1E"/>
    <w:rsid w:val="00C65EE6"/>
    <w:rsid w:val="00C70148"/>
    <w:rsid w:val="00C711A7"/>
    <w:rsid w:val="00C71718"/>
    <w:rsid w:val="00C72957"/>
    <w:rsid w:val="00C7389C"/>
    <w:rsid w:val="00C74404"/>
    <w:rsid w:val="00C74870"/>
    <w:rsid w:val="00C74FD2"/>
    <w:rsid w:val="00C75C9C"/>
    <w:rsid w:val="00C84005"/>
    <w:rsid w:val="00C853F2"/>
    <w:rsid w:val="00C858C4"/>
    <w:rsid w:val="00C9034C"/>
    <w:rsid w:val="00C93495"/>
    <w:rsid w:val="00C93664"/>
    <w:rsid w:val="00C956F4"/>
    <w:rsid w:val="00C95E57"/>
    <w:rsid w:val="00CA1CA4"/>
    <w:rsid w:val="00CA2191"/>
    <w:rsid w:val="00CA241A"/>
    <w:rsid w:val="00CA6044"/>
    <w:rsid w:val="00CB404B"/>
    <w:rsid w:val="00CB43FF"/>
    <w:rsid w:val="00CB49B2"/>
    <w:rsid w:val="00CC3168"/>
    <w:rsid w:val="00CC31C9"/>
    <w:rsid w:val="00CD0FD8"/>
    <w:rsid w:val="00CE2803"/>
    <w:rsid w:val="00CE3AA5"/>
    <w:rsid w:val="00CE7039"/>
    <w:rsid w:val="00CE707B"/>
    <w:rsid w:val="00CF12A1"/>
    <w:rsid w:val="00CF20E7"/>
    <w:rsid w:val="00CF319E"/>
    <w:rsid w:val="00CF3A55"/>
    <w:rsid w:val="00CF3D6D"/>
    <w:rsid w:val="00CF3EA7"/>
    <w:rsid w:val="00CF605F"/>
    <w:rsid w:val="00CF6B66"/>
    <w:rsid w:val="00CF7B02"/>
    <w:rsid w:val="00D021CD"/>
    <w:rsid w:val="00D049EE"/>
    <w:rsid w:val="00D051A5"/>
    <w:rsid w:val="00D05531"/>
    <w:rsid w:val="00D05646"/>
    <w:rsid w:val="00D108FC"/>
    <w:rsid w:val="00D2076A"/>
    <w:rsid w:val="00D221E7"/>
    <w:rsid w:val="00D22C04"/>
    <w:rsid w:val="00D24196"/>
    <w:rsid w:val="00D2760E"/>
    <w:rsid w:val="00D310DD"/>
    <w:rsid w:val="00D31BA7"/>
    <w:rsid w:val="00D356FA"/>
    <w:rsid w:val="00D40DE7"/>
    <w:rsid w:val="00D414BC"/>
    <w:rsid w:val="00D42DA5"/>
    <w:rsid w:val="00D507CA"/>
    <w:rsid w:val="00D51A2C"/>
    <w:rsid w:val="00D53E0F"/>
    <w:rsid w:val="00D555A3"/>
    <w:rsid w:val="00D61632"/>
    <w:rsid w:val="00D622A1"/>
    <w:rsid w:val="00D65F70"/>
    <w:rsid w:val="00D66239"/>
    <w:rsid w:val="00D66F13"/>
    <w:rsid w:val="00D67288"/>
    <w:rsid w:val="00D67EC8"/>
    <w:rsid w:val="00D72048"/>
    <w:rsid w:val="00D734BE"/>
    <w:rsid w:val="00D74DE9"/>
    <w:rsid w:val="00D76BCE"/>
    <w:rsid w:val="00D77021"/>
    <w:rsid w:val="00D77846"/>
    <w:rsid w:val="00D7791E"/>
    <w:rsid w:val="00D80E82"/>
    <w:rsid w:val="00D81DE8"/>
    <w:rsid w:val="00D83F06"/>
    <w:rsid w:val="00D84A51"/>
    <w:rsid w:val="00D85465"/>
    <w:rsid w:val="00D87E9E"/>
    <w:rsid w:val="00D9083B"/>
    <w:rsid w:val="00D908DD"/>
    <w:rsid w:val="00D91C01"/>
    <w:rsid w:val="00D9301B"/>
    <w:rsid w:val="00D93934"/>
    <w:rsid w:val="00D96105"/>
    <w:rsid w:val="00D978A2"/>
    <w:rsid w:val="00DA2BF1"/>
    <w:rsid w:val="00DA313F"/>
    <w:rsid w:val="00DA3FD7"/>
    <w:rsid w:val="00DA4001"/>
    <w:rsid w:val="00DA4087"/>
    <w:rsid w:val="00DA5BB5"/>
    <w:rsid w:val="00DA631A"/>
    <w:rsid w:val="00DA6EF6"/>
    <w:rsid w:val="00DB1DEE"/>
    <w:rsid w:val="00DB31F1"/>
    <w:rsid w:val="00DB33C9"/>
    <w:rsid w:val="00DB34FE"/>
    <w:rsid w:val="00DB6167"/>
    <w:rsid w:val="00DB7BEE"/>
    <w:rsid w:val="00DC04C0"/>
    <w:rsid w:val="00DC1894"/>
    <w:rsid w:val="00DC4791"/>
    <w:rsid w:val="00DC4E07"/>
    <w:rsid w:val="00DC6C76"/>
    <w:rsid w:val="00DC70CC"/>
    <w:rsid w:val="00DD39C7"/>
    <w:rsid w:val="00DD3B60"/>
    <w:rsid w:val="00DD5D31"/>
    <w:rsid w:val="00DD6C66"/>
    <w:rsid w:val="00DD772E"/>
    <w:rsid w:val="00DE17AA"/>
    <w:rsid w:val="00DE4020"/>
    <w:rsid w:val="00DE4B23"/>
    <w:rsid w:val="00DF0573"/>
    <w:rsid w:val="00DF0640"/>
    <w:rsid w:val="00DF346A"/>
    <w:rsid w:val="00DF60A5"/>
    <w:rsid w:val="00DF7BED"/>
    <w:rsid w:val="00E055F2"/>
    <w:rsid w:val="00E05EB4"/>
    <w:rsid w:val="00E063DE"/>
    <w:rsid w:val="00E06877"/>
    <w:rsid w:val="00E06A4E"/>
    <w:rsid w:val="00E07AA3"/>
    <w:rsid w:val="00E125B0"/>
    <w:rsid w:val="00E12932"/>
    <w:rsid w:val="00E14017"/>
    <w:rsid w:val="00E171DB"/>
    <w:rsid w:val="00E17CD0"/>
    <w:rsid w:val="00E22554"/>
    <w:rsid w:val="00E2447F"/>
    <w:rsid w:val="00E311AF"/>
    <w:rsid w:val="00E342D3"/>
    <w:rsid w:val="00E379AF"/>
    <w:rsid w:val="00E42925"/>
    <w:rsid w:val="00E46286"/>
    <w:rsid w:val="00E50D27"/>
    <w:rsid w:val="00E522C4"/>
    <w:rsid w:val="00E533D6"/>
    <w:rsid w:val="00E547B3"/>
    <w:rsid w:val="00E55DF8"/>
    <w:rsid w:val="00E6059A"/>
    <w:rsid w:val="00E70B2E"/>
    <w:rsid w:val="00E7174F"/>
    <w:rsid w:val="00E7381E"/>
    <w:rsid w:val="00E75012"/>
    <w:rsid w:val="00E76E0F"/>
    <w:rsid w:val="00E778B2"/>
    <w:rsid w:val="00E77A4C"/>
    <w:rsid w:val="00E86D24"/>
    <w:rsid w:val="00E87C71"/>
    <w:rsid w:val="00E9233F"/>
    <w:rsid w:val="00E92493"/>
    <w:rsid w:val="00E9475C"/>
    <w:rsid w:val="00E94A32"/>
    <w:rsid w:val="00E94C59"/>
    <w:rsid w:val="00E95340"/>
    <w:rsid w:val="00E96307"/>
    <w:rsid w:val="00E9763E"/>
    <w:rsid w:val="00EA1069"/>
    <w:rsid w:val="00EA3065"/>
    <w:rsid w:val="00EA3B5B"/>
    <w:rsid w:val="00EA5324"/>
    <w:rsid w:val="00EA6223"/>
    <w:rsid w:val="00EB2FA0"/>
    <w:rsid w:val="00EB49CA"/>
    <w:rsid w:val="00EB4DB6"/>
    <w:rsid w:val="00EB7003"/>
    <w:rsid w:val="00EB795A"/>
    <w:rsid w:val="00EC0A52"/>
    <w:rsid w:val="00EC5961"/>
    <w:rsid w:val="00EC68F9"/>
    <w:rsid w:val="00ED003F"/>
    <w:rsid w:val="00ED0090"/>
    <w:rsid w:val="00ED15EE"/>
    <w:rsid w:val="00ED3567"/>
    <w:rsid w:val="00ED5BB1"/>
    <w:rsid w:val="00EE1720"/>
    <w:rsid w:val="00EE7816"/>
    <w:rsid w:val="00EF0B05"/>
    <w:rsid w:val="00EF0F43"/>
    <w:rsid w:val="00EF27AC"/>
    <w:rsid w:val="00EF30F7"/>
    <w:rsid w:val="00EF386D"/>
    <w:rsid w:val="00EF3E82"/>
    <w:rsid w:val="00F00303"/>
    <w:rsid w:val="00F014EC"/>
    <w:rsid w:val="00F01D01"/>
    <w:rsid w:val="00F02919"/>
    <w:rsid w:val="00F02D77"/>
    <w:rsid w:val="00F10096"/>
    <w:rsid w:val="00F161E2"/>
    <w:rsid w:val="00F16F71"/>
    <w:rsid w:val="00F21388"/>
    <w:rsid w:val="00F227AB"/>
    <w:rsid w:val="00F24535"/>
    <w:rsid w:val="00F26ED3"/>
    <w:rsid w:val="00F30064"/>
    <w:rsid w:val="00F30785"/>
    <w:rsid w:val="00F314B5"/>
    <w:rsid w:val="00F3224B"/>
    <w:rsid w:val="00F334CA"/>
    <w:rsid w:val="00F3398A"/>
    <w:rsid w:val="00F346CB"/>
    <w:rsid w:val="00F3518A"/>
    <w:rsid w:val="00F40E78"/>
    <w:rsid w:val="00F4297D"/>
    <w:rsid w:val="00F42F26"/>
    <w:rsid w:val="00F43197"/>
    <w:rsid w:val="00F43C82"/>
    <w:rsid w:val="00F47866"/>
    <w:rsid w:val="00F53FAA"/>
    <w:rsid w:val="00F55BEF"/>
    <w:rsid w:val="00F55E7B"/>
    <w:rsid w:val="00F569D7"/>
    <w:rsid w:val="00F5790D"/>
    <w:rsid w:val="00F62931"/>
    <w:rsid w:val="00F64F20"/>
    <w:rsid w:val="00F7345E"/>
    <w:rsid w:val="00F7492D"/>
    <w:rsid w:val="00F7532C"/>
    <w:rsid w:val="00F759E1"/>
    <w:rsid w:val="00F831C0"/>
    <w:rsid w:val="00F87668"/>
    <w:rsid w:val="00F9065D"/>
    <w:rsid w:val="00F908E9"/>
    <w:rsid w:val="00F949B5"/>
    <w:rsid w:val="00F958E8"/>
    <w:rsid w:val="00F97605"/>
    <w:rsid w:val="00FA11F2"/>
    <w:rsid w:val="00FA1CE0"/>
    <w:rsid w:val="00FA2DEB"/>
    <w:rsid w:val="00FA456B"/>
    <w:rsid w:val="00FA606E"/>
    <w:rsid w:val="00FB1439"/>
    <w:rsid w:val="00FB2682"/>
    <w:rsid w:val="00FB48C6"/>
    <w:rsid w:val="00FB6754"/>
    <w:rsid w:val="00FC367C"/>
    <w:rsid w:val="00FC4E38"/>
    <w:rsid w:val="00FC7125"/>
    <w:rsid w:val="00FC75C1"/>
    <w:rsid w:val="00FD029E"/>
    <w:rsid w:val="00FD1B93"/>
    <w:rsid w:val="00FD34D2"/>
    <w:rsid w:val="00FD58EE"/>
    <w:rsid w:val="00FD6517"/>
    <w:rsid w:val="00FE458E"/>
    <w:rsid w:val="00FE4CB0"/>
    <w:rsid w:val="00FE6AAE"/>
    <w:rsid w:val="00FE72AB"/>
    <w:rsid w:val="00FF460A"/>
    <w:rsid w:val="00FF5A61"/>
    <w:rsid w:val="00FF70D0"/>
    <w:rsid w:val="013E9941"/>
    <w:rsid w:val="020B74F9"/>
    <w:rsid w:val="02393A04"/>
    <w:rsid w:val="0382805A"/>
    <w:rsid w:val="0441A8F5"/>
    <w:rsid w:val="05F11537"/>
    <w:rsid w:val="0A38E59D"/>
    <w:rsid w:val="0A3B5020"/>
    <w:rsid w:val="0CC669C8"/>
    <w:rsid w:val="1401A758"/>
    <w:rsid w:val="1405519B"/>
    <w:rsid w:val="18538B7E"/>
    <w:rsid w:val="1893D5E5"/>
    <w:rsid w:val="18CD8F57"/>
    <w:rsid w:val="19D26C59"/>
    <w:rsid w:val="1A97B0E4"/>
    <w:rsid w:val="1BD2F725"/>
    <w:rsid w:val="1C7C3B06"/>
    <w:rsid w:val="1D8F113B"/>
    <w:rsid w:val="1F86C036"/>
    <w:rsid w:val="1FE8681E"/>
    <w:rsid w:val="20AF2EE4"/>
    <w:rsid w:val="20DA10D1"/>
    <w:rsid w:val="21184D66"/>
    <w:rsid w:val="21DCA1A6"/>
    <w:rsid w:val="2295EE1D"/>
    <w:rsid w:val="229B7816"/>
    <w:rsid w:val="22D23B9A"/>
    <w:rsid w:val="2349FA19"/>
    <w:rsid w:val="247505ED"/>
    <w:rsid w:val="25325F4F"/>
    <w:rsid w:val="26C24A93"/>
    <w:rsid w:val="284AF867"/>
    <w:rsid w:val="298F457A"/>
    <w:rsid w:val="29947A77"/>
    <w:rsid w:val="29A7AA05"/>
    <w:rsid w:val="2A6C51BD"/>
    <w:rsid w:val="2B132445"/>
    <w:rsid w:val="2DC17977"/>
    <w:rsid w:val="2E133EF2"/>
    <w:rsid w:val="2E1962E9"/>
    <w:rsid w:val="2E2AFD02"/>
    <w:rsid w:val="2E4C5558"/>
    <w:rsid w:val="2E917598"/>
    <w:rsid w:val="2EAD5D91"/>
    <w:rsid w:val="2F1E9DC7"/>
    <w:rsid w:val="2FA13F64"/>
    <w:rsid w:val="317EC100"/>
    <w:rsid w:val="326A49C3"/>
    <w:rsid w:val="3367AFF7"/>
    <w:rsid w:val="3434C7C7"/>
    <w:rsid w:val="35FF8953"/>
    <w:rsid w:val="3614C595"/>
    <w:rsid w:val="36556B91"/>
    <w:rsid w:val="36894A8F"/>
    <w:rsid w:val="3808F703"/>
    <w:rsid w:val="383B0711"/>
    <w:rsid w:val="3963225E"/>
    <w:rsid w:val="39DDC859"/>
    <w:rsid w:val="39F9D8CC"/>
    <w:rsid w:val="3D12D219"/>
    <w:rsid w:val="3E280FC4"/>
    <w:rsid w:val="3EA611CF"/>
    <w:rsid w:val="3FF7155C"/>
    <w:rsid w:val="4003C1CB"/>
    <w:rsid w:val="40541D39"/>
    <w:rsid w:val="41A88816"/>
    <w:rsid w:val="420422F6"/>
    <w:rsid w:val="43355EED"/>
    <w:rsid w:val="458648FB"/>
    <w:rsid w:val="467B1B9C"/>
    <w:rsid w:val="470CB426"/>
    <w:rsid w:val="47B048F3"/>
    <w:rsid w:val="49ED9504"/>
    <w:rsid w:val="49EF98BE"/>
    <w:rsid w:val="4A00BE99"/>
    <w:rsid w:val="4A4102D6"/>
    <w:rsid w:val="4A55ED36"/>
    <w:rsid w:val="4A676A4C"/>
    <w:rsid w:val="4C0A044B"/>
    <w:rsid w:val="4D430151"/>
    <w:rsid w:val="4E367181"/>
    <w:rsid w:val="4E47BA47"/>
    <w:rsid w:val="50158E20"/>
    <w:rsid w:val="50559F54"/>
    <w:rsid w:val="5071E989"/>
    <w:rsid w:val="536D5A6F"/>
    <w:rsid w:val="53E1C4EA"/>
    <w:rsid w:val="5577B561"/>
    <w:rsid w:val="557CFADD"/>
    <w:rsid w:val="55923E8D"/>
    <w:rsid w:val="575DBC23"/>
    <w:rsid w:val="579B7B58"/>
    <w:rsid w:val="5852A726"/>
    <w:rsid w:val="585EB3CE"/>
    <w:rsid w:val="586635BB"/>
    <w:rsid w:val="5887C159"/>
    <w:rsid w:val="5A0F3BE7"/>
    <w:rsid w:val="5C2EE344"/>
    <w:rsid w:val="5CD2AD3A"/>
    <w:rsid w:val="5CDB6728"/>
    <w:rsid w:val="5FAD5D88"/>
    <w:rsid w:val="60CF2E6E"/>
    <w:rsid w:val="6121CB96"/>
    <w:rsid w:val="613FE68F"/>
    <w:rsid w:val="6457608C"/>
    <w:rsid w:val="649EF77A"/>
    <w:rsid w:val="66173912"/>
    <w:rsid w:val="663C3D32"/>
    <w:rsid w:val="668F2F9C"/>
    <w:rsid w:val="66FF6C3D"/>
    <w:rsid w:val="696A577A"/>
    <w:rsid w:val="69C2BA9C"/>
    <w:rsid w:val="6B93BB6B"/>
    <w:rsid w:val="6BA700DC"/>
    <w:rsid w:val="6C0F99B9"/>
    <w:rsid w:val="6C150E5A"/>
    <w:rsid w:val="6C941616"/>
    <w:rsid w:val="6CDE5CD4"/>
    <w:rsid w:val="6D198858"/>
    <w:rsid w:val="6D2F52DE"/>
    <w:rsid w:val="6DF789DC"/>
    <w:rsid w:val="6F364598"/>
    <w:rsid w:val="709008B7"/>
    <w:rsid w:val="70A897DA"/>
    <w:rsid w:val="717B8F9F"/>
    <w:rsid w:val="71F252F2"/>
    <w:rsid w:val="722EFFEB"/>
    <w:rsid w:val="74660F83"/>
    <w:rsid w:val="7727BA7C"/>
    <w:rsid w:val="775E3FBF"/>
    <w:rsid w:val="783444B4"/>
    <w:rsid w:val="787BD999"/>
    <w:rsid w:val="7A377162"/>
    <w:rsid w:val="7C0482A1"/>
    <w:rsid w:val="7CD89C1E"/>
    <w:rsid w:val="7CE78DCC"/>
    <w:rsid w:val="7EF6D10B"/>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F1E9E"/>
  <w15:chartTrackingRefBased/>
  <w15:docId w15:val="{6F02B275-ADF5-48F5-AD99-D9A111A08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21AA8"/>
    <w:rPr>
      <w:rFonts w:ascii="Calibri" w:eastAsia="Calibri" w:hAnsi="Calibri" w:cs="Calibri"/>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21AA8"/>
    <w:pPr>
      <w:ind w:left="720"/>
      <w:contextualSpacing/>
    </w:pPr>
  </w:style>
  <w:style w:type="paragraph" w:styleId="Textodenotaderodap">
    <w:name w:val="footnote text"/>
    <w:basedOn w:val="Normal"/>
    <w:link w:val="TextodenotaderodapChar"/>
    <w:uiPriority w:val="99"/>
    <w:unhideWhenUsed/>
    <w:rsid w:val="00421AA8"/>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421AA8"/>
    <w:rPr>
      <w:rFonts w:ascii="Calibri" w:eastAsia="Calibri" w:hAnsi="Calibri" w:cs="Calibri"/>
      <w:sz w:val="20"/>
      <w:szCs w:val="20"/>
      <w:lang w:eastAsia="pt-BR"/>
    </w:rPr>
  </w:style>
  <w:style w:type="character" w:styleId="Refdenotaderodap">
    <w:name w:val="footnote reference"/>
    <w:basedOn w:val="Fontepargpadro"/>
    <w:uiPriority w:val="99"/>
    <w:semiHidden/>
    <w:unhideWhenUsed/>
    <w:rsid w:val="00421AA8"/>
    <w:rPr>
      <w:vertAlign w:val="superscript"/>
    </w:rPr>
  </w:style>
  <w:style w:type="character" w:styleId="Forte">
    <w:name w:val="Strong"/>
    <w:basedOn w:val="Fontepargpadro"/>
    <w:uiPriority w:val="22"/>
    <w:qFormat/>
    <w:rsid w:val="00421AA8"/>
    <w:rPr>
      <w:b/>
      <w:bCs/>
    </w:rPr>
  </w:style>
  <w:style w:type="paragraph" w:styleId="NormalWeb">
    <w:name w:val="Normal (Web)"/>
    <w:basedOn w:val="Normal"/>
    <w:uiPriority w:val="99"/>
    <w:semiHidden/>
    <w:unhideWhenUsed/>
    <w:rsid w:val="0061267A"/>
    <w:rPr>
      <w:rFonts w:ascii="Times New Roman" w:hAnsi="Times New Roman" w:cs="Times New Roman"/>
      <w:sz w:val="24"/>
      <w:szCs w:val="24"/>
    </w:rPr>
  </w:style>
  <w:style w:type="character" w:styleId="Hyperlink">
    <w:name w:val="Hyperlink"/>
    <w:basedOn w:val="Fontepargpadro"/>
    <w:uiPriority w:val="99"/>
    <w:unhideWhenUsed/>
    <w:rsid w:val="00A25AC0"/>
    <w:rPr>
      <w:color w:val="0563C1" w:themeColor="hyperlink"/>
      <w:u w:val="single"/>
    </w:rPr>
  </w:style>
  <w:style w:type="character" w:styleId="MenoPendente">
    <w:name w:val="Unresolved Mention"/>
    <w:basedOn w:val="Fontepargpadro"/>
    <w:uiPriority w:val="99"/>
    <w:semiHidden/>
    <w:unhideWhenUsed/>
    <w:rsid w:val="00A25AC0"/>
    <w:rPr>
      <w:color w:val="605E5C"/>
      <w:shd w:val="clear" w:color="auto" w:fill="E1DFDD"/>
    </w:rPr>
  </w:style>
  <w:style w:type="table" w:styleId="TabeladeGradeClara">
    <w:name w:val="Grid Table Light"/>
    <w:basedOn w:val="Tabelanormal"/>
    <w:uiPriority w:val="40"/>
    <w:rsid w:val="0065628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implesTabela3">
    <w:name w:val="Plain Table 3"/>
    <w:basedOn w:val="Tabelanormal"/>
    <w:uiPriority w:val="43"/>
    <w:rsid w:val="00A036A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rFonts w:ascii="Calibri" w:eastAsia="Calibri" w:hAnsi="Calibri" w:cs="Calibri"/>
      <w:sz w:val="20"/>
      <w:szCs w:val="20"/>
      <w:lang w:eastAsia="pt-BR"/>
    </w:rPr>
  </w:style>
  <w:style w:type="character" w:styleId="Refdecomentrio">
    <w:name w:val="annotation reference"/>
    <w:basedOn w:val="Fontepargpadro"/>
    <w:uiPriority w:val="99"/>
    <w:semiHidden/>
    <w:unhideWhenUsed/>
    <w:rPr>
      <w:sz w:val="16"/>
      <w:szCs w:val="16"/>
    </w:rPr>
  </w:style>
  <w:style w:type="paragraph" w:styleId="Assuntodocomentrio">
    <w:name w:val="annotation subject"/>
    <w:basedOn w:val="Textodecomentrio"/>
    <w:next w:val="Textodecomentrio"/>
    <w:link w:val="AssuntodocomentrioChar"/>
    <w:uiPriority w:val="99"/>
    <w:semiHidden/>
    <w:unhideWhenUsed/>
    <w:rsid w:val="000900FC"/>
    <w:rPr>
      <w:b/>
      <w:bCs/>
    </w:rPr>
  </w:style>
  <w:style w:type="character" w:customStyle="1" w:styleId="AssuntodocomentrioChar">
    <w:name w:val="Assunto do comentário Char"/>
    <w:basedOn w:val="TextodecomentrioChar"/>
    <w:link w:val="Assuntodocomentrio"/>
    <w:uiPriority w:val="99"/>
    <w:semiHidden/>
    <w:rsid w:val="000900FC"/>
    <w:rPr>
      <w:rFonts w:ascii="Calibri" w:eastAsia="Calibri" w:hAnsi="Calibri" w:cs="Calibri"/>
      <w:b/>
      <w:bCs/>
      <w:sz w:val="20"/>
      <w:szCs w:val="20"/>
      <w:lang w:eastAsia="pt-BR"/>
    </w:rPr>
  </w:style>
  <w:style w:type="paragraph" w:styleId="SemEspaamento">
    <w:name w:val="No Spacing"/>
    <w:uiPriority w:val="1"/>
    <w:qFormat/>
    <w:pPr>
      <w:spacing w:after="0" w:line="240" w:lineRule="auto"/>
    </w:pPr>
  </w:style>
  <w:style w:type="paragraph" w:styleId="Cabealho">
    <w:name w:val="header"/>
    <w:basedOn w:val="Normal"/>
    <w:link w:val="CabealhoChar"/>
    <w:uiPriority w:val="99"/>
    <w:semiHidden/>
    <w:unhideWhenUsed/>
    <w:rsid w:val="009506B4"/>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9506B4"/>
    <w:rPr>
      <w:rFonts w:ascii="Calibri" w:eastAsia="Calibri" w:hAnsi="Calibri" w:cs="Calibri"/>
      <w:lang w:eastAsia="pt-BR"/>
    </w:rPr>
  </w:style>
  <w:style w:type="paragraph" w:styleId="Rodap">
    <w:name w:val="footer"/>
    <w:basedOn w:val="Normal"/>
    <w:link w:val="RodapChar"/>
    <w:uiPriority w:val="99"/>
    <w:semiHidden/>
    <w:unhideWhenUsed/>
    <w:rsid w:val="009506B4"/>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9506B4"/>
    <w:rPr>
      <w:rFonts w:ascii="Calibri" w:eastAsia="Calibri" w:hAnsi="Calibri" w:cs="Calibri"/>
      <w:lang w:eastAsia="pt-BR"/>
    </w:rPr>
  </w:style>
  <w:style w:type="character" w:styleId="HiperlinkVisitado">
    <w:name w:val="FollowedHyperlink"/>
    <w:basedOn w:val="Fontepargpadro"/>
    <w:uiPriority w:val="99"/>
    <w:semiHidden/>
    <w:unhideWhenUsed/>
    <w:rsid w:val="002E55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92">
      <w:bodyDiv w:val="1"/>
      <w:marLeft w:val="0"/>
      <w:marRight w:val="0"/>
      <w:marTop w:val="0"/>
      <w:marBottom w:val="0"/>
      <w:divBdr>
        <w:top w:val="none" w:sz="0" w:space="0" w:color="auto"/>
        <w:left w:val="none" w:sz="0" w:space="0" w:color="auto"/>
        <w:bottom w:val="none" w:sz="0" w:space="0" w:color="auto"/>
        <w:right w:val="none" w:sz="0" w:space="0" w:color="auto"/>
      </w:divBdr>
      <w:divsChild>
        <w:div w:id="1414663259">
          <w:marLeft w:val="480"/>
          <w:marRight w:val="0"/>
          <w:marTop w:val="0"/>
          <w:marBottom w:val="0"/>
          <w:divBdr>
            <w:top w:val="none" w:sz="0" w:space="0" w:color="auto"/>
            <w:left w:val="none" w:sz="0" w:space="0" w:color="auto"/>
            <w:bottom w:val="none" w:sz="0" w:space="0" w:color="auto"/>
            <w:right w:val="none" w:sz="0" w:space="0" w:color="auto"/>
          </w:divBdr>
          <w:divsChild>
            <w:div w:id="198261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0947">
      <w:bodyDiv w:val="1"/>
      <w:marLeft w:val="0"/>
      <w:marRight w:val="0"/>
      <w:marTop w:val="0"/>
      <w:marBottom w:val="0"/>
      <w:divBdr>
        <w:top w:val="none" w:sz="0" w:space="0" w:color="auto"/>
        <w:left w:val="none" w:sz="0" w:space="0" w:color="auto"/>
        <w:bottom w:val="none" w:sz="0" w:space="0" w:color="auto"/>
        <w:right w:val="none" w:sz="0" w:space="0" w:color="auto"/>
      </w:divBdr>
    </w:div>
    <w:div w:id="241376891">
      <w:bodyDiv w:val="1"/>
      <w:marLeft w:val="0"/>
      <w:marRight w:val="0"/>
      <w:marTop w:val="0"/>
      <w:marBottom w:val="0"/>
      <w:divBdr>
        <w:top w:val="none" w:sz="0" w:space="0" w:color="auto"/>
        <w:left w:val="none" w:sz="0" w:space="0" w:color="auto"/>
        <w:bottom w:val="none" w:sz="0" w:space="0" w:color="auto"/>
        <w:right w:val="none" w:sz="0" w:space="0" w:color="auto"/>
      </w:divBdr>
      <w:divsChild>
        <w:div w:id="196547402">
          <w:marLeft w:val="0"/>
          <w:marRight w:val="0"/>
          <w:marTop w:val="0"/>
          <w:marBottom w:val="0"/>
          <w:divBdr>
            <w:top w:val="none" w:sz="0" w:space="0" w:color="auto"/>
            <w:left w:val="none" w:sz="0" w:space="0" w:color="auto"/>
            <w:bottom w:val="none" w:sz="0" w:space="0" w:color="auto"/>
            <w:right w:val="none" w:sz="0" w:space="0" w:color="auto"/>
          </w:divBdr>
          <w:divsChild>
            <w:div w:id="1965772672">
              <w:marLeft w:val="0"/>
              <w:marRight w:val="0"/>
              <w:marTop w:val="0"/>
              <w:marBottom w:val="0"/>
              <w:divBdr>
                <w:top w:val="none" w:sz="0" w:space="0" w:color="auto"/>
                <w:left w:val="none" w:sz="0" w:space="0" w:color="auto"/>
                <w:bottom w:val="none" w:sz="0" w:space="0" w:color="auto"/>
                <w:right w:val="none" w:sz="0" w:space="0" w:color="auto"/>
              </w:divBdr>
              <w:divsChild>
                <w:div w:id="1190802265">
                  <w:marLeft w:val="0"/>
                  <w:marRight w:val="0"/>
                  <w:marTop w:val="0"/>
                  <w:marBottom w:val="0"/>
                  <w:divBdr>
                    <w:top w:val="none" w:sz="0" w:space="0" w:color="auto"/>
                    <w:left w:val="none" w:sz="0" w:space="0" w:color="auto"/>
                    <w:bottom w:val="none" w:sz="0" w:space="0" w:color="auto"/>
                    <w:right w:val="none" w:sz="0" w:space="0" w:color="auto"/>
                  </w:divBdr>
                  <w:divsChild>
                    <w:div w:id="27644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409163">
          <w:marLeft w:val="0"/>
          <w:marRight w:val="0"/>
          <w:marTop w:val="0"/>
          <w:marBottom w:val="0"/>
          <w:divBdr>
            <w:top w:val="none" w:sz="0" w:space="0" w:color="auto"/>
            <w:left w:val="none" w:sz="0" w:space="0" w:color="auto"/>
            <w:bottom w:val="none" w:sz="0" w:space="0" w:color="auto"/>
            <w:right w:val="none" w:sz="0" w:space="0" w:color="auto"/>
          </w:divBdr>
          <w:divsChild>
            <w:div w:id="1894728262">
              <w:marLeft w:val="0"/>
              <w:marRight w:val="0"/>
              <w:marTop w:val="0"/>
              <w:marBottom w:val="0"/>
              <w:divBdr>
                <w:top w:val="none" w:sz="0" w:space="0" w:color="auto"/>
                <w:left w:val="none" w:sz="0" w:space="0" w:color="auto"/>
                <w:bottom w:val="none" w:sz="0" w:space="0" w:color="auto"/>
                <w:right w:val="none" w:sz="0" w:space="0" w:color="auto"/>
              </w:divBdr>
              <w:divsChild>
                <w:div w:id="341661491">
                  <w:marLeft w:val="0"/>
                  <w:marRight w:val="0"/>
                  <w:marTop w:val="0"/>
                  <w:marBottom w:val="0"/>
                  <w:divBdr>
                    <w:top w:val="none" w:sz="0" w:space="0" w:color="auto"/>
                    <w:left w:val="none" w:sz="0" w:space="0" w:color="auto"/>
                    <w:bottom w:val="none" w:sz="0" w:space="0" w:color="auto"/>
                    <w:right w:val="none" w:sz="0" w:space="0" w:color="auto"/>
                  </w:divBdr>
                  <w:divsChild>
                    <w:div w:id="148894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209103">
      <w:bodyDiv w:val="1"/>
      <w:marLeft w:val="0"/>
      <w:marRight w:val="0"/>
      <w:marTop w:val="0"/>
      <w:marBottom w:val="0"/>
      <w:divBdr>
        <w:top w:val="none" w:sz="0" w:space="0" w:color="auto"/>
        <w:left w:val="none" w:sz="0" w:space="0" w:color="auto"/>
        <w:bottom w:val="none" w:sz="0" w:space="0" w:color="auto"/>
        <w:right w:val="none" w:sz="0" w:space="0" w:color="auto"/>
      </w:divBdr>
      <w:divsChild>
        <w:div w:id="634602788">
          <w:marLeft w:val="480"/>
          <w:marRight w:val="0"/>
          <w:marTop w:val="0"/>
          <w:marBottom w:val="0"/>
          <w:divBdr>
            <w:top w:val="none" w:sz="0" w:space="0" w:color="auto"/>
            <w:left w:val="none" w:sz="0" w:space="0" w:color="auto"/>
            <w:bottom w:val="none" w:sz="0" w:space="0" w:color="auto"/>
            <w:right w:val="none" w:sz="0" w:space="0" w:color="auto"/>
          </w:divBdr>
          <w:divsChild>
            <w:div w:id="13357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64073">
      <w:bodyDiv w:val="1"/>
      <w:marLeft w:val="0"/>
      <w:marRight w:val="0"/>
      <w:marTop w:val="0"/>
      <w:marBottom w:val="0"/>
      <w:divBdr>
        <w:top w:val="none" w:sz="0" w:space="0" w:color="auto"/>
        <w:left w:val="none" w:sz="0" w:space="0" w:color="auto"/>
        <w:bottom w:val="none" w:sz="0" w:space="0" w:color="auto"/>
        <w:right w:val="none" w:sz="0" w:space="0" w:color="auto"/>
      </w:divBdr>
      <w:divsChild>
        <w:div w:id="783884538">
          <w:marLeft w:val="480"/>
          <w:marRight w:val="0"/>
          <w:marTop w:val="0"/>
          <w:marBottom w:val="0"/>
          <w:divBdr>
            <w:top w:val="none" w:sz="0" w:space="0" w:color="auto"/>
            <w:left w:val="none" w:sz="0" w:space="0" w:color="auto"/>
            <w:bottom w:val="none" w:sz="0" w:space="0" w:color="auto"/>
            <w:right w:val="none" w:sz="0" w:space="0" w:color="auto"/>
          </w:divBdr>
          <w:divsChild>
            <w:div w:id="419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18414">
      <w:bodyDiv w:val="1"/>
      <w:marLeft w:val="0"/>
      <w:marRight w:val="0"/>
      <w:marTop w:val="0"/>
      <w:marBottom w:val="0"/>
      <w:divBdr>
        <w:top w:val="none" w:sz="0" w:space="0" w:color="auto"/>
        <w:left w:val="none" w:sz="0" w:space="0" w:color="auto"/>
        <w:bottom w:val="none" w:sz="0" w:space="0" w:color="auto"/>
        <w:right w:val="none" w:sz="0" w:space="0" w:color="auto"/>
      </w:divBdr>
      <w:divsChild>
        <w:div w:id="1791507721">
          <w:marLeft w:val="480"/>
          <w:marRight w:val="0"/>
          <w:marTop w:val="0"/>
          <w:marBottom w:val="0"/>
          <w:divBdr>
            <w:top w:val="none" w:sz="0" w:space="0" w:color="auto"/>
            <w:left w:val="none" w:sz="0" w:space="0" w:color="auto"/>
            <w:bottom w:val="none" w:sz="0" w:space="0" w:color="auto"/>
            <w:right w:val="none" w:sz="0" w:space="0" w:color="auto"/>
          </w:divBdr>
          <w:divsChild>
            <w:div w:id="9999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5735">
      <w:bodyDiv w:val="1"/>
      <w:marLeft w:val="0"/>
      <w:marRight w:val="0"/>
      <w:marTop w:val="0"/>
      <w:marBottom w:val="0"/>
      <w:divBdr>
        <w:top w:val="none" w:sz="0" w:space="0" w:color="auto"/>
        <w:left w:val="none" w:sz="0" w:space="0" w:color="auto"/>
        <w:bottom w:val="none" w:sz="0" w:space="0" w:color="auto"/>
        <w:right w:val="none" w:sz="0" w:space="0" w:color="auto"/>
      </w:divBdr>
      <w:divsChild>
        <w:div w:id="47192134">
          <w:marLeft w:val="480"/>
          <w:marRight w:val="0"/>
          <w:marTop w:val="0"/>
          <w:marBottom w:val="0"/>
          <w:divBdr>
            <w:top w:val="none" w:sz="0" w:space="0" w:color="auto"/>
            <w:left w:val="none" w:sz="0" w:space="0" w:color="auto"/>
            <w:bottom w:val="none" w:sz="0" w:space="0" w:color="auto"/>
            <w:right w:val="none" w:sz="0" w:space="0" w:color="auto"/>
          </w:divBdr>
          <w:divsChild>
            <w:div w:id="167649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1161">
      <w:bodyDiv w:val="1"/>
      <w:marLeft w:val="0"/>
      <w:marRight w:val="0"/>
      <w:marTop w:val="0"/>
      <w:marBottom w:val="0"/>
      <w:divBdr>
        <w:top w:val="none" w:sz="0" w:space="0" w:color="auto"/>
        <w:left w:val="none" w:sz="0" w:space="0" w:color="auto"/>
        <w:bottom w:val="none" w:sz="0" w:space="0" w:color="auto"/>
        <w:right w:val="none" w:sz="0" w:space="0" w:color="auto"/>
      </w:divBdr>
      <w:divsChild>
        <w:div w:id="367605960">
          <w:marLeft w:val="0"/>
          <w:marRight w:val="0"/>
          <w:marTop w:val="0"/>
          <w:marBottom w:val="0"/>
          <w:divBdr>
            <w:top w:val="none" w:sz="0" w:space="0" w:color="auto"/>
            <w:left w:val="none" w:sz="0" w:space="0" w:color="auto"/>
            <w:bottom w:val="none" w:sz="0" w:space="0" w:color="auto"/>
            <w:right w:val="none" w:sz="0" w:space="0" w:color="auto"/>
          </w:divBdr>
          <w:divsChild>
            <w:div w:id="1863321361">
              <w:marLeft w:val="0"/>
              <w:marRight w:val="0"/>
              <w:marTop w:val="0"/>
              <w:marBottom w:val="0"/>
              <w:divBdr>
                <w:top w:val="none" w:sz="0" w:space="0" w:color="auto"/>
                <w:left w:val="none" w:sz="0" w:space="0" w:color="auto"/>
                <w:bottom w:val="none" w:sz="0" w:space="0" w:color="auto"/>
                <w:right w:val="none" w:sz="0" w:space="0" w:color="auto"/>
              </w:divBdr>
              <w:divsChild>
                <w:div w:id="145555485">
                  <w:marLeft w:val="0"/>
                  <w:marRight w:val="0"/>
                  <w:marTop w:val="0"/>
                  <w:marBottom w:val="0"/>
                  <w:divBdr>
                    <w:top w:val="none" w:sz="0" w:space="0" w:color="auto"/>
                    <w:left w:val="none" w:sz="0" w:space="0" w:color="auto"/>
                    <w:bottom w:val="none" w:sz="0" w:space="0" w:color="auto"/>
                    <w:right w:val="none" w:sz="0" w:space="0" w:color="auto"/>
                  </w:divBdr>
                  <w:divsChild>
                    <w:div w:id="58761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82934">
          <w:marLeft w:val="0"/>
          <w:marRight w:val="0"/>
          <w:marTop w:val="0"/>
          <w:marBottom w:val="0"/>
          <w:divBdr>
            <w:top w:val="none" w:sz="0" w:space="0" w:color="auto"/>
            <w:left w:val="none" w:sz="0" w:space="0" w:color="auto"/>
            <w:bottom w:val="none" w:sz="0" w:space="0" w:color="auto"/>
            <w:right w:val="none" w:sz="0" w:space="0" w:color="auto"/>
          </w:divBdr>
          <w:divsChild>
            <w:div w:id="576718239">
              <w:marLeft w:val="0"/>
              <w:marRight w:val="0"/>
              <w:marTop w:val="0"/>
              <w:marBottom w:val="0"/>
              <w:divBdr>
                <w:top w:val="none" w:sz="0" w:space="0" w:color="auto"/>
                <w:left w:val="none" w:sz="0" w:space="0" w:color="auto"/>
                <w:bottom w:val="none" w:sz="0" w:space="0" w:color="auto"/>
                <w:right w:val="none" w:sz="0" w:space="0" w:color="auto"/>
              </w:divBdr>
              <w:divsChild>
                <w:div w:id="1957977592">
                  <w:marLeft w:val="0"/>
                  <w:marRight w:val="0"/>
                  <w:marTop w:val="0"/>
                  <w:marBottom w:val="0"/>
                  <w:divBdr>
                    <w:top w:val="none" w:sz="0" w:space="0" w:color="auto"/>
                    <w:left w:val="none" w:sz="0" w:space="0" w:color="auto"/>
                    <w:bottom w:val="none" w:sz="0" w:space="0" w:color="auto"/>
                    <w:right w:val="none" w:sz="0" w:space="0" w:color="auto"/>
                  </w:divBdr>
                  <w:divsChild>
                    <w:div w:id="15104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162330">
      <w:bodyDiv w:val="1"/>
      <w:marLeft w:val="0"/>
      <w:marRight w:val="0"/>
      <w:marTop w:val="0"/>
      <w:marBottom w:val="0"/>
      <w:divBdr>
        <w:top w:val="none" w:sz="0" w:space="0" w:color="auto"/>
        <w:left w:val="none" w:sz="0" w:space="0" w:color="auto"/>
        <w:bottom w:val="none" w:sz="0" w:space="0" w:color="auto"/>
        <w:right w:val="none" w:sz="0" w:space="0" w:color="auto"/>
      </w:divBdr>
      <w:divsChild>
        <w:div w:id="1262109075">
          <w:marLeft w:val="480"/>
          <w:marRight w:val="0"/>
          <w:marTop w:val="0"/>
          <w:marBottom w:val="0"/>
          <w:divBdr>
            <w:top w:val="none" w:sz="0" w:space="0" w:color="auto"/>
            <w:left w:val="none" w:sz="0" w:space="0" w:color="auto"/>
            <w:bottom w:val="none" w:sz="0" w:space="0" w:color="auto"/>
            <w:right w:val="none" w:sz="0" w:space="0" w:color="auto"/>
          </w:divBdr>
          <w:divsChild>
            <w:div w:id="47110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77999">
      <w:bodyDiv w:val="1"/>
      <w:marLeft w:val="0"/>
      <w:marRight w:val="0"/>
      <w:marTop w:val="0"/>
      <w:marBottom w:val="0"/>
      <w:divBdr>
        <w:top w:val="none" w:sz="0" w:space="0" w:color="auto"/>
        <w:left w:val="none" w:sz="0" w:space="0" w:color="auto"/>
        <w:bottom w:val="none" w:sz="0" w:space="0" w:color="auto"/>
        <w:right w:val="none" w:sz="0" w:space="0" w:color="auto"/>
      </w:divBdr>
      <w:divsChild>
        <w:div w:id="1601715983">
          <w:marLeft w:val="480"/>
          <w:marRight w:val="0"/>
          <w:marTop w:val="0"/>
          <w:marBottom w:val="0"/>
          <w:divBdr>
            <w:top w:val="none" w:sz="0" w:space="0" w:color="auto"/>
            <w:left w:val="none" w:sz="0" w:space="0" w:color="auto"/>
            <w:bottom w:val="none" w:sz="0" w:space="0" w:color="auto"/>
            <w:right w:val="none" w:sz="0" w:space="0" w:color="auto"/>
          </w:divBdr>
          <w:divsChild>
            <w:div w:id="143825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318359">
      <w:bodyDiv w:val="1"/>
      <w:marLeft w:val="0"/>
      <w:marRight w:val="0"/>
      <w:marTop w:val="0"/>
      <w:marBottom w:val="0"/>
      <w:divBdr>
        <w:top w:val="none" w:sz="0" w:space="0" w:color="auto"/>
        <w:left w:val="none" w:sz="0" w:space="0" w:color="auto"/>
        <w:bottom w:val="none" w:sz="0" w:space="0" w:color="auto"/>
        <w:right w:val="none" w:sz="0" w:space="0" w:color="auto"/>
      </w:divBdr>
      <w:divsChild>
        <w:div w:id="178853758">
          <w:marLeft w:val="480"/>
          <w:marRight w:val="0"/>
          <w:marTop w:val="0"/>
          <w:marBottom w:val="0"/>
          <w:divBdr>
            <w:top w:val="none" w:sz="0" w:space="0" w:color="auto"/>
            <w:left w:val="none" w:sz="0" w:space="0" w:color="auto"/>
            <w:bottom w:val="none" w:sz="0" w:space="0" w:color="auto"/>
            <w:right w:val="none" w:sz="0" w:space="0" w:color="auto"/>
          </w:divBdr>
          <w:divsChild>
            <w:div w:id="111872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047473">
      <w:bodyDiv w:val="1"/>
      <w:marLeft w:val="0"/>
      <w:marRight w:val="0"/>
      <w:marTop w:val="0"/>
      <w:marBottom w:val="0"/>
      <w:divBdr>
        <w:top w:val="none" w:sz="0" w:space="0" w:color="auto"/>
        <w:left w:val="none" w:sz="0" w:space="0" w:color="auto"/>
        <w:bottom w:val="none" w:sz="0" w:space="0" w:color="auto"/>
        <w:right w:val="none" w:sz="0" w:space="0" w:color="auto"/>
      </w:divBdr>
      <w:divsChild>
        <w:div w:id="367029541">
          <w:marLeft w:val="480"/>
          <w:marRight w:val="0"/>
          <w:marTop w:val="0"/>
          <w:marBottom w:val="0"/>
          <w:divBdr>
            <w:top w:val="none" w:sz="0" w:space="0" w:color="auto"/>
            <w:left w:val="none" w:sz="0" w:space="0" w:color="auto"/>
            <w:bottom w:val="none" w:sz="0" w:space="0" w:color="auto"/>
            <w:right w:val="none" w:sz="0" w:space="0" w:color="auto"/>
          </w:divBdr>
          <w:divsChild>
            <w:div w:id="64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161353">
      <w:bodyDiv w:val="1"/>
      <w:marLeft w:val="0"/>
      <w:marRight w:val="0"/>
      <w:marTop w:val="0"/>
      <w:marBottom w:val="0"/>
      <w:divBdr>
        <w:top w:val="none" w:sz="0" w:space="0" w:color="auto"/>
        <w:left w:val="none" w:sz="0" w:space="0" w:color="auto"/>
        <w:bottom w:val="none" w:sz="0" w:space="0" w:color="auto"/>
        <w:right w:val="none" w:sz="0" w:space="0" w:color="auto"/>
      </w:divBdr>
      <w:divsChild>
        <w:div w:id="340277468">
          <w:marLeft w:val="480"/>
          <w:marRight w:val="0"/>
          <w:marTop w:val="0"/>
          <w:marBottom w:val="0"/>
          <w:divBdr>
            <w:top w:val="none" w:sz="0" w:space="0" w:color="auto"/>
            <w:left w:val="none" w:sz="0" w:space="0" w:color="auto"/>
            <w:bottom w:val="none" w:sz="0" w:space="0" w:color="auto"/>
            <w:right w:val="none" w:sz="0" w:space="0" w:color="auto"/>
          </w:divBdr>
          <w:divsChild>
            <w:div w:id="71882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8871">
      <w:bodyDiv w:val="1"/>
      <w:marLeft w:val="0"/>
      <w:marRight w:val="0"/>
      <w:marTop w:val="0"/>
      <w:marBottom w:val="0"/>
      <w:divBdr>
        <w:top w:val="none" w:sz="0" w:space="0" w:color="auto"/>
        <w:left w:val="none" w:sz="0" w:space="0" w:color="auto"/>
        <w:bottom w:val="none" w:sz="0" w:space="0" w:color="auto"/>
        <w:right w:val="none" w:sz="0" w:space="0" w:color="auto"/>
      </w:divBdr>
      <w:divsChild>
        <w:div w:id="750473194">
          <w:marLeft w:val="480"/>
          <w:marRight w:val="0"/>
          <w:marTop w:val="0"/>
          <w:marBottom w:val="0"/>
          <w:divBdr>
            <w:top w:val="none" w:sz="0" w:space="0" w:color="auto"/>
            <w:left w:val="none" w:sz="0" w:space="0" w:color="auto"/>
            <w:bottom w:val="none" w:sz="0" w:space="0" w:color="auto"/>
            <w:right w:val="none" w:sz="0" w:space="0" w:color="auto"/>
          </w:divBdr>
          <w:divsChild>
            <w:div w:id="8022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7225">
      <w:bodyDiv w:val="1"/>
      <w:marLeft w:val="0"/>
      <w:marRight w:val="0"/>
      <w:marTop w:val="0"/>
      <w:marBottom w:val="0"/>
      <w:divBdr>
        <w:top w:val="none" w:sz="0" w:space="0" w:color="auto"/>
        <w:left w:val="none" w:sz="0" w:space="0" w:color="auto"/>
        <w:bottom w:val="none" w:sz="0" w:space="0" w:color="auto"/>
        <w:right w:val="none" w:sz="0" w:space="0" w:color="auto"/>
      </w:divBdr>
      <w:divsChild>
        <w:div w:id="1691952350">
          <w:marLeft w:val="480"/>
          <w:marRight w:val="0"/>
          <w:marTop w:val="0"/>
          <w:marBottom w:val="0"/>
          <w:divBdr>
            <w:top w:val="none" w:sz="0" w:space="0" w:color="auto"/>
            <w:left w:val="none" w:sz="0" w:space="0" w:color="auto"/>
            <w:bottom w:val="none" w:sz="0" w:space="0" w:color="auto"/>
            <w:right w:val="none" w:sz="0" w:space="0" w:color="auto"/>
          </w:divBdr>
          <w:divsChild>
            <w:div w:id="104047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5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hyperlink" Target="https://www.confaz.fazenda.gov.br/boletim-de-arrecadacao-dos-tributos-estadu%C2%ACais" TargetMode="External"/><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comexstat.mdic.gov.br/pt/hom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985db7776acedf34/Pasta%20-%20Pesquisa%20SEDRES/Saldo%20comercial%20-%20Regi&#245;es%20B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985db7776acedf34/Pasta%20-%20Pesquisa%20SEDRES/Entradas%20e%20sa&#237;das%20de%20com&#233;rcio%20NE%20x%20B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bima\Desktop\Entradas%20e%20sa&#237;das%20de%20com&#233;rcio%20NE%20x%20B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985db7776acedf34/Pasta%20-%20Pesquisa%20SEDRES/Entradas%20e%20sa&#237;das%20de%20com&#233;rcio%20NE%20x%20B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bima\Downloads\EXP_2017_2023_20240227.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'NE x BR_DEFLACIONADO'!$I$23</c:f>
              <c:strCache>
                <c:ptCount val="1"/>
                <c:pt idx="0">
                  <c:v>2017</c:v>
                </c:pt>
              </c:strCache>
            </c:strRef>
          </c:tx>
          <c:spPr>
            <a:solidFill>
              <a:schemeClr val="accent6"/>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Candara" panose="020E0502030303020204" pitchFamily="34" charset="0"/>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 x BR_DEFLACIONADO'!$J$21:$N$22</c:f>
              <c:strCache>
                <c:ptCount val="5"/>
                <c:pt idx="0">
                  <c:v>Norte</c:v>
                </c:pt>
                <c:pt idx="1">
                  <c:v>Centro-Oeste</c:v>
                </c:pt>
                <c:pt idx="2">
                  <c:v>Sul</c:v>
                </c:pt>
                <c:pt idx="3">
                  <c:v>Sudeste</c:v>
                </c:pt>
                <c:pt idx="4">
                  <c:v>Total</c:v>
                </c:pt>
              </c:strCache>
            </c:strRef>
          </c:cat>
          <c:val>
            <c:numRef>
              <c:f>'NE x BR_DEFLACIONADO'!$J$23:$N$23</c:f>
              <c:numCache>
                <c:formatCode>0.00</c:formatCode>
                <c:ptCount val="5"/>
                <c:pt idx="0">
                  <c:v>0.10099443211837894</c:v>
                </c:pt>
                <c:pt idx="1">
                  <c:v>-1.5083187126117337</c:v>
                </c:pt>
                <c:pt idx="2">
                  <c:v>-4.8491491580091948</c:v>
                </c:pt>
                <c:pt idx="3">
                  <c:v>-14.725374441795621</c:v>
                </c:pt>
                <c:pt idx="4">
                  <c:v>-20.981847880298172</c:v>
                </c:pt>
              </c:numCache>
            </c:numRef>
          </c:val>
          <c:extLst>
            <c:ext xmlns:c16="http://schemas.microsoft.com/office/drawing/2014/chart" uri="{C3380CC4-5D6E-409C-BE32-E72D297353CC}">
              <c16:uniqueId val="{00000000-84C2-4B96-BED1-A1AB89F4AB68}"/>
            </c:ext>
          </c:extLst>
        </c:ser>
        <c:ser>
          <c:idx val="1"/>
          <c:order val="1"/>
          <c:tx>
            <c:strRef>
              <c:f>'NE x BR_DEFLACIONADO'!$I$24</c:f>
              <c:strCache>
                <c:ptCount val="1"/>
                <c:pt idx="0">
                  <c:v>2018</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Candara" panose="020E0502030303020204" pitchFamily="34" charset="0"/>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 x BR_DEFLACIONADO'!$J$21:$N$22</c:f>
              <c:strCache>
                <c:ptCount val="5"/>
                <c:pt idx="0">
                  <c:v>Norte</c:v>
                </c:pt>
                <c:pt idx="1">
                  <c:v>Centro-Oeste</c:v>
                </c:pt>
                <c:pt idx="2">
                  <c:v>Sul</c:v>
                </c:pt>
                <c:pt idx="3">
                  <c:v>Sudeste</c:v>
                </c:pt>
                <c:pt idx="4">
                  <c:v>Total</c:v>
                </c:pt>
              </c:strCache>
            </c:strRef>
          </c:cat>
          <c:val>
            <c:numRef>
              <c:f>'NE x BR_DEFLACIONADO'!$J$24:$N$24</c:f>
              <c:numCache>
                <c:formatCode>0.00</c:formatCode>
                <c:ptCount val="5"/>
                <c:pt idx="0">
                  <c:v>-0.20487002669607562</c:v>
                </c:pt>
                <c:pt idx="1">
                  <c:v>-1.206548761647207</c:v>
                </c:pt>
                <c:pt idx="2">
                  <c:v>-5.6400488420178423</c:v>
                </c:pt>
                <c:pt idx="3">
                  <c:v>-13.596628640500958</c:v>
                </c:pt>
                <c:pt idx="4">
                  <c:v>-20.648096270862084</c:v>
                </c:pt>
              </c:numCache>
            </c:numRef>
          </c:val>
          <c:extLst>
            <c:ext xmlns:c16="http://schemas.microsoft.com/office/drawing/2014/chart" uri="{C3380CC4-5D6E-409C-BE32-E72D297353CC}">
              <c16:uniqueId val="{00000001-84C2-4B96-BED1-A1AB89F4AB68}"/>
            </c:ext>
          </c:extLst>
        </c:ser>
        <c:ser>
          <c:idx val="2"/>
          <c:order val="2"/>
          <c:tx>
            <c:strRef>
              <c:f>'NE x BR_DEFLACIONADO'!$I$25</c:f>
              <c:strCache>
                <c:ptCount val="1"/>
                <c:pt idx="0">
                  <c:v>2019</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Candara" panose="020E0502030303020204" pitchFamily="34" charset="0"/>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 x BR_DEFLACIONADO'!$J$21:$N$22</c:f>
              <c:strCache>
                <c:ptCount val="5"/>
                <c:pt idx="0">
                  <c:v>Norte</c:v>
                </c:pt>
                <c:pt idx="1">
                  <c:v>Centro-Oeste</c:v>
                </c:pt>
                <c:pt idx="2">
                  <c:v>Sul</c:v>
                </c:pt>
                <c:pt idx="3">
                  <c:v>Sudeste</c:v>
                </c:pt>
                <c:pt idx="4">
                  <c:v>Total</c:v>
                </c:pt>
              </c:strCache>
            </c:strRef>
          </c:cat>
          <c:val>
            <c:numRef>
              <c:f>'NE x BR_DEFLACIONADO'!$J$25:$N$25</c:f>
              <c:numCache>
                <c:formatCode>0.00</c:formatCode>
                <c:ptCount val="5"/>
                <c:pt idx="0">
                  <c:v>9.3567469120837521E-2</c:v>
                </c:pt>
                <c:pt idx="1">
                  <c:v>-1.4645755221600985</c:v>
                </c:pt>
                <c:pt idx="2">
                  <c:v>-5.3448336024193317</c:v>
                </c:pt>
                <c:pt idx="3">
                  <c:v>-13.258964802777317</c:v>
                </c:pt>
                <c:pt idx="4">
                  <c:v>-19.974806458235911</c:v>
                </c:pt>
              </c:numCache>
            </c:numRef>
          </c:val>
          <c:extLst>
            <c:ext xmlns:c16="http://schemas.microsoft.com/office/drawing/2014/chart" uri="{C3380CC4-5D6E-409C-BE32-E72D297353CC}">
              <c16:uniqueId val="{00000002-84C2-4B96-BED1-A1AB89F4AB68}"/>
            </c:ext>
          </c:extLst>
        </c:ser>
        <c:ser>
          <c:idx val="3"/>
          <c:order val="3"/>
          <c:tx>
            <c:strRef>
              <c:f>'NE x BR_DEFLACIONADO'!$I$26</c:f>
              <c:strCache>
                <c:ptCount val="1"/>
                <c:pt idx="0">
                  <c:v>2020</c:v>
                </c:pt>
              </c:strCache>
            </c:strRef>
          </c:tx>
          <c:spPr>
            <a:solidFill>
              <a:srgbClr val="FF000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Candara" panose="020E0502030303020204" pitchFamily="34" charset="0"/>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 x BR_DEFLACIONADO'!$J$21:$N$22</c:f>
              <c:strCache>
                <c:ptCount val="5"/>
                <c:pt idx="0">
                  <c:v>Norte</c:v>
                </c:pt>
                <c:pt idx="1">
                  <c:v>Centro-Oeste</c:v>
                </c:pt>
                <c:pt idx="2">
                  <c:v>Sul</c:v>
                </c:pt>
                <c:pt idx="3">
                  <c:v>Sudeste</c:v>
                </c:pt>
                <c:pt idx="4">
                  <c:v>Total</c:v>
                </c:pt>
              </c:strCache>
            </c:strRef>
          </c:cat>
          <c:val>
            <c:numRef>
              <c:f>'NE x BR_DEFLACIONADO'!$J$26:$N$26</c:f>
              <c:numCache>
                <c:formatCode>0.00</c:formatCode>
                <c:ptCount val="5"/>
                <c:pt idx="0">
                  <c:v>-0.27394197560052191</c:v>
                </c:pt>
                <c:pt idx="1">
                  <c:v>-2.1184187775983263</c:v>
                </c:pt>
                <c:pt idx="2">
                  <c:v>-6.1673544650373247</c:v>
                </c:pt>
                <c:pt idx="3">
                  <c:v>-16.534272999510069</c:v>
                </c:pt>
                <c:pt idx="4">
                  <c:v>-25.093988217746244</c:v>
                </c:pt>
              </c:numCache>
            </c:numRef>
          </c:val>
          <c:extLst>
            <c:ext xmlns:c16="http://schemas.microsoft.com/office/drawing/2014/chart" uri="{C3380CC4-5D6E-409C-BE32-E72D297353CC}">
              <c16:uniqueId val="{00000003-84C2-4B96-BED1-A1AB89F4AB68}"/>
            </c:ext>
          </c:extLst>
        </c:ser>
        <c:ser>
          <c:idx val="4"/>
          <c:order val="4"/>
          <c:tx>
            <c:strRef>
              <c:f>'NE x BR_DEFLACIONADO'!$I$27</c:f>
              <c:strCache>
                <c:ptCount val="1"/>
                <c:pt idx="0">
                  <c:v>2021</c:v>
                </c:pt>
              </c:strCache>
            </c:strRef>
          </c:tx>
          <c:spPr>
            <a:solidFill>
              <a:srgbClr val="C0000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Candara" panose="020E0502030303020204" pitchFamily="34" charset="0"/>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 x BR_DEFLACIONADO'!$J$21:$N$22</c:f>
              <c:strCache>
                <c:ptCount val="5"/>
                <c:pt idx="0">
                  <c:v>Norte</c:v>
                </c:pt>
                <c:pt idx="1">
                  <c:v>Centro-Oeste</c:v>
                </c:pt>
                <c:pt idx="2">
                  <c:v>Sul</c:v>
                </c:pt>
                <c:pt idx="3">
                  <c:v>Sudeste</c:v>
                </c:pt>
                <c:pt idx="4">
                  <c:v>Total</c:v>
                </c:pt>
              </c:strCache>
            </c:strRef>
          </c:cat>
          <c:val>
            <c:numRef>
              <c:f>'NE x BR_DEFLACIONADO'!$J$27:$N$27</c:f>
              <c:numCache>
                <c:formatCode>0.00</c:formatCode>
                <c:ptCount val="5"/>
                <c:pt idx="0">
                  <c:v>1.0849267404411356</c:v>
                </c:pt>
                <c:pt idx="1">
                  <c:v>-1.9461089634315289</c:v>
                </c:pt>
                <c:pt idx="2">
                  <c:v>-8.2402612742978256</c:v>
                </c:pt>
                <c:pt idx="3">
                  <c:v>-21.472612016448547</c:v>
                </c:pt>
                <c:pt idx="4">
                  <c:v>-30.574055513736763</c:v>
                </c:pt>
              </c:numCache>
            </c:numRef>
          </c:val>
          <c:extLst>
            <c:ext xmlns:c16="http://schemas.microsoft.com/office/drawing/2014/chart" uri="{C3380CC4-5D6E-409C-BE32-E72D297353CC}">
              <c16:uniqueId val="{00000004-84C2-4B96-BED1-A1AB89F4AB68}"/>
            </c:ext>
          </c:extLst>
        </c:ser>
        <c:dLbls>
          <c:dLblPos val="outEnd"/>
          <c:showLegendKey val="0"/>
          <c:showVal val="1"/>
          <c:showCatName val="0"/>
          <c:showSerName val="0"/>
          <c:showPercent val="0"/>
          <c:showBubbleSize val="0"/>
        </c:dLbls>
        <c:gapWidth val="219"/>
        <c:overlap val="-27"/>
        <c:axId val="771098111"/>
        <c:axId val="771099551"/>
      </c:barChart>
      <c:catAx>
        <c:axId val="77109811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pt-BR"/>
          </a:p>
        </c:txPr>
        <c:crossAx val="771099551"/>
        <c:crosses val="autoZero"/>
        <c:auto val="1"/>
        <c:lblAlgn val="ctr"/>
        <c:lblOffset val="100"/>
        <c:noMultiLvlLbl val="0"/>
      </c:catAx>
      <c:valAx>
        <c:axId val="77109955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pt-BR"/>
          </a:p>
        </c:txPr>
        <c:crossAx val="7710981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andara" panose="020E0502030303020204" pitchFamily="34" charset="0"/>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09739187117133"/>
          <c:y val="5.1665002734636117E-2"/>
          <c:w val="0.84703242938941192"/>
          <c:h val="0.71808558108847198"/>
        </c:manualLayout>
      </c:layout>
      <c:lineChart>
        <c:grouping val="standard"/>
        <c:varyColors val="0"/>
        <c:ser>
          <c:idx val="0"/>
          <c:order val="0"/>
          <c:tx>
            <c:strRef>
              <c:f>'SALDO INTERESTADUAL NE e BR'!$K$2</c:f>
              <c:strCache>
                <c:ptCount val="1"/>
                <c:pt idx="0">
                  <c:v>2017</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cat>
            <c:strRef>
              <c:f>'SALDO INTERESTADUAL NE e BR'!$J$3:$J$11</c:f>
              <c:strCache>
                <c:ptCount val="9"/>
                <c:pt idx="0">
                  <c:v>AL</c:v>
                </c:pt>
                <c:pt idx="1">
                  <c:v>BA</c:v>
                </c:pt>
                <c:pt idx="2">
                  <c:v>CE</c:v>
                </c:pt>
                <c:pt idx="3">
                  <c:v>MA</c:v>
                </c:pt>
                <c:pt idx="4">
                  <c:v>PB</c:v>
                </c:pt>
                <c:pt idx="5">
                  <c:v>PE</c:v>
                </c:pt>
                <c:pt idx="6">
                  <c:v>PI</c:v>
                </c:pt>
                <c:pt idx="7">
                  <c:v>RN</c:v>
                </c:pt>
                <c:pt idx="8">
                  <c:v>SE</c:v>
                </c:pt>
              </c:strCache>
            </c:strRef>
          </c:cat>
          <c:val>
            <c:numRef>
              <c:f>'SALDO INTERESTADUAL NE e BR'!$K$3:$K$11</c:f>
              <c:numCache>
                <c:formatCode>_-* #,##0_-;\-* #,##0_-;_-* "-"??_-;_-@_-</c:formatCode>
                <c:ptCount val="9"/>
                <c:pt idx="0">
                  <c:v>-12536620073.220436</c:v>
                </c:pt>
                <c:pt idx="1">
                  <c:v>-29132646922.394932</c:v>
                </c:pt>
                <c:pt idx="2">
                  <c:v>-41646977563.24707</c:v>
                </c:pt>
                <c:pt idx="3">
                  <c:v>-30245273875.878052</c:v>
                </c:pt>
                <c:pt idx="4">
                  <c:v>-24436663257.218655</c:v>
                </c:pt>
                <c:pt idx="5">
                  <c:v>5608850181.0223732</c:v>
                </c:pt>
                <c:pt idx="6">
                  <c:v>-28714160733.894886</c:v>
                </c:pt>
                <c:pt idx="7">
                  <c:v>-24032066227.001595</c:v>
                </c:pt>
                <c:pt idx="8">
                  <c:v>-14911410882.338093</c:v>
                </c:pt>
              </c:numCache>
            </c:numRef>
          </c:val>
          <c:smooth val="0"/>
          <c:extLst>
            <c:ext xmlns:c16="http://schemas.microsoft.com/office/drawing/2014/chart" uri="{C3380CC4-5D6E-409C-BE32-E72D297353CC}">
              <c16:uniqueId val="{00000000-1F49-4F3C-9813-13F1B872FEE3}"/>
            </c:ext>
          </c:extLst>
        </c:ser>
        <c:ser>
          <c:idx val="1"/>
          <c:order val="1"/>
          <c:tx>
            <c:strRef>
              <c:f>'SALDO INTERESTADUAL NE e BR'!$L$2</c:f>
              <c:strCache>
                <c:ptCount val="1"/>
                <c:pt idx="0">
                  <c:v>2018</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cat>
            <c:strRef>
              <c:f>'SALDO INTERESTADUAL NE e BR'!$J$3:$J$11</c:f>
              <c:strCache>
                <c:ptCount val="9"/>
                <c:pt idx="0">
                  <c:v>AL</c:v>
                </c:pt>
                <c:pt idx="1">
                  <c:v>BA</c:v>
                </c:pt>
                <c:pt idx="2">
                  <c:v>CE</c:v>
                </c:pt>
                <c:pt idx="3">
                  <c:v>MA</c:v>
                </c:pt>
                <c:pt idx="4">
                  <c:v>PB</c:v>
                </c:pt>
                <c:pt idx="5">
                  <c:v>PE</c:v>
                </c:pt>
                <c:pt idx="6">
                  <c:v>PI</c:v>
                </c:pt>
                <c:pt idx="7">
                  <c:v>RN</c:v>
                </c:pt>
                <c:pt idx="8">
                  <c:v>SE</c:v>
                </c:pt>
              </c:strCache>
            </c:strRef>
          </c:cat>
          <c:val>
            <c:numRef>
              <c:f>'SALDO INTERESTADUAL NE e BR'!$L$3:$L$11</c:f>
              <c:numCache>
                <c:formatCode>_-* #,##0_-;\-* #,##0_-;_-* "-"??_-;_-@_-</c:formatCode>
                <c:ptCount val="9"/>
                <c:pt idx="0">
                  <c:v>-14641100653.604868</c:v>
                </c:pt>
                <c:pt idx="1">
                  <c:v>-28963732467.141438</c:v>
                </c:pt>
                <c:pt idx="2">
                  <c:v>-49594252469.847672</c:v>
                </c:pt>
                <c:pt idx="3">
                  <c:v>-25039630361.986275</c:v>
                </c:pt>
                <c:pt idx="4">
                  <c:v>-24082926562.511909</c:v>
                </c:pt>
                <c:pt idx="5">
                  <c:v>6231074390.5036802</c:v>
                </c:pt>
                <c:pt idx="6">
                  <c:v>-26275221784.70055</c:v>
                </c:pt>
                <c:pt idx="7">
                  <c:v>-27685727256.231018</c:v>
                </c:pt>
                <c:pt idx="8">
                  <c:v>-17426219920.938568</c:v>
                </c:pt>
              </c:numCache>
            </c:numRef>
          </c:val>
          <c:smooth val="0"/>
          <c:extLst>
            <c:ext xmlns:c16="http://schemas.microsoft.com/office/drawing/2014/chart" uri="{C3380CC4-5D6E-409C-BE32-E72D297353CC}">
              <c16:uniqueId val="{00000001-1F49-4F3C-9813-13F1B872FEE3}"/>
            </c:ext>
          </c:extLst>
        </c:ser>
        <c:ser>
          <c:idx val="2"/>
          <c:order val="2"/>
          <c:tx>
            <c:strRef>
              <c:f>'SALDO INTERESTADUAL NE e BR'!$M$2</c:f>
              <c:strCache>
                <c:ptCount val="1"/>
                <c:pt idx="0">
                  <c:v>2019</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cat>
            <c:strRef>
              <c:f>'SALDO INTERESTADUAL NE e BR'!$J$3:$J$11</c:f>
              <c:strCache>
                <c:ptCount val="9"/>
                <c:pt idx="0">
                  <c:v>AL</c:v>
                </c:pt>
                <c:pt idx="1">
                  <c:v>BA</c:v>
                </c:pt>
                <c:pt idx="2">
                  <c:v>CE</c:v>
                </c:pt>
                <c:pt idx="3">
                  <c:v>MA</c:v>
                </c:pt>
                <c:pt idx="4">
                  <c:v>PB</c:v>
                </c:pt>
                <c:pt idx="5">
                  <c:v>PE</c:v>
                </c:pt>
                <c:pt idx="6">
                  <c:v>PI</c:v>
                </c:pt>
                <c:pt idx="7">
                  <c:v>RN</c:v>
                </c:pt>
                <c:pt idx="8">
                  <c:v>SE</c:v>
                </c:pt>
              </c:strCache>
            </c:strRef>
          </c:cat>
          <c:val>
            <c:numRef>
              <c:f>'SALDO INTERESTADUAL NE e BR'!$M$3:$M$11</c:f>
              <c:numCache>
                <c:formatCode>_-* #,##0_-;\-* #,##0_-;_-* "-"??_-;_-@_-</c:formatCode>
                <c:ptCount val="9"/>
                <c:pt idx="0">
                  <c:v>-15985746969.91004</c:v>
                </c:pt>
                <c:pt idx="1">
                  <c:v>-36197171037.652756</c:v>
                </c:pt>
                <c:pt idx="2">
                  <c:v>-46634148129.578339</c:v>
                </c:pt>
                <c:pt idx="3">
                  <c:v>-20997564020.598572</c:v>
                </c:pt>
                <c:pt idx="4">
                  <c:v>-23973489832.983395</c:v>
                </c:pt>
                <c:pt idx="5">
                  <c:v>6799540483.7343264</c:v>
                </c:pt>
                <c:pt idx="6">
                  <c:v>-28952453128.585262</c:v>
                </c:pt>
                <c:pt idx="7">
                  <c:v>-25281618661.781731</c:v>
                </c:pt>
                <c:pt idx="8">
                  <c:v>-18066578793.452496</c:v>
                </c:pt>
              </c:numCache>
            </c:numRef>
          </c:val>
          <c:smooth val="0"/>
          <c:extLst>
            <c:ext xmlns:c16="http://schemas.microsoft.com/office/drawing/2014/chart" uri="{C3380CC4-5D6E-409C-BE32-E72D297353CC}">
              <c16:uniqueId val="{00000002-1F49-4F3C-9813-13F1B872FEE3}"/>
            </c:ext>
          </c:extLst>
        </c:ser>
        <c:ser>
          <c:idx val="3"/>
          <c:order val="3"/>
          <c:tx>
            <c:strRef>
              <c:f>'SALDO INTERESTADUAL NE e BR'!$N$2</c:f>
              <c:strCache>
                <c:ptCount val="1"/>
                <c:pt idx="0">
                  <c:v>2020</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f>'SALDO INTERESTADUAL NE e BR'!$J$3:$J$11</c:f>
              <c:strCache>
                <c:ptCount val="9"/>
                <c:pt idx="0">
                  <c:v>AL</c:v>
                </c:pt>
                <c:pt idx="1">
                  <c:v>BA</c:v>
                </c:pt>
                <c:pt idx="2">
                  <c:v>CE</c:v>
                </c:pt>
                <c:pt idx="3">
                  <c:v>MA</c:v>
                </c:pt>
                <c:pt idx="4">
                  <c:v>PB</c:v>
                </c:pt>
                <c:pt idx="5">
                  <c:v>PE</c:v>
                </c:pt>
                <c:pt idx="6">
                  <c:v>PI</c:v>
                </c:pt>
                <c:pt idx="7">
                  <c:v>RN</c:v>
                </c:pt>
                <c:pt idx="8">
                  <c:v>SE</c:v>
                </c:pt>
              </c:strCache>
            </c:strRef>
          </c:cat>
          <c:val>
            <c:numRef>
              <c:f>'SALDO INTERESTADUAL NE e BR'!$N$3:$N$11</c:f>
              <c:numCache>
                <c:formatCode>_-* #,##0_-;\-* #,##0_-;_-* "-"??_-;_-@_-</c:formatCode>
                <c:ptCount val="9"/>
                <c:pt idx="0">
                  <c:v>-16905796265.725044</c:v>
                </c:pt>
                <c:pt idx="1">
                  <c:v>-51582651046.922714</c:v>
                </c:pt>
                <c:pt idx="2">
                  <c:v>-52729870315.504211</c:v>
                </c:pt>
                <c:pt idx="3">
                  <c:v>-35611370149.599518</c:v>
                </c:pt>
                <c:pt idx="4">
                  <c:v>-25177991742.864361</c:v>
                </c:pt>
                <c:pt idx="5">
                  <c:v>-10760088223.914476</c:v>
                </c:pt>
                <c:pt idx="6">
                  <c:v>-30394597500.356155</c:v>
                </c:pt>
                <c:pt idx="7">
                  <c:v>-30666588407.424347</c:v>
                </c:pt>
                <c:pt idx="8">
                  <c:v>-17018248020.456244</c:v>
                </c:pt>
              </c:numCache>
            </c:numRef>
          </c:val>
          <c:smooth val="0"/>
          <c:extLst>
            <c:ext xmlns:c16="http://schemas.microsoft.com/office/drawing/2014/chart" uri="{C3380CC4-5D6E-409C-BE32-E72D297353CC}">
              <c16:uniqueId val="{00000003-1F49-4F3C-9813-13F1B872FEE3}"/>
            </c:ext>
          </c:extLst>
        </c:ser>
        <c:ser>
          <c:idx val="4"/>
          <c:order val="4"/>
          <c:tx>
            <c:strRef>
              <c:f>'SALDO INTERESTADUAL NE e BR'!$O$2</c:f>
              <c:strCache>
                <c:ptCount val="1"/>
                <c:pt idx="0">
                  <c:v>2021</c:v>
                </c:pt>
              </c:strCache>
            </c:strRef>
          </c:tx>
          <c:spPr>
            <a:ln w="19050" cap="rnd">
              <a:solidFill>
                <a:srgbClr val="FF0000"/>
              </a:solidFill>
              <a:round/>
            </a:ln>
            <a:effectLst/>
          </c:spPr>
          <c:marker>
            <c:symbol val="circle"/>
            <c:size val="5"/>
            <c:spPr>
              <a:solidFill>
                <a:srgbClr val="FF0000"/>
              </a:solidFill>
              <a:ln w="9525">
                <a:solidFill>
                  <a:srgbClr val="FF0000"/>
                </a:solidFill>
              </a:ln>
              <a:effectLst/>
            </c:spPr>
          </c:marker>
          <c:cat>
            <c:strRef>
              <c:f>'SALDO INTERESTADUAL NE e BR'!$J$3:$J$11</c:f>
              <c:strCache>
                <c:ptCount val="9"/>
                <c:pt idx="0">
                  <c:v>AL</c:v>
                </c:pt>
                <c:pt idx="1">
                  <c:v>BA</c:v>
                </c:pt>
                <c:pt idx="2">
                  <c:v>CE</c:v>
                </c:pt>
                <c:pt idx="3">
                  <c:v>MA</c:v>
                </c:pt>
                <c:pt idx="4">
                  <c:v>PB</c:v>
                </c:pt>
                <c:pt idx="5">
                  <c:v>PE</c:v>
                </c:pt>
                <c:pt idx="6">
                  <c:v>PI</c:v>
                </c:pt>
                <c:pt idx="7">
                  <c:v>RN</c:v>
                </c:pt>
                <c:pt idx="8">
                  <c:v>SE</c:v>
                </c:pt>
              </c:strCache>
            </c:strRef>
          </c:cat>
          <c:val>
            <c:numRef>
              <c:f>'SALDO INTERESTADUAL NE e BR'!$O$3:$O$11</c:f>
              <c:numCache>
                <c:formatCode>_-* #,##0_-;\-* #,##0_-;_-* "-"??_-;_-@_-</c:formatCode>
                <c:ptCount val="9"/>
                <c:pt idx="0">
                  <c:v>-23773769234.101192</c:v>
                </c:pt>
                <c:pt idx="1">
                  <c:v>-89348088671.015594</c:v>
                </c:pt>
                <c:pt idx="2">
                  <c:v>-65261036125.428314</c:v>
                </c:pt>
                <c:pt idx="3">
                  <c:v>-37632224519.359695</c:v>
                </c:pt>
                <c:pt idx="4">
                  <c:v>-44988812186.689606</c:v>
                </c:pt>
                <c:pt idx="5">
                  <c:v>-8268719232.6437225</c:v>
                </c:pt>
                <c:pt idx="6">
                  <c:v>-41436835259.384789</c:v>
                </c:pt>
                <c:pt idx="7">
                  <c:v>-49007539076.754715</c:v>
                </c:pt>
                <c:pt idx="8">
                  <c:v>-20350062577.014324</c:v>
                </c:pt>
              </c:numCache>
            </c:numRef>
          </c:val>
          <c:smooth val="0"/>
          <c:extLst>
            <c:ext xmlns:c16="http://schemas.microsoft.com/office/drawing/2014/chart" uri="{C3380CC4-5D6E-409C-BE32-E72D297353CC}">
              <c16:uniqueId val="{00000004-1F49-4F3C-9813-13F1B872FEE3}"/>
            </c:ext>
          </c:extLst>
        </c:ser>
        <c:ser>
          <c:idx val="5"/>
          <c:order val="5"/>
          <c:tx>
            <c:strRef>
              <c:f>'SALDO INTERESTADUAL NE e BR'!$P$2</c:f>
              <c:strCache>
                <c:ptCount val="1"/>
                <c:pt idx="0">
                  <c:v>2022</c:v>
                </c:pt>
              </c:strCache>
            </c:strRef>
          </c:tx>
          <c:spPr>
            <a:ln w="19050" cap="rnd">
              <a:solidFill>
                <a:srgbClr val="C00000"/>
              </a:solidFill>
              <a:round/>
            </a:ln>
            <a:effectLst/>
          </c:spPr>
          <c:marker>
            <c:symbol val="circle"/>
            <c:size val="5"/>
            <c:spPr>
              <a:solidFill>
                <a:srgbClr val="C00000"/>
              </a:solidFill>
              <a:ln w="9525">
                <a:solidFill>
                  <a:srgbClr val="C00000"/>
                </a:solidFill>
              </a:ln>
              <a:effectLst/>
            </c:spPr>
          </c:marker>
          <c:cat>
            <c:strRef>
              <c:f>'SALDO INTERESTADUAL NE e BR'!$J$3:$J$11</c:f>
              <c:strCache>
                <c:ptCount val="9"/>
                <c:pt idx="0">
                  <c:v>AL</c:v>
                </c:pt>
                <c:pt idx="1">
                  <c:v>BA</c:v>
                </c:pt>
                <c:pt idx="2">
                  <c:v>CE</c:v>
                </c:pt>
                <c:pt idx="3">
                  <c:v>MA</c:v>
                </c:pt>
                <c:pt idx="4">
                  <c:v>PB</c:v>
                </c:pt>
                <c:pt idx="5">
                  <c:v>PE</c:v>
                </c:pt>
                <c:pt idx="6">
                  <c:v>PI</c:v>
                </c:pt>
                <c:pt idx="7">
                  <c:v>RN</c:v>
                </c:pt>
                <c:pt idx="8">
                  <c:v>SE</c:v>
                </c:pt>
              </c:strCache>
            </c:strRef>
          </c:cat>
          <c:val>
            <c:numRef>
              <c:f>'SALDO INTERESTADUAL NE e BR'!$P$3:$P$11</c:f>
              <c:numCache>
                <c:formatCode>_-* #,##0_-;\-* #,##0_-;_-* "-"??_-;_-@_-</c:formatCode>
                <c:ptCount val="9"/>
                <c:pt idx="0">
                  <c:v>-32804968609.560005</c:v>
                </c:pt>
                <c:pt idx="1">
                  <c:v>-117970453287.21997</c:v>
                </c:pt>
                <c:pt idx="2">
                  <c:v>-61889939619.089996</c:v>
                </c:pt>
                <c:pt idx="3">
                  <c:v>-45305625643.529999</c:v>
                </c:pt>
                <c:pt idx="4">
                  <c:v>-40178714224.730011</c:v>
                </c:pt>
                <c:pt idx="5">
                  <c:v>3271392919.6199951</c:v>
                </c:pt>
                <c:pt idx="6">
                  <c:v>-53729875860.510002</c:v>
                </c:pt>
                <c:pt idx="7">
                  <c:v>-40823101731.599991</c:v>
                </c:pt>
                <c:pt idx="8">
                  <c:v>-22724173326.290001</c:v>
                </c:pt>
              </c:numCache>
            </c:numRef>
          </c:val>
          <c:smooth val="0"/>
          <c:extLst>
            <c:ext xmlns:c16="http://schemas.microsoft.com/office/drawing/2014/chart" uri="{C3380CC4-5D6E-409C-BE32-E72D297353CC}">
              <c16:uniqueId val="{00000005-1F49-4F3C-9813-13F1B872FEE3}"/>
            </c:ext>
          </c:extLst>
        </c:ser>
        <c:dLbls>
          <c:showLegendKey val="0"/>
          <c:showVal val="0"/>
          <c:showCatName val="0"/>
          <c:showSerName val="0"/>
          <c:showPercent val="0"/>
          <c:showBubbleSize val="0"/>
        </c:dLbls>
        <c:marker val="1"/>
        <c:smooth val="0"/>
        <c:axId val="1502676607"/>
        <c:axId val="1700784959"/>
      </c:lineChart>
      <c:catAx>
        <c:axId val="15026766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Candara" panose="020E0502030303020204" pitchFamily="34" charset="0"/>
                <a:ea typeface="+mn-ea"/>
                <a:cs typeface="Times New Roman" panose="02020603050405020304" pitchFamily="18" charset="0"/>
              </a:defRPr>
            </a:pPr>
            <a:endParaRPr lang="pt-BR"/>
          </a:p>
        </c:txPr>
        <c:crossAx val="1700784959"/>
        <c:crosses val="autoZero"/>
        <c:auto val="1"/>
        <c:lblAlgn val="ctr"/>
        <c:lblOffset val="100"/>
        <c:noMultiLvlLbl val="0"/>
      </c:catAx>
      <c:valAx>
        <c:axId val="1700784959"/>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Candara" panose="020E0502030303020204" pitchFamily="34" charset="0"/>
                <a:ea typeface="+mn-ea"/>
                <a:cs typeface="Times New Roman" panose="02020603050405020304" pitchFamily="18" charset="0"/>
              </a:defRPr>
            </a:pPr>
            <a:endParaRPr lang="pt-BR"/>
          </a:p>
        </c:txPr>
        <c:crossAx val="1502676607"/>
        <c:crosses val="autoZero"/>
        <c:crossBetween val="between"/>
        <c:dispUnits>
          <c:builtInUnit val="billions"/>
          <c:dispUnitsLbl>
            <c:layout>
              <c:manualLayout>
                <c:xMode val="edge"/>
                <c:yMode val="edge"/>
                <c:x val="1.1759172154280339E-2"/>
                <c:y val="0.26901874310915103"/>
              </c:manualLayout>
            </c:layout>
            <c:tx>
              <c:rich>
                <a:bodyPr rot="-5400000" spcFirstLastPara="1" vertOverflow="ellipsis" vert="horz" wrap="square" anchor="ctr" anchorCtr="1"/>
                <a:lstStyle/>
                <a:p>
                  <a:pPr>
                    <a:defRPr sz="1000" b="0" i="0" u="none" strike="noStrike" kern="1200" baseline="0">
                      <a:solidFill>
                        <a:schemeClr val="tx1"/>
                      </a:solidFill>
                      <a:latin typeface="Candara" panose="020E0502030303020204" pitchFamily="34" charset="0"/>
                      <a:ea typeface="+mn-ea"/>
                      <a:cs typeface="Times New Roman" panose="02020603050405020304" pitchFamily="18" charset="0"/>
                    </a:defRPr>
                  </a:pPr>
                  <a:r>
                    <a:rPr lang="pt-BR"/>
                    <a:t>Saldo - Bilhões de R$</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Candara" panose="020E0502030303020204" pitchFamily="34" charset="0"/>
                    <a:ea typeface="+mn-ea"/>
                    <a:cs typeface="Times New Roman" panose="02020603050405020304" pitchFamily="18" charset="0"/>
                  </a:defRPr>
                </a:pPr>
                <a:endParaRPr lang="pt-BR"/>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ndara" panose="020E0502030303020204" pitchFamily="34" charset="0"/>
              <a:ea typeface="+mn-ea"/>
              <a:cs typeface="Times New Roman" panose="02020603050405020304" pitchFamily="18"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latin typeface="Candara" panose="020E0502030303020204" pitchFamily="34" charset="0"/>
          <a:cs typeface="Times New Roman" panose="02020603050405020304" pitchFamily="18" charset="0"/>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'SALDO INTERESTADUAL NE e BR'!$K$26</c:f>
              <c:strCache>
                <c:ptCount val="1"/>
                <c:pt idx="0">
                  <c:v>2017</c:v>
                </c:pt>
              </c:strCache>
            </c:strRef>
          </c:tx>
          <c:spPr>
            <a:solidFill>
              <a:schemeClr val="accent6"/>
            </a:solidFill>
            <a:ln>
              <a:noFill/>
            </a:ln>
            <a:effectLst/>
          </c:spPr>
          <c:invertIfNegative val="0"/>
          <c:cat>
            <c:strRef>
              <c:f>'SALDO INTERESTADUAL NE e BR'!$J$27:$J$35</c:f>
              <c:strCache>
                <c:ptCount val="9"/>
                <c:pt idx="0">
                  <c:v>AL</c:v>
                </c:pt>
                <c:pt idx="1">
                  <c:v>BA</c:v>
                </c:pt>
                <c:pt idx="2">
                  <c:v>CE</c:v>
                </c:pt>
                <c:pt idx="3">
                  <c:v>MA</c:v>
                </c:pt>
                <c:pt idx="4">
                  <c:v>PB</c:v>
                </c:pt>
                <c:pt idx="5">
                  <c:v>PE</c:v>
                </c:pt>
                <c:pt idx="6">
                  <c:v>PI</c:v>
                </c:pt>
                <c:pt idx="7">
                  <c:v>RN</c:v>
                </c:pt>
                <c:pt idx="8">
                  <c:v>SE</c:v>
                </c:pt>
              </c:strCache>
            </c:strRef>
          </c:cat>
          <c:val>
            <c:numRef>
              <c:f>'SALDO INTERESTADUAL NE e BR'!$K$27:$K$35</c:f>
              <c:numCache>
                <c:formatCode>0.00</c:formatCode>
                <c:ptCount val="9"/>
                <c:pt idx="0">
                  <c:v>-16.668374478881276</c:v>
                </c:pt>
                <c:pt idx="1">
                  <c:v>-7.6179810417755665</c:v>
                </c:pt>
                <c:pt idx="2">
                  <c:v>-19.784206228788591</c:v>
                </c:pt>
                <c:pt idx="3">
                  <c:v>-23.735238570968743</c:v>
                </c:pt>
                <c:pt idx="4">
                  <c:v>-27.519865078749202</c:v>
                </c:pt>
                <c:pt idx="5">
                  <c:v>2.1702102898123901</c:v>
                </c:pt>
                <c:pt idx="6">
                  <c:v>-44.47711160668392</c:v>
                </c:pt>
                <c:pt idx="7">
                  <c:v>-26.260693611813902</c:v>
                </c:pt>
                <c:pt idx="8">
                  <c:v>-25.73761642948887</c:v>
                </c:pt>
              </c:numCache>
            </c:numRef>
          </c:val>
          <c:extLst>
            <c:ext xmlns:c16="http://schemas.microsoft.com/office/drawing/2014/chart" uri="{C3380CC4-5D6E-409C-BE32-E72D297353CC}">
              <c16:uniqueId val="{00000000-9EA8-4207-BCE4-D15024D829AB}"/>
            </c:ext>
          </c:extLst>
        </c:ser>
        <c:ser>
          <c:idx val="1"/>
          <c:order val="1"/>
          <c:tx>
            <c:strRef>
              <c:f>'SALDO INTERESTADUAL NE e BR'!$L$26</c:f>
              <c:strCache>
                <c:ptCount val="1"/>
                <c:pt idx="0">
                  <c:v>2018</c:v>
                </c:pt>
              </c:strCache>
            </c:strRef>
          </c:tx>
          <c:spPr>
            <a:solidFill>
              <a:schemeClr val="accent5"/>
            </a:solidFill>
            <a:ln>
              <a:noFill/>
            </a:ln>
            <a:effectLst/>
          </c:spPr>
          <c:invertIfNegative val="0"/>
          <c:cat>
            <c:strRef>
              <c:f>'SALDO INTERESTADUAL NE e BR'!$J$27:$J$35</c:f>
              <c:strCache>
                <c:ptCount val="9"/>
                <c:pt idx="0">
                  <c:v>AL</c:v>
                </c:pt>
                <c:pt idx="1">
                  <c:v>BA</c:v>
                </c:pt>
                <c:pt idx="2">
                  <c:v>CE</c:v>
                </c:pt>
                <c:pt idx="3">
                  <c:v>MA</c:v>
                </c:pt>
                <c:pt idx="4">
                  <c:v>PB</c:v>
                </c:pt>
                <c:pt idx="5">
                  <c:v>PE</c:v>
                </c:pt>
                <c:pt idx="6">
                  <c:v>PI</c:v>
                </c:pt>
                <c:pt idx="7">
                  <c:v>RN</c:v>
                </c:pt>
                <c:pt idx="8">
                  <c:v>SE</c:v>
                </c:pt>
              </c:strCache>
            </c:strRef>
          </c:cat>
          <c:val>
            <c:numRef>
              <c:f>'SALDO INTERESTADUAL NE e BR'!$L$27:$L$35</c:f>
              <c:numCache>
                <c:formatCode>0.00</c:formatCode>
                <c:ptCount val="9"/>
                <c:pt idx="0">
                  <c:v>-19.756588561172713</c:v>
                </c:pt>
                <c:pt idx="1">
                  <c:v>-7.4296126662763919</c:v>
                </c:pt>
                <c:pt idx="2">
                  <c:v>-23.356934959533671</c:v>
                </c:pt>
                <c:pt idx="3">
                  <c:v>-18.726145320845937</c:v>
                </c:pt>
                <c:pt idx="4">
                  <c:v>-27.468994858249957</c:v>
                </c:pt>
                <c:pt idx="5">
                  <c:v>2.4551057775039355</c:v>
                </c:pt>
                <c:pt idx="6">
                  <c:v>-38.295094137049155</c:v>
                </c:pt>
                <c:pt idx="7">
                  <c:v>-30.354267020191827</c:v>
                </c:pt>
                <c:pt idx="8">
                  <c:v>-30.451541346787224</c:v>
                </c:pt>
              </c:numCache>
            </c:numRef>
          </c:val>
          <c:extLst>
            <c:ext xmlns:c16="http://schemas.microsoft.com/office/drawing/2014/chart" uri="{C3380CC4-5D6E-409C-BE32-E72D297353CC}">
              <c16:uniqueId val="{00000001-9EA8-4207-BCE4-D15024D829AB}"/>
            </c:ext>
          </c:extLst>
        </c:ser>
        <c:ser>
          <c:idx val="2"/>
          <c:order val="2"/>
          <c:tx>
            <c:strRef>
              <c:f>'SALDO INTERESTADUAL NE e BR'!$M$26</c:f>
              <c:strCache>
                <c:ptCount val="1"/>
                <c:pt idx="0">
                  <c:v>2019</c:v>
                </c:pt>
              </c:strCache>
            </c:strRef>
          </c:tx>
          <c:spPr>
            <a:solidFill>
              <a:schemeClr val="accent4"/>
            </a:solidFill>
            <a:ln>
              <a:noFill/>
            </a:ln>
            <a:effectLst/>
          </c:spPr>
          <c:invertIfNegative val="0"/>
          <c:cat>
            <c:strRef>
              <c:f>'SALDO INTERESTADUAL NE e BR'!$J$27:$J$35</c:f>
              <c:strCache>
                <c:ptCount val="9"/>
                <c:pt idx="0">
                  <c:v>AL</c:v>
                </c:pt>
                <c:pt idx="1">
                  <c:v>BA</c:v>
                </c:pt>
                <c:pt idx="2">
                  <c:v>CE</c:v>
                </c:pt>
                <c:pt idx="3">
                  <c:v>MA</c:v>
                </c:pt>
                <c:pt idx="4">
                  <c:v>PB</c:v>
                </c:pt>
                <c:pt idx="5">
                  <c:v>PE</c:v>
                </c:pt>
                <c:pt idx="6">
                  <c:v>PI</c:v>
                </c:pt>
                <c:pt idx="7">
                  <c:v>RN</c:v>
                </c:pt>
                <c:pt idx="8">
                  <c:v>SE</c:v>
                </c:pt>
              </c:strCache>
            </c:strRef>
          </c:cat>
          <c:val>
            <c:numRef>
              <c:f>'SALDO INTERESTADUAL NE e BR'!$M$27:$M$35</c:f>
              <c:numCache>
                <c:formatCode>0.00</c:formatCode>
                <c:ptCount val="9"/>
                <c:pt idx="0">
                  <c:v>-20.746284843704323</c:v>
                </c:pt>
                <c:pt idx="1">
                  <c:v>-9.4458928466976033</c:v>
                </c:pt>
                <c:pt idx="2">
                  <c:v>-21.816174145347041</c:v>
                </c:pt>
                <c:pt idx="3">
                  <c:v>-16.507077494125436</c:v>
                </c:pt>
                <c:pt idx="4">
                  <c:v>-26.983833022947088</c:v>
                </c:pt>
                <c:pt idx="5">
                  <c:v>2.6298345988974021</c:v>
                </c:pt>
                <c:pt idx="6">
                  <c:v>-41.976078763293579</c:v>
                </c:pt>
                <c:pt idx="7">
                  <c:v>-27.119627153736719</c:v>
                </c:pt>
                <c:pt idx="8">
                  <c:v>-30.935912563643615</c:v>
                </c:pt>
              </c:numCache>
            </c:numRef>
          </c:val>
          <c:extLst>
            <c:ext xmlns:c16="http://schemas.microsoft.com/office/drawing/2014/chart" uri="{C3380CC4-5D6E-409C-BE32-E72D297353CC}">
              <c16:uniqueId val="{00000002-9EA8-4207-BCE4-D15024D829AB}"/>
            </c:ext>
          </c:extLst>
        </c:ser>
        <c:ser>
          <c:idx val="3"/>
          <c:order val="3"/>
          <c:tx>
            <c:strRef>
              <c:f>'SALDO INTERESTADUAL NE e BR'!$N$26</c:f>
              <c:strCache>
                <c:ptCount val="1"/>
                <c:pt idx="0">
                  <c:v>2020</c:v>
                </c:pt>
              </c:strCache>
            </c:strRef>
          </c:tx>
          <c:spPr>
            <a:solidFill>
              <a:schemeClr val="accent6">
                <a:lumMod val="60000"/>
              </a:schemeClr>
            </a:solidFill>
            <a:ln>
              <a:noFill/>
            </a:ln>
            <a:effectLst/>
          </c:spPr>
          <c:invertIfNegative val="0"/>
          <c:cat>
            <c:strRef>
              <c:f>'SALDO INTERESTADUAL NE e BR'!$J$27:$J$35</c:f>
              <c:strCache>
                <c:ptCount val="9"/>
                <c:pt idx="0">
                  <c:v>AL</c:v>
                </c:pt>
                <c:pt idx="1">
                  <c:v>BA</c:v>
                </c:pt>
                <c:pt idx="2">
                  <c:v>CE</c:v>
                </c:pt>
                <c:pt idx="3">
                  <c:v>MA</c:v>
                </c:pt>
                <c:pt idx="4">
                  <c:v>PB</c:v>
                </c:pt>
                <c:pt idx="5">
                  <c:v>PE</c:v>
                </c:pt>
                <c:pt idx="6">
                  <c:v>PI</c:v>
                </c:pt>
                <c:pt idx="7">
                  <c:v>RN</c:v>
                </c:pt>
                <c:pt idx="8">
                  <c:v>SE</c:v>
                </c:pt>
              </c:strCache>
            </c:strRef>
          </c:cat>
          <c:val>
            <c:numRef>
              <c:f>'SALDO INTERESTADUAL NE e BR'!$N$27:$N$35</c:f>
              <c:numCache>
                <c:formatCode>0.00</c:formatCode>
                <c:ptCount val="9"/>
                <c:pt idx="0">
                  <c:v>-21.793250316293371</c:v>
                </c:pt>
                <c:pt idx="1">
                  <c:v>-13.764702976843799</c:v>
                </c:pt>
                <c:pt idx="2">
                  <c:v>-25.73843521326944</c:v>
                </c:pt>
                <c:pt idx="3">
                  <c:v>-27.13724358211519</c:v>
                </c:pt>
                <c:pt idx="4">
                  <c:v>-29.183311525997652</c:v>
                </c:pt>
                <c:pt idx="5">
                  <c:v>-4.5351027791914955</c:v>
                </c:pt>
                <c:pt idx="6">
                  <c:v>-43.91412323227356</c:v>
                </c:pt>
                <c:pt idx="7">
                  <c:v>-34.906870900860113</c:v>
                </c:pt>
                <c:pt idx="8">
                  <c:v>-30.534177567656311</c:v>
                </c:pt>
              </c:numCache>
            </c:numRef>
          </c:val>
          <c:extLst>
            <c:ext xmlns:c16="http://schemas.microsoft.com/office/drawing/2014/chart" uri="{C3380CC4-5D6E-409C-BE32-E72D297353CC}">
              <c16:uniqueId val="{00000003-9EA8-4207-BCE4-D15024D829AB}"/>
            </c:ext>
          </c:extLst>
        </c:ser>
        <c:ser>
          <c:idx val="4"/>
          <c:order val="4"/>
          <c:tx>
            <c:strRef>
              <c:f>'SALDO INTERESTADUAL NE e BR'!$O$26</c:f>
              <c:strCache>
                <c:ptCount val="1"/>
                <c:pt idx="0">
                  <c:v>2021</c:v>
                </c:pt>
              </c:strCache>
            </c:strRef>
          </c:tx>
          <c:spPr>
            <a:solidFill>
              <a:srgbClr val="FF0000"/>
            </a:solidFill>
            <a:ln>
              <a:solidFill>
                <a:srgbClr val="FF0000"/>
              </a:solidFill>
            </a:ln>
            <a:effectLst/>
          </c:spPr>
          <c:invertIfNegative val="0"/>
          <c:cat>
            <c:strRef>
              <c:f>'SALDO INTERESTADUAL NE e BR'!$J$27:$J$35</c:f>
              <c:strCache>
                <c:ptCount val="9"/>
                <c:pt idx="0">
                  <c:v>AL</c:v>
                </c:pt>
                <c:pt idx="1">
                  <c:v>BA</c:v>
                </c:pt>
                <c:pt idx="2">
                  <c:v>CE</c:v>
                </c:pt>
                <c:pt idx="3">
                  <c:v>MA</c:v>
                </c:pt>
                <c:pt idx="4">
                  <c:v>PB</c:v>
                </c:pt>
                <c:pt idx="5">
                  <c:v>PE</c:v>
                </c:pt>
                <c:pt idx="6">
                  <c:v>PI</c:v>
                </c:pt>
                <c:pt idx="7">
                  <c:v>RN</c:v>
                </c:pt>
                <c:pt idx="8">
                  <c:v>SE</c:v>
                </c:pt>
              </c:strCache>
            </c:strRef>
          </c:cat>
          <c:val>
            <c:numRef>
              <c:f>'SALDO INTERESTADUAL NE e BR'!$O$27:$O$35</c:f>
              <c:numCache>
                <c:formatCode>0.00</c:formatCode>
                <c:ptCount val="9"/>
                <c:pt idx="0">
                  <c:v>-28.711732435013893</c:v>
                </c:pt>
                <c:pt idx="1">
                  <c:v>-23.338402924869992</c:v>
                </c:pt>
                <c:pt idx="2">
                  <c:v>-30.843677650621455</c:v>
                </c:pt>
                <c:pt idx="3">
                  <c:v>-27.733650049133558</c:v>
                </c:pt>
                <c:pt idx="4">
                  <c:v>-53.488359395558582</c:v>
                </c:pt>
                <c:pt idx="5">
                  <c:v>-3.4490758240794546</c:v>
                </c:pt>
                <c:pt idx="6">
                  <c:v>-59.608027489597347</c:v>
                </c:pt>
                <c:pt idx="7">
                  <c:v>-56.29671247485858</c:v>
                </c:pt>
                <c:pt idx="8">
                  <c:v>-36.141959998728602</c:v>
                </c:pt>
              </c:numCache>
            </c:numRef>
          </c:val>
          <c:extLst>
            <c:ext xmlns:c16="http://schemas.microsoft.com/office/drawing/2014/chart" uri="{C3380CC4-5D6E-409C-BE32-E72D297353CC}">
              <c16:uniqueId val="{00000004-9EA8-4207-BCE4-D15024D829AB}"/>
            </c:ext>
          </c:extLst>
        </c:ser>
        <c:dLbls>
          <c:showLegendKey val="0"/>
          <c:showVal val="0"/>
          <c:showCatName val="0"/>
          <c:showSerName val="0"/>
          <c:showPercent val="0"/>
          <c:showBubbleSize val="0"/>
        </c:dLbls>
        <c:gapWidth val="150"/>
        <c:axId val="1064108832"/>
        <c:axId val="1064119872"/>
      </c:barChart>
      <c:catAx>
        <c:axId val="1064108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pt-BR"/>
          </a:p>
        </c:txPr>
        <c:crossAx val="1064119872"/>
        <c:crosses val="autoZero"/>
        <c:auto val="1"/>
        <c:lblAlgn val="ctr"/>
        <c:lblOffset val="100"/>
        <c:noMultiLvlLbl val="0"/>
      </c:catAx>
      <c:valAx>
        <c:axId val="1064119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Candara" panose="020E0502030303020204" pitchFamily="34" charset="0"/>
                    <a:ea typeface="+mn-ea"/>
                    <a:cs typeface="+mn-cs"/>
                  </a:defRPr>
                </a:pPr>
                <a:r>
                  <a:rPr lang="pt-BR"/>
                  <a:t>Saldo en proporção do PIB</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Candara" panose="020E0502030303020204" pitchFamily="34" charset="0"/>
                  <a:ea typeface="+mn-ea"/>
                  <a:cs typeface="+mn-cs"/>
                </a:defRPr>
              </a:pPr>
              <a:endParaRPr lang="pt-B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pt-BR"/>
          </a:p>
        </c:txPr>
        <c:crossAx val="1064108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andara" panose="020E0502030303020204" pitchFamily="34" charset="0"/>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'SALDO INTERESTADUAL NE e BR'!$B$2</c:f>
              <c:strCache>
                <c:ptCount val="1"/>
                <c:pt idx="0">
                  <c:v>2017</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'SALDO INTERESTADUAL NE e BR'!$A$3:$A$11</c:f>
              <c:strCache>
                <c:ptCount val="9"/>
                <c:pt idx="0">
                  <c:v>AL</c:v>
                </c:pt>
                <c:pt idx="1">
                  <c:v>BA</c:v>
                </c:pt>
                <c:pt idx="2">
                  <c:v>CE</c:v>
                </c:pt>
                <c:pt idx="3">
                  <c:v>MA</c:v>
                </c:pt>
                <c:pt idx="4">
                  <c:v>PB</c:v>
                </c:pt>
                <c:pt idx="5">
                  <c:v>PE</c:v>
                </c:pt>
                <c:pt idx="6">
                  <c:v>PI</c:v>
                </c:pt>
                <c:pt idx="7">
                  <c:v>RN</c:v>
                </c:pt>
                <c:pt idx="8">
                  <c:v>SE</c:v>
                </c:pt>
              </c:strCache>
            </c:strRef>
          </c:cat>
          <c:val>
            <c:numRef>
              <c:f>'SALDO INTERESTADUAL NE e BR'!$B$3:$B$11</c:f>
              <c:numCache>
                <c:formatCode>_-* #,##0_-;\-* #,##0_-;_-* "-"??_-;_-@_-</c:formatCode>
                <c:ptCount val="9"/>
                <c:pt idx="0">
                  <c:v>-7400171378.3010435</c:v>
                </c:pt>
                <c:pt idx="1">
                  <c:v>9429025046.293087</c:v>
                </c:pt>
                <c:pt idx="2">
                  <c:v>-6970494378.4349022</c:v>
                </c:pt>
                <c:pt idx="3">
                  <c:v>-6581855684.2964983</c:v>
                </c:pt>
                <c:pt idx="4">
                  <c:v>-4972788137.3113699</c:v>
                </c:pt>
                <c:pt idx="5">
                  <c:v>44418974744.862915</c:v>
                </c:pt>
                <c:pt idx="6">
                  <c:v>-11867917159.492657</c:v>
                </c:pt>
                <c:pt idx="7">
                  <c:v>-10765944371.252068</c:v>
                </c:pt>
                <c:pt idx="8">
                  <c:v>-5288828682.0674667</c:v>
                </c:pt>
              </c:numCache>
            </c:numRef>
          </c:val>
          <c:smooth val="0"/>
          <c:extLst>
            <c:ext xmlns:c16="http://schemas.microsoft.com/office/drawing/2014/chart" uri="{C3380CC4-5D6E-409C-BE32-E72D297353CC}">
              <c16:uniqueId val="{00000000-ECC3-4375-90B4-314D06549BEA}"/>
            </c:ext>
          </c:extLst>
        </c:ser>
        <c:ser>
          <c:idx val="1"/>
          <c:order val="1"/>
          <c:tx>
            <c:strRef>
              <c:f>'SALDO INTERESTADUAL NE e BR'!$C$2</c:f>
              <c:strCache>
                <c:ptCount val="1"/>
                <c:pt idx="0">
                  <c:v>2018</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cat>
            <c:strRef>
              <c:f>'SALDO INTERESTADUAL NE e BR'!$A$3:$A$11</c:f>
              <c:strCache>
                <c:ptCount val="9"/>
                <c:pt idx="0">
                  <c:v>AL</c:v>
                </c:pt>
                <c:pt idx="1">
                  <c:v>BA</c:v>
                </c:pt>
                <c:pt idx="2">
                  <c:v>CE</c:v>
                </c:pt>
                <c:pt idx="3">
                  <c:v>MA</c:v>
                </c:pt>
                <c:pt idx="4">
                  <c:v>PB</c:v>
                </c:pt>
                <c:pt idx="5">
                  <c:v>PE</c:v>
                </c:pt>
                <c:pt idx="6">
                  <c:v>PI</c:v>
                </c:pt>
                <c:pt idx="7">
                  <c:v>RN</c:v>
                </c:pt>
                <c:pt idx="8">
                  <c:v>SE</c:v>
                </c:pt>
              </c:strCache>
            </c:strRef>
          </c:cat>
          <c:val>
            <c:numRef>
              <c:f>'SALDO INTERESTADUAL NE e BR'!$C$3:$C$11</c:f>
              <c:numCache>
                <c:formatCode>_-* #,##0_-;\-* #,##0_-;_-* "-"??_-;_-@_-</c:formatCode>
                <c:ptCount val="9"/>
                <c:pt idx="0">
                  <c:v>-7287649506.7438402</c:v>
                </c:pt>
                <c:pt idx="1">
                  <c:v>11379183376.268402</c:v>
                </c:pt>
                <c:pt idx="2">
                  <c:v>-11213321584.987814</c:v>
                </c:pt>
                <c:pt idx="3">
                  <c:v>-4773106040.0319395</c:v>
                </c:pt>
                <c:pt idx="4">
                  <c:v>-2991303234.2176361</c:v>
                </c:pt>
                <c:pt idx="5">
                  <c:v>42037423963.333298</c:v>
                </c:pt>
                <c:pt idx="6">
                  <c:v>-10472070772.783649</c:v>
                </c:pt>
                <c:pt idx="7">
                  <c:v>-10288368948.937189</c:v>
                </c:pt>
                <c:pt idx="8">
                  <c:v>-6390787250.5376892</c:v>
                </c:pt>
              </c:numCache>
            </c:numRef>
          </c:val>
          <c:smooth val="0"/>
          <c:extLst>
            <c:ext xmlns:c16="http://schemas.microsoft.com/office/drawing/2014/chart" uri="{C3380CC4-5D6E-409C-BE32-E72D297353CC}">
              <c16:uniqueId val="{00000001-ECC3-4375-90B4-314D06549BEA}"/>
            </c:ext>
          </c:extLst>
        </c:ser>
        <c:ser>
          <c:idx val="2"/>
          <c:order val="2"/>
          <c:tx>
            <c:strRef>
              <c:f>'SALDO INTERESTADUAL NE e BR'!$D$2</c:f>
              <c:strCache>
                <c:ptCount val="1"/>
                <c:pt idx="0">
                  <c:v>2019</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cat>
            <c:strRef>
              <c:f>'SALDO INTERESTADUAL NE e BR'!$A$3:$A$11</c:f>
              <c:strCache>
                <c:ptCount val="9"/>
                <c:pt idx="0">
                  <c:v>AL</c:v>
                </c:pt>
                <c:pt idx="1">
                  <c:v>BA</c:v>
                </c:pt>
                <c:pt idx="2">
                  <c:v>CE</c:v>
                </c:pt>
                <c:pt idx="3">
                  <c:v>MA</c:v>
                </c:pt>
                <c:pt idx="4">
                  <c:v>PB</c:v>
                </c:pt>
                <c:pt idx="5">
                  <c:v>PE</c:v>
                </c:pt>
                <c:pt idx="6">
                  <c:v>PI</c:v>
                </c:pt>
                <c:pt idx="7">
                  <c:v>RN</c:v>
                </c:pt>
                <c:pt idx="8">
                  <c:v>SE</c:v>
                </c:pt>
              </c:strCache>
            </c:strRef>
          </c:cat>
          <c:val>
            <c:numRef>
              <c:f>'SALDO INTERESTADUAL NE e BR'!$D$3:$D$11</c:f>
              <c:numCache>
                <c:formatCode>_-* #,##0_-;\-* #,##0_-;_-* "-"??_-;_-@_-</c:formatCode>
                <c:ptCount val="9"/>
                <c:pt idx="0">
                  <c:v>-8156015567.9065714</c:v>
                </c:pt>
                <c:pt idx="1">
                  <c:v>11388009507.983574</c:v>
                </c:pt>
                <c:pt idx="2">
                  <c:v>-9995605974.1050224</c:v>
                </c:pt>
                <c:pt idx="3">
                  <c:v>-5232780724.5403051</c:v>
                </c:pt>
                <c:pt idx="4">
                  <c:v>-3025252659.4747839</c:v>
                </c:pt>
                <c:pt idx="5">
                  <c:v>43981882129.197189</c:v>
                </c:pt>
                <c:pt idx="6">
                  <c:v>-11470740019.647917</c:v>
                </c:pt>
                <c:pt idx="7">
                  <c:v>-10798681448.811172</c:v>
                </c:pt>
                <c:pt idx="8">
                  <c:v>-6690815242.694993</c:v>
                </c:pt>
              </c:numCache>
            </c:numRef>
          </c:val>
          <c:smooth val="0"/>
          <c:extLst>
            <c:ext xmlns:c16="http://schemas.microsoft.com/office/drawing/2014/chart" uri="{C3380CC4-5D6E-409C-BE32-E72D297353CC}">
              <c16:uniqueId val="{00000002-ECC3-4375-90B4-314D06549BEA}"/>
            </c:ext>
          </c:extLst>
        </c:ser>
        <c:ser>
          <c:idx val="3"/>
          <c:order val="3"/>
          <c:tx>
            <c:strRef>
              <c:f>'SALDO INTERESTADUAL NE e BR'!$E$2</c:f>
              <c:strCache>
                <c:ptCount val="1"/>
                <c:pt idx="0">
                  <c:v>2020</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f>'SALDO INTERESTADUAL NE e BR'!$A$3:$A$11</c:f>
              <c:strCache>
                <c:ptCount val="9"/>
                <c:pt idx="0">
                  <c:v>AL</c:v>
                </c:pt>
                <c:pt idx="1">
                  <c:v>BA</c:v>
                </c:pt>
                <c:pt idx="2">
                  <c:v>CE</c:v>
                </c:pt>
                <c:pt idx="3">
                  <c:v>MA</c:v>
                </c:pt>
                <c:pt idx="4">
                  <c:v>PB</c:v>
                </c:pt>
                <c:pt idx="5">
                  <c:v>PE</c:v>
                </c:pt>
                <c:pt idx="6">
                  <c:v>PI</c:v>
                </c:pt>
                <c:pt idx="7">
                  <c:v>RN</c:v>
                </c:pt>
                <c:pt idx="8">
                  <c:v>SE</c:v>
                </c:pt>
              </c:strCache>
            </c:strRef>
          </c:cat>
          <c:val>
            <c:numRef>
              <c:f>'SALDO INTERESTADUAL NE e BR'!$E$3:$E$11</c:f>
              <c:numCache>
                <c:formatCode>_-* #,##0_-;\-* #,##0_-;_-* "-"??_-;_-@_-</c:formatCode>
                <c:ptCount val="9"/>
                <c:pt idx="0">
                  <c:v>-8018380249.5084753</c:v>
                </c:pt>
                <c:pt idx="1">
                  <c:v>10377902644.85606</c:v>
                </c:pt>
                <c:pt idx="2">
                  <c:v>-5819154054.868206</c:v>
                </c:pt>
                <c:pt idx="3">
                  <c:v>-9514397929.1981106</c:v>
                </c:pt>
                <c:pt idx="4">
                  <c:v>-769559258.37064886</c:v>
                </c:pt>
                <c:pt idx="5">
                  <c:v>46115139450.514313</c:v>
                </c:pt>
                <c:pt idx="6">
                  <c:v>-10914652085.59049</c:v>
                </c:pt>
                <c:pt idx="7">
                  <c:v>-15824876947.602701</c:v>
                </c:pt>
                <c:pt idx="8">
                  <c:v>-5632021570.2317371</c:v>
                </c:pt>
              </c:numCache>
            </c:numRef>
          </c:val>
          <c:smooth val="0"/>
          <c:extLst>
            <c:ext xmlns:c16="http://schemas.microsoft.com/office/drawing/2014/chart" uri="{C3380CC4-5D6E-409C-BE32-E72D297353CC}">
              <c16:uniqueId val="{00000003-ECC3-4375-90B4-314D06549BEA}"/>
            </c:ext>
          </c:extLst>
        </c:ser>
        <c:ser>
          <c:idx val="4"/>
          <c:order val="4"/>
          <c:tx>
            <c:strRef>
              <c:f>'SALDO INTERESTADUAL NE e BR'!$F$2</c:f>
              <c:strCache>
                <c:ptCount val="1"/>
                <c:pt idx="0">
                  <c:v>2021</c:v>
                </c:pt>
              </c:strCache>
            </c:strRef>
          </c:tx>
          <c:spPr>
            <a:ln w="19050" cap="rnd">
              <a:solidFill>
                <a:srgbClr val="FF0000"/>
              </a:solidFill>
              <a:round/>
            </a:ln>
            <a:effectLst/>
          </c:spPr>
          <c:marker>
            <c:symbol val="circle"/>
            <c:size val="5"/>
            <c:spPr>
              <a:solidFill>
                <a:srgbClr val="FF0000"/>
              </a:solidFill>
              <a:ln w="9525">
                <a:solidFill>
                  <a:srgbClr val="FF0000"/>
                </a:solidFill>
              </a:ln>
              <a:effectLst/>
            </c:spPr>
          </c:marker>
          <c:cat>
            <c:strRef>
              <c:f>'SALDO INTERESTADUAL NE e BR'!$A$3:$A$11</c:f>
              <c:strCache>
                <c:ptCount val="9"/>
                <c:pt idx="0">
                  <c:v>AL</c:v>
                </c:pt>
                <c:pt idx="1">
                  <c:v>BA</c:v>
                </c:pt>
                <c:pt idx="2">
                  <c:v>CE</c:v>
                </c:pt>
                <c:pt idx="3">
                  <c:v>MA</c:v>
                </c:pt>
                <c:pt idx="4">
                  <c:v>PB</c:v>
                </c:pt>
                <c:pt idx="5">
                  <c:v>PE</c:v>
                </c:pt>
                <c:pt idx="6">
                  <c:v>PI</c:v>
                </c:pt>
                <c:pt idx="7">
                  <c:v>RN</c:v>
                </c:pt>
                <c:pt idx="8">
                  <c:v>SE</c:v>
                </c:pt>
              </c:strCache>
            </c:strRef>
          </c:cat>
          <c:val>
            <c:numRef>
              <c:f>'SALDO INTERESTADUAL NE e BR'!$F$3:$F$11</c:f>
              <c:numCache>
                <c:formatCode>_-* #,##0_-;\-* #,##0_-;_-* "-"??_-;_-@_-</c:formatCode>
                <c:ptCount val="9"/>
                <c:pt idx="0">
                  <c:v>-12616260510.730803</c:v>
                </c:pt>
                <c:pt idx="1">
                  <c:v>20141264321.362801</c:v>
                </c:pt>
                <c:pt idx="2">
                  <c:v>-5784405071.4912014</c:v>
                </c:pt>
                <c:pt idx="3">
                  <c:v>-13565310636.893402</c:v>
                </c:pt>
                <c:pt idx="4">
                  <c:v>-8725054543.1973</c:v>
                </c:pt>
                <c:pt idx="5">
                  <c:v>65654237255.376015</c:v>
                </c:pt>
                <c:pt idx="6">
                  <c:v>-12952504839.605101</c:v>
                </c:pt>
                <c:pt idx="7">
                  <c:v>-24793619745.925804</c:v>
                </c:pt>
                <c:pt idx="8">
                  <c:v>-7358346228.8952017</c:v>
                </c:pt>
              </c:numCache>
            </c:numRef>
          </c:val>
          <c:smooth val="0"/>
          <c:extLst>
            <c:ext xmlns:c16="http://schemas.microsoft.com/office/drawing/2014/chart" uri="{C3380CC4-5D6E-409C-BE32-E72D297353CC}">
              <c16:uniqueId val="{00000004-ECC3-4375-90B4-314D06549BEA}"/>
            </c:ext>
          </c:extLst>
        </c:ser>
        <c:ser>
          <c:idx val="5"/>
          <c:order val="5"/>
          <c:tx>
            <c:strRef>
              <c:f>'SALDO INTERESTADUAL NE e BR'!$G$2</c:f>
              <c:strCache>
                <c:ptCount val="1"/>
                <c:pt idx="0">
                  <c:v>2022</c:v>
                </c:pt>
              </c:strCache>
            </c:strRef>
          </c:tx>
          <c:spPr>
            <a:ln w="19050" cap="rnd">
              <a:solidFill>
                <a:srgbClr val="C00000"/>
              </a:solidFill>
              <a:round/>
            </a:ln>
            <a:effectLst/>
          </c:spPr>
          <c:marker>
            <c:symbol val="circle"/>
            <c:size val="5"/>
            <c:spPr>
              <a:solidFill>
                <a:srgbClr val="C00000"/>
              </a:solidFill>
              <a:ln w="9525">
                <a:solidFill>
                  <a:srgbClr val="C00000"/>
                </a:solidFill>
              </a:ln>
              <a:effectLst/>
            </c:spPr>
          </c:marker>
          <c:cat>
            <c:strRef>
              <c:f>'SALDO INTERESTADUAL NE e BR'!$A$3:$A$11</c:f>
              <c:strCache>
                <c:ptCount val="9"/>
                <c:pt idx="0">
                  <c:v>AL</c:v>
                </c:pt>
                <c:pt idx="1">
                  <c:v>BA</c:v>
                </c:pt>
                <c:pt idx="2">
                  <c:v>CE</c:v>
                </c:pt>
                <c:pt idx="3">
                  <c:v>MA</c:v>
                </c:pt>
                <c:pt idx="4">
                  <c:v>PB</c:v>
                </c:pt>
                <c:pt idx="5">
                  <c:v>PE</c:v>
                </c:pt>
                <c:pt idx="6">
                  <c:v>PI</c:v>
                </c:pt>
                <c:pt idx="7">
                  <c:v>RN</c:v>
                </c:pt>
                <c:pt idx="8">
                  <c:v>SE</c:v>
                </c:pt>
              </c:strCache>
            </c:strRef>
          </c:cat>
          <c:val>
            <c:numRef>
              <c:f>'SALDO INTERESTADUAL NE e BR'!$G$3:$G$11</c:f>
              <c:numCache>
                <c:formatCode>_-* #,##0_-;\-* #,##0_-;_-* "-"??_-;_-@_-</c:formatCode>
                <c:ptCount val="9"/>
                <c:pt idx="0">
                  <c:v>-11485278029</c:v>
                </c:pt>
                <c:pt idx="1">
                  <c:v>23916635204</c:v>
                </c:pt>
                <c:pt idx="2">
                  <c:v>-4670922558</c:v>
                </c:pt>
                <c:pt idx="3">
                  <c:v>-14388841933</c:v>
                </c:pt>
                <c:pt idx="4">
                  <c:v>-5095309936</c:v>
                </c:pt>
                <c:pt idx="5">
                  <c:v>63130313041</c:v>
                </c:pt>
                <c:pt idx="6">
                  <c:v>-24495991719</c:v>
                </c:pt>
                <c:pt idx="7">
                  <c:v>-19987729772</c:v>
                </c:pt>
                <c:pt idx="8">
                  <c:v>-6922874298</c:v>
                </c:pt>
              </c:numCache>
            </c:numRef>
          </c:val>
          <c:smooth val="0"/>
          <c:extLst>
            <c:ext xmlns:c16="http://schemas.microsoft.com/office/drawing/2014/chart" uri="{C3380CC4-5D6E-409C-BE32-E72D297353CC}">
              <c16:uniqueId val="{00000005-ECC3-4375-90B4-314D06549BEA}"/>
            </c:ext>
          </c:extLst>
        </c:ser>
        <c:dLbls>
          <c:showLegendKey val="0"/>
          <c:showVal val="0"/>
          <c:showCatName val="0"/>
          <c:showSerName val="0"/>
          <c:showPercent val="0"/>
          <c:showBubbleSize val="0"/>
        </c:dLbls>
        <c:marker val="1"/>
        <c:smooth val="0"/>
        <c:axId val="1502683327"/>
        <c:axId val="1700786943"/>
      </c:lineChart>
      <c:catAx>
        <c:axId val="150268332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Candara" panose="020E0502030303020204" pitchFamily="34" charset="0"/>
                <a:ea typeface="+mn-ea"/>
                <a:cs typeface="Times New Roman" panose="02020603050405020304" pitchFamily="18" charset="0"/>
              </a:defRPr>
            </a:pPr>
            <a:endParaRPr lang="pt-BR"/>
          </a:p>
        </c:txPr>
        <c:crossAx val="1700786943"/>
        <c:crosses val="autoZero"/>
        <c:auto val="1"/>
        <c:lblAlgn val="ctr"/>
        <c:lblOffset val="100"/>
        <c:noMultiLvlLbl val="0"/>
      </c:catAx>
      <c:valAx>
        <c:axId val="1700786943"/>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Candara" panose="020E0502030303020204" pitchFamily="34" charset="0"/>
                <a:ea typeface="+mn-ea"/>
                <a:cs typeface="Times New Roman" panose="02020603050405020304" pitchFamily="18" charset="0"/>
              </a:defRPr>
            </a:pPr>
            <a:endParaRPr lang="pt-BR"/>
          </a:p>
        </c:txPr>
        <c:crossAx val="1502683327"/>
        <c:crosses val="autoZero"/>
        <c:crossBetween val="between"/>
        <c:dispUnits>
          <c:builtInUnit val="billions"/>
          <c:dispUnitsLbl>
            <c:layout>
              <c:manualLayout>
                <c:xMode val="edge"/>
                <c:yMode val="edge"/>
                <c:x val="2.5870178739416744E-2"/>
                <c:y val="0.23373759647188533"/>
              </c:manualLayout>
            </c:layout>
            <c:tx>
              <c:rich>
                <a:bodyPr rot="-5400000" spcFirstLastPara="1" vertOverflow="ellipsis" vert="horz" wrap="square" anchor="ctr" anchorCtr="1"/>
                <a:lstStyle/>
                <a:p>
                  <a:pPr algn="ctr" rtl="0">
                    <a:defRPr sz="1000" b="0" i="0" u="none" strike="noStrike" kern="1200" baseline="0">
                      <a:solidFill>
                        <a:schemeClr val="tx1"/>
                      </a:solidFill>
                      <a:latin typeface="Candara" panose="020E0502030303020204" pitchFamily="34" charset="0"/>
                      <a:ea typeface="+mn-ea"/>
                      <a:cs typeface="Times New Roman" panose="02020603050405020304" pitchFamily="18" charset="0"/>
                    </a:defRPr>
                  </a:pPr>
                  <a:r>
                    <a:rPr lang="pt-BR"/>
                    <a:t>Saldo - Bilhões de R$</a:t>
                  </a:r>
                </a:p>
              </c:rich>
            </c:tx>
            <c:spPr>
              <a:noFill/>
              <a:ln>
                <a:noFill/>
              </a:ln>
              <a:effectLst/>
            </c:spPr>
            <c:txPr>
              <a:bodyPr rot="-5400000" spcFirstLastPara="1" vertOverflow="ellipsis" vert="horz" wrap="square" anchor="ctr" anchorCtr="1"/>
              <a:lstStyle/>
              <a:p>
                <a:pPr algn="ctr" rtl="0">
                  <a:defRPr sz="1000" b="0" i="0" u="none" strike="noStrike" kern="1200" baseline="0">
                    <a:solidFill>
                      <a:schemeClr val="tx1"/>
                    </a:solidFill>
                    <a:latin typeface="Candara" panose="020E0502030303020204" pitchFamily="34" charset="0"/>
                    <a:ea typeface="+mn-ea"/>
                    <a:cs typeface="Times New Roman" panose="02020603050405020304" pitchFamily="18" charset="0"/>
                  </a:defRPr>
                </a:pPr>
                <a:endParaRPr lang="pt-BR"/>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ndara" panose="020E0502030303020204" pitchFamily="34" charset="0"/>
              <a:ea typeface="+mn-ea"/>
              <a:cs typeface="Times New Roman" panose="02020603050405020304" pitchFamily="18"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latin typeface="Candara" panose="020E0502030303020204" pitchFamily="34" charset="0"/>
          <a:cs typeface="Times New Roman" panose="02020603050405020304" pitchFamily="18" charset="0"/>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'SALDO INTERESTADUAL NE e BR'!$B$26</c:f>
              <c:strCache>
                <c:ptCount val="1"/>
                <c:pt idx="0">
                  <c:v>2017</c:v>
                </c:pt>
              </c:strCache>
            </c:strRef>
          </c:tx>
          <c:spPr>
            <a:solidFill>
              <a:schemeClr val="accent6"/>
            </a:solidFill>
            <a:ln>
              <a:noFill/>
            </a:ln>
            <a:effectLst/>
          </c:spPr>
          <c:invertIfNegative val="0"/>
          <c:cat>
            <c:strRef>
              <c:f>'SALDO INTERESTADUAL NE e BR'!$A$27:$A$35</c:f>
              <c:strCache>
                <c:ptCount val="9"/>
                <c:pt idx="0">
                  <c:v>AL</c:v>
                </c:pt>
                <c:pt idx="1">
                  <c:v>BA</c:v>
                </c:pt>
                <c:pt idx="2">
                  <c:v>CE</c:v>
                </c:pt>
                <c:pt idx="3">
                  <c:v>MA</c:v>
                </c:pt>
                <c:pt idx="4">
                  <c:v>PB</c:v>
                </c:pt>
                <c:pt idx="5">
                  <c:v>PE</c:v>
                </c:pt>
                <c:pt idx="6">
                  <c:v>PI</c:v>
                </c:pt>
                <c:pt idx="7">
                  <c:v>RN</c:v>
                </c:pt>
                <c:pt idx="8">
                  <c:v>SE</c:v>
                </c:pt>
              </c:strCache>
            </c:strRef>
          </c:cat>
          <c:val>
            <c:numRef>
              <c:f>'SALDO INTERESTADUAL NE e BR'!$B$27:$B$35</c:f>
              <c:numCache>
                <c:formatCode>0.00</c:formatCode>
                <c:ptCount val="9"/>
                <c:pt idx="0">
                  <c:v>-9.8390815882589528</c:v>
                </c:pt>
                <c:pt idx="1">
                  <c:v>2.4656233344135394</c:v>
                </c:pt>
                <c:pt idx="2">
                  <c:v>-3.3113014765630355</c:v>
                </c:pt>
                <c:pt idx="3">
                  <c:v>-5.1651678059711017</c:v>
                </c:pt>
                <c:pt idx="4">
                  <c:v>-5.6002105182501731</c:v>
                </c:pt>
                <c:pt idx="5">
                  <c:v>17.186858793337709</c:v>
                </c:pt>
                <c:pt idx="6">
                  <c:v>-18.3829393773138</c:v>
                </c:pt>
                <c:pt idx="7">
                  <c:v>-11.764330370296138</c:v>
                </c:pt>
                <c:pt idx="8">
                  <c:v>-9.1287031827123677</c:v>
                </c:pt>
              </c:numCache>
            </c:numRef>
          </c:val>
          <c:extLst>
            <c:ext xmlns:c16="http://schemas.microsoft.com/office/drawing/2014/chart" uri="{C3380CC4-5D6E-409C-BE32-E72D297353CC}">
              <c16:uniqueId val="{00000000-7994-44C4-A9C4-06356FF9AAB1}"/>
            </c:ext>
          </c:extLst>
        </c:ser>
        <c:ser>
          <c:idx val="1"/>
          <c:order val="1"/>
          <c:tx>
            <c:strRef>
              <c:f>'SALDO INTERESTADUAL NE e BR'!$C$26</c:f>
              <c:strCache>
                <c:ptCount val="1"/>
                <c:pt idx="0">
                  <c:v>2018</c:v>
                </c:pt>
              </c:strCache>
            </c:strRef>
          </c:tx>
          <c:spPr>
            <a:solidFill>
              <a:schemeClr val="accent5"/>
            </a:solidFill>
            <a:ln>
              <a:noFill/>
            </a:ln>
            <a:effectLst/>
          </c:spPr>
          <c:invertIfNegative val="0"/>
          <c:cat>
            <c:strRef>
              <c:f>'SALDO INTERESTADUAL NE e BR'!$A$27:$A$35</c:f>
              <c:strCache>
                <c:ptCount val="9"/>
                <c:pt idx="0">
                  <c:v>AL</c:v>
                </c:pt>
                <c:pt idx="1">
                  <c:v>BA</c:v>
                </c:pt>
                <c:pt idx="2">
                  <c:v>CE</c:v>
                </c:pt>
                <c:pt idx="3">
                  <c:v>MA</c:v>
                </c:pt>
                <c:pt idx="4">
                  <c:v>PB</c:v>
                </c:pt>
                <c:pt idx="5">
                  <c:v>PE</c:v>
                </c:pt>
                <c:pt idx="6">
                  <c:v>PI</c:v>
                </c:pt>
                <c:pt idx="7">
                  <c:v>RN</c:v>
                </c:pt>
                <c:pt idx="8">
                  <c:v>SE</c:v>
                </c:pt>
              </c:strCache>
            </c:strRef>
          </c:cat>
          <c:val>
            <c:numRef>
              <c:f>'SALDO INTERESTADUAL NE e BR'!$C$27:$C$35</c:f>
              <c:numCache>
                <c:formatCode>0.00</c:formatCode>
                <c:ptCount val="9"/>
                <c:pt idx="0">
                  <c:v>-9.8338981671655556</c:v>
                </c:pt>
                <c:pt idx="1">
                  <c:v>2.9189236932814895</c:v>
                </c:pt>
                <c:pt idx="2">
                  <c:v>-5.2810317707708325</c:v>
                </c:pt>
                <c:pt idx="3">
                  <c:v>-3.5696164857585124</c:v>
                </c:pt>
                <c:pt idx="4">
                  <c:v>-3.4118815645975369</c:v>
                </c:pt>
                <c:pt idx="5">
                  <c:v>16.563166474316386</c:v>
                </c:pt>
                <c:pt idx="6">
                  <c:v>-15.262628012795719</c:v>
                </c:pt>
                <c:pt idx="7">
                  <c:v>-11.28003232091379</c:v>
                </c:pt>
                <c:pt idx="8">
                  <c:v>-11.16761541408273</c:v>
                </c:pt>
              </c:numCache>
            </c:numRef>
          </c:val>
          <c:extLst>
            <c:ext xmlns:c16="http://schemas.microsoft.com/office/drawing/2014/chart" uri="{C3380CC4-5D6E-409C-BE32-E72D297353CC}">
              <c16:uniqueId val="{00000001-7994-44C4-A9C4-06356FF9AAB1}"/>
            </c:ext>
          </c:extLst>
        </c:ser>
        <c:ser>
          <c:idx val="2"/>
          <c:order val="2"/>
          <c:tx>
            <c:strRef>
              <c:f>'SALDO INTERESTADUAL NE e BR'!$D$26</c:f>
              <c:strCache>
                <c:ptCount val="1"/>
                <c:pt idx="0">
                  <c:v>2019</c:v>
                </c:pt>
              </c:strCache>
            </c:strRef>
          </c:tx>
          <c:spPr>
            <a:solidFill>
              <a:schemeClr val="accent4"/>
            </a:solidFill>
            <a:ln>
              <a:noFill/>
            </a:ln>
            <a:effectLst/>
          </c:spPr>
          <c:invertIfNegative val="0"/>
          <c:cat>
            <c:strRef>
              <c:f>'SALDO INTERESTADUAL NE e BR'!$A$27:$A$35</c:f>
              <c:strCache>
                <c:ptCount val="9"/>
                <c:pt idx="0">
                  <c:v>AL</c:v>
                </c:pt>
                <c:pt idx="1">
                  <c:v>BA</c:v>
                </c:pt>
                <c:pt idx="2">
                  <c:v>CE</c:v>
                </c:pt>
                <c:pt idx="3">
                  <c:v>MA</c:v>
                </c:pt>
                <c:pt idx="4">
                  <c:v>PB</c:v>
                </c:pt>
                <c:pt idx="5">
                  <c:v>PE</c:v>
                </c:pt>
                <c:pt idx="6">
                  <c:v>PI</c:v>
                </c:pt>
                <c:pt idx="7">
                  <c:v>RN</c:v>
                </c:pt>
                <c:pt idx="8">
                  <c:v>SE</c:v>
                </c:pt>
              </c:strCache>
            </c:strRef>
          </c:cat>
          <c:val>
            <c:numRef>
              <c:f>'SALDO INTERESTADUAL NE e BR'!$D$27:$D$35</c:f>
              <c:numCache>
                <c:formatCode>0.00</c:formatCode>
                <c:ptCount val="9"/>
                <c:pt idx="0">
                  <c:v>-10.584868037757316</c:v>
                </c:pt>
                <c:pt idx="1">
                  <c:v>2.9717769225028872</c:v>
                </c:pt>
                <c:pt idx="2">
                  <c:v>-4.6760987251965087</c:v>
                </c:pt>
                <c:pt idx="3">
                  <c:v>-4.1137113259907716</c:v>
                </c:pt>
                <c:pt idx="4">
                  <c:v>-3.4051326354322162</c:v>
                </c:pt>
                <c:pt idx="5">
                  <c:v>17.010719419155002</c:v>
                </c:pt>
                <c:pt idx="6">
                  <c:v>-16.63060067482208</c:v>
                </c:pt>
                <c:pt idx="7">
                  <c:v>-11.583760460972528</c:v>
                </c:pt>
                <c:pt idx="8">
                  <c:v>-11.456871701825481</c:v>
                </c:pt>
              </c:numCache>
            </c:numRef>
          </c:val>
          <c:extLst>
            <c:ext xmlns:c16="http://schemas.microsoft.com/office/drawing/2014/chart" uri="{C3380CC4-5D6E-409C-BE32-E72D297353CC}">
              <c16:uniqueId val="{00000002-7994-44C4-A9C4-06356FF9AAB1}"/>
            </c:ext>
          </c:extLst>
        </c:ser>
        <c:ser>
          <c:idx val="3"/>
          <c:order val="3"/>
          <c:tx>
            <c:strRef>
              <c:f>'SALDO INTERESTADUAL NE e BR'!$E$26</c:f>
              <c:strCache>
                <c:ptCount val="1"/>
                <c:pt idx="0">
                  <c:v>2020</c:v>
                </c:pt>
              </c:strCache>
            </c:strRef>
          </c:tx>
          <c:spPr>
            <a:solidFill>
              <a:schemeClr val="accent6">
                <a:lumMod val="60000"/>
              </a:schemeClr>
            </a:solidFill>
            <a:ln>
              <a:noFill/>
            </a:ln>
            <a:effectLst/>
          </c:spPr>
          <c:invertIfNegative val="0"/>
          <c:cat>
            <c:strRef>
              <c:f>'SALDO INTERESTADUAL NE e BR'!$A$27:$A$35</c:f>
              <c:strCache>
                <c:ptCount val="9"/>
                <c:pt idx="0">
                  <c:v>AL</c:v>
                </c:pt>
                <c:pt idx="1">
                  <c:v>BA</c:v>
                </c:pt>
                <c:pt idx="2">
                  <c:v>CE</c:v>
                </c:pt>
                <c:pt idx="3">
                  <c:v>MA</c:v>
                </c:pt>
                <c:pt idx="4">
                  <c:v>PB</c:v>
                </c:pt>
                <c:pt idx="5">
                  <c:v>PE</c:v>
                </c:pt>
                <c:pt idx="6">
                  <c:v>PI</c:v>
                </c:pt>
                <c:pt idx="7">
                  <c:v>RN</c:v>
                </c:pt>
                <c:pt idx="8">
                  <c:v>SE</c:v>
                </c:pt>
              </c:strCache>
            </c:strRef>
          </c:cat>
          <c:val>
            <c:numRef>
              <c:f>'SALDO INTERESTADUAL NE e BR'!$E$27:$E$35</c:f>
              <c:numCache>
                <c:formatCode>0.00</c:formatCode>
                <c:ptCount val="9"/>
                <c:pt idx="0">
                  <c:v>-10.336488454143018</c:v>
                </c:pt>
                <c:pt idx="1">
                  <c:v>2.7693176781298319</c:v>
                </c:pt>
                <c:pt idx="2">
                  <c:v>-2.8404378531767551</c:v>
                </c:pt>
                <c:pt idx="3">
                  <c:v>-7.2503397947670685</c:v>
                </c:pt>
                <c:pt idx="4">
                  <c:v>-0.89198089363545907</c:v>
                </c:pt>
                <c:pt idx="5">
                  <c:v>19.436355235454354</c:v>
                </c:pt>
                <c:pt idx="6">
                  <c:v>-15.769492480313188</c:v>
                </c:pt>
                <c:pt idx="7">
                  <c:v>-18.01298955374606</c:v>
                </c:pt>
                <c:pt idx="8">
                  <c:v>-10.104985335953288</c:v>
                </c:pt>
              </c:numCache>
            </c:numRef>
          </c:val>
          <c:extLst>
            <c:ext xmlns:c16="http://schemas.microsoft.com/office/drawing/2014/chart" uri="{C3380CC4-5D6E-409C-BE32-E72D297353CC}">
              <c16:uniqueId val="{00000003-7994-44C4-A9C4-06356FF9AAB1}"/>
            </c:ext>
          </c:extLst>
        </c:ser>
        <c:ser>
          <c:idx val="4"/>
          <c:order val="4"/>
          <c:tx>
            <c:strRef>
              <c:f>'SALDO INTERESTADUAL NE e BR'!$F$26</c:f>
              <c:strCache>
                <c:ptCount val="1"/>
                <c:pt idx="0">
                  <c:v>2021</c:v>
                </c:pt>
              </c:strCache>
            </c:strRef>
          </c:tx>
          <c:spPr>
            <a:solidFill>
              <a:srgbClr val="FF0000"/>
            </a:solidFill>
            <a:ln>
              <a:solidFill>
                <a:srgbClr val="FF0000"/>
              </a:solidFill>
            </a:ln>
            <a:effectLst/>
          </c:spPr>
          <c:invertIfNegative val="0"/>
          <c:cat>
            <c:strRef>
              <c:f>'SALDO INTERESTADUAL NE e BR'!$A$27:$A$35</c:f>
              <c:strCache>
                <c:ptCount val="9"/>
                <c:pt idx="0">
                  <c:v>AL</c:v>
                </c:pt>
                <c:pt idx="1">
                  <c:v>BA</c:v>
                </c:pt>
                <c:pt idx="2">
                  <c:v>CE</c:v>
                </c:pt>
                <c:pt idx="3">
                  <c:v>MA</c:v>
                </c:pt>
                <c:pt idx="4">
                  <c:v>PB</c:v>
                </c:pt>
                <c:pt idx="5">
                  <c:v>PE</c:v>
                </c:pt>
                <c:pt idx="6">
                  <c:v>PI</c:v>
                </c:pt>
                <c:pt idx="7">
                  <c:v>RN</c:v>
                </c:pt>
                <c:pt idx="8">
                  <c:v>SE</c:v>
                </c:pt>
              </c:strCache>
            </c:strRef>
          </c:cat>
          <c:val>
            <c:numRef>
              <c:f>'SALDO INTERESTADUAL NE e BR'!$F$27:$F$35</c:f>
              <c:numCache>
                <c:formatCode>0.00</c:formatCode>
                <c:ptCount val="9"/>
                <c:pt idx="0">
                  <c:v>-15.236738127117999</c:v>
                </c:pt>
                <c:pt idx="1">
                  <c:v>5.2610520173417168</c:v>
                </c:pt>
                <c:pt idx="2">
                  <c:v>-2.7338261237960637</c:v>
                </c:pt>
                <c:pt idx="3">
                  <c:v>-9.997165536091245</c:v>
                </c:pt>
                <c:pt idx="4">
                  <c:v>-10.373442428659253</c:v>
                </c:pt>
                <c:pt idx="5">
                  <c:v>27.385915048598559</c:v>
                </c:pt>
                <c:pt idx="6">
                  <c:v>-18.632534548194318</c:v>
                </c:pt>
                <c:pt idx="7">
                  <c:v>-28.481317534865109</c:v>
                </c:pt>
                <c:pt idx="8">
                  <c:v>-13.068512888108483</c:v>
                </c:pt>
              </c:numCache>
            </c:numRef>
          </c:val>
          <c:extLst>
            <c:ext xmlns:c16="http://schemas.microsoft.com/office/drawing/2014/chart" uri="{C3380CC4-5D6E-409C-BE32-E72D297353CC}">
              <c16:uniqueId val="{00000004-7994-44C4-A9C4-06356FF9AAB1}"/>
            </c:ext>
          </c:extLst>
        </c:ser>
        <c:dLbls>
          <c:showLegendKey val="0"/>
          <c:showVal val="0"/>
          <c:showCatName val="0"/>
          <c:showSerName val="0"/>
          <c:showPercent val="0"/>
          <c:showBubbleSize val="0"/>
        </c:dLbls>
        <c:gapWidth val="219"/>
        <c:overlap val="-27"/>
        <c:axId val="760349359"/>
        <c:axId val="760344079"/>
      </c:barChart>
      <c:catAx>
        <c:axId val="7603493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ndara" panose="020E0502030303020204" pitchFamily="34" charset="0"/>
                <a:ea typeface="+mn-ea"/>
                <a:cs typeface="+mn-cs"/>
              </a:defRPr>
            </a:pPr>
            <a:endParaRPr lang="pt-BR"/>
          </a:p>
        </c:txPr>
        <c:crossAx val="760344079"/>
        <c:crosses val="autoZero"/>
        <c:auto val="1"/>
        <c:lblAlgn val="ctr"/>
        <c:lblOffset val="100"/>
        <c:noMultiLvlLbl val="0"/>
      </c:catAx>
      <c:valAx>
        <c:axId val="7603440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Candara" panose="020E0502030303020204" pitchFamily="34" charset="0"/>
                    <a:ea typeface="+mn-ea"/>
                    <a:cs typeface="+mn-cs"/>
                  </a:defRPr>
                </a:pPr>
                <a:r>
                  <a:rPr lang="pt-BR"/>
                  <a:t>Saldo em proporção</a:t>
                </a:r>
                <a:r>
                  <a:rPr lang="pt-BR" baseline="0"/>
                  <a:t> do PIB</a:t>
                </a:r>
                <a:endParaRPr lang="pt-B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Candara" panose="020E0502030303020204" pitchFamily="34" charset="0"/>
                  <a:ea typeface="+mn-ea"/>
                  <a:cs typeface="+mn-cs"/>
                </a:defRPr>
              </a:pPr>
              <a:endParaRPr lang="pt-B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ndara" panose="020E0502030303020204" pitchFamily="34" charset="0"/>
                <a:ea typeface="+mn-ea"/>
                <a:cs typeface="+mn-cs"/>
              </a:defRPr>
            </a:pPr>
            <a:endParaRPr lang="pt-BR"/>
          </a:p>
        </c:txPr>
        <c:crossAx val="7603493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ndara" panose="020E0502030303020204" pitchFamily="34" charset="0"/>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ndara" panose="020E0502030303020204" pitchFamily="34" charset="0"/>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55275349783913"/>
          <c:y val="5.0925925925925923E-2"/>
          <c:w val="0.83689165750670691"/>
          <c:h val="0.79224482356372117"/>
        </c:manualLayout>
      </c:layout>
      <c:barChart>
        <c:barDir val="col"/>
        <c:grouping val="clustered"/>
        <c:varyColors val="0"/>
        <c:ser>
          <c:idx val="5"/>
          <c:order val="0"/>
          <c:tx>
            <c:strRef>
              <c:f>Planilha1!$A$8</c:f>
              <c:strCache>
                <c:ptCount val="1"/>
                <c:pt idx="0">
                  <c:v>2017</c:v>
                </c:pt>
              </c:strCache>
            </c:strRef>
          </c:tx>
          <c:spPr>
            <a:solidFill>
              <a:schemeClr val="accent4">
                <a:lumMod val="60000"/>
              </a:schemeClr>
            </a:solidFill>
            <a:ln>
              <a:noFill/>
            </a:ln>
            <a:effectLst/>
          </c:spPr>
          <c:invertIfNegative val="0"/>
          <c:cat>
            <c:strRef>
              <c:f>Planilha1!$B$1:$J$1</c:f>
              <c:strCache>
                <c:ptCount val="9"/>
                <c:pt idx="0">
                  <c:v>AL</c:v>
                </c:pt>
                <c:pt idx="1">
                  <c:v>BA</c:v>
                </c:pt>
                <c:pt idx="2">
                  <c:v>CE</c:v>
                </c:pt>
                <c:pt idx="3">
                  <c:v>MA</c:v>
                </c:pt>
                <c:pt idx="4">
                  <c:v>PB</c:v>
                </c:pt>
                <c:pt idx="5">
                  <c:v>PE</c:v>
                </c:pt>
                <c:pt idx="6">
                  <c:v>PI</c:v>
                </c:pt>
                <c:pt idx="7">
                  <c:v>RN</c:v>
                </c:pt>
                <c:pt idx="8">
                  <c:v>SE</c:v>
                </c:pt>
              </c:strCache>
            </c:strRef>
          </c:cat>
          <c:val>
            <c:numRef>
              <c:f>Planilha1!$B$8:$J$8</c:f>
              <c:numCache>
                <c:formatCode>_-* #,##0_-;\-* #,##0_-;_-* "-"??_-;_-@_-</c:formatCode>
                <c:ptCount val="9"/>
                <c:pt idx="0">
                  <c:v>62491722</c:v>
                </c:pt>
                <c:pt idx="1">
                  <c:v>825383666</c:v>
                </c:pt>
                <c:pt idx="2">
                  <c:v>-143509867</c:v>
                </c:pt>
                <c:pt idx="3">
                  <c:v>472331213</c:v>
                </c:pt>
                <c:pt idx="4">
                  <c:v>-265499061</c:v>
                </c:pt>
                <c:pt idx="5">
                  <c:v>-3743178296</c:v>
                </c:pt>
                <c:pt idx="6">
                  <c:v>48859608</c:v>
                </c:pt>
                <c:pt idx="7">
                  <c:v>127332696</c:v>
                </c:pt>
                <c:pt idx="8">
                  <c:v>-47102715</c:v>
                </c:pt>
              </c:numCache>
            </c:numRef>
          </c:val>
          <c:extLst>
            <c:ext xmlns:c16="http://schemas.microsoft.com/office/drawing/2014/chart" uri="{C3380CC4-5D6E-409C-BE32-E72D297353CC}">
              <c16:uniqueId val="{00000000-95B0-45E6-89FD-FA4A92DB8D8A}"/>
            </c:ext>
          </c:extLst>
        </c:ser>
        <c:ser>
          <c:idx val="4"/>
          <c:order val="1"/>
          <c:tx>
            <c:strRef>
              <c:f>Planilha1!$A$7</c:f>
              <c:strCache>
                <c:ptCount val="1"/>
                <c:pt idx="0">
                  <c:v>2018</c:v>
                </c:pt>
              </c:strCache>
            </c:strRef>
          </c:tx>
          <c:spPr>
            <a:solidFill>
              <a:schemeClr val="accent5">
                <a:lumMod val="60000"/>
              </a:schemeClr>
            </a:solidFill>
            <a:ln>
              <a:noFill/>
            </a:ln>
            <a:effectLst/>
          </c:spPr>
          <c:invertIfNegative val="0"/>
          <c:cat>
            <c:strRef>
              <c:f>Planilha1!$B$1:$J$1</c:f>
              <c:strCache>
                <c:ptCount val="9"/>
                <c:pt idx="0">
                  <c:v>AL</c:v>
                </c:pt>
                <c:pt idx="1">
                  <c:v>BA</c:v>
                </c:pt>
                <c:pt idx="2">
                  <c:v>CE</c:v>
                </c:pt>
                <c:pt idx="3">
                  <c:v>MA</c:v>
                </c:pt>
                <c:pt idx="4">
                  <c:v>PB</c:v>
                </c:pt>
                <c:pt idx="5">
                  <c:v>PE</c:v>
                </c:pt>
                <c:pt idx="6">
                  <c:v>PI</c:v>
                </c:pt>
                <c:pt idx="7">
                  <c:v>RN</c:v>
                </c:pt>
                <c:pt idx="8">
                  <c:v>SE</c:v>
                </c:pt>
              </c:strCache>
            </c:strRef>
          </c:cat>
          <c:val>
            <c:numRef>
              <c:f>Planilha1!$B$7:$J$7</c:f>
              <c:numCache>
                <c:formatCode>_-* #,##0_-;\-* #,##0_-;_-* "-"??_-;_-@_-</c:formatCode>
                <c:ptCount val="9"/>
                <c:pt idx="0">
                  <c:v>-89624526</c:v>
                </c:pt>
                <c:pt idx="1">
                  <c:v>951654987</c:v>
                </c:pt>
                <c:pt idx="2">
                  <c:v>-191965374</c:v>
                </c:pt>
                <c:pt idx="3">
                  <c:v>733873397</c:v>
                </c:pt>
                <c:pt idx="4">
                  <c:v>-429932195</c:v>
                </c:pt>
                <c:pt idx="5">
                  <c:v>-4887692157</c:v>
                </c:pt>
                <c:pt idx="6">
                  <c:v>569352892</c:v>
                </c:pt>
                <c:pt idx="7">
                  <c:v>110141375</c:v>
                </c:pt>
                <c:pt idx="8">
                  <c:v>-118350904</c:v>
                </c:pt>
              </c:numCache>
            </c:numRef>
          </c:val>
          <c:extLst>
            <c:ext xmlns:c16="http://schemas.microsoft.com/office/drawing/2014/chart" uri="{C3380CC4-5D6E-409C-BE32-E72D297353CC}">
              <c16:uniqueId val="{00000001-95B0-45E6-89FD-FA4A92DB8D8A}"/>
            </c:ext>
          </c:extLst>
        </c:ser>
        <c:ser>
          <c:idx val="3"/>
          <c:order val="2"/>
          <c:tx>
            <c:strRef>
              <c:f>Planilha1!$A$6</c:f>
              <c:strCache>
                <c:ptCount val="1"/>
                <c:pt idx="0">
                  <c:v>2019</c:v>
                </c:pt>
              </c:strCache>
            </c:strRef>
          </c:tx>
          <c:spPr>
            <a:solidFill>
              <a:schemeClr val="accent6">
                <a:lumMod val="60000"/>
              </a:schemeClr>
            </a:solidFill>
            <a:ln>
              <a:noFill/>
            </a:ln>
            <a:effectLst/>
          </c:spPr>
          <c:invertIfNegative val="0"/>
          <c:cat>
            <c:strRef>
              <c:f>Planilha1!$B$1:$J$1</c:f>
              <c:strCache>
                <c:ptCount val="9"/>
                <c:pt idx="0">
                  <c:v>AL</c:v>
                </c:pt>
                <c:pt idx="1">
                  <c:v>BA</c:v>
                </c:pt>
                <c:pt idx="2">
                  <c:v>CE</c:v>
                </c:pt>
                <c:pt idx="3">
                  <c:v>MA</c:v>
                </c:pt>
                <c:pt idx="4">
                  <c:v>PB</c:v>
                </c:pt>
                <c:pt idx="5">
                  <c:v>PE</c:v>
                </c:pt>
                <c:pt idx="6">
                  <c:v>PI</c:v>
                </c:pt>
                <c:pt idx="7">
                  <c:v>RN</c:v>
                </c:pt>
                <c:pt idx="8">
                  <c:v>SE</c:v>
                </c:pt>
              </c:strCache>
            </c:strRef>
          </c:cat>
          <c:val>
            <c:numRef>
              <c:f>Planilha1!$B$6:$J$6</c:f>
              <c:numCache>
                <c:formatCode>_-* #,##0_-;\-* #,##0_-;_-* "-"??_-;_-@_-</c:formatCode>
                <c:ptCount val="9"/>
                <c:pt idx="0">
                  <c:v>-346731425</c:v>
                </c:pt>
                <c:pt idx="1">
                  <c:v>1239014073</c:v>
                </c:pt>
                <c:pt idx="2">
                  <c:v>-82349468</c:v>
                </c:pt>
                <c:pt idx="3">
                  <c:v>-8186575</c:v>
                </c:pt>
                <c:pt idx="4">
                  <c:v>-446126357</c:v>
                </c:pt>
                <c:pt idx="5">
                  <c:v>-4753182463</c:v>
                </c:pt>
                <c:pt idx="6">
                  <c:v>254708946</c:v>
                </c:pt>
                <c:pt idx="7">
                  <c:v>226556210</c:v>
                </c:pt>
                <c:pt idx="8">
                  <c:v>-655592466</c:v>
                </c:pt>
              </c:numCache>
            </c:numRef>
          </c:val>
          <c:extLst>
            <c:ext xmlns:c16="http://schemas.microsoft.com/office/drawing/2014/chart" uri="{C3380CC4-5D6E-409C-BE32-E72D297353CC}">
              <c16:uniqueId val="{00000002-95B0-45E6-89FD-FA4A92DB8D8A}"/>
            </c:ext>
          </c:extLst>
        </c:ser>
        <c:ser>
          <c:idx val="2"/>
          <c:order val="3"/>
          <c:tx>
            <c:strRef>
              <c:f>Planilha1!$A$5</c:f>
              <c:strCache>
                <c:ptCount val="1"/>
                <c:pt idx="0">
                  <c:v>2020</c:v>
                </c:pt>
              </c:strCache>
            </c:strRef>
          </c:tx>
          <c:spPr>
            <a:solidFill>
              <a:schemeClr val="accent4"/>
            </a:solidFill>
            <a:ln>
              <a:noFill/>
            </a:ln>
            <a:effectLst/>
          </c:spPr>
          <c:invertIfNegative val="0"/>
          <c:cat>
            <c:strRef>
              <c:f>Planilha1!$B$1:$J$1</c:f>
              <c:strCache>
                <c:ptCount val="9"/>
                <c:pt idx="0">
                  <c:v>AL</c:v>
                </c:pt>
                <c:pt idx="1">
                  <c:v>BA</c:v>
                </c:pt>
                <c:pt idx="2">
                  <c:v>CE</c:v>
                </c:pt>
                <c:pt idx="3">
                  <c:v>MA</c:v>
                </c:pt>
                <c:pt idx="4">
                  <c:v>PB</c:v>
                </c:pt>
                <c:pt idx="5">
                  <c:v>PE</c:v>
                </c:pt>
                <c:pt idx="6">
                  <c:v>PI</c:v>
                </c:pt>
                <c:pt idx="7">
                  <c:v>RN</c:v>
                </c:pt>
                <c:pt idx="8">
                  <c:v>SE</c:v>
                </c:pt>
              </c:strCache>
            </c:strRef>
          </c:cat>
          <c:val>
            <c:numRef>
              <c:f>Planilha1!$B$5:$J$5</c:f>
              <c:numCache>
                <c:formatCode>_-* #,##0_-;\-* #,##0_-;_-* "-"??_-;_-@_-</c:formatCode>
                <c:ptCount val="9"/>
                <c:pt idx="0">
                  <c:v>-247385087</c:v>
                </c:pt>
                <c:pt idx="1">
                  <c:v>2867004547</c:v>
                </c:pt>
                <c:pt idx="2">
                  <c:v>-560130931</c:v>
                </c:pt>
                <c:pt idx="3">
                  <c:v>1394244723</c:v>
                </c:pt>
                <c:pt idx="4">
                  <c:v>-379354726</c:v>
                </c:pt>
                <c:pt idx="5">
                  <c:v>-2792889302</c:v>
                </c:pt>
                <c:pt idx="6">
                  <c:v>284332773</c:v>
                </c:pt>
                <c:pt idx="7">
                  <c:v>160330944</c:v>
                </c:pt>
                <c:pt idx="8">
                  <c:v>-111146223</c:v>
                </c:pt>
              </c:numCache>
            </c:numRef>
          </c:val>
          <c:extLst>
            <c:ext xmlns:c16="http://schemas.microsoft.com/office/drawing/2014/chart" uri="{C3380CC4-5D6E-409C-BE32-E72D297353CC}">
              <c16:uniqueId val="{00000003-95B0-45E6-89FD-FA4A92DB8D8A}"/>
            </c:ext>
          </c:extLst>
        </c:ser>
        <c:ser>
          <c:idx val="1"/>
          <c:order val="4"/>
          <c:tx>
            <c:strRef>
              <c:f>Planilha1!$A$4</c:f>
              <c:strCache>
                <c:ptCount val="1"/>
                <c:pt idx="0">
                  <c:v>2021</c:v>
                </c:pt>
              </c:strCache>
            </c:strRef>
          </c:tx>
          <c:spPr>
            <a:solidFill>
              <a:srgbClr val="FF0000"/>
            </a:solidFill>
            <a:ln>
              <a:solidFill>
                <a:srgbClr val="FF0000"/>
              </a:solidFill>
            </a:ln>
            <a:effectLst/>
          </c:spPr>
          <c:invertIfNegative val="0"/>
          <c:cat>
            <c:strRef>
              <c:f>Planilha1!$B$1:$J$1</c:f>
              <c:strCache>
                <c:ptCount val="9"/>
                <c:pt idx="0">
                  <c:v>AL</c:v>
                </c:pt>
                <c:pt idx="1">
                  <c:v>BA</c:v>
                </c:pt>
                <c:pt idx="2">
                  <c:v>CE</c:v>
                </c:pt>
                <c:pt idx="3">
                  <c:v>MA</c:v>
                </c:pt>
                <c:pt idx="4">
                  <c:v>PB</c:v>
                </c:pt>
                <c:pt idx="5">
                  <c:v>PE</c:v>
                </c:pt>
                <c:pt idx="6">
                  <c:v>PI</c:v>
                </c:pt>
                <c:pt idx="7">
                  <c:v>RN</c:v>
                </c:pt>
                <c:pt idx="8">
                  <c:v>SE</c:v>
                </c:pt>
              </c:strCache>
            </c:strRef>
          </c:cat>
          <c:val>
            <c:numRef>
              <c:f>Planilha1!$B$4:$J$4</c:f>
              <c:numCache>
                <c:formatCode>_-* #,##0_-;\-* #,##0_-;_-* "-"??_-;_-@_-</c:formatCode>
                <c:ptCount val="9"/>
                <c:pt idx="0">
                  <c:v>-328202991</c:v>
                </c:pt>
                <c:pt idx="1">
                  <c:v>1891102091</c:v>
                </c:pt>
                <c:pt idx="2">
                  <c:v>-1131261557</c:v>
                </c:pt>
                <c:pt idx="3">
                  <c:v>191696511</c:v>
                </c:pt>
                <c:pt idx="4">
                  <c:v>-487943048</c:v>
                </c:pt>
                <c:pt idx="5">
                  <c:v>-4525828198</c:v>
                </c:pt>
                <c:pt idx="6">
                  <c:v>336338587</c:v>
                </c:pt>
                <c:pt idx="7">
                  <c:v>181121278</c:v>
                </c:pt>
                <c:pt idx="8">
                  <c:v>-79962324</c:v>
                </c:pt>
              </c:numCache>
            </c:numRef>
          </c:val>
          <c:extLst>
            <c:ext xmlns:c16="http://schemas.microsoft.com/office/drawing/2014/chart" uri="{C3380CC4-5D6E-409C-BE32-E72D297353CC}">
              <c16:uniqueId val="{00000004-95B0-45E6-89FD-FA4A92DB8D8A}"/>
            </c:ext>
          </c:extLst>
        </c:ser>
        <c:ser>
          <c:idx val="0"/>
          <c:order val="5"/>
          <c:tx>
            <c:strRef>
              <c:f>Planilha1!$A$3</c:f>
              <c:strCache>
                <c:ptCount val="1"/>
                <c:pt idx="0">
                  <c:v>2022</c:v>
                </c:pt>
              </c:strCache>
            </c:strRef>
          </c:tx>
          <c:spPr>
            <a:solidFill>
              <a:srgbClr val="C00000"/>
            </a:solidFill>
            <a:ln>
              <a:solidFill>
                <a:srgbClr val="C00000"/>
              </a:solidFill>
            </a:ln>
            <a:effectLst/>
          </c:spPr>
          <c:invertIfNegative val="0"/>
          <c:cat>
            <c:strRef>
              <c:f>Planilha1!$B$1:$J$1</c:f>
              <c:strCache>
                <c:ptCount val="9"/>
                <c:pt idx="0">
                  <c:v>AL</c:v>
                </c:pt>
                <c:pt idx="1">
                  <c:v>BA</c:v>
                </c:pt>
                <c:pt idx="2">
                  <c:v>CE</c:v>
                </c:pt>
                <c:pt idx="3">
                  <c:v>MA</c:v>
                </c:pt>
                <c:pt idx="4">
                  <c:v>PB</c:v>
                </c:pt>
                <c:pt idx="5">
                  <c:v>PE</c:v>
                </c:pt>
                <c:pt idx="6">
                  <c:v>PI</c:v>
                </c:pt>
                <c:pt idx="7">
                  <c:v>RN</c:v>
                </c:pt>
                <c:pt idx="8">
                  <c:v>SE</c:v>
                </c:pt>
              </c:strCache>
            </c:strRef>
          </c:cat>
          <c:val>
            <c:numRef>
              <c:f>Planilha1!$B$3:$J$3</c:f>
              <c:numCache>
                <c:formatCode>_-* #,##0_-;\-* #,##0_-;_-* "-"??_-;_-@_-</c:formatCode>
                <c:ptCount val="9"/>
                <c:pt idx="0">
                  <c:v>-204406358</c:v>
                </c:pt>
                <c:pt idx="1">
                  <c:v>2565936560</c:v>
                </c:pt>
                <c:pt idx="2">
                  <c:v>-2568091422</c:v>
                </c:pt>
                <c:pt idx="3">
                  <c:v>-1770633013</c:v>
                </c:pt>
                <c:pt idx="4">
                  <c:v>-882513396</c:v>
                </c:pt>
                <c:pt idx="5">
                  <c:v>-5371197109</c:v>
                </c:pt>
                <c:pt idx="6">
                  <c:v>1406098232</c:v>
                </c:pt>
                <c:pt idx="7">
                  <c:v>301230067</c:v>
                </c:pt>
                <c:pt idx="8">
                  <c:v>-231743557</c:v>
                </c:pt>
              </c:numCache>
            </c:numRef>
          </c:val>
          <c:extLst>
            <c:ext xmlns:c16="http://schemas.microsoft.com/office/drawing/2014/chart" uri="{C3380CC4-5D6E-409C-BE32-E72D297353CC}">
              <c16:uniqueId val="{00000005-95B0-45E6-89FD-FA4A92DB8D8A}"/>
            </c:ext>
          </c:extLst>
        </c:ser>
        <c:dLbls>
          <c:showLegendKey val="0"/>
          <c:showVal val="0"/>
          <c:showCatName val="0"/>
          <c:showSerName val="0"/>
          <c:showPercent val="0"/>
          <c:showBubbleSize val="0"/>
        </c:dLbls>
        <c:gapWidth val="219"/>
        <c:overlap val="-27"/>
        <c:axId val="1116068799"/>
        <c:axId val="1278253103"/>
      </c:barChart>
      <c:catAx>
        <c:axId val="111606879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Candara" panose="020E0502030303020204" pitchFamily="34" charset="0"/>
                <a:ea typeface="+mn-ea"/>
                <a:cs typeface="Times New Roman" panose="02020603050405020304" pitchFamily="18" charset="0"/>
              </a:defRPr>
            </a:pPr>
            <a:endParaRPr lang="pt-BR"/>
          </a:p>
        </c:txPr>
        <c:crossAx val="1278253103"/>
        <c:crosses val="autoZero"/>
        <c:auto val="1"/>
        <c:lblAlgn val="ctr"/>
        <c:lblOffset val="100"/>
        <c:noMultiLvlLbl val="0"/>
      </c:catAx>
      <c:valAx>
        <c:axId val="12782531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Candara" panose="020E0502030303020204" pitchFamily="34" charset="0"/>
                    <a:ea typeface="+mn-ea"/>
                    <a:cs typeface="Times New Roman" panose="02020603050405020304" pitchFamily="18" charset="0"/>
                  </a:defRPr>
                </a:pPr>
                <a:r>
                  <a:rPr lang="pt-BR"/>
                  <a:t>Bilhões de dólares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Candara" panose="020E0502030303020204" pitchFamily="34" charset="0"/>
                  <a:ea typeface="+mn-ea"/>
                  <a:cs typeface="Times New Roman" panose="02020603050405020304" pitchFamily="18" charset="0"/>
                </a:defRPr>
              </a:pPr>
              <a:endParaRPr lang="pt-BR"/>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Candara" panose="020E0502030303020204" pitchFamily="34" charset="0"/>
                <a:ea typeface="+mn-ea"/>
                <a:cs typeface="Times New Roman" panose="02020603050405020304" pitchFamily="18" charset="0"/>
              </a:defRPr>
            </a:pPr>
            <a:endParaRPr lang="pt-BR"/>
          </a:p>
        </c:txPr>
        <c:crossAx val="1116068799"/>
        <c:crosses val="autoZero"/>
        <c:crossBetween val="between"/>
        <c:dispUnits>
          <c:builtInUnit val="billions"/>
        </c:dispUnits>
      </c:valAx>
      <c:spPr>
        <a:noFill/>
        <a:ln>
          <a:noFill/>
        </a:ln>
        <a:effectLst/>
      </c:spPr>
    </c:plotArea>
    <c:legend>
      <c:legendPos val="b"/>
      <c:layout>
        <c:manualLayout>
          <c:xMode val="edge"/>
          <c:yMode val="edge"/>
          <c:x val="0.21783992865880591"/>
          <c:y val="0.91490333278351232"/>
          <c:w val="0.55961573543751575"/>
          <c:h val="8.50966672164876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ndara" panose="020E0502030303020204" pitchFamily="34" charset="0"/>
              <a:ea typeface="+mn-ea"/>
              <a:cs typeface="Times New Roman" panose="02020603050405020304" pitchFamily="18"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latin typeface="Candara" panose="020E0502030303020204" pitchFamily="34" charset="0"/>
          <a:cs typeface="Times New Roman" panose="02020603050405020304" pitchFamily="18" charset="0"/>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5AA43-A7C8-4CF1-B619-ADAA5AED6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5492</Words>
  <Characters>29660</Characters>
  <Application>Microsoft Office Word</Application>
  <DocSecurity>0</DocSecurity>
  <Lines>247</Lines>
  <Paragraphs>70</Paragraphs>
  <ScaleCrop>false</ScaleCrop>
  <Company/>
  <LinksUpToDate>false</LinksUpToDate>
  <CharactersWithSpaces>35082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Eduardo Nascimento</dc:creator>
  <cp:keywords/>
  <dc:description/>
  <cp:lastModifiedBy>Eduardo Nascimento</cp:lastModifiedBy>
  <cp:revision>845</cp:revision>
  <dcterms:created xsi:type="dcterms:W3CDTF">2024-07-29T18:12:00Z</dcterms:created>
  <dcterms:modified xsi:type="dcterms:W3CDTF">2024-09-05T16:57:00Z</dcterms:modified>
</cp:coreProperties>
</file>