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spacing w:lineRule="auto" w:line="360" w:before="0" w:after="0"/>
        <w:jc w:val="left"/>
        <w:rPr>
          <w:rFonts w:ascii="Arial" w:hAnsi="Arial" w:eastAsia="Arial" w:cs="Arial"/>
          <w:b/>
          <w:b/>
          <w:sz w:val="24"/>
          <w:szCs w:val="24"/>
        </w:rPr>
      </w:pPr>
      <w:r>
        <w:rPr>
          <w:rFonts w:eastAsia="Arial" w:cs="Arial" w:ascii="Arial" w:hAnsi="Arial"/>
          <w:b/>
          <w:sz w:val="24"/>
          <w:szCs w:val="24"/>
        </w:rPr>
      </w:r>
    </w:p>
    <w:p>
      <w:pPr>
        <w:pStyle w:val="LOnormal1"/>
        <w:spacing w:lineRule="auto" w:line="360" w:before="0" w:after="0"/>
        <w:jc w:val="center"/>
        <w:rPr>
          <w:rFonts w:ascii="Arial" w:hAnsi="Arial" w:eastAsia="Arial" w:cs="Arial"/>
          <w:i/>
          <w:i/>
          <w:sz w:val="24"/>
          <w:szCs w:val="24"/>
        </w:rPr>
      </w:pPr>
      <w:r>
        <w:rPr>
          <w:rFonts w:eastAsia="Arial" w:cs="Arial" w:ascii="Arial" w:hAnsi="Arial"/>
          <w:b/>
          <w:sz w:val="24"/>
          <w:szCs w:val="24"/>
        </w:rPr>
        <w:t xml:space="preserve">AVALIAÇÃO DE TOXICIDADE DOS EXTRATO BRUTO E HEXÂNICO DAS FOLHAS DE </w:t>
      </w:r>
      <w:r>
        <w:rPr>
          <w:rFonts w:eastAsia="Arial" w:cs="Arial" w:ascii="Arial" w:hAnsi="Arial"/>
          <w:i/>
          <w:sz w:val="24"/>
          <w:szCs w:val="24"/>
        </w:rPr>
        <w:t>Ficus gomelleira</w:t>
      </w:r>
      <w:r>
        <w:rPr>
          <w:rFonts w:eastAsia="Arial" w:cs="Arial" w:ascii="Arial" w:hAnsi="Arial"/>
          <w:b/>
          <w:i/>
          <w:sz w:val="24"/>
          <w:szCs w:val="24"/>
        </w:rPr>
        <w:t xml:space="preserve"> </w:t>
      </w:r>
      <w:r>
        <w:rPr>
          <w:rFonts w:eastAsia="Arial" w:cs="Arial" w:ascii="Arial" w:hAnsi="Arial"/>
          <w:b/>
          <w:sz w:val="24"/>
          <w:szCs w:val="24"/>
        </w:rPr>
        <w:t xml:space="preserve">EM </w:t>
      </w:r>
      <w:r>
        <w:rPr>
          <w:rFonts w:eastAsia="Arial" w:cs="Arial" w:ascii="Arial" w:hAnsi="Arial"/>
          <w:i/>
          <w:sz w:val="24"/>
          <w:szCs w:val="24"/>
        </w:rPr>
        <w:t>Artemia salina</w:t>
      </w:r>
    </w:p>
    <w:p>
      <w:pPr>
        <w:pStyle w:val="LOnormal1"/>
        <w:spacing w:lineRule="auto" w:line="360" w:before="0" w:after="0"/>
        <w:jc w:val="center"/>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b/>
          <w:sz w:val="24"/>
          <w:szCs w:val="24"/>
        </w:rPr>
        <w:t xml:space="preserve">FARIA, </w:t>
      </w:r>
      <w:r>
        <w:rPr>
          <w:rFonts w:eastAsia="Arial" w:cs="Arial" w:ascii="Arial" w:hAnsi="Arial"/>
          <w:sz w:val="24"/>
          <w:szCs w:val="24"/>
        </w:rPr>
        <w:t>Cleiber Filho F.</w:t>
      </w:r>
      <w:r>
        <w:rPr>
          <w:rFonts w:eastAsia="Arial" w:cs="Arial" w:ascii="Arial" w:hAnsi="Arial"/>
          <w:sz w:val="24"/>
          <w:szCs w:val="24"/>
          <w:vertAlign w:val="superscript"/>
        </w:rPr>
        <w:t xml:space="preserve">1 </w:t>
      </w:r>
      <w:r>
        <w:rPr>
          <w:rFonts w:eastAsia="Arial" w:cs="Arial" w:ascii="Arial" w:hAnsi="Arial"/>
          <w:b/>
          <w:sz w:val="24"/>
          <w:szCs w:val="24"/>
        </w:rPr>
        <w:t xml:space="preserve">MOURA, </w:t>
      </w:r>
      <w:r>
        <w:rPr>
          <w:rFonts w:eastAsia="Arial" w:cs="Arial" w:ascii="Arial" w:hAnsi="Arial"/>
          <w:sz w:val="24"/>
          <w:szCs w:val="24"/>
        </w:rPr>
        <w:t xml:space="preserve">Laiane Teixeira Sousa </w:t>
      </w:r>
      <w:r>
        <w:rPr>
          <w:rFonts w:eastAsia="Arial" w:cs="Arial" w:ascii="Arial" w:hAnsi="Arial"/>
          <w:sz w:val="24"/>
          <w:szCs w:val="24"/>
          <w:vertAlign w:val="superscript"/>
        </w:rPr>
        <w:t>2</w:t>
      </w:r>
    </w:p>
    <w:p>
      <w:pPr>
        <w:pStyle w:val="LOnormal1"/>
        <w:spacing w:lineRule="auto" w:line="360" w:before="0" w:after="0"/>
        <w:jc w:val="both"/>
        <w:rPr>
          <w:rFonts w:ascii="Arial" w:hAnsi="Arial" w:eastAsia="Arial" w:cs="Arial"/>
          <w:sz w:val="20"/>
          <w:szCs w:val="20"/>
        </w:rPr>
      </w:pPr>
      <w:r>
        <w:rPr>
          <w:rFonts w:eastAsia="Arial" w:cs="Arial" w:ascii="Arial" w:hAnsi="Arial"/>
          <w:sz w:val="20"/>
          <w:szCs w:val="20"/>
        </w:rPr>
        <w:t xml:space="preserve"> </w:t>
      </w:r>
    </w:p>
    <w:p>
      <w:pPr>
        <w:pStyle w:val="LOnormal1"/>
        <w:spacing w:lineRule="auto" w:line="360" w:before="0" w:after="0"/>
        <w:jc w:val="both"/>
        <w:rPr>
          <w:rFonts w:ascii="Arial" w:hAnsi="Arial" w:eastAsia="Arial" w:cs="Arial"/>
          <w:sz w:val="20"/>
          <w:szCs w:val="20"/>
        </w:rPr>
      </w:pPr>
      <w:r>
        <w:rPr>
          <w:rFonts w:eastAsia="Arial" w:cs="Arial" w:ascii="Arial" w:hAnsi="Arial"/>
          <w:sz w:val="20"/>
          <w:szCs w:val="20"/>
        </w:rPr>
        <w:t>1 Bolsista do Programa de Iniciação Científica (PIBIC). Universidade Federal do Norte do Tocantins (UFNT), Centro de Ciências Agrárias. cleiber.faria@ufnt.edu.br</w:t>
      </w:r>
    </w:p>
    <w:p>
      <w:pPr>
        <w:pStyle w:val="LOnormal1"/>
        <w:spacing w:lineRule="auto" w:line="240"/>
        <w:ind w:right="97" w:hanging="0"/>
        <w:rPr>
          <w:rFonts w:ascii="Arial" w:hAnsi="Arial" w:eastAsia="Arial" w:cs="Arial"/>
          <w:sz w:val="20"/>
          <w:szCs w:val="20"/>
        </w:rPr>
      </w:pPr>
      <w:r>
        <w:rPr>
          <w:rFonts w:eastAsia="Arial" w:cs="Arial" w:ascii="Arial" w:hAnsi="Arial"/>
          <w:sz w:val="20"/>
          <w:szCs w:val="20"/>
        </w:rPr>
        <w:t>2 Professora Doutora do curso de Medicina Veterinária. Universidade Federal do Norte do Tocantins (UFNT), Centro de Ciências Agrárias, coordenadora do projeto de pesquisa. Laiane.moura@ufnt.edu.br</w:t>
      </w:r>
    </w:p>
    <w:p>
      <w:pPr>
        <w:pStyle w:val="LOnormal1"/>
        <w:spacing w:lineRule="auto" w:line="360" w:before="0" w:after="0"/>
        <w:ind w:left="0" w:hanging="0"/>
        <w:jc w:val="both"/>
        <w:rPr>
          <w:rFonts w:ascii="Arial" w:hAnsi="Arial" w:eastAsia="Arial" w:cs="Arial"/>
          <w:sz w:val="24"/>
          <w:szCs w:val="24"/>
        </w:rPr>
      </w:pPr>
      <w:r>
        <w:rPr>
          <w:rFonts w:eastAsia="Arial" w:cs="Arial" w:ascii="Arial" w:hAnsi="Arial"/>
          <w:sz w:val="20"/>
          <w:szCs w:val="20"/>
        </w:rPr>
        <w:t xml:space="preserve">                                            </w:t>
      </w:r>
    </w:p>
    <w:p>
      <w:pPr>
        <w:pStyle w:val="LOnormal1"/>
        <w:widowControl w:val="false"/>
        <w:spacing w:lineRule="auto" w:line="360" w:before="0" w:after="0"/>
        <w:jc w:val="both"/>
        <w:rPr>
          <w:rFonts w:ascii="Arial" w:hAnsi="Arial" w:eastAsia="Arial" w:cs="Arial"/>
          <w:b/>
          <w:b/>
          <w:sz w:val="24"/>
          <w:szCs w:val="24"/>
        </w:rPr>
      </w:pPr>
      <w:r>
        <w:rPr>
          <w:rFonts w:eastAsia="Arial" w:cs="Arial" w:ascii="Arial" w:hAnsi="Arial"/>
          <w:b/>
          <w:sz w:val="24"/>
          <w:szCs w:val="24"/>
        </w:rPr>
        <w:t>RESUMO</w:t>
      </w:r>
    </w:p>
    <w:p>
      <w:pPr>
        <w:pStyle w:val="LOnormal1"/>
        <w:widowControl w:val="false"/>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1"/>
        <w:widowControl w:val="false"/>
        <w:spacing w:lineRule="auto" w:line="240" w:before="0" w:after="0"/>
        <w:ind w:hanging="0"/>
        <w:jc w:val="both"/>
        <w:rPr>
          <w:rFonts w:ascii="Arial" w:hAnsi="Arial" w:eastAsia="Arial" w:cs="Arial"/>
          <w:i w:val="false"/>
          <w:i w:val="false"/>
        </w:rPr>
      </w:pPr>
      <w:r>
        <w:rPr>
          <w:rFonts w:eastAsia="Arial" w:cs="Arial" w:ascii="Arial" w:hAnsi="Arial"/>
          <w:i w:val="false"/>
          <w:sz w:val="24"/>
          <w:szCs w:val="24"/>
        </w:rPr>
        <w:t xml:space="preserve">O presente trabalho objetivou a prospecção fitoquímica para a identificação de flavonoides, taninos e saponinas no extrato bruto e hexânico das folhas secas de </w:t>
      </w:r>
      <w:r>
        <w:rPr>
          <w:rFonts w:eastAsia="Arial" w:cs="Arial" w:ascii="Arial" w:hAnsi="Arial"/>
          <w:i/>
          <w:sz w:val="24"/>
          <w:szCs w:val="24"/>
        </w:rPr>
        <w:t>Ficus gomelleira</w:t>
      </w:r>
      <w:r>
        <w:rPr>
          <w:rFonts w:eastAsia="Arial" w:cs="Arial" w:ascii="Arial" w:hAnsi="Arial"/>
          <w:i w:val="false"/>
          <w:sz w:val="24"/>
          <w:szCs w:val="24"/>
        </w:rPr>
        <w:t xml:space="preserve"> e a investigação dos possíveis efeitos tóxicos dos extratos em </w:t>
      </w:r>
      <w:r>
        <w:rPr>
          <w:rFonts w:eastAsia="Arial" w:cs="Arial" w:ascii="Arial" w:hAnsi="Arial"/>
          <w:i/>
          <w:sz w:val="24"/>
          <w:szCs w:val="24"/>
        </w:rPr>
        <w:t>Artemia salina.</w:t>
      </w:r>
      <w:r>
        <w:rPr>
          <w:rFonts w:eastAsia="Arial" w:cs="Arial" w:ascii="Arial" w:hAnsi="Arial"/>
          <w:i w:val="false"/>
          <w:sz w:val="24"/>
          <w:szCs w:val="24"/>
        </w:rPr>
        <w:t xml:space="preserve"> As folhas da planta foram coletadas no município de Goiatins-TO, percoladas em álcool 99,95% e rotaevaporadas para a obtenção do extrato bruto. Em seguida o extrato bruto foi particionado para obtenção do extrato hexânico. Posteriormente, os extratos foram submetidos à prospecção fitoquímica para identificação de taninos, flavonoides e saponinas. O teste de sensibilidade </w:t>
      </w:r>
      <w:r>
        <w:rPr>
          <w:rFonts w:eastAsia="Arial" w:cs="Arial" w:ascii="Arial" w:hAnsi="Arial"/>
          <w:i/>
          <w:sz w:val="24"/>
          <w:szCs w:val="24"/>
        </w:rPr>
        <w:t>in vitro</w:t>
      </w:r>
      <w:r>
        <w:rPr>
          <w:rFonts w:eastAsia="Arial" w:cs="Arial" w:ascii="Arial" w:hAnsi="Arial"/>
          <w:i w:val="false"/>
          <w:sz w:val="24"/>
          <w:szCs w:val="24"/>
        </w:rPr>
        <w:t xml:space="preserve"> com </w:t>
      </w:r>
      <w:r>
        <w:rPr>
          <w:rFonts w:eastAsia="Arial" w:cs="Arial" w:ascii="Arial" w:hAnsi="Arial"/>
          <w:i/>
          <w:sz w:val="24"/>
          <w:szCs w:val="24"/>
        </w:rPr>
        <w:t>Artemia salina</w:t>
      </w:r>
      <w:r>
        <w:rPr>
          <w:rFonts w:eastAsia="Arial" w:cs="Arial" w:ascii="Arial" w:hAnsi="Arial"/>
          <w:i w:val="false"/>
          <w:sz w:val="24"/>
          <w:szCs w:val="24"/>
        </w:rPr>
        <w:t xml:space="preserve"> foi realizado utilizando-se 10 exemplares de náuplios de </w:t>
      </w:r>
      <w:r>
        <w:rPr>
          <w:rFonts w:eastAsia="Arial" w:cs="Arial" w:ascii="Arial" w:hAnsi="Arial"/>
          <w:i/>
          <w:sz w:val="24"/>
          <w:szCs w:val="24"/>
        </w:rPr>
        <w:t>A. salina</w:t>
      </w:r>
      <w:r>
        <w:rPr>
          <w:rFonts w:eastAsia="Arial" w:cs="Arial" w:ascii="Arial" w:hAnsi="Arial"/>
          <w:i w:val="false"/>
          <w:sz w:val="24"/>
          <w:szCs w:val="24"/>
        </w:rPr>
        <w:t xml:space="preserve"> em tubos de ensaio contendo 10mL de solução salina com frações de extrato bruto e hexânico e Tween 80 a 5%, como controle, nas concentrações de 0,1, 1, 10, 100 e 1000 </w:t>
      </w:r>
      <w:r>
        <w:rPr>
          <w:rFonts w:eastAsia="Arial" w:cs="Arial" w:ascii="Arial" w:hAnsi="Arial"/>
          <w:i w:val="false"/>
          <w:sz w:val="24"/>
          <w:szCs w:val="24"/>
          <w:shd w:fill="auto" w:val="clear"/>
        </w:rPr>
        <w:t>μg/mL, em triplicata. Após 24 horas foi realizada a contagem das artemias sobreviventes e o cálculo da CL</w:t>
      </w:r>
      <w:r>
        <w:rPr>
          <w:rFonts w:eastAsia="Arial" w:cs="Arial" w:ascii="Arial" w:hAnsi="Arial"/>
          <w:i w:val="false"/>
          <w:sz w:val="24"/>
          <w:szCs w:val="24"/>
          <w:shd w:fill="auto" w:val="clear"/>
          <w:vertAlign w:val="subscript"/>
        </w:rPr>
        <w:t>50</w:t>
      </w:r>
      <w:r>
        <w:rPr>
          <w:rFonts w:eastAsia="Arial" w:cs="Arial" w:ascii="Arial" w:hAnsi="Arial"/>
          <w:i w:val="false"/>
          <w:sz w:val="24"/>
          <w:szCs w:val="24"/>
          <w:shd w:fill="auto" w:val="clear"/>
        </w:rPr>
        <w:t>. A prospecção fitoquímica demonstrou a presença de flavonoides e saponinas no extrato bruto e hexânico da planta. O extrato bruto apresentou uma CL</w:t>
      </w:r>
      <w:r>
        <w:rPr>
          <w:rFonts w:eastAsia="Arial" w:cs="Arial" w:ascii="Arial" w:hAnsi="Arial"/>
          <w:i w:val="false"/>
          <w:sz w:val="24"/>
          <w:szCs w:val="24"/>
          <w:shd w:fill="auto" w:val="clear"/>
          <w:vertAlign w:val="subscript"/>
        </w:rPr>
        <w:t>50</w:t>
      </w:r>
      <w:r>
        <w:rPr>
          <w:rFonts w:eastAsia="Arial" w:cs="Arial" w:ascii="Arial" w:hAnsi="Arial"/>
          <w:i w:val="false"/>
          <w:sz w:val="24"/>
          <w:szCs w:val="24"/>
          <w:shd w:fill="auto" w:val="clear"/>
        </w:rPr>
        <w:t>. de 1000 μg/mL e o extrato hexânico CL</w:t>
      </w:r>
      <w:r>
        <w:rPr>
          <w:rFonts w:eastAsia="Arial" w:cs="Arial" w:ascii="Arial" w:hAnsi="Arial"/>
          <w:i w:val="false"/>
          <w:sz w:val="24"/>
          <w:szCs w:val="24"/>
          <w:shd w:fill="auto" w:val="clear"/>
          <w:vertAlign w:val="subscript"/>
        </w:rPr>
        <w:t>50</w:t>
      </w:r>
      <w:r>
        <w:rPr>
          <w:rFonts w:eastAsia="Arial" w:cs="Arial" w:ascii="Arial" w:hAnsi="Arial"/>
          <w:i w:val="false"/>
          <w:sz w:val="24"/>
          <w:szCs w:val="24"/>
          <w:shd w:fill="auto" w:val="clear"/>
        </w:rPr>
        <w:t xml:space="preserve">. de 480 μg/mL, sendo considerados respectivamente, atóxico e de baixa toxicidade. O estudo demonstrou que os resultados do extrato bruto </w:t>
      </w:r>
      <w:r>
        <w:rPr>
          <w:rFonts w:eastAsia="Arial" w:cs="Arial" w:ascii="Arial" w:hAnsi="Arial"/>
          <w:sz w:val="24"/>
          <w:szCs w:val="24"/>
        </w:rPr>
        <w:t>são promissores</w:t>
      </w:r>
      <w:r>
        <w:rPr>
          <w:rFonts w:eastAsia="Arial" w:cs="Arial" w:ascii="Arial" w:hAnsi="Arial"/>
          <w:i w:val="false"/>
          <w:sz w:val="24"/>
          <w:szCs w:val="24"/>
          <w:shd w:fill="auto" w:val="clear"/>
        </w:rPr>
        <w:t xml:space="preserve"> para a investigação de sua atividade biológica em testes futuros com animais.</w:t>
      </w:r>
    </w:p>
    <w:p>
      <w:pPr>
        <w:pStyle w:val="LOnormal1"/>
        <w:widowControl w:val="false"/>
        <w:spacing w:lineRule="auto" w:line="240" w:before="0" w:after="0"/>
        <w:ind w:firstLine="720"/>
        <w:jc w:val="both"/>
        <w:rPr>
          <w:sz w:val="24"/>
          <w:szCs w:val="24"/>
        </w:rPr>
      </w:pPr>
      <w:r>
        <w:rPr>
          <w:sz w:val="24"/>
          <w:szCs w:val="24"/>
        </w:rPr>
      </w:r>
    </w:p>
    <w:p>
      <w:pPr>
        <w:pStyle w:val="LOnormal1"/>
        <w:spacing w:lineRule="auto" w:line="360" w:before="0" w:after="0"/>
        <w:jc w:val="both"/>
        <w:rPr>
          <w:rFonts w:ascii="Arial" w:hAnsi="Arial" w:eastAsia="Arial" w:cs="Arial"/>
          <w:sz w:val="20"/>
          <w:szCs w:val="20"/>
        </w:rPr>
      </w:pPr>
      <w:r>
        <w:rPr>
          <w:rFonts w:eastAsia="Arial" w:cs="Arial" w:ascii="Arial" w:hAnsi="Arial"/>
          <w:b/>
          <w:sz w:val="24"/>
          <w:szCs w:val="24"/>
          <w:shd w:fill="auto" w:val="clear"/>
        </w:rPr>
        <w:t xml:space="preserve"> </w:t>
      </w:r>
      <w:r>
        <w:rPr>
          <w:rFonts w:eastAsia="Arial" w:cs="Arial" w:ascii="Arial" w:hAnsi="Arial"/>
          <w:b/>
          <w:sz w:val="24"/>
          <w:szCs w:val="24"/>
          <w:shd w:fill="auto" w:val="clear"/>
        </w:rPr>
        <w:t>Palavras-chave:</w:t>
      </w:r>
      <w:r>
        <w:rPr>
          <w:rFonts w:eastAsia="Arial" w:cs="Arial" w:ascii="Arial" w:hAnsi="Arial"/>
          <w:sz w:val="24"/>
          <w:szCs w:val="24"/>
          <w:shd w:fill="auto" w:val="clear"/>
        </w:rPr>
        <w:t xml:space="preserve"> </w:t>
      </w:r>
      <w:r>
        <w:rPr>
          <w:rFonts w:eastAsia="Arial" w:cs="Arial" w:ascii="Arial" w:hAnsi="Arial"/>
          <w:sz w:val="24"/>
          <w:szCs w:val="24"/>
        </w:rPr>
        <w:t>Fitoterápico.</w:t>
      </w:r>
      <w:r>
        <w:rPr>
          <w:rFonts w:eastAsia="Arial" w:cs="Arial" w:ascii="Arial" w:hAnsi="Arial"/>
          <w:sz w:val="24"/>
          <w:szCs w:val="24"/>
          <w:shd w:fill="auto" w:val="clear"/>
        </w:rPr>
        <w:t xml:space="preserve"> Atividade biológica. Planta. Gameleira branca.</w:t>
      </w:r>
      <w:r>
        <w:rPr>
          <w:rFonts w:eastAsia="Arial" w:cs="Arial" w:ascii="Arial" w:hAnsi="Arial"/>
          <w:sz w:val="20"/>
          <w:szCs w:val="20"/>
        </w:rPr>
        <w:t xml:space="preserve">                                                  </w:t>
      </w:r>
    </w:p>
    <w:p>
      <w:pPr>
        <w:pStyle w:val="LOnormal1"/>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1"/>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1"/>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t>INTRODUÇÃO/JUSTIFICATIVA</w:t>
      </w:r>
    </w:p>
    <w:p>
      <w:pPr>
        <w:pStyle w:val="LOnormal1"/>
        <w:widowControl w:val="false"/>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1"/>
        <w:spacing w:lineRule="auto" w:line="360" w:before="0" w:after="0"/>
        <w:ind w:firstLine="850"/>
        <w:jc w:val="both"/>
        <w:rPr>
          <w:rFonts w:ascii="Arial" w:hAnsi="Arial" w:eastAsia="Arial" w:cs="Arial"/>
          <w:sz w:val="24"/>
          <w:szCs w:val="24"/>
        </w:rPr>
      </w:pPr>
      <w:r>
        <w:rPr>
          <w:rFonts w:eastAsia="Arial" w:cs="Arial" w:ascii="Arial" w:hAnsi="Arial"/>
          <w:sz w:val="24"/>
          <w:szCs w:val="24"/>
        </w:rPr>
        <w:t>As endoparasitoses representam um grande problema na produção animal, gerando perdas diretas e indiretas relacionadas ao baixo desempenho e aos custos com medicamentos anti-helmínticos, cujo uso, frequentemente realizado sem embasamento técnico (STROMBERG et al., 2012), resulta na redução da eficácia e no surgimento de cepas resistentes aos antiparasitários (VILA NOVA et al., 2014; OSÓRIO et al., 2020; SCZESNY-MORAES et al., 2010). Neste sentido, a busca por novos compostos ativos extraídos de plantas surge como alternativa para reduzir o uso de produtos convencionais, minimizando a resistência (MOTTIN et al., 2019; FONSECA et al., 2014).</w:t>
      </w:r>
    </w:p>
    <w:p>
      <w:pPr>
        <w:pStyle w:val="LOnormal1"/>
        <w:spacing w:lineRule="auto" w:line="360" w:before="0" w:after="0"/>
        <w:ind w:firstLine="850"/>
        <w:jc w:val="both"/>
        <w:rPr>
          <w:rFonts w:ascii="Arial" w:hAnsi="Arial" w:eastAsia="Arial" w:cs="Arial"/>
          <w:sz w:val="24"/>
          <w:szCs w:val="24"/>
        </w:rPr>
      </w:pPr>
      <w:r>
        <w:rPr>
          <w:rFonts w:eastAsia="Arial" w:cs="Arial" w:ascii="Arial" w:hAnsi="Arial"/>
          <w:sz w:val="24"/>
          <w:szCs w:val="24"/>
        </w:rPr>
        <w:t xml:space="preserve">A utilização de extratos de plantas na medicina veterinária representa uma fronteira promissora no controle de parasitas em animais de produção. A formulação desses extratos para uso clínico, a redução da resistência aos tratamentos convencionais e a exploração de futuras aplicações e pesquisas são áreas de grande interesse e desenvolvimento (FIGUEIREDO et al., 2020; SILVA, 2014). </w:t>
      </w:r>
    </w:p>
    <w:p>
      <w:pPr>
        <w:pStyle w:val="LOnormal1"/>
        <w:spacing w:lineRule="auto" w:line="360" w:before="0" w:after="0"/>
        <w:ind w:firstLine="850"/>
        <w:jc w:val="both"/>
        <w:rPr>
          <w:rFonts w:ascii="Arial" w:hAnsi="Arial" w:eastAsia="Arial" w:cs="Arial"/>
          <w:sz w:val="24"/>
          <w:szCs w:val="24"/>
        </w:rPr>
      </w:pPr>
      <w:r>
        <w:rPr>
          <w:rFonts w:eastAsia="Arial" w:cs="Arial" w:ascii="Arial" w:hAnsi="Arial"/>
          <w:sz w:val="24"/>
          <w:szCs w:val="24"/>
        </w:rPr>
        <w:t xml:space="preserve">Os extratos de plantas além de serem usados como fitoterápicos podem apresentar toxicidade (SANDOVAL-VERGARA; ISMIÑO-RIQUELME, 2019). Dessa forma, estudos toxicológicos em </w:t>
      </w:r>
      <w:r>
        <w:rPr>
          <w:rFonts w:eastAsia="Arial" w:cs="Arial" w:ascii="Arial" w:hAnsi="Arial"/>
          <w:i/>
          <w:sz w:val="24"/>
          <w:szCs w:val="24"/>
        </w:rPr>
        <w:t>Artemia salina</w:t>
      </w:r>
      <w:r>
        <w:rPr>
          <w:rFonts w:eastAsia="Arial" w:cs="Arial" w:ascii="Arial" w:hAnsi="Arial"/>
          <w:sz w:val="24"/>
          <w:szCs w:val="24"/>
        </w:rPr>
        <w:t xml:space="preserve"> são úteis para a realização da triagem da toxicidade de </w:t>
      </w:r>
      <w:r>
        <w:rPr>
          <w:rFonts w:eastAsia="Arial" w:cs="Arial" w:ascii="Arial" w:hAnsi="Arial"/>
          <w:color w:val="000000"/>
          <w:sz w:val="24"/>
          <w:szCs w:val="24"/>
        </w:rPr>
        <w:t xml:space="preserve">extratos de plantas por sua conveniência e por seu baixo custo (NTUNGWE et al., 2020; PARRA et al., 2001; SAHGALet al., 2010). </w:t>
      </w:r>
    </w:p>
    <w:p>
      <w:pPr>
        <w:pStyle w:val="LOnormal"/>
        <w:spacing w:lineRule="auto" w:line="360" w:before="0" w:after="0"/>
        <w:ind w:firstLine="709"/>
        <w:jc w:val="both"/>
        <w:rPr>
          <w:rFonts w:ascii="Arial" w:hAnsi="Arial" w:eastAsia="Arial" w:cs="Arial"/>
          <w:sz w:val="24"/>
          <w:szCs w:val="24"/>
        </w:rPr>
      </w:pPr>
      <w:r>
        <w:rPr>
          <w:rFonts w:eastAsia="Arial" w:cs="Arial" w:ascii="Arial" w:hAnsi="Arial"/>
          <w:color w:val="000000"/>
          <w:sz w:val="24"/>
          <w:szCs w:val="24"/>
          <w:shd w:fill="auto" w:val="clear"/>
        </w:rPr>
        <w:t>O trabalho foi realizado baseado nos três pilares da universidade: ensino, pesquisa e extensão, permitindo um aprendizado aplicado e contextualizado aos pesquisadores bem como a importância da pesquisa na prática veterinária. A conexão entre ensino, pesquisa e extensão é necessária para formar profissionais aptos para enfrentar os desafios do setor agropecuário.</w:t>
      </w:r>
    </w:p>
    <w:p>
      <w:pPr>
        <w:pStyle w:val="LOnormal"/>
        <w:spacing w:lineRule="auto" w:line="360" w:before="0" w:after="0"/>
        <w:ind w:firstLine="709"/>
        <w:jc w:val="both"/>
        <w:rPr>
          <w:highlight w:val="none"/>
          <w:shd w:fill="auto" w:val="clear"/>
        </w:rPr>
      </w:pPr>
      <w:r>
        <w:rPr>
          <w:rFonts w:eastAsia="Arial" w:cs="Arial" w:ascii="Arial" w:hAnsi="Arial"/>
          <w:color w:val="000000"/>
          <w:sz w:val="24"/>
          <w:szCs w:val="24"/>
          <w:shd w:fill="auto" w:val="clear"/>
        </w:rPr>
        <w:t xml:space="preserve">A pesquisa se insere na área das ciências agrárias, com ênfase na farmacologia e toxicologia veterinária como área abordada principal e fitoterapia como secundária. </w:t>
      </w:r>
    </w:p>
    <w:p>
      <w:pPr>
        <w:pStyle w:val="LOnormal"/>
        <w:spacing w:lineRule="auto" w:line="360" w:before="0" w:after="0"/>
        <w:ind w:firstLine="709"/>
        <w:jc w:val="both"/>
        <w:rPr>
          <w:highlight w:val="none"/>
          <w:shd w:fill="auto" w:val="clear"/>
        </w:rPr>
      </w:pPr>
      <w:r>
        <w:rPr>
          <w:shd w:fill="auto" w:val="clear"/>
        </w:rPr>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t>BASE TEÓRICA</w:t>
      </w:r>
    </w:p>
    <w:p>
      <w:pPr>
        <w:pStyle w:val="LOnormal1"/>
        <w:spacing w:lineRule="auto" w:line="360" w:before="0" w:after="0"/>
        <w:ind w:firstLine="850"/>
        <w:jc w:val="both"/>
        <w:rPr>
          <w:rFonts w:ascii="Arial" w:hAnsi="Arial" w:eastAsia="Arial" w:cs="Arial"/>
          <w:sz w:val="24"/>
          <w:szCs w:val="24"/>
        </w:rPr>
      </w:pPr>
      <w:r>
        <w:rPr>
          <w:rFonts w:eastAsia="Arial" w:cs="Arial" w:ascii="Arial" w:hAnsi="Arial"/>
          <w:sz w:val="24"/>
          <w:szCs w:val="24"/>
        </w:rPr>
      </w:r>
    </w:p>
    <w:p>
      <w:pPr>
        <w:pStyle w:val="LOnormal1"/>
        <w:spacing w:lineRule="auto" w:line="360" w:before="0" w:after="0"/>
        <w:ind w:firstLine="850"/>
        <w:jc w:val="both"/>
        <w:rPr>
          <w:rFonts w:ascii="Arial" w:hAnsi="Arial" w:eastAsia="Arial" w:cs="Arial"/>
          <w:sz w:val="24"/>
          <w:szCs w:val="24"/>
        </w:rPr>
      </w:pPr>
      <w:r>
        <w:rPr>
          <w:rFonts w:eastAsia="Arial" w:cs="Arial" w:ascii="Arial" w:hAnsi="Arial"/>
          <w:i/>
          <w:sz w:val="24"/>
          <w:szCs w:val="24"/>
        </w:rPr>
        <w:t>Ficus gomelleira</w:t>
      </w:r>
      <w:r>
        <w:rPr>
          <w:rFonts w:eastAsia="Arial" w:cs="Arial" w:ascii="Arial" w:hAnsi="Arial"/>
          <w:sz w:val="24"/>
          <w:szCs w:val="24"/>
        </w:rPr>
        <w:t xml:space="preserve"> Kunth &amp; C.D. Bouché (Moraceae), uma espécie arbórea do sudeste do Brasil (POTT; POTT, 1994), é utilizada na medicina popular, as folhas e o látex, como anti-helmíntico (FURTADO, 2006). </w:t>
      </w:r>
      <w:r>
        <w:rPr>
          <w:rFonts w:eastAsia="Arial" w:cs="Arial" w:ascii="Arial" w:hAnsi="Arial"/>
          <w:color w:val="000000"/>
          <w:sz w:val="24"/>
          <w:szCs w:val="24"/>
        </w:rPr>
        <w:t>A análise fitoquímica do extrato bruto das folhas de</w:t>
      </w:r>
      <w:r>
        <w:rPr>
          <w:rFonts w:eastAsia="Arial" w:cs="Arial" w:ascii="Arial" w:hAnsi="Arial"/>
          <w:i/>
          <w:color w:val="000000"/>
          <w:sz w:val="24"/>
          <w:szCs w:val="24"/>
        </w:rPr>
        <w:t xml:space="preserve"> Ficus gomelleira </w:t>
      </w:r>
      <w:r>
        <w:rPr>
          <w:rFonts w:eastAsia="Arial" w:cs="Arial" w:ascii="Arial" w:hAnsi="Arial"/>
          <w:color w:val="000000"/>
          <w:sz w:val="24"/>
          <w:szCs w:val="24"/>
        </w:rPr>
        <w:t>demonstrou a presença de catequinas, fenóis, flavonas, flavonóis, flavanonas, flavonóis e xantonas (OLIVEIRA et al., 2020).</w:t>
      </w:r>
      <w:r>
        <w:rPr>
          <w:rFonts w:eastAsia="Arial" w:cs="Arial" w:ascii="Arial" w:hAnsi="Arial"/>
          <w:sz w:val="24"/>
          <w:szCs w:val="24"/>
        </w:rPr>
        <w:t xml:space="preserve"> </w:t>
      </w:r>
    </w:p>
    <w:p>
      <w:pPr>
        <w:pStyle w:val="LOnormal1"/>
        <w:spacing w:lineRule="auto" w:line="360" w:before="0" w:after="0"/>
        <w:ind w:firstLine="850"/>
        <w:jc w:val="both"/>
        <w:rPr>
          <w:rFonts w:ascii="Arial" w:hAnsi="Arial" w:eastAsia="Arial" w:cs="Arial"/>
          <w:sz w:val="24"/>
          <w:szCs w:val="24"/>
        </w:rPr>
      </w:pPr>
      <w:r>
        <w:rPr>
          <w:rFonts w:eastAsia="Arial" w:cs="Arial" w:ascii="Arial" w:hAnsi="Arial"/>
          <w:sz w:val="24"/>
          <w:szCs w:val="24"/>
        </w:rPr>
        <w:t xml:space="preserve">A atividade nematicida do extrato bruto e hexânico das folhas secas de </w:t>
      </w:r>
      <w:r>
        <w:rPr>
          <w:rFonts w:eastAsia="Arial" w:cs="Arial" w:ascii="Arial" w:hAnsi="Arial"/>
          <w:i/>
          <w:sz w:val="24"/>
          <w:szCs w:val="24"/>
        </w:rPr>
        <w:t xml:space="preserve">Ficus gomelleira </w:t>
      </w:r>
      <w:r>
        <w:rPr>
          <w:rFonts w:eastAsia="Arial" w:cs="Arial" w:ascii="Arial" w:hAnsi="Arial"/>
          <w:sz w:val="24"/>
          <w:szCs w:val="24"/>
        </w:rPr>
        <w:t xml:space="preserve">foi verificada por nosso grupo de pesquisa do Centro de Ciências Agrárias da UFNT, em parasitas de ovinos (dados não publicados), entretanto, estudos de toxicidade são necessários, visto que muitos fitoterápicos podem apresentar toxicidade (SANDOVAL-VERGARA; ISMIÑO-RIQUELME, 2019). Dessa forma, o presente estudo objetivou realizar a prospecção fitoquímica dos extratos hexânico de </w:t>
      </w:r>
      <w:r>
        <w:rPr>
          <w:rFonts w:eastAsia="Arial" w:cs="Arial" w:ascii="Arial" w:hAnsi="Arial"/>
          <w:i/>
          <w:sz w:val="24"/>
          <w:szCs w:val="24"/>
        </w:rPr>
        <w:t>Ficus gomelleira</w:t>
      </w:r>
      <w:r>
        <w:rPr>
          <w:rFonts w:eastAsia="Arial" w:cs="Arial" w:ascii="Arial" w:hAnsi="Arial"/>
          <w:sz w:val="24"/>
          <w:szCs w:val="24"/>
        </w:rPr>
        <w:t xml:space="preserve"> e verificar a toxicidade em </w:t>
      </w:r>
      <w:r>
        <w:rPr>
          <w:rFonts w:eastAsia="Arial" w:cs="Arial" w:ascii="Arial" w:hAnsi="Arial"/>
          <w:i/>
          <w:sz w:val="24"/>
          <w:szCs w:val="24"/>
        </w:rPr>
        <w:t>Artemia salina.</w:t>
      </w:r>
    </w:p>
    <w:p>
      <w:pPr>
        <w:pStyle w:val="LOnormal1"/>
        <w:spacing w:lineRule="auto" w:line="360" w:before="0" w:after="0"/>
        <w:jc w:val="both"/>
        <w:rPr>
          <w:rFonts w:ascii="Arial" w:hAnsi="Arial" w:eastAsia="Arial" w:cs="Arial"/>
          <w:b/>
          <w:b/>
          <w:sz w:val="24"/>
          <w:szCs w:val="24"/>
        </w:rPr>
      </w:pPr>
      <w:r>
        <w:rPr>
          <w:rFonts w:eastAsia="Arial" w:cs="Arial" w:ascii="Arial" w:hAnsi="Arial"/>
          <w:sz w:val="20"/>
          <w:szCs w:val="20"/>
        </w:rPr>
        <w:t xml:space="preserve">                                                       </w:t>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t>OBJETIVOS</w:t>
        <w:tab/>
      </w:r>
    </w:p>
    <w:p>
      <w:pPr>
        <w:pStyle w:val="LOnormal1"/>
        <w:numPr>
          <w:ilvl w:val="0"/>
          <w:numId w:val="2"/>
        </w:numPr>
        <w:spacing w:lineRule="auto" w:line="360" w:before="0" w:after="0"/>
        <w:ind w:left="720" w:hanging="360"/>
        <w:jc w:val="both"/>
        <w:rPr>
          <w:b/>
          <w:b/>
          <w:sz w:val="24"/>
          <w:szCs w:val="24"/>
        </w:rPr>
      </w:pPr>
      <w:r>
        <w:rPr>
          <w:rFonts w:eastAsia="Arial" w:cs="Arial" w:ascii="Arial" w:hAnsi="Arial"/>
          <w:b/>
          <w:sz w:val="24"/>
          <w:szCs w:val="24"/>
        </w:rPr>
        <w:t>Objetivo geral</w:t>
      </w:r>
    </w:p>
    <w:p>
      <w:pPr>
        <w:pStyle w:val="LOnormal1"/>
        <w:numPr>
          <w:ilvl w:val="1"/>
          <w:numId w:val="2"/>
        </w:numPr>
        <w:spacing w:lineRule="auto" w:line="360" w:before="0" w:after="0"/>
        <w:ind w:left="1440" w:hanging="360"/>
        <w:jc w:val="both"/>
        <w:rPr>
          <w:sz w:val="24"/>
          <w:szCs w:val="24"/>
        </w:rPr>
      </w:pPr>
      <w:r>
        <w:rPr>
          <w:rFonts w:eastAsia="Arial" w:cs="Arial" w:ascii="Arial" w:hAnsi="Arial"/>
          <w:sz w:val="24"/>
          <w:szCs w:val="24"/>
        </w:rPr>
        <w:t xml:space="preserve">Realizar a prospecção fitoquímica e investigar os possíveis efeitos tóxicos dos extratos bruto e hexânico de </w:t>
      </w:r>
      <w:r>
        <w:rPr>
          <w:rFonts w:eastAsia="Arial" w:cs="Arial" w:ascii="Arial" w:hAnsi="Arial"/>
          <w:i/>
          <w:sz w:val="24"/>
          <w:szCs w:val="24"/>
        </w:rPr>
        <w:t xml:space="preserve">Ficus gomelleira </w:t>
      </w:r>
      <w:r>
        <w:rPr>
          <w:rFonts w:eastAsia="Arial" w:cs="Arial" w:ascii="Arial" w:hAnsi="Arial"/>
          <w:sz w:val="24"/>
          <w:szCs w:val="24"/>
        </w:rPr>
        <w:t xml:space="preserve">em </w:t>
      </w:r>
      <w:r>
        <w:rPr>
          <w:rFonts w:eastAsia="Arial" w:cs="Arial" w:ascii="Arial" w:hAnsi="Arial"/>
          <w:i/>
          <w:sz w:val="24"/>
          <w:szCs w:val="24"/>
        </w:rPr>
        <w:t>Artemia salina</w:t>
      </w:r>
      <w:r>
        <w:rPr>
          <w:rFonts w:eastAsia="Arial" w:cs="Arial" w:ascii="Arial" w:hAnsi="Arial"/>
          <w:sz w:val="24"/>
          <w:szCs w:val="24"/>
        </w:rPr>
        <w:t>.</w:t>
      </w:r>
    </w:p>
    <w:p>
      <w:pPr>
        <w:pStyle w:val="LOnormal1"/>
        <w:numPr>
          <w:ilvl w:val="0"/>
          <w:numId w:val="2"/>
        </w:numPr>
        <w:spacing w:lineRule="auto" w:line="360" w:before="0" w:after="0"/>
        <w:ind w:left="720" w:hanging="360"/>
        <w:jc w:val="both"/>
        <w:rPr>
          <w:sz w:val="24"/>
          <w:szCs w:val="24"/>
        </w:rPr>
      </w:pPr>
      <w:r>
        <w:rPr>
          <w:rFonts w:eastAsia="Arial" w:cs="Arial" w:ascii="Arial" w:hAnsi="Arial"/>
          <w:b/>
          <w:sz w:val="24"/>
          <w:szCs w:val="24"/>
        </w:rPr>
        <w:t xml:space="preserve"> </w:t>
      </w:r>
      <w:r>
        <w:rPr>
          <w:rFonts w:eastAsia="Arial" w:cs="Arial" w:ascii="Arial" w:hAnsi="Arial"/>
          <w:b/>
          <w:sz w:val="24"/>
          <w:szCs w:val="24"/>
        </w:rPr>
        <w:t>Objetivos específicos</w:t>
      </w:r>
    </w:p>
    <w:p>
      <w:pPr>
        <w:pStyle w:val="LOnormal1"/>
        <w:numPr>
          <w:ilvl w:val="1"/>
          <w:numId w:val="2"/>
        </w:numPr>
        <w:spacing w:lineRule="auto" w:line="360" w:before="0" w:after="0"/>
        <w:ind w:left="1440" w:hanging="360"/>
        <w:jc w:val="both"/>
        <w:rPr>
          <w:sz w:val="24"/>
          <w:szCs w:val="24"/>
        </w:rPr>
      </w:pPr>
      <w:r>
        <w:rPr>
          <w:rFonts w:eastAsia="Arial" w:cs="Arial" w:ascii="Arial" w:hAnsi="Arial"/>
          <w:sz w:val="24"/>
          <w:szCs w:val="24"/>
        </w:rPr>
        <w:t>Obter o extrato bruto e hexânico das folhas da planta;</w:t>
      </w:r>
    </w:p>
    <w:p>
      <w:pPr>
        <w:pStyle w:val="LOnormal1"/>
        <w:numPr>
          <w:ilvl w:val="1"/>
          <w:numId w:val="2"/>
        </w:numPr>
        <w:spacing w:lineRule="auto" w:line="360" w:before="0" w:after="0"/>
        <w:ind w:left="1440" w:hanging="360"/>
        <w:jc w:val="both"/>
        <w:rPr>
          <w:sz w:val="24"/>
          <w:szCs w:val="24"/>
        </w:rPr>
      </w:pPr>
      <w:r>
        <w:rPr>
          <w:rFonts w:eastAsia="Arial" w:cs="Arial" w:ascii="Arial" w:hAnsi="Arial"/>
          <w:sz w:val="24"/>
          <w:szCs w:val="24"/>
        </w:rPr>
        <w:t>Avaliar o perfil fitoquímico;</w:t>
      </w:r>
    </w:p>
    <w:p>
      <w:pPr>
        <w:pStyle w:val="LOnormal1"/>
        <w:numPr>
          <w:ilvl w:val="1"/>
          <w:numId w:val="2"/>
        </w:numPr>
        <w:spacing w:lineRule="auto" w:line="360" w:before="0" w:after="0"/>
        <w:ind w:left="1440" w:hanging="360"/>
        <w:jc w:val="both"/>
        <w:rPr>
          <w:sz w:val="24"/>
          <w:szCs w:val="24"/>
        </w:rPr>
      </w:pPr>
      <w:r>
        <w:rPr>
          <w:rFonts w:eastAsia="Arial" w:cs="Arial" w:ascii="Arial" w:hAnsi="Arial"/>
          <w:sz w:val="24"/>
          <w:szCs w:val="24"/>
        </w:rPr>
        <w:t xml:space="preserve">Avaliar a toxicidade dos extratos em </w:t>
      </w:r>
      <w:r>
        <w:rPr>
          <w:rFonts w:eastAsia="Arial" w:cs="Arial" w:ascii="Arial" w:hAnsi="Arial"/>
          <w:i/>
          <w:iCs/>
          <w:sz w:val="24"/>
          <w:szCs w:val="24"/>
        </w:rPr>
        <w:t>Artemia salina</w:t>
      </w:r>
      <w:r>
        <w:rPr>
          <w:rFonts w:eastAsia="Arial" w:cs="Arial" w:ascii="Arial" w:hAnsi="Arial"/>
          <w:sz w:val="24"/>
          <w:szCs w:val="24"/>
        </w:rPr>
        <w:t>.</w:t>
      </w:r>
    </w:p>
    <w:p>
      <w:pPr>
        <w:pStyle w:val="LOnormal1"/>
        <w:spacing w:lineRule="auto" w:line="360" w:before="0" w:after="0"/>
        <w:ind w:firstLine="709"/>
        <w:jc w:val="both"/>
        <w:rPr>
          <w:rFonts w:ascii="Arial" w:hAnsi="Arial" w:eastAsia="Arial" w:cs="Arial"/>
          <w:sz w:val="24"/>
          <w:szCs w:val="24"/>
        </w:rPr>
      </w:pPr>
      <w:r>
        <w:rPr>
          <w:rFonts w:eastAsia="Arial" w:cs="Arial" w:ascii="Arial" w:hAnsi="Arial"/>
          <w:sz w:val="24"/>
          <w:szCs w:val="24"/>
        </w:rPr>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r>
    </w:p>
    <w:p>
      <w:pPr>
        <w:pStyle w:val="LOnormal1"/>
        <w:numPr>
          <w:ilvl w:val="0"/>
          <w:numId w:val="0"/>
        </w:numPr>
        <w:spacing w:lineRule="auto" w:line="360" w:before="0" w:after="0"/>
        <w:ind w:left="0" w:hanging="0"/>
        <w:jc w:val="both"/>
        <w:rPr>
          <w:rFonts w:ascii="Arial" w:hAnsi="Arial" w:eastAsia="Arial" w:cs="Arial"/>
          <w:b/>
          <w:b/>
          <w:sz w:val="24"/>
          <w:szCs w:val="24"/>
        </w:rPr>
      </w:pPr>
      <w:r>
        <w:rPr>
          <w:rFonts w:eastAsia="Arial" w:cs="Arial" w:ascii="Arial" w:hAnsi="Arial"/>
          <w:b/>
          <w:sz w:val="24"/>
          <w:szCs w:val="24"/>
        </w:rPr>
        <w:t>IV. METODOLOGIA</w:t>
      </w:r>
    </w:p>
    <w:p>
      <w:pPr>
        <w:pStyle w:val="LOnormal1"/>
        <w:spacing w:lineRule="auto" w:line="360" w:before="12" w:after="12"/>
        <w:ind w:firstLine="850"/>
        <w:jc w:val="both"/>
        <w:rPr>
          <w:rFonts w:ascii="Arial" w:hAnsi="Arial" w:eastAsia="Arial" w:cs="Arial"/>
          <w:sz w:val="24"/>
          <w:szCs w:val="24"/>
        </w:rPr>
      </w:pPr>
      <w:r>
        <w:rPr>
          <w:rFonts w:eastAsia="Arial" w:cs="Arial" w:ascii="Arial" w:hAnsi="Arial"/>
          <w:sz w:val="24"/>
          <w:szCs w:val="24"/>
        </w:rPr>
      </w:r>
    </w:p>
    <w:p>
      <w:pPr>
        <w:pStyle w:val="LOnormal1"/>
        <w:spacing w:lineRule="auto" w:line="360" w:before="12" w:after="12"/>
        <w:ind w:firstLine="850"/>
        <w:jc w:val="both"/>
        <w:rPr>
          <w:rFonts w:ascii="Arial" w:hAnsi="Arial" w:eastAsia="Arial" w:cs="Arial"/>
          <w:sz w:val="24"/>
          <w:szCs w:val="24"/>
        </w:rPr>
      </w:pPr>
      <w:r>
        <w:rPr>
          <w:rFonts w:eastAsia="Arial" w:cs="Arial" w:ascii="Arial" w:hAnsi="Arial"/>
          <w:sz w:val="24"/>
          <w:szCs w:val="24"/>
        </w:rPr>
        <w:t xml:space="preserve">Folhas de </w:t>
      </w:r>
      <w:r>
        <w:rPr>
          <w:rFonts w:eastAsia="Arial" w:cs="Arial" w:ascii="Arial" w:hAnsi="Arial"/>
          <w:i/>
          <w:sz w:val="24"/>
          <w:szCs w:val="24"/>
        </w:rPr>
        <w:t xml:space="preserve">Ficus gomelleira </w:t>
      </w:r>
      <w:r>
        <w:rPr>
          <w:rFonts w:eastAsia="Arial" w:cs="Arial" w:ascii="Arial" w:hAnsi="Arial"/>
          <w:i w:val="false"/>
          <w:sz w:val="24"/>
          <w:szCs w:val="24"/>
        </w:rPr>
        <w:t>foram coletadas</w:t>
      </w:r>
      <w:sdt>
        <w:sdtPr/>
        <w:sdtContent>
          <w:r>
            <w:rPr>
              <w:rFonts w:eastAsia="Arial" w:cs="Arial" w:ascii="Arial" w:hAnsi="Arial"/>
              <w:i w:val="false"/>
              <w:sz w:val="24"/>
              <w:szCs w:val="24"/>
            </w:rPr>
          </w:r>
          <w:sdt>
            <w:sdtPr>
              <w:id w:val="1768312425"/>
            </w:sdtPr>
            <w:sdtContent>
              <w:r>
                <w:rPr>
                  <w:rFonts w:eastAsia="Arial Unicode MS" w:cs="Arial Unicode MS" w:ascii="Arial Unicode MS" w:hAnsi="Arial Unicode MS"/>
                  <w:sz w:val="24"/>
                  <w:szCs w:val="24"/>
                </w:rPr>
                <w:t xml:space="preserve"> em Goiatins-TO. Após a identificação e registro das exsicatas na UFT, as análises físico-químicas e toxicológicas foram conduzidas no Centro de Ciências Agrárias da UFNT. A extração primária foi realizada por percolação em ácool 99,95%, e a solução etanólica foi concentrada em rotaevaporador sob pressão reduzida, mantendo a temperatura máxima de 45∘C para evitar a degradação de possíveis compostos termolábeis. Em seguida o extrato bruto foi submetido ao particionamento para obtenção do extrato hexânico. Posteriormente foi realizada a prospecção fitoquímica para identificação de taninos, flavonoides e saponinas. Para os testes de availaçao da toxicidade dos extratos em </w:t>
              </w:r>
            </w:sdtContent>
          </w:sdt>
        </w:sdtContent>
      </w:sdt>
      <w:r>
        <w:rPr>
          <w:rFonts w:eastAsia="Arimo" w:cs="Arimo" w:ascii="Arimo" w:hAnsi="Arimo"/>
          <w:i/>
          <w:sz w:val="24"/>
          <w:szCs w:val="24"/>
        </w:rPr>
        <w:t>Artemia salina</w:t>
      </w:r>
      <w:r>
        <w:rPr>
          <w:rFonts w:eastAsia="Arial" w:cs="Arial" w:ascii="Arial" w:hAnsi="Arial"/>
          <w:i w:val="false"/>
          <w:sz w:val="24"/>
          <w:szCs w:val="24"/>
        </w:rPr>
        <w:t xml:space="preserve"> foram utilizados 10 exemplares de náuplios de </w:t>
      </w:r>
      <w:r>
        <w:rPr>
          <w:rFonts w:eastAsia="Arial" w:cs="Arial" w:ascii="Arial" w:hAnsi="Arial"/>
          <w:i/>
          <w:sz w:val="24"/>
          <w:szCs w:val="24"/>
        </w:rPr>
        <w:t>A. salina</w:t>
      </w:r>
      <w:r>
        <w:rPr>
          <w:rFonts w:eastAsia="Arial" w:cs="Arial" w:ascii="Arial" w:hAnsi="Arial"/>
          <w:i w:val="false"/>
          <w:sz w:val="24"/>
          <w:szCs w:val="24"/>
        </w:rPr>
        <w:t xml:space="preserve"> em tubos de ensaio contendo 10mL de solução salina com frações de extrato bruto e hexânico e Tween 80 a 5%, como controle, nas concentrações de 0,1, 1, 10, 100 e 1000 μg/mL, em triplicata. Após 24 horas foi realizada a contagem das artemias sobreviventes e o cálculo da concetração letal 50% </w:t>
      </w:r>
      <w:r>
        <w:rPr>
          <w:rFonts w:eastAsia="Arial" w:cs="Arial" w:ascii="Arial" w:hAnsi="Arial"/>
          <w:i w:val="false"/>
          <w:sz w:val="24"/>
          <w:szCs w:val="24"/>
          <w:shd w:fill="auto" w:val="clear"/>
        </w:rPr>
        <w:t>(CL</w:t>
      </w:r>
      <w:r>
        <w:rPr>
          <w:rFonts w:eastAsia="Arial" w:cs="Arial" w:ascii="Arial" w:hAnsi="Arial"/>
          <w:i w:val="false"/>
          <w:sz w:val="24"/>
          <w:szCs w:val="24"/>
          <w:shd w:fill="auto" w:val="clear"/>
          <w:vertAlign w:val="subscript"/>
        </w:rPr>
        <w:t>50</w:t>
      </w:r>
      <w:r>
        <w:rPr>
          <w:rFonts w:eastAsia="Arial" w:cs="Arial" w:ascii="Arial" w:hAnsi="Arial"/>
          <w:i w:val="false"/>
          <w:sz w:val="24"/>
          <w:szCs w:val="24"/>
          <w:shd w:fill="auto" w:val="clear"/>
        </w:rPr>
        <w:t>), conforme método de Litchfield e Wilcoxon.</w:t>
      </w:r>
    </w:p>
    <w:p>
      <w:pPr>
        <w:pStyle w:val="LOnormal1"/>
        <w:spacing w:lineRule="auto" w:line="360" w:before="57" w:after="57"/>
        <w:ind w:firstLine="850"/>
        <w:jc w:val="both"/>
        <w:rPr>
          <w:rFonts w:ascii="Arial" w:hAnsi="Arial" w:eastAsia="Arial" w:cs="Arial"/>
          <w:sz w:val="24"/>
          <w:szCs w:val="24"/>
        </w:rPr>
      </w:pPr>
      <w:r>
        <w:rPr>
          <w:rFonts w:eastAsia="Arial" w:cs="Arial" w:ascii="Arial" w:hAnsi="Arial"/>
          <w:i w:val="false"/>
          <w:sz w:val="24"/>
          <w:szCs w:val="24"/>
          <w:highlight w:val="yellow"/>
        </w:rPr>
        <w:br/>
      </w:r>
      <w:r>
        <w:rPr>
          <w:rFonts w:eastAsia="Arial" w:cs="Arial" w:ascii="Arial" w:hAnsi="Arial"/>
          <w:b/>
          <w:i w:val="false"/>
          <w:sz w:val="24"/>
          <w:szCs w:val="24"/>
        </w:rPr>
        <w:t xml:space="preserve">V. </w:t>
      </w:r>
      <w:r>
        <w:rPr>
          <w:rFonts w:eastAsia="Arial" w:cs="Arial" w:ascii="Arial" w:hAnsi="Arial"/>
          <w:b/>
          <w:sz w:val="24"/>
          <w:szCs w:val="24"/>
        </w:rPr>
        <w:t>RESULTADOS E DISCUSSÃO</w:t>
      </w:r>
    </w:p>
    <w:p>
      <w:pPr>
        <w:pStyle w:val="LOnormal1"/>
        <w:spacing w:lineRule="auto" w:line="360" w:before="0" w:after="0"/>
        <w:ind w:hanging="0"/>
        <w:jc w:val="both"/>
        <w:rPr>
          <w:rFonts w:ascii="Arial" w:hAnsi="Arial" w:eastAsia="Arial" w:cs="Arial"/>
          <w:sz w:val="24"/>
          <w:szCs w:val="24"/>
        </w:rPr>
      </w:pPr>
      <w:r>
        <w:rPr>
          <w:rFonts w:eastAsia="Arial" w:cs="Arial" w:ascii="Arial" w:hAnsi="Arial"/>
          <w:sz w:val="24"/>
          <w:szCs w:val="24"/>
        </w:rPr>
        <w:tab/>
        <w:t xml:space="preserve">Os resultados da prospecção fitoquímica estão apresentados no Quadro 1. Nos extratos bruto e hexânico das folhas de </w:t>
      </w:r>
      <w:r>
        <w:rPr>
          <w:rFonts w:eastAsia="Arial" w:cs="Arial" w:ascii="Arial" w:hAnsi="Arial"/>
          <w:i/>
          <w:sz w:val="24"/>
          <w:szCs w:val="24"/>
        </w:rPr>
        <w:t>Ficus gomelleira</w:t>
      </w:r>
      <w:r>
        <w:rPr>
          <w:rFonts w:eastAsia="Arial" w:cs="Arial" w:ascii="Arial" w:hAnsi="Arial"/>
          <w:sz w:val="24"/>
          <w:szCs w:val="24"/>
        </w:rPr>
        <w:t xml:space="preserve">, observou-se a presença de flavonoides e saponinas, corroborando com Oliveira et al., 2020, que identificaram a presença e flavonoides e saponinas em extratos das folhas de </w:t>
      </w:r>
      <w:r>
        <w:rPr>
          <w:rFonts w:eastAsia="Arial" w:cs="Arial" w:ascii="Arial" w:hAnsi="Arial"/>
          <w:i/>
          <w:sz w:val="24"/>
          <w:szCs w:val="24"/>
        </w:rPr>
        <w:t>Ficus</w:t>
      </w:r>
      <w:r>
        <w:rPr>
          <w:rFonts w:eastAsia="Arial" w:cs="Arial" w:ascii="Arial" w:hAnsi="Arial"/>
          <w:sz w:val="24"/>
          <w:szCs w:val="24"/>
        </w:rPr>
        <w:t xml:space="preserve">. </w:t>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rFonts w:ascii="Arial" w:hAnsi="Arial" w:eastAsia="Arial" w:cs="Arial"/>
        </w:rPr>
      </w:pPr>
      <w:r>
        <w:rPr>
          <w:rFonts w:eastAsia="Arial" w:cs="Arial" w:ascii="Arial" w:hAnsi="Arial"/>
        </w:rPr>
      </w:r>
    </w:p>
    <w:p>
      <w:pPr>
        <w:pStyle w:val="LOnormal1"/>
        <w:widowControl w:val="false"/>
        <w:spacing w:lineRule="auto" w:line="276" w:before="0" w:after="0"/>
        <w:ind w:right="57" w:hanging="0"/>
        <w:jc w:val="both"/>
        <w:rPr>
          <w:sz w:val="24"/>
          <w:szCs w:val="24"/>
        </w:rPr>
      </w:pPr>
      <w:r>
        <w:rPr>
          <w:rFonts w:eastAsia="Arial" w:cs="Arial" w:ascii="Arial" w:hAnsi="Arial"/>
          <w:sz w:val="24"/>
          <w:szCs w:val="24"/>
        </w:rPr>
        <w:t xml:space="preserve">Quadro 01 – Prospecção química de extratos das folhas secas de </w:t>
      </w:r>
      <w:r>
        <w:rPr>
          <w:rFonts w:eastAsia="Arial" w:cs="Arial" w:ascii="Arial" w:hAnsi="Arial"/>
          <w:i/>
          <w:sz w:val="24"/>
          <w:szCs w:val="24"/>
        </w:rPr>
        <w:t>Ficus gomelleira</w:t>
      </w:r>
      <w:r>
        <w:rPr>
          <w:rFonts w:eastAsia="Arial" w:cs="Arial" w:ascii="Arial" w:hAnsi="Arial"/>
          <w:sz w:val="24"/>
          <w:szCs w:val="24"/>
        </w:rPr>
        <w:t>.</w:t>
      </w:r>
    </w:p>
    <w:tbl>
      <w:tblPr>
        <w:tblStyle w:val="Table1"/>
        <w:tblW w:w="9210" w:type="dxa"/>
        <w:jc w:val="left"/>
        <w:tblInd w:w="-68" w:type="dxa"/>
        <w:tblLayout w:type="fixed"/>
        <w:tblCellMar>
          <w:top w:w="0" w:type="dxa"/>
          <w:left w:w="108" w:type="dxa"/>
          <w:bottom w:w="0" w:type="dxa"/>
          <w:right w:w="108" w:type="dxa"/>
        </w:tblCellMar>
        <w:tblLook w:val="0000"/>
      </w:tblPr>
      <w:tblGrid>
        <w:gridCol w:w="4590"/>
        <w:gridCol w:w="4619"/>
      </w:tblGrid>
      <w:tr>
        <w:trPr>
          <w:tblHeader w:val="true"/>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1" w:hanging="0"/>
              <w:jc w:val="center"/>
              <w:rPr>
                <w:rFonts w:ascii="Arial" w:hAnsi="Arial" w:eastAsia="Arial" w:cs="Arial"/>
                <w:b/>
                <w:b/>
              </w:rPr>
            </w:pPr>
            <w:r>
              <w:rPr>
                <w:rFonts w:eastAsia="Arial" w:cs="Arial" w:ascii="Arial" w:hAnsi="Arial"/>
                <w:b/>
              </w:rPr>
              <w:t>Extrato Bruto</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13" w:right="20" w:hanging="0"/>
              <w:jc w:val="center"/>
              <w:rPr>
                <w:rFonts w:ascii="Arial" w:hAnsi="Arial" w:eastAsia="Arial" w:cs="Arial"/>
                <w:b/>
                <w:b/>
                <w:i/>
                <w:i/>
              </w:rPr>
            </w:pPr>
            <w:r>
              <w:rPr>
                <w:rFonts w:eastAsia="Arial" w:cs="Arial" w:ascii="Arial" w:hAnsi="Arial"/>
                <w:b/>
                <w:i/>
              </w:rPr>
              <w:t>Ficus gomelleira</w:t>
            </w:r>
          </w:p>
        </w:tc>
      </w:tr>
      <w:tr>
        <w:trPr>
          <w:tblHeader w:val="true"/>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0" w:hanging="0"/>
              <w:jc w:val="center"/>
              <w:rPr>
                <w:rFonts w:ascii="Arial" w:hAnsi="Arial" w:eastAsia="Arial" w:cs="Arial"/>
              </w:rPr>
            </w:pPr>
            <w:r>
              <w:rPr>
                <w:rFonts w:eastAsia="Arial" w:cs="Arial" w:ascii="Arial" w:hAnsi="Arial"/>
              </w:rPr>
              <w:t>Taninos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3" w:right="10" w:hanging="0"/>
              <w:jc w:val="center"/>
              <w:rPr>
                <w:rFonts w:ascii="Arial" w:hAnsi="Arial" w:eastAsia="Arial" w:cs="Arial"/>
              </w:rPr>
            </w:pPr>
            <w:r>
              <w:rPr>
                <w:rFonts w:eastAsia="Arial" w:cs="Arial" w:ascii="Arial" w:hAnsi="Arial"/>
              </w:rPr>
              <w:t>-</w:t>
            </w:r>
          </w:p>
        </w:tc>
      </w:tr>
      <w:tr>
        <w:trPr>
          <w:tblHeader w:val="true"/>
          <w:trHeight w:val="292"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1" w:hanging="0"/>
              <w:jc w:val="center"/>
              <w:rPr>
                <w:rFonts w:ascii="Arial" w:hAnsi="Arial" w:eastAsia="Arial" w:cs="Arial"/>
              </w:rPr>
            </w:pPr>
            <w:r>
              <w:rPr>
                <w:rFonts w:eastAsia="Arial" w:cs="Arial" w:ascii="Arial" w:hAnsi="Arial"/>
              </w:rPr>
              <w:t>Flavonóides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2" w:right="10" w:hanging="0"/>
              <w:jc w:val="center"/>
              <w:rPr>
                <w:rFonts w:ascii="Arial" w:hAnsi="Arial" w:eastAsia="Arial" w:cs="Arial"/>
              </w:rPr>
            </w:pPr>
            <w:r>
              <w:rPr>
                <w:rFonts w:eastAsia="Arial" w:cs="Arial" w:ascii="Arial" w:hAnsi="Arial"/>
              </w:rPr>
              <w:t>+</w:t>
            </w:r>
          </w:p>
        </w:tc>
      </w:tr>
      <w:tr>
        <w:trPr>
          <w:tblHeader w:val="true"/>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2" w:hanging="0"/>
              <w:jc w:val="center"/>
              <w:rPr>
                <w:rFonts w:ascii="Arial" w:hAnsi="Arial" w:eastAsia="Arial" w:cs="Arial"/>
              </w:rPr>
            </w:pPr>
            <w:r>
              <w:rPr>
                <w:rFonts w:eastAsia="Arial" w:cs="Arial" w:ascii="Arial" w:hAnsi="Arial"/>
              </w:rPr>
              <w:t>Saponinas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1" w:right="10" w:hanging="0"/>
              <w:jc w:val="center"/>
              <w:rPr>
                <w:rFonts w:ascii="Arial" w:hAnsi="Arial" w:eastAsia="Arial" w:cs="Arial"/>
              </w:rPr>
            </w:pPr>
            <w:r>
              <w:rPr>
                <w:rFonts w:eastAsia="Arial" w:cs="Arial" w:ascii="Arial" w:hAnsi="Arial"/>
              </w:rPr>
              <w:t>+</w:t>
            </w:r>
          </w:p>
        </w:tc>
      </w:tr>
      <w:tr>
        <w:trPr>
          <w:tblHeader w:val="true"/>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3" w:hanging="0"/>
              <w:jc w:val="center"/>
              <w:rPr>
                <w:rFonts w:ascii="Arial" w:hAnsi="Arial" w:eastAsia="Arial" w:cs="Arial"/>
                <w:b/>
                <w:b/>
              </w:rPr>
            </w:pPr>
            <w:r>
              <w:rPr>
                <w:rFonts w:eastAsia="Arial" w:cs="Arial" w:ascii="Arial" w:hAnsi="Arial"/>
                <w:b/>
              </w:rPr>
              <w:t>Extrato Hexânico</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13" w:right="20" w:hanging="0"/>
              <w:jc w:val="center"/>
              <w:rPr>
                <w:rFonts w:ascii="Arial" w:hAnsi="Arial" w:eastAsia="Arial" w:cs="Arial"/>
                <w:b/>
                <w:b/>
                <w:i/>
                <w:i/>
              </w:rPr>
            </w:pPr>
            <w:r>
              <w:rPr>
                <w:rFonts w:eastAsia="Arial" w:cs="Arial" w:ascii="Arial" w:hAnsi="Arial"/>
                <w:b/>
                <w:i/>
              </w:rPr>
              <w:t>Ficus gomelleira</w:t>
            </w:r>
          </w:p>
        </w:tc>
      </w:tr>
      <w:tr>
        <w:trPr>
          <w:trHeight w:val="292"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0" w:hanging="0"/>
              <w:jc w:val="center"/>
              <w:rPr>
                <w:rFonts w:ascii="Arial" w:hAnsi="Arial" w:eastAsia="Arial" w:cs="Arial"/>
              </w:rPr>
            </w:pPr>
            <w:r>
              <w:rPr>
                <w:rFonts w:eastAsia="Arial" w:cs="Arial" w:ascii="Arial" w:hAnsi="Arial"/>
              </w:rPr>
              <w:t>Taninos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3" w:right="10" w:hanging="0"/>
              <w:jc w:val="center"/>
              <w:rPr>
                <w:rFonts w:ascii="Arial" w:hAnsi="Arial" w:eastAsia="Arial" w:cs="Arial"/>
              </w:rPr>
            </w:pPr>
            <w:r>
              <w:rPr>
                <w:rFonts w:eastAsia="Arial" w:cs="Arial" w:ascii="Arial" w:hAnsi="Arial"/>
              </w:rPr>
              <w:t>-</w:t>
            </w:r>
          </w:p>
        </w:tc>
      </w:tr>
      <w:tr>
        <w:trPr>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1" w:hanging="0"/>
              <w:jc w:val="center"/>
              <w:rPr>
                <w:rFonts w:ascii="Arial" w:hAnsi="Arial" w:eastAsia="Arial" w:cs="Arial"/>
              </w:rPr>
            </w:pPr>
            <w:r>
              <w:rPr>
                <w:rFonts w:eastAsia="Arial" w:cs="Arial" w:ascii="Arial" w:hAnsi="Arial"/>
              </w:rPr>
              <w:t>Flavonóides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2" w:right="10" w:hanging="0"/>
              <w:jc w:val="center"/>
              <w:rPr>
                <w:rFonts w:ascii="Arial" w:hAnsi="Arial" w:eastAsia="Arial" w:cs="Arial"/>
              </w:rPr>
            </w:pPr>
            <w:r>
              <w:rPr>
                <w:rFonts w:eastAsia="Arial" w:cs="Arial" w:ascii="Arial" w:hAnsi="Arial"/>
              </w:rPr>
              <w:t>+</w:t>
            </w:r>
          </w:p>
        </w:tc>
      </w:tr>
      <w:tr>
        <w:trPr>
          <w:trHeight w:val="294" w:hRule="atLeast"/>
        </w:trPr>
        <w:tc>
          <w:tcPr>
            <w:tcW w:w="4590" w:type="dxa"/>
            <w:tcBorders>
              <w:top w:val="single" w:sz="4" w:space="0" w:color="000000"/>
              <w:left w:val="single" w:sz="4" w:space="0" w:color="000000"/>
              <w:bottom w:val="single" w:sz="4" w:space="0" w:color="000000"/>
            </w:tcBorders>
          </w:tcPr>
          <w:p>
            <w:pPr>
              <w:pStyle w:val="LOnormal1"/>
              <w:widowControl w:val="false"/>
              <w:spacing w:lineRule="auto" w:line="240" w:before="0" w:after="0"/>
              <w:ind w:left="71" w:right="62" w:hanging="0"/>
              <w:jc w:val="center"/>
              <w:rPr>
                <w:rFonts w:ascii="Arial" w:hAnsi="Arial" w:eastAsia="Arial" w:cs="Arial"/>
              </w:rPr>
            </w:pPr>
            <w:r>
              <w:rPr>
                <w:rFonts w:eastAsia="Arial" w:cs="Arial" w:ascii="Arial" w:hAnsi="Arial"/>
              </w:rPr>
              <w:t>Saponinas</w:t>
            </w:r>
          </w:p>
        </w:tc>
        <w:tc>
          <w:tcPr>
            <w:tcW w:w="4619" w:type="dxa"/>
            <w:tcBorders>
              <w:top w:val="single" w:sz="4" w:space="0" w:color="000000"/>
              <w:left w:val="single" w:sz="4" w:space="0" w:color="000000"/>
              <w:bottom w:val="single" w:sz="4" w:space="0" w:color="000000"/>
              <w:right w:val="single" w:sz="4" w:space="0" w:color="000000"/>
            </w:tcBorders>
          </w:tcPr>
          <w:p>
            <w:pPr>
              <w:pStyle w:val="LOnormal1"/>
              <w:widowControl w:val="false"/>
              <w:spacing w:lineRule="auto" w:line="240" w:before="0" w:after="0"/>
              <w:ind w:left="21" w:right="10" w:hanging="0"/>
              <w:jc w:val="center"/>
              <w:rPr>
                <w:rFonts w:ascii="Arial" w:hAnsi="Arial" w:eastAsia="Arial" w:cs="Arial"/>
              </w:rPr>
            </w:pPr>
            <w:r>
              <w:rPr>
                <w:rFonts w:eastAsia="Arial" w:cs="Arial" w:ascii="Arial" w:hAnsi="Arial"/>
              </w:rPr>
              <w:t>+</w:t>
            </w:r>
          </w:p>
        </w:tc>
      </w:tr>
    </w:tbl>
    <w:p>
      <w:pPr>
        <w:pStyle w:val="LOnormal1"/>
        <w:widowControl w:val="false"/>
        <w:spacing w:lineRule="auto" w:line="240" w:before="5" w:after="0"/>
        <w:ind w:left="-57" w:right="0" w:hanging="0"/>
        <w:jc w:val="left"/>
        <w:rPr>
          <w:rFonts w:ascii="Arial" w:hAnsi="Arial" w:eastAsia="Arial" w:cs="Arial"/>
          <w:sz w:val="24"/>
          <w:szCs w:val="24"/>
        </w:rPr>
      </w:pPr>
      <w:r>
        <w:rPr>
          <w:rFonts w:eastAsia="Arial" w:cs="Arial" w:ascii="Arial" w:hAnsi="Arial"/>
          <w:sz w:val="20"/>
          <w:szCs w:val="20"/>
        </w:rPr>
        <w:t>+ presente e – ausente.</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1418" w:footer="709" w:bottom="1418"/>
          <w:pgNumType w:start="1" w:fmt="decimal"/>
          <w:formProt w:val="false"/>
          <w:textDirection w:val="lrTb"/>
          <w:docGrid w:type="default" w:linePitch="100" w:charSpace="4096"/>
        </w:sectPr>
      </w:pPr>
    </w:p>
    <w:p>
      <w:pPr>
        <w:pStyle w:val="LOnormal1"/>
        <w:spacing w:lineRule="auto" w:line="360" w:before="120" w:after="0"/>
        <w:ind w:hanging="0"/>
        <w:jc w:val="both"/>
        <w:rPr>
          <w:rFonts w:ascii="Arial" w:hAnsi="Arial" w:eastAsia="Arial" w:cs="Arial"/>
          <w:color w:val="FF0000"/>
        </w:rPr>
      </w:pPr>
      <w:r>
        <w:rPr>
          <w:rFonts w:eastAsia="Arial" w:cs="Arial" w:ascii="Arial" w:hAnsi="Arial"/>
          <w:color w:val="FF0000"/>
        </w:rPr>
        <w:tab/>
      </w:r>
    </w:p>
    <w:p>
      <w:pPr>
        <w:pStyle w:val="LOnormal1"/>
        <w:spacing w:lineRule="auto" w:line="360" w:before="120" w:after="0"/>
        <w:ind w:hanging="0"/>
        <w:jc w:val="both"/>
        <w:rPr>
          <w:rFonts w:ascii="Arial" w:hAnsi="Arial" w:eastAsia="Arial" w:cs="Arial"/>
          <w:color w:val="FF0000"/>
        </w:rPr>
      </w:pPr>
      <w:r>
        <w:rPr>
          <w:rFonts w:eastAsia="Arial" w:cs="Arial" w:ascii="Arial" w:hAnsi="Arial"/>
          <w:color w:val="FF0000"/>
        </w:rPr>
        <w:tab/>
      </w:r>
      <w:r>
        <w:rPr>
          <w:rFonts w:eastAsia="Arial" w:cs="Arial" w:ascii="Arial" w:hAnsi="Arial"/>
          <w:color w:val="000000"/>
        </w:rPr>
        <w:t>A</w:t>
      </w:r>
      <w:r>
        <w:rPr>
          <w:rFonts w:eastAsia="Arial" w:cs="Arial" w:ascii="Arial" w:hAnsi="Arial"/>
          <w:color w:val="FF0000"/>
        </w:rPr>
        <w:t xml:space="preserve"> </w:t>
      </w:r>
      <w:r>
        <w:rPr>
          <w:rFonts w:eastAsia="Arial" w:cs="Arial" w:ascii="Arial" w:hAnsi="Arial"/>
          <w:color w:val="000000"/>
          <w:sz w:val="24"/>
          <w:szCs w:val="24"/>
        </w:rPr>
        <w:t xml:space="preserve">Figura 01 apresenta o percentual de sobrevivência de náuplios de </w:t>
      </w:r>
      <w:r>
        <w:rPr>
          <w:rFonts w:eastAsia="Arial" w:cs="Arial" w:ascii="Arial" w:hAnsi="Arial"/>
          <w:i/>
          <w:color w:val="000000"/>
          <w:sz w:val="24"/>
          <w:szCs w:val="24"/>
        </w:rPr>
        <w:t>Artemia salina</w:t>
      </w:r>
      <w:r>
        <w:rPr>
          <w:rFonts w:eastAsia="Arial" w:cs="Arial" w:ascii="Arial" w:hAnsi="Arial"/>
          <w:color w:val="000000"/>
          <w:sz w:val="24"/>
          <w:szCs w:val="24"/>
        </w:rPr>
        <w:t xml:space="preserve"> nas diferentes concentrações </w:t>
      </w:r>
      <w:r>
        <w:rPr>
          <w:rFonts w:eastAsia="Arial" w:cs="Arial" w:ascii="Arial" w:hAnsi="Arial"/>
          <w:b w:val="false"/>
          <w:color w:val="000000"/>
          <w:sz w:val="24"/>
          <w:szCs w:val="24"/>
        </w:rPr>
        <w:t xml:space="preserve">do extrato bruto e hexânico de </w:t>
      </w:r>
      <w:r>
        <w:rPr>
          <w:rFonts w:eastAsia="Arial" w:cs="Arial" w:ascii="Arial" w:hAnsi="Arial"/>
          <w:b w:val="false"/>
          <w:i/>
          <w:color w:val="000000"/>
          <w:sz w:val="24"/>
          <w:szCs w:val="24"/>
        </w:rPr>
        <w:t>Ficus gomelleira.</w:t>
      </w:r>
    </w:p>
    <w:p>
      <w:pPr>
        <w:pStyle w:val="LOnormal1"/>
        <w:spacing w:lineRule="auto" w:line="360" w:before="120" w:after="0"/>
        <w:ind w:hanging="0"/>
        <w:jc w:val="center"/>
        <w:rPr>
          <w:rFonts w:ascii="Arial" w:hAnsi="Arial" w:eastAsia="Arial" w:cs="Arial"/>
          <w:color w:val="FF0000"/>
        </w:rPr>
      </w:pPr>
      <w:r>
        <w:rPr/>
        <w:drawing>
          <wp:inline distT="0" distB="0" distL="0" distR="0">
            <wp:extent cx="3016885" cy="2681605"/>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8"/>
                    <a:stretch>
                      <a:fillRect/>
                    </a:stretch>
                  </pic:blipFill>
                  <pic:spPr bwMode="auto">
                    <a:xfrm>
                      <a:off x="0" y="0"/>
                      <a:ext cx="3016885" cy="2681605"/>
                    </a:xfrm>
                    <a:prstGeom prst="rect">
                      <a:avLst/>
                    </a:prstGeom>
                  </pic:spPr>
                </pic:pic>
              </a:graphicData>
            </a:graphic>
          </wp:inline>
        </w:drawing>
      </w:r>
    </w:p>
    <w:p>
      <w:pPr>
        <w:pStyle w:val="LOnormal1"/>
        <w:spacing w:lineRule="auto" w:line="288" w:before="0" w:after="0"/>
        <w:jc w:val="center"/>
        <w:rPr>
          <w:rFonts w:ascii="Arial" w:hAnsi="Arial" w:eastAsia="Arial" w:cs="Arial"/>
        </w:rPr>
      </w:pPr>
      <w:r>
        <w:rPr>
          <w:rFonts w:eastAsia="Arial" w:cs="Arial" w:ascii="Arial" w:hAnsi="Arial"/>
          <w:b/>
          <w:sz w:val="24"/>
          <w:szCs w:val="24"/>
        </w:rPr>
        <w:t xml:space="preserve"> </w:t>
      </w:r>
      <w:r>
        <w:rPr>
          <w:rFonts w:eastAsia="Arial" w:cs="Arial" w:ascii="Arial" w:hAnsi="Arial"/>
          <w:sz w:val="24"/>
          <w:szCs w:val="24"/>
          <w:shd w:fill="auto" w:val="clear"/>
        </w:rPr>
        <w:t xml:space="preserve">Figura 1 – Taxa de sobrevivência de </w:t>
      </w:r>
      <w:r>
        <w:rPr>
          <w:rFonts w:eastAsia="Arial" w:cs="Arial" w:ascii="Arial" w:hAnsi="Arial"/>
          <w:i/>
          <w:sz w:val="24"/>
          <w:szCs w:val="24"/>
          <w:shd w:fill="auto" w:val="clear"/>
        </w:rPr>
        <w:t>Artemia salina</w:t>
      </w:r>
      <w:r>
        <w:rPr>
          <w:rFonts w:eastAsia="Arial" w:cs="Arial" w:ascii="Arial" w:hAnsi="Arial"/>
          <w:sz w:val="24"/>
          <w:szCs w:val="24"/>
          <w:shd w:fill="auto" w:val="clear"/>
        </w:rPr>
        <w:t xml:space="preserve"> em diferentes concentrações de extrato bruto e hexânico de </w:t>
      </w:r>
      <w:r>
        <w:rPr>
          <w:rFonts w:eastAsia="Arial" w:cs="Arial" w:ascii="Arial" w:hAnsi="Arial"/>
          <w:i/>
          <w:sz w:val="24"/>
          <w:szCs w:val="24"/>
          <w:shd w:fill="auto" w:val="clear"/>
        </w:rPr>
        <w:t>Ficus gomelleira.</w:t>
      </w:r>
    </w:p>
    <w:p>
      <w:pPr>
        <w:pStyle w:val="LOnormal1"/>
        <w:spacing w:lineRule="auto" w:line="288" w:before="0" w:after="0"/>
        <w:jc w:val="both"/>
        <w:rPr>
          <w:rFonts w:ascii="Arial" w:hAnsi="Arial" w:eastAsia="Arial" w:cs="Arial"/>
        </w:rPr>
      </w:pPr>
      <w:r>
        <w:rPr>
          <w:rFonts w:eastAsia="Arial" w:cs="Arial" w:ascii="Arial" w:hAnsi="Arial"/>
        </w:rPr>
      </w:r>
    </w:p>
    <w:p>
      <w:pPr>
        <w:pStyle w:val="LOnormal1"/>
        <w:spacing w:lineRule="auto" w:line="288" w:before="0" w:after="0"/>
        <w:jc w:val="both"/>
        <w:rPr>
          <w:rFonts w:ascii="Arial" w:hAnsi="Arial" w:eastAsia="Arial" w:cs="Arial"/>
        </w:rPr>
      </w:pPr>
      <w:r>
        <w:rPr>
          <w:rFonts w:eastAsia="Arial" w:cs="Arial" w:ascii="Arial" w:hAnsi="Arial"/>
          <w:sz w:val="24"/>
          <w:szCs w:val="24"/>
          <w:shd w:fill="auto" w:val="clear"/>
        </w:rPr>
        <w:tab/>
        <w:t xml:space="preserve">O ensaio de toxicidade com a </w:t>
      </w:r>
      <w:r>
        <w:rPr>
          <w:rFonts w:eastAsia="Arial" w:cs="Arial" w:ascii="Arial" w:hAnsi="Arial"/>
          <w:i/>
          <w:sz w:val="24"/>
          <w:szCs w:val="24"/>
          <w:shd w:fill="auto" w:val="clear"/>
        </w:rPr>
        <w:t>A. salina</w:t>
      </w:r>
      <w:r>
        <w:rPr>
          <w:rFonts w:eastAsia="Arial" w:cs="Arial" w:ascii="Arial" w:hAnsi="Arial"/>
          <w:sz w:val="24"/>
          <w:szCs w:val="24"/>
          <w:shd w:fill="auto" w:val="clear"/>
        </w:rPr>
        <w:t xml:space="preserve"> é </w:t>
      </w:r>
      <w:r>
        <w:rPr>
          <w:rFonts w:eastAsia="Arial" w:cs="Arial" w:ascii="Arial" w:hAnsi="Arial"/>
          <w:sz w:val="24"/>
          <w:szCs w:val="24"/>
        </w:rPr>
        <w:t xml:space="preserve">utilizado de forma complementar aos estudos fitoquímicos, por ser um teste simples de triagem de extratos, a fim de prever sua toxicidade geral (COSTA et al. 2009). No presente trabalho, o extrato bruto de </w:t>
      </w:r>
      <w:r>
        <w:rPr>
          <w:rFonts w:eastAsia="Arial" w:cs="Arial" w:ascii="Arial" w:hAnsi="Arial"/>
          <w:i/>
          <w:sz w:val="24"/>
          <w:szCs w:val="24"/>
        </w:rPr>
        <w:t>F. gomelleira</w:t>
      </w:r>
      <w:r>
        <w:rPr>
          <w:rFonts w:eastAsia="Arial" w:cs="Arial" w:ascii="Arial" w:hAnsi="Arial"/>
          <w:sz w:val="24"/>
          <w:szCs w:val="24"/>
        </w:rPr>
        <w:t xml:space="preserve"> demonstrou uma CL</w:t>
      </w:r>
      <w:r>
        <w:rPr>
          <w:rFonts w:eastAsia="Arial" w:cs="Arial" w:ascii="Arial" w:hAnsi="Arial"/>
          <w:sz w:val="24"/>
          <w:szCs w:val="24"/>
          <w:vertAlign w:val="subscript"/>
        </w:rPr>
        <w:t>50</w:t>
      </w:r>
      <w:r>
        <w:rPr>
          <w:rFonts w:eastAsia="Arial" w:cs="Arial" w:ascii="Arial" w:hAnsi="Arial"/>
          <w:sz w:val="24"/>
          <w:szCs w:val="24"/>
        </w:rPr>
        <w:t xml:space="preserve"> de 1000 μg/mL sendo considerado atóxico, enquanto o extrato hexânico apresentou uma CL</w:t>
      </w:r>
      <w:r>
        <w:rPr>
          <w:rFonts w:eastAsia="Arial" w:cs="Arial" w:ascii="Arial" w:hAnsi="Arial"/>
          <w:sz w:val="24"/>
          <w:szCs w:val="24"/>
          <w:vertAlign w:val="subscript"/>
        </w:rPr>
        <w:t xml:space="preserve">50 </w:t>
      </w:r>
      <w:r>
        <w:rPr>
          <w:rFonts w:eastAsia="Arial" w:cs="Arial" w:ascii="Arial" w:hAnsi="Arial"/>
          <w:sz w:val="24"/>
          <w:szCs w:val="24"/>
        </w:rPr>
        <w:t>de 479,17 μg/mL sendo considerado de baixa toxicidade.</w:t>
      </w:r>
    </w:p>
    <w:p>
      <w:pPr>
        <w:pStyle w:val="LOnormal1"/>
        <w:spacing w:lineRule="auto" w:line="360" w:before="0" w:after="0"/>
        <w:ind w:firstLine="709"/>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Flavonoides têm despertado interesse econômico em decorrência de suas diferentes propriedades terapêuticas incluindo a atividade bactericida, fungincida, antiviral e antiparasitária (FLAMBÓ, 2013), Já as saponinas possuem um importante papel no sistema de defesa das plantas, sendo encontradas principalmente nos tecidos mais vulneráveis ao ataque de parasitas. A atividade protetora ocorre devido à interação das saponinas com os esteroides de membrana do parasita (BAHGAT et al., 2022). Dessa forma, concluiu-se que, o EB das folhas de </w:t>
      </w:r>
      <w:r>
        <w:rPr>
          <w:rFonts w:eastAsia="Arial" w:cs="Arial" w:ascii="Arial" w:hAnsi="Arial"/>
          <w:i/>
          <w:sz w:val="24"/>
          <w:szCs w:val="24"/>
        </w:rPr>
        <w:t>F. gomelleira</w:t>
      </w:r>
      <w:r>
        <w:rPr>
          <w:rFonts w:eastAsia="Arial" w:cs="Arial" w:ascii="Arial" w:hAnsi="Arial"/>
          <w:sz w:val="24"/>
          <w:szCs w:val="24"/>
        </w:rPr>
        <w:t xml:space="preserve"> pode ser considerado como uma alternativa a ser estudada em testes antiparasitários no controle de verminoses.</w:t>
      </w:r>
    </w:p>
    <w:p>
      <w:pPr>
        <w:pStyle w:val="LOnormal1"/>
        <w:spacing w:lineRule="auto" w:line="360" w:before="0" w:after="0"/>
        <w:jc w:val="both"/>
        <w:rPr>
          <w:rFonts w:ascii="Arial" w:hAnsi="Arial" w:eastAsia="Arial" w:cs="Arial"/>
          <w:sz w:val="24"/>
          <w:szCs w:val="24"/>
        </w:rPr>
      </w:pPr>
      <w:r>
        <w:rPr>
          <w:rFonts w:eastAsia="Arial" w:cs="Arial" w:ascii="Arial" w:hAnsi="Arial"/>
          <w:sz w:val="20"/>
          <w:szCs w:val="20"/>
        </w:rPr>
        <w:t xml:space="preserve">                                                             </w:t>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t>CONCLUSÃO/CONSIDERAÇÕES FINAIS</w:t>
      </w:r>
    </w:p>
    <w:p>
      <w:pPr>
        <w:pStyle w:val="LOnormal1"/>
        <w:spacing w:lineRule="auto" w:line="360" w:before="0" w:after="0"/>
        <w:ind w:firstLine="720"/>
        <w:jc w:val="both"/>
        <w:rPr/>
      </w:pPr>
      <w:r>
        <w:rPr>
          <w:rFonts w:eastAsia="Arial" w:cs="Arial" w:ascii="Arial" w:hAnsi="Arial"/>
          <w:sz w:val="24"/>
          <w:szCs w:val="24"/>
        </w:rPr>
        <w:t xml:space="preserve">Os extratos bruto e hexânico das folhas de </w:t>
      </w:r>
      <w:r>
        <w:rPr>
          <w:rFonts w:eastAsia="Arial" w:cs="Arial" w:ascii="Arial" w:hAnsi="Arial"/>
          <w:i/>
          <w:sz w:val="24"/>
          <w:szCs w:val="24"/>
        </w:rPr>
        <w:t>Ficus gomelleira</w:t>
      </w:r>
      <w:r>
        <w:rPr>
          <w:rFonts w:eastAsia="Arial" w:cs="Arial" w:ascii="Arial" w:hAnsi="Arial"/>
          <w:sz w:val="24"/>
          <w:szCs w:val="24"/>
        </w:rPr>
        <w:t xml:space="preserve"> possuem flavonoides e saponinas e foram considerados atóxico e de baixa toxicidade, respectivamente. O extrato bruto pode ser considerado como uma alternativa promissora em testes antiparasitários em animais de produção.</w:t>
      </w:r>
    </w:p>
    <w:p>
      <w:pPr>
        <w:pStyle w:val="LOnormal1"/>
        <w:spacing w:lineRule="auto" w:line="288" w:before="120" w:after="0"/>
        <w:jc w:val="both"/>
        <w:rPr>
          <w:rFonts w:ascii="Arial" w:hAnsi="Arial" w:eastAsia="Arial" w:cs="Arial"/>
          <w:sz w:val="24"/>
          <w:szCs w:val="24"/>
        </w:rPr>
      </w:pPr>
      <w:r>
        <w:rPr>
          <w:rFonts w:eastAsia="Arial" w:cs="Arial" w:ascii="Arial" w:hAnsi="Arial"/>
          <w:sz w:val="24"/>
          <w:szCs w:val="24"/>
        </w:rPr>
      </w:r>
    </w:p>
    <w:p>
      <w:pPr>
        <w:pStyle w:val="LOnormal1"/>
        <w:numPr>
          <w:ilvl w:val="0"/>
          <w:numId w:val="1"/>
        </w:numPr>
        <w:spacing w:lineRule="auto" w:line="360" w:before="0" w:after="0"/>
        <w:ind w:left="720" w:hanging="360"/>
        <w:jc w:val="both"/>
        <w:rPr>
          <w:rFonts w:ascii="Arial" w:hAnsi="Arial" w:eastAsia="Arial" w:cs="Arial"/>
          <w:b/>
          <w:b/>
          <w:sz w:val="24"/>
          <w:szCs w:val="24"/>
        </w:rPr>
      </w:pPr>
      <w:r>
        <w:rPr>
          <w:rFonts w:eastAsia="Arial" w:cs="Arial" w:ascii="Arial" w:hAnsi="Arial"/>
          <w:b/>
          <w:sz w:val="24"/>
          <w:szCs w:val="24"/>
        </w:rPr>
        <w:t>REFERÊNCIAS</w:t>
      </w:r>
    </w:p>
    <w:p>
      <w:pPr>
        <w:pStyle w:val="LOnormal1"/>
        <w:spacing w:lineRule="auto" w:line="360" w:before="0" w:after="0"/>
        <w:jc w:val="both"/>
        <w:rPr>
          <w:rFonts w:ascii="Arial" w:hAnsi="Arial" w:eastAsia="Arial" w:cs="Arial"/>
        </w:rPr>
      </w:pPr>
      <w:r>
        <w:rPr>
          <w:rFonts w:eastAsia="Arial" w:cs="Arial" w:ascii="Arial" w:hAnsi="Arial"/>
        </w:rPr>
        <w:t>FONSECA, Leydiana Duarte et al. In vitro efficacy of aqueous plants extracts in the control</w:t>
      </w:r>
    </w:p>
    <w:p>
      <w:pPr>
        <w:pStyle w:val="LOnormal1"/>
        <w:spacing w:lineRule="auto" w:line="360" w:before="0" w:after="0"/>
        <w:jc w:val="both"/>
        <w:rPr>
          <w:rFonts w:ascii="Arial" w:hAnsi="Arial" w:eastAsia="Arial" w:cs="Arial"/>
        </w:rPr>
      </w:pPr>
      <w:r>
        <w:rPr>
          <w:rFonts w:eastAsia="Arial" w:cs="Arial" w:ascii="Arial" w:hAnsi="Arial"/>
        </w:rPr>
        <w:t>of gastrointestinal nematodes of cattle. 2014.</w:t>
      </w:r>
    </w:p>
    <w:p>
      <w:pPr>
        <w:pStyle w:val="LOnormal1"/>
        <w:spacing w:lineRule="auto" w:line="360" w:before="0" w:after="0"/>
        <w:jc w:val="both"/>
        <w:rPr>
          <w:rFonts w:ascii="Arial" w:hAnsi="Arial" w:eastAsia="Arial" w:cs="Arial"/>
        </w:rPr>
      </w:pPr>
      <w:r>
        <w:rPr>
          <w:rFonts w:eastAsia="Arial" w:cs="Arial" w:ascii="Arial" w:hAnsi="Arial"/>
        </w:rPr>
        <w:t>FURTADO, S. K. . Alternativas Fitoterápicas para o controle da verminose ovina no</w:t>
      </w:r>
    </w:p>
    <w:p>
      <w:pPr>
        <w:pStyle w:val="LOnormal1"/>
        <w:spacing w:lineRule="auto" w:line="360" w:before="0" w:after="0"/>
        <w:jc w:val="both"/>
        <w:rPr>
          <w:rFonts w:ascii="Arial" w:hAnsi="Arial" w:eastAsia="Arial" w:cs="Arial"/>
        </w:rPr>
      </w:pPr>
      <w:r>
        <w:rPr>
          <w:rFonts w:eastAsia="Arial" w:cs="Arial" w:ascii="Arial" w:hAnsi="Arial"/>
        </w:rPr>
        <w:t xml:space="preserve">estado do Paraná: testes in vitro e in vivo. </w:t>
      </w:r>
      <w:r>
        <w:rPr>
          <w:rFonts w:eastAsia="Arial" w:cs="Arial" w:ascii="Arial" w:hAnsi="Arial"/>
          <w:b/>
        </w:rPr>
        <w:t>Tese (Doutorado em Ciências Agrárias)</w:t>
      </w:r>
      <w:r>
        <w:rPr>
          <w:rFonts w:eastAsia="Arial" w:cs="Arial" w:ascii="Arial" w:hAnsi="Arial"/>
        </w:rPr>
        <w:t>.</w:t>
      </w:r>
    </w:p>
    <w:p>
      <w:pPr>
        <w:pStyle w:val="LOnormal1"/>
        <w:spacing w:lineRule="auto" w:line="360" w:before="0" w:after="0"/>
        <w:jc w:val="both"/>
        <w:rPr>
          <w:rFonts w:ascii="Arial" w:hAnsi="Arial" w:eastAsia="Arial" w:cs="Arial"/>
        </w:rPr>
      </w:pPr>
      <w:r>
        <w:rPr>
          <w:rFonts w:eastAsia="Arial" w:cs="Arial" w:ascii="Arial" w:hAnsi="Arial"/>
        </w:rPr>
        <w:t>Universidade Federal do Paraná. Curitiba, p. 1-7, 2006.</w:t>
      </w:r>
    </w:p>
    <w:p>
      <w:pPr>
        <w:pStyle w:val="LOnormal1"/>
        <w:spacing w:lineRule="auto" w:line="360" w:before="0" w:after="0"/>
        <w:jc w:val="both"/>
        <w:rPr>
          <w:rFonts w:ascii="Arial" w:hAnsi="Arial" w:eastAsia="Arial" w:cs="Arial"/>
        </w:rPr>
      </w:pPr>
      <w:r>
        <w:rPr>
          <w:rFonts w:eastAsia="Arial" w:cs="Arial" w:ascii="Arial" w:hAnsi="Arial"/>
        </w:rPr>
        <w:t>MATOS, F.J.A.,</w:t>
      </w:r>
      <w:r>
        <w:rPr>
          <w:rFonts w:eastAsia="Arial" w:cs="Arial" w:ascii="Arial" w:hAnsi="Arial"/>
          <w:b/>
        </w:rPr>
        <w:t xml:space="preserve"> Introdução à fitoquímica experimental</w:t>
      </w:r>
      <w:r>
        <w:rPr>
          <w:rFonts w:eastAsia="Arial" w:cs="Arial" w:ascii="Arial" w:hAnsi="Arial"/>
        </w:rPr>
        <w:t xml:space="preserve">, UFC Edições. p. 44-46, 1997. MOTTIN, V. D.; CRUZ, J. F.; TEIXEIRA NETO, M.R.; MARISCO, G.; FIGUEREDO, J. S.; SOUSA, L.S. Efficacy, toxicity, and lethality of plants with potential anthelmintic activity in small ruminants in </w:t>
      </w:r>
      <w:r>
        <w:rPr>
          <w:rFonts w:eastAsia="Arial" w:cs="Arial" w:ascii="Arial" w:hAnsi="Arial"/>
          <w:b/>
        </w:rPr>
        <w:t>Brazil. Animal Production and Environmen</w:t>
      </w:r>
      <w:r>
        <w:rPr>
          <w:rFonts w:eastAsia="Arial" w:cs="Arial" w:ascii="Arial" w:hAnsi="Arial"/>
        </w:rPr>
        <w:t>t, v.20, 01 - 23, 2019.</w:t>
      </w:r>
    </w:p>
    <w:p>
      <w:pPr>
        <w:pStyle w:val="LOnormal1"/>
        <w:spacing w:lineRule="auto" w:line="360" w:before="0" w:after="0"/>
        <w:jc w:val="both"/>
        <w:rPr>
          <w:rFonts w:ascii="Arial" w:hAnsi="Arial" w:eastAsia="Arial" w:cs="Arial"/>
        </w:rPr>
      </w:pPr>
      <w:r>
        <w:rPr>
          <w:rFonts w:eastAsia="Arial" w:cs="Arial" w:ascii="Arial" w:hAnsi="Arial"/>
        </w:rPr>
        <w:t>NTUNGWE, N. E., DOMÍNGUEZ-MARTÍN, M. E.; ROBERTO, A.; TAVARES, J.; ISCA, M.</w:t>
      </w:r>
    </w:p>
    <w:p>
      <w:pPr>
        <w:pStyle w:val="LOnormal1"/>
        <w:spacing w:lineRule="auto" w:line="360" w:before="0" w:after="0"/>
        <w:jc w:val="both"/>
        <w:rPr>
          <w:rFonts w:ascii="Arial" w:hAnsi="Arial" w:eastAsia="Arial" w:cs="Arial"/>
          <w:b/>
          <w:b/>
        </w:rPr>
      </w:pPr>
      <w:r>
        <w:rPr>
          <w:rFonts w:eastAsia="Arial" w:cs="Arial" w:ascii="Arial" w:hAnsi="Arial"/>
        </w:rPr>
        <w:t xml:space="preserve">S. V.; PEREIRA, P.; CEBOLA, M.-J.; RIJO, P. Artemia species: </w:t>
      </w:r>
      <w:r>
        <w:rPr>
          <w:rFonts w:eastAsia="Arial" w:cs="Arial" w:ascii="Arial" w:hAnsi="Arial"/>
          <w:b/>
        </w:rPr>
        <w:t>An Important Tool to</w:t>
      </w:r>
    </w:p>
    <w:p>
      <w:pPr>
        <w:pStyle w:val="LOnormal1"/>
        <w:spacing w:lineRule="auto" w:line="360" w:before="0" w:after="0"/>
        <w:jc w:val="both"/>
        <w:rPr>
          <w:rFonts w:ascii="Arial" w:hAnsi="Arial" w:eastAsia="Arial" w:cs="Arial"/>
        </w:rPr>
      </w:pPr>
      <w:r>
        <w:rPr>
          <w:rFonts w:eastAsia="Arial" w:cs="Arial" w:ascii="Arial" w:hAnsi="Arial"/>
          <w:b/>
        </w:rPr>
        <w:t>Screen General Toxicity Samples. Curr. Pharm</w:t>
      </w:r>
      <w:r>
        <w:rPr>
          <w:rFonts w:eastAsia="Arial" w:cs="Arial" w:ascii="Arial" w:hAnsi="Arial"/>
        </w:rPr>
        <w:t>. Des. v.26, n.24, 2020.</w:t>
      </w:r>
    </w:p>
    <w:p>
      <w:pPr>
        <w:pStyle w:val="LOnormal1"/>
        <w:spacing w:lineRule="auto" w:line="360" w:before="0" w:after="0"/>
        <w:jc w:val="both"/>
        <w:rPr>
          <w:rFonts w:ascii="Arial" w:hAnsi="Arial" w:eastAsia="Arial" w:cs="Arial"/>
        </w:rPr>
      </w:pPr>
      <w:r>
        <w:rPr>
          <w:rFonts w:eastAsia="Arial" w:cs="Arial" w:ascii="Arial" w:hAnsi="Arial"/>
        </w:rPr>
        <w:t>OLIVEIRA, M. C. S.; NICODEMO, M. L. F.; Pezzopane, J. R. M.; GUSMÃO, M. R.;</w:t>
      </w:r>
    </w:p>
    <w:p>
      <w:pPr>
        <w:pStyle w:val="LOnormal1"/>
        <w:spacing w:lineRule="auto" w:line="360" w:before="0" w:after="0"/>
        <w:jc w:val="both"/>
        <w:rPr>
          <w:rFonts w:ascii="Arial" w:hAnsi="Arial" w:eastAsia="Arial" w:cs="Arial"/>
        </w:rPr>
      </w:pPr>
      <w:r>
        <w:rPr>
          <w:rFonts w:eastAsia="Arial" w:cs="Arial" w:ascii="Arial" w:hAnsi="Arial"/>
        </w:rPr>
        <w:t>CHAGAS, A. C. S.; GIGLIOTI, R.; BILHASSI, T. B.; SANTANA, C. H.; GONÇALVES, T.</w:t>
      </w:r>
    </w:p>
    <w:p>
      <w:pPr>
        <w:pStyle w:val="LOnormal1"/>
        <w:spacing w:lineRule="auto" w:line="360" w:before="0" w:after="0"/>
        <w:jc w:val="both"/>
        <w:rPr>
          <w:rFonts w:ascii="Arial" w:hAnsi="Arial" w:eastAsia="Arial" w:cs="Arial"/>
        </w:rPr>
      </w:pPr>
      <w:r>
        <w:rPr>
          <w:rFonts w:eastAsia="Arial" w:cs="Arial" w:ascii="Arial" w:hAnsi="Arial"/>
        </w:rPr>
        <w:t>C.; RABELO, M. D.; NÉO, T. A. Gastrointestinal nematode infection in beef cattle raised in</w:t>
      </w:r>
    </w:p>
    <w:p>
      <w:pPr>
        <w:pStyle w:val="LOnormal1"/>
        <w:spacing w:lineRule="auto" w:line="360" w:before="0" w:after="0"/>
        <w:jc w:val="both"/>
        <w:rPr>
          <w:rFonts w:ascii="Arial" w:hAnsi="Arial" w:eastAsia="Arial" w:cs="Arial"/>
          <w:b/>
          <w:b/>
        </w:rPr>
      </w:pPr>
      <w:r>
        <w:rPr>
          <w:rFonts w:eastAsia="Arial" w:cs="Arial" w:ascii="Arial" w:hAnsi="Arial"/>
        </w:rPr>
        <w:t xml:space="preserve">silvopastoral and conventional systems in Sa ̃o Paulo state, </w:t>
      </w:r>
      <w:r>
        <w:rPr>
          <w:rFonts w:eastAsia="Arial" w:cs="Arial" w:ascii="Arial" w:hAnsi="Arial"/>
          <w:b/>
        </w:rPr>
        <w:t>Brazil. Agroforest Systems</w:t>
      </w:r>
    </w:p>
    <w:p>
      <w:pPr>
        <w:pStyle w:val="LOnormal1"/>
        <w:spacing w:lineRule="auto" w:line="360" w:before="0" w:after="0"/>
        <w:jc w:val="both"/>
        <w:rPr>
          <w:rFonts w:ascii="Arial" w:hAnsi="Arial" w:eastAsia="Arial" w:cs="Arial"/>
        </w:rPr>
      </w:pPr>
      <w:r>
        <w:rPr>
          <w:rFonts w:eastAsia="Arial" w:cs="Arial" w:ascii="Arial" w:hAnsi="Arial"/>
        </w:rPr>
        <w:t>91:495–507, 2017.</w:t>
      </w:r>
    </w:p>
    <w:p>
      <w:pPr>
        <w:pStyle w:val="LOnormal1"/>
        <w:spacing w:lineRule="auto" w:line="360" w:before="0" w:after="0"/>
        <w:jc w:val="both"/>
        <w:rPr>
          <w:rFonts w:ascii="Arial" w:hAnsi="Arial" w:eastAsia="Arial" w:cs="Arial"/>
        </w:rPr>
      </w:pPr>
      <w:r>
        <w:rPr>
          <w:rFonts w:eastAsia="Arial" w:cs="Arial" w:ascii="Arial" w:hAnsi="Arial"/>
        </w:rPr>
        <w:t>OSÓRIO. T. M.; MENEZES, L.M.; ROSA, K.B.; ESCOBAR, R. F.; LENCINA, R. M.;</w:t>
      </w:r>
    </w:p>
    <w:p>
      <w:pPr>
        <w:pStyle w:val="LOnormal1"/>
        <w:spacing w:lineRule="auto" w:line="360" w:before="0" w:after="0"/>
        <w:jc w:val="both"/>
        <w:rPr>
          <w:rFonts w:ascii="Arial" w:hAnsi="Arial" w:eastAsia="Arial" w:cs="Arial"/>
        </w:rPr>
      </w:pPr>
      <w:r>
        <w:rPr>
          <w:rFonts w:eastAsia="Arial" w:cs="Arial" w:ascii="Arial" w:hAnsi="Arial"/>
        </w:rPr>
        <w:t>MAYDANA, G.M. Resistência anti-helmíntica em nematódeos gastrointestinais na</w:t>
      </w:r>
    </w:p>
    <w:p>
      <w:pPr>
        <w:pStyle w:val="LOnormal1"/>
        <w:spacing w:lineRule="auto" w:line="360" w:before="0" w:after="0"/>
        <w:jc w:val="both"/>
        <w:rPr>
          <w:rFonts w:ascii="Arial" w:hAnsi="Arial" w:eastAsia="Arial" w:cs="Arial"/>
        </w:rPr>
      </w:pPr>
      <w:r>
        <w:rPr>
          <w:rFonts w:eastAsia="Arial" w:cs="Arial" w:ascii="Arial" w:hAnsi="Arial"/>
        </w:rPr>
        <w:t xml:space="preserve">ovinocultura: uma revisão. </w:t>
      </w:r>
      <w:r>
        <w:rPr>
          <w:rFonts w:eastAsia="Arial" w:cs="Arial" w:ascii="Arial" w:hAnsi="Arial"/>
          <w:b/>
        </w:rPr>
        <w:t>Brazilian Journal of Development, Curitiba,</w:t>
      </w:r>
      <w:r>
        <w:rPr>
          <w:rFonts w:eastAsia="Arial" w:cs="Arial" w:ascii="Arial" w:hAnsi="Arial"/>
        </w:rPr>
        <w:t xml:space="preserve"> v. 6, n. 11, p.</w:t>
      </w:r>
    </w:p>
    <w:p>
      <w:pPr>
        <w:pStyle w:val="LOnormal1"/>
        <w:spacing w:lineRule="auto" w:line="360" w:before="0" w:after="0"/>
        <w:jc w:val="both"/>
        <w:rPr>
          <w:rFonts w:ascii="Arial" w:hAnsi="Arial" w:eastAsia="Arial" w:cs="Arial"/>
        </w:rPr>
      </w:pPr>
      <w:r>
        <w:rPr>
          <w:rFonts w:eastAsia="Arial" w:cs="Arial" w:ascii="Arial" w:hAnsi="Arial"/>
        </w:rPr>
        <w:t>89194-89205, 2020.</w:t>
      </w:r>
    </w:p>
    <w:p>
      <w:pPr>
        <w:pStyle w:val="LOnormal1"/>
        <w:spacing w:lineRule="auto" w:line="360" w:before="0" w:after="0"/>
        <w:jc w:val="both"/>
        <w:rPr>
          <w:rFonts w:ascii="Arial" w:hAnsi="Arial" w:eastAsia="Arial" w:cs="Arial"/>
        </w:rPr>
      </w:pPr>
      <w:r>
        <w:rPr>
          <w:rFonts w:eastAsia="Arial" w:cs="Arial" w:ascii="Arial" w:hAnsi="Arial"/>
        </w:rPr>
        <w:t>PARRA, A.L.; YEBRA, R.S., SARDIÑAS, I.G.; BUELA, L. Comparative study of the</w:t>
      </w:r>
    </w:p>
    <w:p>
      <w:pPr>
        <w:pStyle w:val="LOnormal1"/>
        <w:spacing w:lineRule="auto" w:line="360" w:before="0" w:after="0"/>
        <w:jc w:val="both"/>
        <w:rPr>
          <w:rFonts w:ascii="Arial" w:hAnsi="Arial" w:eastAsia="Arial" w:cs="Arial"/>
          <w:b/>
          <w:b/>
        </w:rPr>
      </w:pPr>
      <w:r>
        <w:rPr>
          <w:rFonts w:eastAsia="Arial" w:cs="Arial" w:ascii="Arial" w:hAnsi="Arial"/>
        </w:rPr>
        <w:t>assay of Artemia salina L. and the estimate of the medium lethal dose (LD50 value)</w:t>
      </w:r>
      <w:r>
        <w:rPr>
          <w:rFonts w:eastAsia="Arial" w:cs="Arial" w:ascii="Arial" w:hAnsi="Arial"/>
          <w:b/>
        </w:rPr>
        <w:t xml:space="preserve"> in</w:t>
      </w:r>
    </w:p>
    <w:p>
      <w:pPr>
        <w:pStyle w:val="LOnormal1"/>
        <w:spacing w:lineRule="auto" w:line="360" w:before="0" w:after="0"/>
        <w:jc w:val="both"/>
        <w:rPr>
          <w:rFonts w:ascii="Arial" w:hAnsi="Arial" w:eastAsia="Arial" w:cs="Arial"/>
        </w:rPr>
      </w:pPr>
      <w:r>
        <w:rPr>
          <w:rFonts w:eastAsia="Arial" w:cs="Arial" w:ascii="Arial" w:hAnsi="Arial"/>
          <w:b/>
        </w:rPr>
        <w:t>mice, to determine oral acute toxicity of plant extracts. Phytomedicine</w:t>
      </w:r>
      <w:r>
        <w:rPr>
          <w:rFonts w:eastAsia="Arial" w:cs="Arial" w:ascii="Arial" w:hAnsi="Arial"/>
        </w:rPr>
        <w:t>, v. 8, p. 395-</w:t>
      </w:r>
    </w:p>
    <w:p>
      <w:pPr>
        <w:pStyle w:val="LOnormal1"/>
        <w:spacing w:lineRule="auto" w:line="360" w:before="0" w:after="0"/>
        <w:jc w:val="both"/>
        <w:rPr>
          <w:rFonts w:ascii="Arial" w:hAnsi="Arial" w:eastAsia="Arial" w:cs="Arial"/>
        </w:rPr>
      </w:pPr>
      <w:r>
        <w:rPr>
          <w:rFonts w:eastAsia="Arial" w:cs="Arial" w:ascii="Arial" w:hAnsi="Arial"/>
        </w:rPr>
        <w:t>400, 2001.</w:t>
      </w:r>
    </w:p>
    <w:p>
      <w:pPr>
        <w:pStyle w:val="LOnormal1"/>
        <w:spacing w:lineRule="auto" w:line="360" w:before="0" w:after="0"/>
        <w:jc w:val="both"/>
        <w:rPr>
          <w:rFonts w:ascii="Arial" w:hAnsi="Arial" w:eastAsia="Arial" w:cs="Arial"/>
          <w:b/>
          <w:b/>
        </w:rPr>
      </w:pPr>
      <w:r>
        <w:rPr>
          <w:rFonts w:eastAsia="Arial" w:cs="Arial" w:ascii="Arial" w:hAnsi="Arial"/>
        </w:rPr>
        <w:t xml:space="preserve">POTT A. 1994. Ecossistema Pantanal. In: Puignau, J.P. (ed.). </w:t>
      </w:r>
      <w:r>
        <w:rPr>
          <w:rFonts w:eastAsia="Arial" w:cs="Arial" w:ascii="Arial" w:hAnsi="Arial"/>
          <w:b/>
        </w:rPr>
        <w:t>Utilización y manejo de</w:t>
      </w:r>
    </w:p>
    <w:p>
      <w:pPr>
        <w:pStyle w:val="LOnormal1"/>
        <w:spacing w:lineRule="auto" w:line="360" w:before="0" w:after="0"/>
        <w:jc w:val="both"/>
        <w:rPr>
          <w:rFonts w:ascii="Arial" w:hAnsi="Arial" w:eastAsia="Arial" w:cs="Arial"/>
        </w:rPr>
      </w:pPr>
      <w:r>
        <w:rPr>
          <w:rFonts w:eastAsia="Arial" w:cs="Arial" w:ascii="Arial" w:hAnsi="Arial"/>
          <w:b/>
        </w:rPr>
        <w:t>pastizales. Montevidéo, IICA-Procisur</w:t>
      </w:r>
      <w:r>
        <w:rPr>
          <w:rFonts w:eastAsia="Arial" w:cs="Arial" w:ascii="Arial" w:hAnsi="Arial"/>
        </w:rPr>
        <w:t>, p. 31-44. (IICAProcisur, Diálogos, 40).</w:t>
      </w:r>
    </w:p>
    <w:p>
      <w:pPr>
        <w:pStyle w:val="LOnormal1"/>
        <w:spacing w:lineRule="auto" w:line="360" w:before="0" w:after="0"/>
        <w:jc w:val="both"/>
        <w:rPr>
          <w:rFonts w:ascii="Arial" w:hAnsi="Arial" w:eastAsia="Arial" w:cs="Arial"/>
        </w:rPr>
      </w:pPr>
      <w:r>
        <w:rPr>
          <w:rFonts w:eastAsia="Arial" w:cs="Arial" w:ascii="Arial" w:hAnsi="Arial"/>
        </w:rPr>
        <w:t>SAHGAL, G.; RAMANATHAN, S.; SASIDHARAN, S.; MORDI, M. N.; ISMAIL, S.;</w:t>
      </w:r>
    </w:p>
    <w:p>
      <w:pPr>
        <w:pStyle w:val="LOnormal1"/>
        <w:spacing w:lineRule="auto" w:line="360" w:before="0" w:after="0"/>
        <w:jc w:val="both"/>
        <w:rPr>
          <w:rFonts w:ascii="Arial" w:hAnsi="Arial" w:eastAsia="Arial" w:cs="Arial"/>
        </w:rPr>
      </w:pPr>
      <w:r>
        <w:rPr>
          <w:rFonts w:eastAsia="Arial" w:cs="Arial" w:ascii="Arial" w:hAnsi="Arial"/>
        </w:rPr>
        <w:t>MANSOR, S. M. Brine shrimp lethality and acute oral toxicity studies on Swietenia</w:t>
      </w:r>
    </w:p>
    <w:p>
      <w:pPr>
        <w:pStyle w:val="LOnormal1"/>
        <w:spacing w:lineRule="auto" w:line="360" w:before="0" w:after="0"/>
        <w:jc w:val="both"/>
        <w:rPr>
          <w:rFonts w:ascii="Arial" w:hAnsi="Arial" w:eastAsia="Arial" w:cs="Arial"/>
        </w:rPr>
      </w:pPr>
      <w:r>
        <w:rPr>
          <w:rFonts w:eastAsia="Arial" w:cs="Arial" w:ascii="Arial" w:hAnsi="Arial"/>
        </w:rPr>
        <w:t>mahagoni(Linn.) Jacq. seed methanolic extract.</w:t>
      </w:r>
      <w:r>
        <w:rPr>
          <w:rFonts w:eastAsia="Arial" w:cs="Arial" w:ascii="Arial" w:hAnsi="Arial"/>
          <w:b/>
        </w:rPr>
        <w:t xml:space="preserve"> Pharmacognosy Research</w:t>
      </w:r>
      <w:r>
        <w:rPr>
          <w:rFonts w:eastAsia="Arial" w:cs="Arial" w:ascii="Arial" w:hAnsi="Arial"/>
        </w:rPr>
        <w:t>, v.2, n.</w:t>
      </w:r>
    </w:p>
    <w:p>
      <w:pPr>
        <w:pStyle w:val="LOnormal1"/>
        <w:spacing w:lineRule="auto" w:line="360" w:before="0" w:after="0"/>
        <w:jc w:val="both"/>
        <w:rPr>
          <w:rFonts w:ascii="Arial" w:hAnsi="Arial" w:eastAsia="Arial" w:cs="Arial"/>
        </w:rPr>
      </w:pPr>
      <w:r>
        <w:rPr>
          <w:rFonts w:eastAsia="Arial" w:cs="Arial" w:ascii="Arial" w:hAnsi="Arial"/>
        </w:rPr>
        <w:t>4, p. 215-220, 2010.</w:t>
      </w:r>
    </w:p>
    <w:p>
      <w:pPr>
        <w:pStyle w:val="LOnormal1"/>
        <w:spacing w:lineRule="auto" w:line="360" w:before="0" w:after="0"/>
        <w:jc w:val="both"/>
        <w:rPr>
          <w:rFonts w:ascii="Arial" w:hAnsi="Arial" w:eastAsia="Arial" w:cs="Arial"/>
        </w:rPr>
      </w:pPr>
      <w:r>
        <w:rPr>
          <w:rFonts w:eastAsia="Arial" w:cs="Arial" w:ascii="Arial" w:hAnsi="Arial"/>
        </w:rPr>
        <w:t>SANDOVAL-VERGARA, A.; ISMIÑO-RIQUELME, A. Toxicity of the hydroalcoholic</w:t>
      </w:r>
    </w:p>
    <w:p>
      <w:pPr>
        <w:pStyle w:val="LOnormal1"/>
        <w:spacing w:lineRule="auto" w:line="360" w:before="0" w:after="0"/>
        <w:jc w:val="both"/>
        <w:rPr>
          <w:rFonts w:ascii="Arial" w:hAnsi="Arial" w:eastAsia="Arial" w:cs="Arial"/>
        </w:rPr>
      </w:pPr>
      <w:r>
        <w:rPr>
          <w:rFonts w:eastAsia="Arial" w:cs="Arial" w:ascii="Arial" w:hAnsi="Arial"/>
        </w:rPr>
        <w:t>extracts of fruit leaves from the Peruvian Amazon in Artemia salina.</w:t>
      </w:r>
      <w:r>
        <w:rPr>
          <w:rFonts w:eastAsia="Arial" w:cs="Arial" w:ascii="Arial" w:hAnsi="Arial"/>
          <w:b/>
        </w:rPr>
        <w:t xml:space="preserve"> F1000Research</w:t>
      </w:r>
      <w:r>
        <w:rPr>
          <w:rFonts w:eastAsia="Arial" w:cs="Arial" w:ascii="Arial" w:hAnsi="Arial"/>
        </w:rPr>
        <w:t>. v.8,</w:t>
      </w:r>
    </w:p>
    <w:p>
      <w:pPr>
        <w:pStyle w:val="LOnormal1"/>
        <w:spacing w:lineRule="auto" w:line="360" w:before="0" w:after="0"/>
        <w:jc w:val="both"/>
        <w:rPr>
          <w:rFonts w:ascii="Arial" w:hAnsi="Arial" w:eastAsia="Arial" w:cs="Arial"/>
        </w:rPr>
      </w:pPr>
      <w:r>
        <w:rPr>
          <w:rFonts w:eastAsia="Arial" w:cs="Arial" w:ascii="Arial" w:hAnsi="Arial"/>
        </w:rPr>
        <w:t>1016, 2019.</w:t>
      </w:r>
    </w:p>
    <w:p>
      <w:pPr>
        <w:pStyle w:val="LOnormal1"/>
        <w:spacing w:lineRule="auto" w:line="360" w:before="0" w:after="0"/>
        <w:jc w:val="both"/>
        <w:rPr>
          <w:rFonts w:ascii="Arial" w:hAnsi="Arial" w:eastAsia="Arial" w:cs="Arial"/>
        </w:rPr>
      </w:pPr>
      <w:r>
        <w:rPr>
          <w:rFonts w:eastAsia="Arial" w:cs="Arial" w:ascii="Arial" w:hAnsi="Arial"/>
        </w:rPr>
        <w:t>STROMBERG, B. E.; GASBARRE, L. C.; WAITE, A; BECHTOL, D.T; BROWN, M.S;</w:t>
      </w:r>
    </w:p>
    <w:p>
      <w:pPr>
        <w:pStyle w:val="LOnormal1"/>
        <w:spacing w:lineRule="auto" w:line="360" w:before="0" w:after="0"/>
        <w:jc w:val="both"/>
        <w:rPr>
          <w:rFonts w:ascii="Arial" w:hAnsi="Arial" w:eastAsia="Arial" w:cs="Arial"/>
        </w:rPr>
      </w:pPr>
      <w:r>
        <w:rPr>
          <w:rFonts w:eastAsia="Arial" w:cs="Arial" w:ascii="Arial" w:hAnsi="Arial"/>
        </w:rPr>
        <w:t>ROBINSON, N.A; OLSON, E.J; NEWCOMB, H. Cooperia punctata: Effecton cattle</w:t>
      </w:r>
    </w:p>
    <w:p>
      <w:pPr>
        <w:pStyle w:val="LOnormal1"/>
        <w:spacing w:lineRule="auto" w:line="360" w:before="0" w:after="0"/>
        <w:jc w:val="both"/>
        <w:rPr>
          <w:rFonts w:ascii="Arial" w:hAnsi="Arial" w:eastAsia="Arial" w:cs="Arial"/>
          <w:sz w:val="24"/>
          <w:szCs w:val="24"/>
        </w:rPr>
      </w:pPr>
      <w:r>
        <w:rPr>
          <w:rFonts w:eastAsia="Arial" w:cs="Arial" w:ascii="Arial" w:hAnsi="Arial"/>
        </w:rPr>
        <w:t xml:space="preserve">productivity. </w:t>
      </w:r>
      <w:r>
        <w:rPr>
          <w:rFonts w:eastAsia="Arial" w:cs="Arial" w:ascii="Arial" w:hAnsi="Arial"/>
          <w:b/>
        </w:rPr>
        <w:t>Veterinary Parasitology</w:t>
      </w:r>
      <w:r>
        <w:rPr>
          <w:rFonts w:eastAsia="Arial" w:cs="Arial" w:ascii="Arial" w:hAnsi="Arial"/>
        </w:rPr>
        <w:t xml:space="preserve">, v.183, p.284-291, 2012. </w:t>
      </w:r>
    </w:p>
    <w:sectPr>
      <w:type w:val="continuous"/>
      <w:pgSz w:w="11906" w:h="16838"/>
      <w:pgMar w:left="1418" w:right="1418" w:gutter="0" w:header="709" w:top="1418" w:footer="709" w:bottom="1418"/>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Unicode MS">
    <w:charset w:val="00"/>
    <w:family w:val="roman"/>
    <w:pitch w:val="variable"/>
  </w:font>
  <w:font w:name="Arimo">
    <w:altName w:val="arial"/>
    <w:charset w:val="00"/>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keepNext w:val="false"/>
      <w:keepLines w:val="false"/>
      <w:widowControl/>
      <w:shd w:val="clear" w:fill="auto"/>
      <w:spacing w:lineRule="auto" w:line="259" w:before="0" w:after="16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xml:space="preserve"> PAGE </w:instrText>
    </w:r>
    <w:r>
      <w:rPr/>
      <w:fldChar w:fldCharType="separate"/>
    </w:r>
    <w:r>
      <w:rPr/>
      <w:t>0</w:t>
    </w:r>
    <w:r>
      <w:rPr/>
      <w:fldChar w:fldCharType="end"/>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before="0" w:after="160"/>
      <w:jc w:val="right"/>
      <w:rPr/>
    </w:pPr>
    <w:r>
      <w:rPr/>
      <w:fldChar w:fldCharType="begin"/>
    </w:r>
    <w:r>
      <w:rPr/>
      <w:instrText xml:space="preserve"> PAGE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spacing w:lineRule="auto" w:line="240" w:before="0" w:after="160"/>
      <w:jc w:val="right"/>
      <w:rPr/>
    </w:pPr>
    <w:r>
      <w:rPr/>
      <w:fldChar w:fldCharType="begin"/>
    </w:r>
    <w:r>
      <w:rPr/>
      <w:instrText xml:space="preserve">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rPr/>
    </w:pPr>
    <w:r>
      <w:rPr/>
      <w:drawing>
        <wp:anchor behindDoc="0" distT="0" distB="0" distL="0" distR="0" simplePos="0" locked="0" layoutInCell="1" allowOverlap="1" relativeHeight="0">
          <wp:simplePos x="0" y="0"/>
          <wp:positionH relativeFrom="column">
            <wp:posOffset>62865</wp:posOffset>
          </wp:positionH>
          <wp:positionV relativeFrom="paragraph">
            <wp:posOffset>-36830</wp:posOffset>
          </wp:positionV>
          <wp:extent cx="5870575" cy="1919605"/>
          <wp:effectExtent l="0" t="0" r="0" b="0"/>
          <wp:wrapTopAndBottom/>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pPr>
      <w:pStyle w:val="LOnormal1"/>
      <w:rPr/>
    </w:pPr>
    <w:r>
      <w:rPr/>
      <w:drawing>
        <wp:anchor behindDoc="0" distT="0" distB="0" distL="0" distR="0" simplePos="0" locked="0" layoutInCell="1" allowOverlap="1" relativeHeight="0">
          <wp:simplePos x="0" y="0"/>
          <wp:positionH relativeFrom="column">
            <wp:posOffset>0</wp:posOffset>
          </wp:positionH>
          <wp:positionV relativeFrom="paragraph">
            <wp:posOffset>635</wp:posOffset>
          </wp:positionV>
          <wp:extent cx="5870575" cy="1919605"/>
          <wp:effectExtent l="0" t="0" r="0" b="0"/>
          <wp:wrapSquare wrapText="bothSides"/>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tretch>
                    <a:fillRect/>
                  </a:stretch>
                </pic:blipFill>
                <pic:spPr bwMode="auto">
                  <a:xfrm>
                    <a:off x="0" y="0"/>
                    <a:ext cx="5870575" cy="1919605"/>
                  </a:xfrm>
                  <a:prstGeom prst="rect">
                    <a:avLst/>
                  </a:prstGeom>
                </pic:spPr>
              </pic:pic>
            </a:graphicData>
          </a:graphic>
        </wp:anchor>
      </w:drawing>
    </w:r>
  </w:p>
  <w:p>
    <w:pPr>
      <w:pStyle w:val="LOnormal1"/>
      <w:keepNext w:val="false"/>
      <w:keepLines w:val="false"/>
      <w:widowControl/>
      <w:shd w:val="clear" w:fill="auto"/>
      <w:spacing w:lineRule="auto" w:line="259" w:before="0" w:after="16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rPr/>
    </w:pPr>
    <w:r>
      <w:rPr/>
      <w:drawing>
        <wp:anchor behindDoc="0" distT="0" distB="0" distL="0" distR="0" simplePos="0" locked="0" layoutInCell="0" allowOverlap="1" relativeHeight="9">
          <wp:simplePos x="0" y="0"/>
          <wp:positionH relativeFrom="column">
            <wp:posOffset>62865</wp:posOffset>
          </wp:positionH>
          <wp:positionV relativeFrom="paragraph">
            <wp:posOffset>-36830</wp:posOffset>
          </wp:positionV>
          <wp:extent cx="5870575" cy="1919605"/>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pPr>
      <w:pStyle w:val="LOnormal1"/>
      <w:widowControl/>
      <w:spacing w:lineRule="auto" w:line="259"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rPr/>
    </w:pPr>
    <w:r>
      <w:rPr/>
      <w:drawing>
        <wp:anchor behindDoc="0" distT="0" distB="0" distL="0" distR="0" simplePos="0" locked="0" layoutInCell="0" allowOverlap="1" relativeHeight="9">
          <wp:simplePos x="0" y="0"/>
          <wp:positionH relativeFrom="column">
            <wp:posOffset>62865</wp:posOffset>
          </wp:positionH>
          <wp:positionV relativeFrom="paragraph">
            <wp:posOffset>-36830</wp:posOffset>
          </wp:positionV>
          <wp:extent cx="5870575" cy="1919605"/>
          <wp:effectExtent l="0" t="0" r="0" b="0"/>
          <wp:wrapTopAndBottom/>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pPr>
      <w:pStyle w:val="LOnormal1"/>
      <w:widowControl/>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tulo1">
    <w:name w:val="Heading 1"/>
    <w:basedOn w:val="LOnormal1"/>
    <w:next w:val="LOnormal1"/>
    <w:qFormat/>
    <w:pPr>
      <w:keepNext w:val="true"/>
      <w:keepLines/>
      <w:spacing w:lineRule="auto" w:line="240" w:before="480" w:after="120"/>
    </w:pPr>
    <w:rPr>
      <w:b/>
      <w:sz w:val="48"/>
      <w:szCs w:val="48"/>
    </w:rPr>
  </w:style>
  <w:style w:type="paragraph" w:styleId="Ttulo2">
    <w:name w:val="Heading 2"/>
    <w:basedOn w:val="LOnormal1"/>
    <w:next w:val="LOnormal1"/>
    <w:qFormat/>
    <w:pPr>
      <w:keepNext w:val="true"/>
      <w:keepLines/>
      <w:spacing w:lineRule="auto" w:line="240" w:before="360" w:after="80"/>
    </w:pPr>
    <w:rPr>
      <w:b/>
      <w:sz w:val="36"/>
      <w:szCs w:val="36"/>
    </w:rPr>
  </w:style>
  <w:style w:type="paragraph" w:styleId="Ttulo3">
    <w:name w:val="Heading 3"/>
    <w:basedOn w:val="LOnormal1"/>
    <w:next w:val="LOnormal1"/>
    <w:qFormat/>
    <w:pPr>
      <w:keepNext w:val="true"/>
      <w:keepLines/>
      <w:spacing w:lineRule="auto" w:line="240" w:before="280" w:after="80"/>
    </w:pPr>
    <w:rPr>
      <w:b/>
      <w:sz w:val="28"/>
      <w:szCs w:val="28"/>
    </w:rPr>
  </w:style>
  <w:style w:type="paragraph" w:styleId="Ttulo4">
    <w:name w:val="Heading 4"/>
    <w:basedOn w:val="LOnormal1"/>
    <w:next w:val="LOnormal1"/>
    <w:qFormat/>
    <w:pPr>
      <w:keepNext w:val="true"/>
      <w:keepLines/>
      <w:spacing w:lineRule="auto" w:line="240" w:before="240" w:after="40"/>
    </w:pPr>
    <w:rPr>
      <w:b/>
      <w:sz w:val="24"/>
      <w:szCs w:val="24"/>
    </w:rPr>
  </w:style>
  <w:style w:type="paragraph" w:styleId="Ttulo5">
    <w:name w:val="Heading 5"/>
    <w:basedOn w:val="LOnormal1"/>
    <w:next w:val="LOnormal1"/>
    <w:qFormat/>
    <w:pPr>
      <w:keepNext w:val="true"/>
      <w:keepLines/>
      <w:spacing w:lineRule="auto" w:line="240" w:before="220" w:after="40"/>
    </w:pPr>
    <w:rPr>
      <w:b/>
    </w:rPr>
  </w:style>
  <w:style w:type="paragraph" w:styleId="Ttulo6">
    <w:name w:val="Heading 6"/>
    <w:basedOn w:val="LOnormal1"/>
    <w:next w:val="LOnormal1"/>
    <w:qFormat/>
    <w:pPr>
      <w:keepNext w:val="true"/>
      <w:keepLines/>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1" w:default="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tulododocumento">
    <w:name w:val="Title"/>
    <w:basedOn w:val="LOnormal1"/>
    <w:next w:val="LOnormal1"/>
    <w:qFormat/>
    <w:pPr>
      <w:keepNext w:val="true"/>
      <w:keepLines/>
      <w:spacing w:lineRule="auto" w:line="240" w:before="480" w:after="120"/>
    </w:pPr>
    <w:rPr>
      <w:b/>
      <w:sz w:val="72"/>
      <w:szCs w:val="72"/>
    </w:rPr>
  </w:style>
  <w:style w:type="paragraph" w:styleId="Subttulo">
    <w:name w:val="Subtitle"/>
    <w:basedOn w:val="LOnormal1"/>
    <w:next w:val="LOnormal1"/>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9/k7jZp09eztAEkCIv8FI9jLgg==">CgMxLjAaJAoBMBIfCh0IB0IZCgVBcmltbxIQQXJpYWwgVW5pY29kZSBNUzgAciExVnJCNDRneDV2UkJ6ZEJoMWZ3d3lvU09aTmxlNXBRZ0o=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34</TotalTime>
  <Application>LibreOffice/7.4.0.3$Windows_X86_64 LibreOffice_project/f85e47c08ddd19c015c0114a68350214f7066f5a</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2025-10-13T23:44:16Z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