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Efeito das mudanças climáticas no potencial adaptativo de neonatos de tartarugas de água doce (Podocnemididae: Testudines) da região amazônica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Climate change effects on the adaptive potential of freshwater turtle neonates (Podocnemididae: Testudines) in the Amazon region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Urias Gabriel Leal Oliveira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Fabricius Maia Chaves Bicalho Domingos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 de Pós-Graduação em Zoologia. Universidade Federal do Paraná. 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uriasleal07@gmail.com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Departamento 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Zoologia. Universidade Federal do Paraná.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fabricius.domingos@ufpr.com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As variações nas condiç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ões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ambientais,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da temperatura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exercem grande influência na biologia dos animais, principalmente em animais ectotérmicos como as tartarugas.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Aumentos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de temperatura do ar e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água, como aqueles previstos para as próximas décadas,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podem interferir no desenvolvimento, sobrevivência desses répteis. Variaç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ões de temperatura fora das condições normais podem influenciar diretamente a aptidão dos indivíduos, como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baixando sua imunidade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criando malformações congênitas,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ém de influenciar toda a população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alterando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razão sexual; entre outros impactos. Assim, este estudo visa compreender como diferentes condições térmicas de incubaç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ão dos ovos,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e estresse térmico nos neonatos afetam a expressão gênica e a adaptação dos neonatos das tartarugas de água-doce amazônicas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auto" w:val="clear"/>
          <w:rtl w:val="0"/>
        </w:rPr>
        <w:t xml:space="preserve">Peltocephalus dumerilianus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auto" w:val="clear"/>
          <w:rtl w:val="0"/>
        </w:rPr>
        <w:t xml:space="preserve">Podocnemis erythrocephala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. Utilizando sequenciamento do transcriptoma, identificaremos genes adaptativos às mudanças climáticas, e determinaremos a variação na expressão gênica após estresse térmico, em relação às diferenças nas ecologias reprodutivas dess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s duas esp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écies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. O estudo será realizado na comunidade Barreirinha – AM, com animais do Rio Cuieiras, através do projeto Amazônia +10,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usar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incubadoras semi-artificia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para controlar as condições térmicas dos ninhos (exposiç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ao sol e sombr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eamento)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. Aproximadamente 400 ovos de cada espécie serão incubados e individualizados por ninhada em dois tratamentos, de sombra e sol. Após a eclosão, os neonatos (n=8) de cada espécie serão submetidos a testes de performance e estresse térmico para determinar as suas temperaturas críticas mínima e máxima (CTmin e CTmax). Depois de eutanasiados, serão coletados diferentes tecidos (fígado, rins, cérebro, músculo e gônadas) para análise de expressão gênica através de sequenciamento de RNA, permitindo a visualização de genes positivamente expressos. Esperamos que nossos resultados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fornecerão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auto" w:val="clear"/>
          <w:rtl w:val="0"/>
        </w:rPr>
        <w:t xml:space="preserve">insights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 sobre como as tartarugas respondem às variações térmicas, e ajudarão a desenvolver estratégias de manejo e conservação em relação às mudanças climáticas previstas para as próximas décadas.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Express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ão Gênica; Incubação Artificial; Quelônios;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Transcriptômica.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 Simpósio Paranaense de Zoologia - 26 a 30 de agosto de 2024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 Simpósio Paranaense de Zoologia - 26 a 30 de agosto de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1482.0" w:type="dxa"/>
      <w:jc w:val="center"/>
      <w:tblLayout w:type="fixed"/>
      <w:tblLook w:val="0000"/>
    </w:tblPr>
    <w:tblGrid>
      <w:gridCol w:w="2267"/>
      <w:gridCol w:w="6380"/>
      <w:gridCol w:w="2835"/>
      <w:tblGridChange w:id="0">
        <w:tblGrid>
          <w:gridCol w:w="2267"/>
          <w:gridCol w:w="6380"/>
          <w:gridCol w:w="2835"/>
        </w:tblGrid>
      </w:tblGridChange>
    </w:tblGrid>
    <w:tr>
      <w:trPr>
        <w:cantSplit w:val="0"/>
        <w:trHeight w:val="113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08" w:right="34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-18414</wp:posOffset>
                </wp:positionV>
                <wp:extent cx="1162050" cy="1162050"/>
                <wp:effectExtent b="0" l="0" r="0" t="0"/>
                <wp:wrapNone/>
                <wp:docPr id="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3653" r="0" t="36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-57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-57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Universidade Federal do Paraná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-57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Programa de Pós-Graduação em Zoologia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-57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 Simpósio Paranaense de Zoologia – UFPR</w:t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-57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433830" cy="930910"/>
                <wp:effectExtent b="0" l="0" r="0" t="0"/>
                <wp:docPr descr="Zoologia UFPR (@zooufpr) / X" id="7" name="image1.jpg"/>
                <a:graphic>
                  <a:graphicData uri="http://schemas.openxmlformats.org/drawingml/2006/picture">
                    <pic:pic>
                      <pic:nvPicPr>
                        <pic:cNvPr descr="Zoologia UFPR (@zooufpr) / X" id="0" name="image1.jpg"/>
                        <pic:cNvPicPr preferRelativeResize="0"/>
                      </pic:nvPicPr>
                      <pic:blipFill>
                        <a:blip r:embed="rId2"/>
                        <a:srcRect b="19098" l="0" r="0" t="159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830" cy="9309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1482.0" w:type="dxa"/>
      <w:jc w:val="center"/>
      <w:tblLayout w:type="fixed"/>
      <w:tblLook w:val="0000"/>
    </w:tblPr>
    <w:tblGrid>
      <w:gridCol w:w="2267"/>
      <w:gridCol w:w="6380"/>
      <w:gridCol w:w="2835"/>
      <w:tblGridChange w:id="0">
        <w:tblGrid>
          <w:gridCol w:w="2267"/>
          <w:gridCol w:w="6380"/>
          <w:gridCol w:w="2835"/>
        </w:tblGrid>
      </w:tblGridChange>
    </w:tblGrid>
    <w:tr>
      <w:trPr>
        <w:cantSplit w:val="0"/>
        <w:trHeight w:val="113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08" w:right="34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-18414</wp:posOffset>
                </wp:positionV>
                <wp:extent cx="1162050" cy="1162050"/>
                <wp:effectExtent b="0" l="0" r="0" t="0"/>
                <wp:wrapNone/>
                <wp:docPr id="5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3653" r="0" t="36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-57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-57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Universidade Federal do Paraná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-57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Programa de Pós-Graduação em Zoologia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-57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 Simpósio Paranaense de Zoologia – UFPR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-57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433830" cy="930910"/>
                <wp:effectExtent b="0" l="0" r="0" t="0"/>
                <wp:docPr descr="Zoologia UFPR (@zooufpr) / X" id="8" name="image1.jpg"/>
                <a:graphic>
                  <a:graphicData uri="http://schemas.openxmlformats.org/drawingml/2006/picture">
                    <pic:pic>
                      <pic:nvPicPr>
                        <pic:cNvPr descr="Zoologia UFPR (@zooufpr) / X" id="0" name="image1.jpg"/>
                        <pic:cNvPicPr preferRelativeResize="0"/>
                      </pic:nvPicPr>
                      <pic:blipFill>
                        <a:blip r:embed="rId2"/>
                        <a:srcRect b="19098" l="0" r="0" t="159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830" cy="9309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Times New Roman" w:eastAsia="Calibri" w:hAnsi="Calibri"/>
      <w:color w:val="auto"/>
      <w:kern w:val="0"/>
      <w:sz w:val="22"/>
      <w:szCs w:val="22"/>
      <w:lang w:bidi="ar-SA" w:eastAsia="en-US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Pr/>
  </w:style>
  <w:style w:type="character" w:styleId="AssuntodocomentrioChar" w:customStyle="1">
    <w:name w:val="Assunto do comentário Char"/>
    <w:link w:val="Annotationsubject"/>
    <w:uiPriority w:val="99"/>
    <w:semiHidden w:val="1"/>
    <w:qFormat w:val="1"/>
    <w:rPr>
      <w:b w:val="1"/>
      <w:bCs w:val="1"/>
      <w:sz w:val="20"/>
      <w:szCs w:val="20"/>
    </w:rPr>
  </w:style>
  <w:style w:type="character" w:styleId="TextodecomentrioChar" w:customStyle="1">
    <w:name w:val="Texto de comentário Char"/>
    <w:link w:val="Annotationtext"/>
    <w:uiPriority w:val="99"/>
    <w:semiHidden w:val="1"/>
    <w:qFormat w:val="1"/>
    <w:rPr>
      <w:sz w:val="20"/>
      <w:szCs w:val="20"/>
    </w:rPr>
  </w:style>
  <w:style w:type="character" w:styleId="TextodebaloChar" w:customStyle="1">
    <w:name w:val="Texto de balão Char"/>
    <w:link w:val="BalloonText"/>
    <w:uiPriority w:val="99"/>
    <w:semiHidden w:val="1"/>
    <w:qFormat w:val="1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Annotationreference">
    <w:name w:val="annotation reference"/>
    <w:uiPriority w:val="99"/>
    <w:unhideWhenUsed w:val="1"/>
    <w:qFormat w:val="1"/>
    <w:rPr>
      <w:sz w:val="16"/>
      <w:szCs w:val="16"/>
    </w:rPr>
  </w:style>
  <w:style w:type="character" w:styleId="RodapChar" w:customStyle="1">
    <w:name w:val="Rodapé Char"/>
    <w:basedOn w:val="DefaultParagraphFont"/>
    <w:uiPriority w:val="99"/>
    <w:qFormat w:val="1"/>
    <w:rPr/>
  </w:style>
  <w:style w:type="character" w:styleId="MenoPendente1" w:customStyle="1">
    <w:name w:val="Menção Pendente1"/>
    <w:uiPriority w:val="99"/>
    <w:unhideWhenUsed w:val="1"/>
    <w:qFormat w:val="1"/>
    <w:rPr>
      <w:color w:val="808080"/>
      <w:shd w:fill="e6e6e6" w:val="clear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34"/>
    <w:qFormat w:val="1"/>
    <w:pPr>
      <w:spacing w:after="200" w:before="0"/>
      <w:ind w:left="720"/>
      <w:contextualSpacing w:val="1"/>
    </w:pPr>
    <w:rPr/>
  </w:style>
  <w:style w:type="paragraph" w:styleId="Annotationtext">
    <w:name w:val="annotation text"/>
    <w:basedOn w:val="Normal"/>
    <w:link w:val="TextodecomentrioChar"/>
    <w:uiPriority w:val="99"/>
    <w:unhideWhenUsed w:val="1"/>
    <w:qFormat w:val="1"/>
    <w:pPr>
      <w:spacing w:line="240" w:lineRule="auto"/>
    </w:pPr>
    <w:rPr>
      <w:sz w:val="20"/>
      <w:szCs w:val="20"/>
    </w:rPr>
  </w:style>
  <w:style w:type="paragraph" w:styleId="CabealhoeRodap">
    <w:name w:val="Cabeçalho e Rodapé"/>
    <w:basedOn w:val="Normal"/>
    <w:qFormat w:val="1"/>
    <w:pPr/>
    <w:rPr/>
  </w:style>
  <w:style w:type="paragraph" w:styleId="Header">
    <w:name w:val="Header"/>
    <w:basedOn w:val="Normal"/>
    <w:link w:val="CabealhoChar"/>
    <w:uiPriority w:val="99"/>
    <w:unhideWhenUsed w:val="1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BalloonText">
    <w:name w:val="Balloon Text"/>
    <w:basedOn w:val="Normal"/>
    <w:link w:val="TextodebaloChar"/>
    <w:uiPriority w:val="99"/>
    <w:unhideWhenUsed w:val="1"/>
    <w:qFormat w:val="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Footer">
    <w:name w:val="Footer"/>
    <w:basedOn w:val="Normal"/>
    <w:link w:val="RodapChar"/>
    <w:uiPriority w:val="99"/>
    <w:unhideWhenUsed w:val="1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unhideWhenUsed w:val="1"/>
    <w:qFormat w:val="1"/>
    <w:pPr/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U65NGE2SxSOpyFrFQyE9O1v9ng==">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2024-07-22T09:32:00Z</dcterms:created>
  <dc:creator>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