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C3B6A" w14:textId="77777777" w:rsidR="00FA0080" w:rsidRPr="00561F69" w:rsidRDefault="00FA0080" w:rsidP="00D54668">
      <w:pPr>
        <w:widowControl w:val="0"/>
        <w:spacing w:after="0"/>
        <w:ind w:firstLine="0"/>
        <w:rPr>
          <w:rFonts w:ascii="Times New Roman" w:eastAsia="Times New Roman" w:hAnsi="Times New Roman" w:cs="Times New Roman"/>
          <w:b/>
          <w:bCs/>
          <w:sz w:val="24"/>
          <w:szCs w:val="24"/>
        </w:rPr>
      </w:pPr>
    </w:p>
    <w:p w14:paraId="7CFA561D" w14:textId="06F85973" w:rsidR="00E40CA8" w:rsidRPr="00561F69" w:rsidRDefault="00E40CA8" w:rsidP="00D54668">
      <w:pPr>
        <w:widowControl w:val="0"/>
        <w:spacing w:after="0"/>
        <w:jc w:val="center"/>
        <w:rPr>
          <w:rFonts w:ascii="Times New Roman" w:eastAsia="Times New Roman" w:hAnsi="Times New Roman" w:cs="Times New Roman"/>
          <w:b/>
          <w:bCs/>
          <w:sz w:val="24"/>
          <w:szCs w:val="24"/>
        </w:rPr>
      </w:pPr>
      <w:r w:rsidRPr="00561F69">
        <w:rPr>
          <w:rFonts w:ascii="Times New Roman" w:eastAsia="Times New Roman" w:hAnsi="Times New Roman" w:cs="Times New Roman"/>
          <w:b/>
          <w:bCs/>
          <w:sz w:val="24"/>
          <w:szCs w:val="24"/>
        </w:rPr>
        <w:t>A SOLICITAÇÃO DE MEDIDAS CAUTELARES PERANTE A COMISSÃO INTERAMERICANA DE DIREITOS HUMANOS: POSSIBILIDADES E DESAFIOS ACERCA DA SUA UTILIZAÇÃO NA LITIGÂNCIA ESTRATÉGICA EM DIREITOS HUMANOS</w:t>
      </w:r>
    </w:p>
    <w:p w14:paraId="710D5A91" w14:textId="77777777" w:rsidR="00C4160A" w:rsidRPr="00561F69" w:rsidRDefault="00C4160A" w:rsidP="00CC1F44">
      <w:pPr>
        <w:widowControl w:val="0"/>
        <w:spacing w:after="0"/>
        <w:rPr>
          <w:rFonts w:ascii="Times New Roman" w:eastAsia="Times New Roman" w:hAnsi="Times New Roman" w:cs="Times New Roman"/>
          <w:sz w:val="24"/>
          <w:szCs w:val="24"/>
        </w:rPr>
      </w:pPr>
    </w:p>
    <w:p w14:paraId="757CDDD3" w14:textId="283E8A6B" w:rsidR="00E40CA8" w:rsidRPr="00561F69" w:rsidRDefault="00E40CA8" w:rsidP="00CC1F44">
      <w:pPr>
        <w:widowControl w:val="0"/>
        <w:ind w:firstLine="0"/>
        <w:rPr>
          <w:rFonts w:ascii="Times New Roman" w:eastAsia="Times New Roman" w:hAnsi="Times New Roman" w:cs="Times New Roman"/>
          <w:b/>
          <w:bCs/>
          <w:sz w:val="24"/>
          <w:szCs w:val="24"/>
        </w:rPr>
      </w:pPr>
      <w:r w:rsidRPr="00561F69">
        <w:rPr>
          <w:rFonts w:ascii="Times New Roman" w:eastAsia="Times New Roman" w:hAnsi="Times New Roman" w:cs="Times New Roman"/>
          <w:b/>
          <w:bCs/>
          <w:sz w:val="24"/>
          <w:szCs w:val="24"/>
        </w:rPr>
        <w:t xml:space="preserve">Palavras-chave: </w:t>
      </w:r>
      <w:r w:rsidR="00871AD7" w:rsidRPr="00561F69">
        <w:rPr>
          <w:rFonts w:ascii="Times New Roman" w:eastAsia="Times New Roman" w:hAnsi="Times New Roman" w:cs="Times New Roman"/>
          <w:sz w:val="24"/>
          <w:szCs w:val="24"/>
        </w:rPr>
        <w:t xml:space="preserve">Direito Internacional dos Direitos Humanos; </w:t>
      </w:r>
      <w:r w:rsidR="00D0696A" w:rsidRPr="00561F69">
        <w:rPr>
          <w:rFonts w:ascii="Times New Roman" w:eastAsia="Times New Roman" w:hAnsi="Times New Roman" w:cs="Times New Roman"/>
          <w:sz w:val="24"/>
          <w:szCs w:val="24"/>
        </w:rPr>
        <w:t xml:space="preserve">Sistema Interamericano de Direitos Humanos; </w:t>
      </w:r>
      <w:r w:rsidR="00871AD7" w:rsidRPr="00561F69">
        <w:rPr>
          <w:rFonts w:ascii="Times New Roman" w:eastAsia="Times New Roman" w:hAnsi="Times New Roman" w:cs="Times New Roman"/>
          <w:sz w:val="24"/>
          <w:szCs w:val="24"/>
        </w:rPr>
        <w:t>Comissão Interamericana de Direitos Humanos; Medidas Cautelares</w:t>
      </w:r>
      <w:r w:rsidR="00D0696A" w:rsidRPr="00561F69">
        <w:rPr>
          <w:rFonts w:ascii="Times New Roman" w:eastAsia="Times New Roman" w:hAnsi="Times New Roman" w:cs="Times New Roman"/>
          <w:sz w:val="24"/>
          <w:szCs w:val="24"/>
        </w:rPr>
        <w:t>; Litigância Estratégica em Direitos Humanos.</w:t>
      </w:r>
    </w:p>
    <w:p w14:paraId="4AA40953" w14:textId="77777777" w:rsidR="00E61A4E" w:rsidRPr="00561F69" w:rsidRDefault="00E61A4E" w:rsidP="00D54668">
      <w:pPr>
        <w:spacing w:after="0"/>
        <w:ind w:firstLine="0"/>
        <w:rPr>
          <w:rFonts w:ascii="Times New Roman" w:eastAsia="Arial" w:hAnsi="Times New Roman" w:cs="Times New Roman"/>
          <w:b/>
          <w:bCs/>
          <w:sz w:val="24"/>
          <w:szCs w:val="24"/>
        </w:rPr>
      </w:pPr>
    </w:p>
    <w:p w14:paraId="46825B28" w14:textId="335C1EC6" w:rsidR="002F4DDB" w:rsidRPr="00561F69" w:rsidRDefault="00231D92" w:rsidP="00702CD7">
      <w:pPr>
        <w:widowControl w:val="0"/>
        <w:spacing w:after="0"/>
        <w:rPr>
          <w:rStyle w:val="halyaf"/>
          <w:rFonts w:ascii="Times New Roman" w:hAnsi="Times New Roman" w:cs="Times New Roman"/>
          <w:sz w:val="24"/>
          <w:szCs w:val="24"/>
        </w:rPr>
      </w:pPr>
      <w:r w:rsidRPr="00561F69">
        <w:rPr>
          <w:rFonts w:ascii="Times New Roman" w:eastAsia="Times New Roman" w:hAnsi="Times New Roman" w:cs="Times New Roman"/>
          <w:sz w:val="24"/>
          <w:szCs w:val="24"/>
        </w:rPr>
        <w:t xml:space="preserve">Este trabalho divulga os resultados parciais </w:t>
      </w:r>
      <w:r w:rsidR="00800E50" w:rsidRPr="00561F69">
        <w:rPr>
          <w:rFonts w:ascii="Times New Roman" w:eastAsia="Times New Roman" w:hAnsi="Times New Roman" w:cs="Times New Roman"/>
          <w:sz w:val="24"/>
          <w:szCs w:val="24"/>
        </w:rPr>
        <w:t xml:space="preserve">de </w:t>
      </w:r>
      <w:r w:rsidRPr="00561F69">
        <w:rPr>
          <w:rFonts w:ascii="Times New Roman" w:eastAsia="Times New Roman" w:hAnsi="Times New Roman" w:cs="Times New Roman"/>
          <w:sz w:val="24"/>
          <w:szCs w:val="24"/>
        </w:rPr>
        <w:t xml:space="preserve">pesquisa </w:t>
      </w:r>
      <w:r w:rsidR="00E61A4E" w:rsidRPr="00561F69">
        <w:rPr>
          <w:rFonts w:ascii="Times New Roman" w:eastAsia="Times New Roman" w:hAnsi="Times New Roman" w:cs="Times New Roman"/>
          <w:sz w:val="24"/>
          <w:szCs w:val="24"/>
        </w:rPr>
        <w:t xml:space="preserve">de levantamento </w:t>
      </w:r>
      <w:r w:rsidRPr="00561F69">
        <w:rPr>
          <w:rFonts w:ascii="Times New Roman" w:eastAsia="Times New Roman" w:hAnsi="Times New Roman" w:cs="Times New Roman"/>
          <w:sz w:val="24"/>
          <w:szCs w:val="24"/>
        </w:rPr>
        <w:t>bibliográfic</w:t>
      </w:r>
      <w:r w:rsidR="00E61A4E" w:rsidRPr="00561F69">
        <w:rPr>
          <w:rFonts w:ascii="Times New Roman" w:eastAsia="Times New Roman" w:hAnsi="Times New Roman" w:cs="Times New Roman"/>
          <w:sz w:val="24"/>
          <w:szCs w:val="24"/>
        </w:rPr>
        <w:t>o</w:t>
      </w:r>
      <w:r w:rsidRPr="00561F69">
        <w:rPr>
          <w:rFonts w:ascii="Times New Roman" w:eastAsia="Times New Roman" w:hAnsi="Times New Roman" w:cs="Times New Roman"/>
          <w:sz w:val="24"/>
          <w:szCs w:val="24"/>
        </w:rPr>
        <w:t>, a qual ainda está em curso</w:t>
      </w:r>
      <w:r w:rsidR="00A630A2" w:rsidRPr="00561F69">
        <w:rPr>
          <w:rFonts w:ascii="Times New Roman" w:eastAsia="Times New Roman" w:hAnsi="Times New Roman" w:cs="Times New Roman"/>
          <w:sz w:val="24"/>
          <w:szCs w:val="24"/>
        </w:rPr>
        <w:t>,</w:t>
      </w:r>
      <w:r w:rsidR="00F04536" w:rsidRPr="00561F69">
        <w:rPr>
          <w:rFonts w:ascii="Times New Roman" w:eastAsia="Times New Roman" w:hAnsi="Times New Roman" w:cs="Times New Roman"/>
          <w:sz w:val="24"/>
          <w:szCs w:val="24"/>
        </w:rPr>
        <w:t xml:space="preserve"> e busca oferecer resposta ao seguinte problema: </w:t>
      </w:r>
      <w:r w:rsidR="00F04536" w:rsidRPr="00561F69">
        <w:rPr>
          <w:rStyle w:val="halyaf"/>
          <w:rFonts w:ascii="Times New Roman" w:hAnsi="Times New Roman" w:cs="Times New Roman"/>
          <w:sz w:val="24"/>
          <w:szCs w:val="24"/>
        </w:rPr>
        <w:t>quais as possibilidades e desafios, identificados pela doutrina, acerca do uso da solicitação de medidas cautelares perante a C</w:t>
      </w:r>
      <w:r w:rsidR="00526701">
        <w:rPr>
          <w:rStyle w:val="halyaf"/>
          <w:rFonts w:ascii="Times New Roman" w:hAnsi="Times New Roman" w:cs="Times New Roman"/>
          <w:sz w:val="24"/>
          <w:szCs w:val="24"/>
        </w:rPr>
        <w:t xml:space="preserve">omissão Interamericana de </w:t>
      </w:r>
      <w:r w:rsidR="00F04536" w:rsidRPr="00561F69">
        <w:rPr>
          <w:rStyle w:val="halyaf"/>
          <w:rFonts w:ascii="Times New Roman" w:hAnsi="Times New Roman" w:cs="Times New Roman"/>
          <w:sz w:val="24"/>
          <w:szCs w:val="24"/>
        </w:rPr>
        <w:t>D</w:t>
      </w:r>
      <w:r w:rsidR="00526701">
        <w:rPr>
          <w:rStyle w:val="halyaf"/>
          <w:rFonts w:ascii="Times New Roman" w:hAnsi="Times New Roman" w:cs="Times New Roman"/>
          <w:sz w:val="24"/>
          <w:szCs w:val="24"/>
        </w:rPr>
        <w:t xml:space="preserve">ireitos </w:t>
      </w:r>
      <w:r w:rsidR="00F04536" w:rsidRPr="00561F69">
        <w:rPr>
          <w:rStyle w:val="halyaf"/>
          <w:rFonts w:ascii="Times New Roman" w:hAnsi="Times New Roman" w:cs="Times New Roman"/>
          <w:sz w:val="24"/>
          <w:szCs w:val="24"/>
        </w:rPr>
        <w:t>H</w:t>
      </w:r>
      <w:r w:rsidR="00526701">
        <w:rPr>
          <w:rStyle w:val="halyaf"/>
          <w:rFonts w:ascii="Times New Roman" w:hAnsi="Times New Roman" w:cs="Times New Roman"/>
          <w:sz w:val="24"/>
          <w:szCs w:val="24"/>
        </w:rPr>
        <w:t>umanos</w:t>
      </w:r>
      <w:r w:rsidR="00F04536" w:rsidRPr="00561F69">
        <w:rPr>
          <w:rStyle w:val="halyaf"/>
          <w:rFonts w:ascii="Times New Roman" w:hAnsi="Times New Roman" w:cs="Times New Roman"/>
          <w:sz w:val="24"/>
          <w:szCs w:val="24"/>
        </w:rPr>
        <w:t xml:space="preserve"> </w:t>
      </w:r>
      <w:r w:rsidR="00F04536" w:rsidRPr="00561F69">
        <w:rPr>
          <w:rFonts w:ascii="Times New Roman" w:eastAsia="Times New Roman" w:hAnsi="Times New Roman" w:cs="Times New Roman"/>
          <w:sz w:val="24"/>
          <w:szCs w:val="24"/>
        </w:rPr>
        <w:t>na litigância estratégica em direitos humanos?</w:t>
      </w:r>
      <w:r w:rsidR="00702CD7" w:rsidRPr="00561F69">
        <w:rPr>
          <w:rFonts w:ascii="Times New Roman" w:eastAsia="Times New Roman" w:hAnsi="Times New Roman" w:cs="Times New Roman"/>
          <w:sz w:val="24"/>
          <w:szCs w:val="24"/>
        </w:rPr>
        <w:t xml:space="preserve"> </w:t>
      </w:r>
      <w:r w:rsidR="004A1D0D" w:rsidRPr="00561F69">
        <w:rPr>
          <w:rFonts w:ascii="Times New Roman" w:eastAsia="Times New Roman" w:hAnsi="Times New Roman" w:cs="Times New Roman"/>
          <w:sz w:val="24"/>
          <w:szCs w:val="24"/>
        </w:rPr>
        <w:t xml:space="preserve">Para tanto, estabeleceu-se como </w:t>
      </w:r>
      <w:r w:rsidR="00F04536" w:rsidRPr="00561F69">
        <w:rPr>
          <w:rFonts w:ascii="Times New Roman" w:eastAsia="Times New Roman" w:hAnsi="Times New Roman" w:cs="Times New Roman"/>
          <w:sz w:val="24"/>
          <w:szCs w:val="24"/>
        </w:rPr>
        <w:t>objetivo geral</w:t>
      </w:r>
      <w:r w:rsidR="004A1D0D" w:rsidRPr="00561F69">
        <w:rPr>
          <w:rFonts w:ascii="Times New Roman" w:eastAsia="Times New Roman" w:hAnsi="Times New Roman" w:cs="Times New Roman"/>
          <w:sz w:val="24"/>
          <w:szCs w:val="24"/>
        </w:rPr>
        <w:t xml:space="preserve"> o de</w:t>
      </w:r>
      <w:r w:rsidR="00F04536" w:rsidRPr="00561F69">
        <w:rPr>
          <w:rFonts w:ascii="Times New Roman" w:eastAsia="Times New Roman" w:hAnsi="Times New Roman" w:cs="Times New Roman"/>
          <w:sz w:val="24"/>
          <w:szCs w:val="24"/>
        </w:rPr>
        <w:t xml:space="preserve"> </w:t>
      </w:r>
      <w:r w:rsidR="00F04536" w:rsidRPr="00561F69">
        <w:rPr>
          <w:rFonts w:ascii="Times New Roman" w:eastAsia="Arial" w:hAnsi="Times New Roman" w:cs="Times New Roman"/>
          <w:sz w:val="24"/>
          <w:szCs w:val="24"/>
        </w:rPr>
        <w:t xml:space="preserve">identificar e descrever </w:t>
      </w:r>
      <w:r w:rsidR="00F04536" w:rsidRPr="00561F69">
        <w:rPr>
          <w:rStyle w:val="halyaf"/>
          <w:rFonts w:ascii="Times New Roman" w:hAnsi="Times New Roman" w:cs="Times New Roman"/>
          <w:sz w:val="24"/>
          <w:szCs w:val="24"/>
        </w:rPr>
        <w:t>quais as possibilidades e desafios</w:t>
      </w:r>
      <w:r w:rsidR="00A630A2" w:rsidRPr="00561F69">
        <w:rPr>
          <w:rStyle w:val="halyaf"/>
          <w:rFonts w:ascii="Times New Roman" w:hAnsi="Times New Roman" w:cs="Times New Roman"/>
          <w:sz w:val="24"/>
          <w:szCs w:val="24"/>
        </w:rPr>
        <w:t xml:space="preserve"> apresentados pela doutrina em torno do </w:t>
      </w:r>
      <w:r w:rsidR="004F6066" w:rsidRPr="00561F69">
        <w:rPr>
          <w:rStyle w:val="halyaf"/>
          <w:rFonts w:ascii="Times New Roman" w:hAnsi="Times New Roman" w:cs="Times New Roman"/>
          <w:sz w:val="24"/>
          <w:szCs w:val="24"/>
        </w:rPr>
        <w:t xml:space="preserve">tema </w:t>
      </w:r>
      <w:r w:rsidR="00A630A2" w:rsidRPr="00561F69">
        <w:rPr>
          <w:rStyle w:val="halyaf"/>
          <w:rFonts w:ascii="Times New Roman" w:hAnsi="Times New Roman" w:cs="Times New Roman"/>
          <w:sz w:val="24"/>
          <w:szCs w:val="24"/>
        </w:rPr>
        <w:t>eleito.</w:t>
      </w:r>
    </w:p>
    <w:p w14:paraId="4273F2C4" w14:textId="77777777" w:rsidR="00526701" w:rsidRDefault="00A630A2" w:rsidP="00526701">
      <w:pPr>
        <w:spacing w:after="0"/>
        <w:rPr>
          <w:rStyle w:val="halyaf"/>
          <w:rFonts w:ascii="Times New Roman" w:hAnsi="Times New Roman" w:cs="Times New Roman"/>
          <w:sz w:val="24"/>
          <w:szCs w:val="24"/>
        </w:rPr>
      </w:pPr>
      <w:r w:rsidRPr="00561F69">
        <w:rPr>
          <w:rStyle w:val="halyaf"/>
          <w:rFonts w:ascii="Times New Roman" w:hAnsi="Times New Roman" w:cs="Times New Roman"/>
          <w:sz w:val="24"/>
          <w:szCs w:val="24"/>
        </w:rPr>
        <w:t>A fim de executar o objetivo proposto, está em curso pesquisa de caráter eminentemente bibliográfico</w:t>
      </w:r>
      <w:r w:rsidR="002E61BE" w:rsidRPr="00561F69">
        <w:rPr>
          <w:rStyle w:val="halyaf"/>
          <w:rFonts w:ascii="Times New Roman" w:hAnsi="Times New Roman" w:cs="Times New Roman"/>
          <w:sz w:val="24"/>
          <w:szCs w:val="24"/>
        </w:rPr>
        <w:t xml:space="preserve"> e </w:t>
      </w:r>
      <w:r w:rsidRPr="00561F69">
        <w:rPr>
          <w:rStyle w:val="halyaf"/>
          <w:rFonts w:ascii="Times New Roman" w:hAnsi="Times New Roman" w:cs="Times New Roman"/>
          <w:sz w:val="24"/>
          <w:szCs w:val="24"/>
        </w:rPr>
        <w:t>de nível descritivo</w:t>
      </w:r>
      <w:r w:rsidR="00493BBF" w:rsidRPr="00561F69">
        <w:rPr>
          <w:rStyle w:val="halyaf"/>
          <w:rFonts w:ascii="Times New Roman" w:hAnsi="Times New Roman" w:cs="Times New Roman"/>
          <w:sz w:val="24"/>
          <w:szCs w:val="24"/>
        </w:rPr>
        <w:t xml:space="preserve"> </w:t>
      </w:r>
      <w:r w:rsidR="00450B8F" w:rsidRPr="00561F69">
        <w:rPr>
          <w:rStyle w:val="halyaf"/>
          <w:rFonts w:ascii="Times New Roman" w:hAnsi="Times New Roman" w:cs="Times New Roman"/>
          <w:sz w:val="24"/>
          <w:szCs w:val="24"/>
        </w:rPr>
        <w:t xml:space="preserve">posto </w:t>
      </w:r>
      <w:r w:rsidR="00493BBF" w:rsidRPr="00561F69">
        <w:rPr>
          <w:rStyle w:val="halyaf"/>
          <w:rFonts w:ascii="Times New Roman" w:hAnsi="Times New Roman" w:cs="Times New Roman"/>
          <w:sz w:val="24"/>
          <w:szCs w:val="24"/>
        </w:rPr>
        <w:t>que almeja descrever as características do objeto investigado (GIL, 2019)</w:t>
      </w:r>
      <w:r w:rsidRPr="00561F69">
        <w:rPr>
          <w:rStyle w:val="halyaf"/>
          <w:rFonts w:ascii="Times New Roman" w:hAnsi="Times New Roman" w:cs="Times New Roman"/>
          <w:sz w:val="24"/>
          <w:szCs w:val="24"/>
        </w:rPr>
        <w:t xml:space="preserve">. </w:t>
      </w:r>
      <w:r w:rsidR="00B836C3" w:rsidRPr="00561F69">
        <w:rPr>
          <w:rStyle w:val="halyaf"/>
          <w:rFonts w:ascii="Times New Roman" w:hAnsi="Times New Roman" w:cs="Times New Roman"/>
          <w:sz w:val="24"/>
          <w:szCs w:val="24"/>
        </w:rPr>
        <w:t xml:space="preserve">Aplica-se a metodologia empregada </w:t>
      </w:r>
      <w:r w:rsidR="007412A2" w:rsidRPr="00561F69">
        <w:rPr>
          <w:rStyle w:val="halyaf"/>
          <w:rFonts w:ascii="Times New Roman" w:hAnsi="Times New Roman" w:cs="Times New Roman"/>
          <w:sz w:val="24"/>
          <w:szCs w:val="24"/>
        </w:rPr>
        <w:t xml:space="preserve">na </w:t>
      </w:r>
      <w:r w:rsidR="00B836C3" w:rsidRPr="00561F69">
        <w:rPr>
          <w:rStyle w:val="halyaf"/>
          <w:rFonts w:ascii="Times New Roman" w:hAnsi="Times New Roman" w:cs="Times New Roman"/>
          <w:sz w:val="24"/>
          <w:szCs w:val="24"/>
        </w:rPr>
        <w:t xml:space="preserve">redação de artigos de revisão de literatura, a qual é adequada àqueles estudos </w:t>
      </w:r>
      <w:r w:rsidR="009C28D9">
        <w:rPr>
          <w:rStyle w:val="halyaf"/>
          <w:rFonts w:ascii="Times New Roman" w:hAnsi="Times New Roman" w:cs="Times New Roman"/>
          <w:sz w:val="24"/>
          <w:szCs w:val="24"/>
        </w:rPr>
        <w:t xml:space="preserve">que </w:t>
      </w:r>
      <w:r w:rsidR="00B836C3" w:rsidRPr="00561F69">
        <w:rPr>
          <w:rStyle w:val="halyaf"/>
          <w:rFonts w:ascii="Times New Roman" w:hAnsi="Times New Roman" w:cs="Times New Roman"/>
          <w:sz w:val="24"/>
          <w:szCs w:val="24"/>
        </w:rPr>
        <w:t>“definem e esclarecem um determinado problema sumarizando estudos prévios e inf</w:t>
      </w:r>
      <w:r w:rsidR="009C28D9">
        <w:rPr>
          <w:rStyle w:val="halyaf"/>
          <w:rFonts w:ascii="Times New Roman" w:hAnsi="Times New Roman" w:cs="Times New Roman"/>
          <w:sz w:val="24"/>
          <w:szCs w:val="24"/>
        </w:rPr>
        <w:t>o</w:t>
      </w:r>
      <w:r w:rsidR="00B836C3" w:rsidRPr="00561F69">
        <w:rPr>
          <w:rStyle w:val="halyaf"/>
          <w:rFonts w:ascii="Times New Roman" w:hAnsi="Times New Roman" w:cs="Times New Roman"/>
          <w:sz w:val="24"/>
          <w:szCs w:val="24"/>
        </w:rPr>
        <w:t>rmam aos leitores o estado em que se encontra determinada área de investigação.” (VON HOHENDORFF, 2019, p. 40)</w:t>
      </w:r>
      <w:r w:rsidR="0081166B" w:rsidRPr="00561F69">
        <w:rPr>
          <w:rStyle w:val="halyaf"/>
          <w:rFonts w:ascii="Times New Roman" w:hAnsi="Times New Roman" w:cs="Times New Roman"/>
          <w:sz w:val="24"/>
          <w:szCs w:val="24"/>
        </w:rPr>
        <w:t>.</w:t>
      </w:r>
    </w:p>
    <w:p w14:paraId="151211B4" w14:textId="77777777" w:rsidR="00526701" w:rsidRDefault="00526701" w:rsidP="00526701">
      <w:pPr>
        <w:spacing w:after="0"/>
        <w:rPr>
          <w:rStyle w:val="halyaf"/>
          <w:rFonts w:ascii="Times New Roman" w:hAnsi="Times New Roman" w:cs="Times New Roman"/>
          <w:sz w:val="24"/>
          <w:szCs w:val="24"/>
        </w:rPr>
      </w:pPr>
    </w:p>
    <w:p w14:paraId="6C746FF9" w14:textId="77777777" w:rsidR="00526701" w:rsidRDefault="00526701" w:rsidP="00526701">
      <w:pPr>
        <w:spacing w:after="0"/>
        <w:rPr>
          <w:rStyle w:val="halyaf"/>
          <w:rFonts w:ascii="Times New Roman" w:hAnsi="Times New Roman" w:cs="Times New Roman"/>
          <w:sz w:val="24"/>
          <w:szCs w:val="24"/>
        </w:rPr>
      </w:pPr>
    </w:p>
    <w:p w14:paraId="6FA33923" w14:textId="77777777" w:rsidR="00526701" w:rsidRDefault="00526701" w:rsidP="00526701">
      <w:pPr>
        <w:spacing w:after="0"/>
        <w:rPr>
          <w:rStyle w:val="halyaf"/>
          <w:rFonts w:ascii="Times New Roman" w:hAnsi="Times New Roman" w:cs="Times New Roman"/>
          <w:sz w:val="24"/>
          <w:szCs w:val="24"/>
        </w:rPr>
      </w:pPr>
    </w:p>
    <w:p w14:paraId="6B6F0545" w14:textId="00AE8EDC" w:rsidR="00D3615E" w:rsidRPr="00561F69" w:rsidRDefault="0081166B" w:rsidP="00526701">
      <w:pPr>
        <w:spacing w:after="0"/>
        <w:rPr>
          <w:rFonts w:ascii="Times New Roman" w:hAnsi="Times New Roman" w:cs="Times New Roman"/>
          <w:sz w:val="24"/>
          <w:szCs w:val="24"/>
        </w:rPr>
      </w:pPr>
      <w:r w:rsidRPr="00561F69">
        <w:rPr>
          <w:rStyle w:val="halyaf"/>
          <w:rFonts w:ascii="Times New Roman" w:hAnsi="Times New Roman" w:cs="Times New Roman"/>
          <w:sz w:val="24"/>
          <w:szCs w:val="24"/>
        </w:rPr>
        <w:t>De início, faz-se necessário definir e apresentar o fundamento normativo que confere à a possibilidade de solicita</w:t>
      </w:r>
      <w:r w:rsidR="00617CB5" w:rsidRPr="00561F69">
        <w:rPr>
          <w:rStyle w:val="halyaf"/>
          <w:rFonts w:ascii="Times New Roman" w:hAnsi="Times New Roman" w:cs="Times New Roman"/>
          <w:sz w:val="24"/>
          <w:szCs w:val="24"/>
        </w:rPr>
        <w:t>ção</w:t>
      </w:r>
      <w:r w:rsidR="00526701">
        <w:rPr>
          <w:rStyle w:val="halyaf"/>
          <w:rFonts w:ascii="Times New Roman" w:hAnsi="Times New Roman" w:cs="Times New Roman"/>
          <w:sz w:val="24"/>
          <w:szCs w:val="24"/>
        </w:rPr>
        <w:t xml:space="preserve"> de Medidas Cautelares (MC) à</w:t>
      </w:r>
      <w:r w:rsidRPr="00561F69">
        <w:rPr>
          <w:rStyle w:val="halyaf"/>
          <w:rFonts w:ascii="Times New Roman" w:hAnsi="Times New Roman" w:cs="Times New Roman"/>
          <w:sz w:val="24"/>
          <w:szCs w:val="24"/>
        </w:rPr>
        <w:t xml:space="preserve"> Comissão Interamericana de Direitos Humanos </w:t>
      </w:r>
      <w:r w:rsidR="00526701">
        <w:rPr>
          <w:rStyle w:val="halyaf"/>
          <w:rFonts w:ascii="Times New Roman" w:hAnsi="Times New Roman" w:cs="Times New Roman"/>
          <w:sz w:val="24"/>
          <w:szCs w:val="24"/>
        </w:rPr>
        <w:t xml:space="preserve">(CIDH). </w:t>
      </w:r>
      <w:r w:rsidR="00617CB5" w:rsidRPr="00561F69">
        <w:rPr>
          <w:rFonts w:ascii="Times New Roman" w:hAnsi="Times New Roman" w:cs="Times New Roman"/>
          <w:sz w:val="24"/>
          <w:szCs w:val="24"/>
        </w:rPr>
        <w:t xml:space="preserve">A partir de </w:t>
      </w:r>
      <w:r w:rsidR="007F2F83" w:rsidRPr="00561F69">
        <w:rPr>
          <w:rFonts w:ascii="Times New Roman" w:hAnsi="Times New Roman" w:cs="Times New Roman"/>
          <w:sz w:val="24"/>
          <w:szCs w:val="24"/>
        </w:rPr>
        <w:t>1978, com a entrada em vigor da</w:t>
      </w:r>
      <w:r w:rsidR="00617CB5" w:rsidRPr="00561F69">
        <w:rPr>
          <w:rFonts w:ascii="Times New Roman" w:hAnsi="Times New Roman" w:cs="Times New Roman"/>
          <w:sz w:val="24"/>
          <w:szCs w:val="24"/>
        </w:rPr>
        <w:t xml:space="preserve"> </w:t>
      </w:r>
      <w:r w:rsidR="00F04536" w:rsidRPr="00561F69">
        <w:rPr>
          <w:rFonts w:ascii="Times New Roman" w:hAnsi="Times New Roman" w:cs="Times New Roman"/>
          <w:sz w:val="24"/>
          <w:szCs w:val="24"/>
        </w:rPr>
        <w:t>C</w:t>
      </w:r>
      <w:r w:rsidR="00617CB5" w:rsidRPr="00561F69">
        <w:rPr>
          <w:rFonts w:ascii="Times New Roman" w:hAnsi="Times New Roman" w:cs="Times New Roman"/>
          <w:sz w:val="24"/>
          <w:szCs w:val="24"/>
        </w:rPr>
        <w:t xml:space="preserve">onvenção </w:t>
      </w:r>
      <w:r w:rsidR="00F04536" w:rsidRPr="00561F69">
        <w:rPr>
          <w:rFonts w:ascii="Times New Roman" w:hAnsi="Times New Roman" w:cs="Times New Roman"/>
          <w:sz w:val="24"/>
          <w:szCs w:val="24"/>
        </w:rPr>
        <w:t>A</w:t>
      </w:r>
      <w:r w:rsidR="00617CB5" w:rsidRPr="00561F69">
        <w:rPr>
          <w:rFonts w:ascii="Times New Roman" w:hAnsi="Times New Roman" w:cs="Times New Roman"/>
          <w:sz w:val="24"/>
          <w:szCs w:val="24"/>
        </w:rPr>
        <w:t xml:space="preserve">mericana de </w:t>
      </w:r>
      <w:r w:rsidR="00F04536" w:rsidRPr="00561F69">
        <w:rPr>
          <w:rFonts w:ascii="Times New Roman" w:hAnsi="Times New Roman" w:cs="Times New Roman"/>
          <w:sz w:val="24"/>
          <w:szCs w:val="24"/>
        </w:rPr>
        <w:t>D</w:t>
      </w:r>
      <w:r w:rsidR="00617CB5" w:rsidRPr="00561F69">
        <w:rPr>
          <w:rFonts w:ascii="Times New Roman" w:hAnsi="Times New Roman" w:cs="Times New Roman"/>
          <w:sz w:val="24"/>
          <w:szCs w:val="24"/>
        </w:rPr>
        <w:t xml:space="preserve">ireitos </w:t>
      </w:r>
      <w:r w:rsidR="00F04536" w:rsidRPr="00561F69">
        <w:rPr>
          <w:rFonts w:ascii="Times New Roman" w:hAnsi="Times New Roman" w:cs="Times New Roman"/>
          <w:sz w:val="24"/>
          <w:szCs w:val="24"/>
        </w:rPr>
        <w:t>H</w:t>
      </w:r>
      <w:r w:rsidR="00617CB5" w:rsidRPr="00561F69">
        <w:rPr>
          <w:rFonts w:ascii="Times New Roman" w:hAnsi="Times New Roman" w:cs="Times New Roman"/>
          <w:sz w:val="24"/>
          <w:szCs w:val="24"/>
        </w:rPr>
        <w:t>umanos (CADH)</w:t>
      </w:r>
      <w:r w:rsidR="007F2F83" w:rsidRPr="00561F69">
        <w:rPr>
          <w:rFonts w:ascii="Times New Roman" w:hAnsi="Times New Roman" w:cs="Times New Roman"/>
          <w:sz w:val="24"/>
          <w:szCs w:val="24"/>
        </w:rPr>
        <w:t xml:space="preserve">, restou designada à </w:t>
      </w:r>
      <w:r w:rsidR="00F04536" w:rsidRPr="00561F69">
        <w:rPr>
          <w:rFonts w:ascii="Times New Roman" w:hAnsi="Times New Roman" w:cs="Times New Roman"/>
          <w:sz w:val="24"/>
          <w:szCs w:val="24"/>
        </w:rPr>
        <w:t>CIDH</w:t>
      </w:r>
      <w:r w:rsidR="00A230CD" w:rsidRPr="00561F69">
        <w:rPr>
          <w:rFonts w:ascii="Times New Roman" w:hAnsi="Times New Roman" w:cs="Times New Roman"/>
          <w:sz w:val="24"/>
          <w:szCs w:val="24"/>
        </w:rPr>
        <w:t xml:space="preserve">, dentre outras </w:t>
      </w:r>
      <w:r w:rsidR="00F04536" w:rsidRPr="00561F69">
        <w:rPr>
          <w:rFonts w:ascii="Times New Roman" w:hAnsi="Times New Roman" w:cs="Times New Roman"/>
          <w:sz w:val="24"/>
          <w:szCs w:val="24"/>
        </w:rPr>
        <w:t xml:space="preserve"> </w:t>
      </w:r>
      <w:r w:rsidR="00D3615E" w:rsidRPr="00561F69">
        <w:rPr>
          <w:rFonts w:ascii="Times New Roman" w:hAnsi="Times New Roman" w:cs="Times New Roman"/>
          <w:sz w:val="24"/>
          <w:szCs w:val="24"/>
        </w:rPr>
        <w:t>funç</w:t>
      </w:r>
      <w:r w:rsidR="00A230CD" w:rsidRPr="00561F69">
        <w:rPr>
          <w:rFonts w:ascii="Times New Roman" w:hAnsi="Times New Roman" w:cs="Times New Roman"/>
          <w:sz w:val="24"/>
          <w:szCs w:val="24"/>
        </w:rPr>
        <w:t>ões, as</w:t>
      </w:r>
      <w:r w:rsidR="00D3615E" w:rsidRPr="00561F69">
        <w:rPr>
          <w:rFonts w:ascii="Times New Roman" w:hAnsi="Times New Roman" w:cs="Times New Roman"/>
          <w:sz w:val="24"/>
          <w:szCs w:val="24"/>
        </w:rPr>
        <w:t xml:space="preserve"> </w:t>
      </w:r>
      <w:r w:rsidR="00F04536" w:rsidRPr="00561F69">
        <w:rPr>
          <w:rFonts w:ascii="Times New Roman" w:hAnsi="Times New Roman" w:cs="Times New Roman"/>
          <w:sz w:val="24"/>
          <w:szCs w:val="24"/>
        </w:rPr>
        <w:t>de</w:t>
      </w:r>
      <w:r w:rsidR="00D3615E" w:rsidRPr="00561F69">
        <w:rPr>
          <w:rFonts w:ascii="Times New Roman" w:hAnsi="Times New Roman" w:cs="Times New Roman"/>
          <w:sz w:val="24"/>
          <w:szCs w:val="24"/>
        </w:rPr>
        <w:t xml:space="preserve"> </w:t>
      </w:r>
      <w:r w:rsidR="00A230CD" w:rsidRPr="00561F69">
        <w:rPr>
          <w:rFonts w:ascii="Times New Roman" w:hAnsi="Times New Roman" w:cs="Times New Roman"/>
          <w:sz w:val="24"/>
          <w:szCs w:val="24"/>
        </w:rPr>
        <w:t xml:space="preserve">(1) receber e tramitar as petições e a de (2) </w:t>
      </w:r>
      <w:r w:rsidR="00D3615E" w:rsidRPr="00561F69">
        <w:rPr>
          <w:rFonts w:ascii="Times New Roman" w:hAnsi="Times New Roman" w:cs="Times New Roman"/>
          <w:sz w:val="24"/>
          <w:szCs w:val="24"/>
        </w:rPr>
        <w:t xml:space="preserve">formular recomendações aos Estados parte da CADH para que </w:t>
      </w:r>
      <w:r w:rsidR="00A230CD" w:rsidRPr="00561F69">
        <w:rPr>
          <w:rFonts w:ascii="Times New Roman" w:hAnsi="Times New Roman" w:cs="Times New Roman"/>
          <w:sz w:val="24"/>
          <w:szCs w:val="24"/>
        </w:rPr>
        <w:t xml:space="preserve">estes </w:t>
      </w:r>
      <w:r w:rsidR="00D3615E" w:rsidRPr="00561F69">
        <w:rPr>
          <w:rFonts w:ascii="Times New Roman" w:hAnsi="Times New Roman" w:cs="Times New Roman"/>
          <w:sz w:val="24"/>
          <w:szCs w:val="24"/>
        </w:rPr>
        <w:t xml:space="preserve">adotem disposições apropriadas para fomentar o devido respeito aos direitos </w:t>
      </w:r>
      <w:r w:rsidR="00D3615E" w:rsidRPr="00561F69">
        <w:rPr>
          <w:rFonts w:ascii="Times New Roman" w:hAnsi="Times New Roman" w:cs="Times New Roman"/>
          <w:sz w:val="24"/>
          <w:szCs w:val="24"/>
        </w:rPr>
        <w:lastRenderedPageBreak/>
        <w:t xml:space="preserve">humanos positivados no texto da Convenção, </w:t>
      </w:r>
      <w:r w:rsidR="00A230CD" w:rsidRPr="00561F69">
        <w:rPr>
          <w:rFonts w:ascii="Times New Roman" w:hAnsi="Times New Roman" w:cs="Times New Roman"/>
          <w:sz w:val="24"/>
          <w:szCs w:val="24"/>
        </w:rPr>
        <w:t xml:space="preserve">ambas </w:t>
      </w:r>
      <w:r w:rsidR="00D3615E" w:rsidRPr="00561F69">
        <w:rPr>
          <w:rFonts w:ascii="Times New Roman" w:hAnsi="Times New Roman" w:cs="Times New Roman"/>
          <w:sz w:val="24"/>
          <w:szCs w:val="24"/>
        </w:rPr>
        <w:t xml:space="preserve">nos termos do </w:t>
      </w:r>
      <w:r w:rsidR="00A230CD" w:rsidRPr="00561F69">
        <w:rPr>
          <w:rFonts w:ascii="Times New Roman" w:hAnsi="Times New Roman" w:cs="Times New Roman"/>
          <w:sz w:val="24"/>
          <w:szCs w:val="24"/>
        </w:rPr>
        <w:t xml:space="preserve">artigo </w:t>
      </w:r>
      <w:r w:rsidR="00D3615E" w:rsidRPr="00561F69">
        <w:rPr>
          <w:rFonts w:ascii="Times New Roman" w:hAnsi="Times New Roman" w:cs="Times New Roman"/>
          <w:sz w:val="24"/>
          <w:szCs w:val="24"/>
        </w:rPr>
        <w:t>41 da CADH</w:t>
      </w:r>
      <w:r w:rsidR="00DD5447" w:rsidRPr="00561F69">
        <w:rPr>
          <w:rFonts w:ascii="Times New Roman" w:hAnsi="Times New Roman" w:cs="Times New Roman"/>
          <w:sz w:val="24"/>
          <w:szCs w:val="24"/>
        </w:rPr>
        <w:t xml:space="preserve"> (</w:t>
      </w:r>
      <w:r w:rsidR="00422DDF" w:rsidRPr="00561F69">
        <w:rPr>
          <w:rFonts w:ascii="Times New Roman" w:hAnsi="Times New Roman" w:cs="Times New Roman"/>
          <w:sz w:val="24"/>
          <w:szCs w:val="24"/>
        </w:rPr>
        <w:t>ORGANIZAÇÃO DOS ESTADOS AMERICANOS</w:t>
      </w:r>
      <w:r w:rsidR="00DD5447" w:rsidRPr="00561F69">
        <w:rPr>
          <w:rFonts w:ascii="Times New Roman" w:hAnsi="Times New Roman" w:cs="Times New Roman"/>
          <w:sz w:val="24"/>
          <w:szCs w:val="24"/>
        </w:rPr>
        <w:t>, 2014</w:t>
      </w:r>
      <w:r w:rsidR="00B55B9A" w:rsidRPr="00561F69">
        <w:rPr>
          <w:rFonts w:ascii="Times New Roman" w:hAnsi="Times New Roman" w:cs="Times New Roman"/>
          <w:sz w:val="24"/>
          <w:szCs w:val="24"/>
        </w:rPr>
        <w:t>; TEREZO, 2014</w:t>
      </w:r>
      <w:r w:rsidR="00DD5447" w:rsidRPr="00561F69">
        <w:rPr>
          <w:rFonts w:ascii="Times New Roman" w:hAnsi="Times New Roman" w:cs="Times New Roman"/>
          <w:sz w:val="24"/>
          <w:szCs w:val="24"/>
        </w:rPr>
        <w:t>)</w:t>
      </w:r>
      <w:r w:rsidR="00D3615E" w:rsidRPr="00561F69">
        <w:rPr>
          <w:rFonts w:ascii="Times New Roman" w:hAnsi="Times New Roman" w:cs="Times New Roman"/>
          <w:sz w:val="24"/>
          <w:szCs w:val="24"/>
        </w:rPr>
        <w:t xml:space="preserve">. </w:t>
      </w:r>
      <w:r w:rsidR="0094760E" w:rsidRPr="00561F69">
        <w:rPr>
          <w:rFonts w:ascii="Times New Roman" w:hAnsi="Times New Roman" w:cs="Times New Roman"/>
          <w:sz w:val="24"/>
          <w:szCs w:val="24"/>
        </w:rPr>
        <w:t xml:space="preserve"> </w:t>
      </w:r>
    </w:p>
    <w:p w14:paraId="234A0F2F" w14:textId="4EFEC53A" w:rsidR="00AD3F8B" w:rsidRPr="00561F69" w:rsidRDefault="0000690E" w:rsidP="00AD3F8B">
      <w:pPr>
        <w:spacing w:after="0"/>
        <w:rPr>
          <w:rFonts w:ascii="Times New Roman" w:hAnsi="Times New Roman" w:cs="Times New Roman"/>
          <w:sz w:val="24"/>
          <w:szCs w:val="24"/>
        </w:rPr>
      </w:pPr>
      <w:r w:rsidRPr="00561F69">
        <w:rPr>
          <w:rFonts w:ascii="Times New Roman" w:hAnsi="Times New Roman" w:cs="Times New Roman"/>
          <w:sz w:val="24"/>
          <w:szCs w:val="24"/>
        </w:rPr>
        <w:t xml:space="preserve">De acordo com </w:t>
      </w:r>
      <w:proofErr w:type="spellStart"/>
      <w:r w:rsidR="00A230CD" w:rsidRPr="00561F69">
        <w:rPr>
          <w:rFonts w:ascii="Times New Roman" w:hAnsi="Times New Roman" w:cs="Times New Roman"/>
          <w:sz w:val="24"/>
          <w:szCs w:val="24"/>
        </w:rPr>
        <w:t>Salmón</w:t>
      </w:r>
      <w:proofErr w:type="spellEnd"/>
      <w:r w:rsidR="00A230CD" w:rsidRPr="00561F69">
        <w:rPr>
          <w:rFonts w:ascii="Times New Roman" w:hAnsi="Times New Roman" w:cs="Times New Roman"/>
          <w:sz w:val="24"/>
          <w:szCs w:val="24"/>
        </w:rPr>
        <w:t xml:space="preserve"> (2019)</w:t>
      </w:r>
      <w:r w:rsidR="00E56842" w:rsidRPr="00561F69">
        <w:rPr>
          <w:rFonts w:ascii="Times New Roman" w:hAnsi="Times New Roman" w:cs="Times New Roman"/>
          <w:sz w:val="24"/>
          <w:szCs w:val="24"/>
        </w:rPr>
        <w:t xml:space="preserve">, desde este marco, a CIDH passou a outorgar recomendações dirigidas aos Estados para estes adotassem de forma urgente medidas de proteção, a fim de evitar </w:t>
      </w:r>
      <w:r w:rsidR="000443E5" w:rsidRPr="00561F69">
        <w:rPr>
          <w:rFonts w:ascii="Times New Roman" w:hAnsi="Times New Roman" w:cs="Times New Roman"/>
          <w:sz w:val="24"/>
          <w:szCs w:val="24"/>
        </w:rPr>
        <w:t>que a vida ou integridade dos beneficiários e tais medidas fossem afetados negativamente por uma ação ou omissão estatal. Até 1980, a CIDH emitiu medidas desta natureza em que pese não houvesse nem na Carta da Organização dos Estados Americanos, na CADH ou no próprio Regulamento da CIDH menção expressa a este mecanismo</w:t>
      </w:r>
      <w:r w:rsidR="00E2059F" w:rsidRPr="00561F69">
        <w:rPr>
          <w:rFonts w:ascii="Times New Roman" w:hAnsi="Times New Roman" w:cs="Times New Roman"/>
          <w:sz w:val="24"/>
          <w:szCs w:val="24"/>
        </w:rPr>
        <w:t xml:space="preserve"> (</w:t>
      </w:r>
      <w:r w:rsidR="005C52FD" w:rsidRPr="00561F69">
        <w:rPr>
          <w:rFonts w:ascii="Times New Roman" w:hAnsi="Times New Roman" w:cs="Times New Roman"/>
          <w:sz w:val="24"/>
          <w:szCs w:val="24"/>
        </w:rPr>
        <w:t>TEREZO, 2014</w:t>
      </w:r>
      <w:r w:rsidR="005C52FD">
        <w:rPr>
          <w:rFonts w:ascii="Times New Roman" w:hAnsi="Times New Roman" w:cs="Times New Roman"/>
          <w:sz w:val="24"/>
          <w:szCs w:val="24"/>
        </w:rPr>
        <w:t xml:space="preserve">; </w:t>
      </w:r>
      <w:r w:rsidR="00E2059F" w:rsidRPr="00561F69">
        <w:rPr>
          <w:rFonts w:ascii="Times New Roman" w:hAnsi="Times New Roman" w:cs="Times New Roman"/>
          <w:sz w:val="24"/>
          <w:szCs w:val="24"/>
        </w:rPr>
        <w:t xml:space="preserve">SALMÓN, 2019). </w:t>
      </w:r>
    </w:p>
    <w:p w14:paraId="44F40D96" w14:textId="51B69000" w:rsidR="00CA232B" w:rsidRPr="00561F69" w:rsidRDefault="00AD3F8B" w:rsidP="00AD3F8B">
      <w:pPr>
        <w:spacing w:after="0"/>
        <w:rPr>
          <w:rFonts w:ascii="Times New Roman" w:hAnsi="Times New Roman" w:cs="Times New Roman"/>
          <w:sz w:val="24"/>
          <w:szCs w:val="24"/>
        </w:rPr>
      </w:pPr>
      <w:r w:rsidRPr="00561F69">
        <w:rPr>
          <w:rFonts w:ascii="Times New Roman" w:hAnsi="Times New Roman" w:cs="Times New Roman"/>
          <w:sz w:val="24"/>
          <w:szCs w:val="24"/>
        </w:rPr>
        <w:t xml:space="preserve">Mesmo que, originalmente, esta função fosse exercida tomando-se como fundamento jurídico imediato a analogia com o instituto jurídico das medidas provisórias de que dispunham os Estados em seus ordenamentos jurídicos domésticos e o direito de petição individual no âmbito do Direito Internacional Público (CANÇADO TRINDADE, 2000; </w:t>
      </w:r>
      <w:r w:rsidR="001566BF" w:rsidRPr="00561F69">
        <w:rPr>
          <w:rFonts w:ascii="Times New Roman" w:hAnsi="Times New Roman" w:cs="Times New Roman"/>
          <w:sz w:val="24"/>
          <w:szCs w:val="24"/>
        </w:rPr>
        <w:t xml:space="preserve">PASQUALUCCI, 2005; </w:t>
      </w:r>
      <w:r w:rsidRPr="00561F69">
        <w:rPr>
          <w:rFonts w:ascii="Times New Roman" w:hAnsi="Times New Roman" w:cs="Times New Roman"/>
          <w:sz w:val="24"/>
          <w:szCs w:val="24"/>
        </w:rPr>
        <w:t xml:space="preserve">SALMÓN, 2019), em 1979 a competência específica de outorgar </w:t>
      </w:r>
      <w:r w:rsidR="005C52FD">
        <w:rPr>
          <w:rFonts w:ascii="Times New Roman" w:hAnsi="Times New Roman" w:cs="Times New Roman"/>
          <w:sz w:val="24"/>
          <w:szCs w:val="24"/>
        </w:rPr>
        <w:t xml:space="preserve">MC </w:t>
      </w:r>
      <w:r w:rsidRPr="00561F69">
        <w:rPr>
          <w:rFonts w:ascii="Times New Roman" w:hAnsi="Times New Roman" w:cs="Times New Roman"/>
          <w:sz w:val="24"/>
          <w:szCs w:val="24"/>
        </w:rPr>
        <w:t>foi formalmente incorporada ao rol de atribuições da CIDH, mediante a incorporação do artigo 25 ao Regulamento da Comissão Interamericana de Direitos Humanos</w:t>
      </w:r>
      <w:r w:rsidRPr="00561F69">
        <w:rPr>
          <w:rStyle w:val="FootnoteReference"/>
          <w:rFonts w:ascii="Times New Roman" w:hAnsi="Times New Roman" w:cs="Times New Roman"/>
          <w:sz w:val="24"/>
          <w:szCs w:val="24"/>
        </w:rPr>
        <w:t xml:space="preserve"> </w:t>
      </w:r>
      <w:r w:rsidRPr="00561F69">
        <w:rPr>
          <w:rFonts w:ascii="Times New Roman" w:hAnsi="Times New Roman" w:cs="Times New Roman"/>
          <w:sz w:val="24"/>
          <w:szCs w:val="24"/>
        </w:rPr>
        <w:t>(RCIDH)</w:t>
      </w:r>
      <w:r w:rsidR="00CA232B" w:rsidRPr="00561F69">
        <w:rPr>
          <w:rFonts w:ascii="Times New Roman" w:hAnsi="Times New Roman" w:cs="Times New Roman"/>
          <w:sz w:val="24"/>
          <w:szCs w:val="24"/>
        </w:rPr>
        <w:t>.</w:t>
      </w:r>
    </w:p>
    <w:p w14:paraId="02B53DAD" w14:textId="2DF330E9" w:rsidR="00B76874" w:rsidRPr="00561F69" w:rsidRDefault="00CA232B" w:rsidP="00C20411">
      <w:pPr>
        <w:spacing w:after="0"/>
        <w:rPr>
          <w:rFonts w:ascii="Times New Roman" w:hAnsi="Times New Roman" w:cs="Times New Roman"/>
          <w:sz w:val="24"/>
          <w:szCs w:val="24"/>
        </w:rPr>
      </w:pPr>
      <w:r w:rsidRPr="00561F69">
        <w:rPr>
          <w:rFonts w:ascii="Times New Roman" w:hAnsi="Times New Roman" w:cs="Times New Roman"/>
          <w:sz w:val="24"/>
          <w:szCs w:val="24"/>
        </w:rPr>
        <w:t>Agora</w:t>
      </w:r>
      <w:r w:rsidR="00AD3F8B" w:rsidRPr="00561F69">
        <w:rPr>
          <w:rFonts w:ascii="Times New Roman" w:hAnsi="Times New Roman" w:cs="Times New Roman"/>
          <w:sz w:val="24"/>
          <w:szCs w:val="24"/>
        </w:rPr>
        <w:t xml:space="preserve">, </w:t>
      </w:r>
      <w:r w:rsidRPr="00561F69">
        <w:rPr>
          <w:rFonts w:ascii="Times New Roman" w:hAnsi="Times New Roman" w:cs="Times New Roman"/>
          <w:sz w:val="24"/>
          <w:szCs w:val="24"/>
        </w:rPr>
        <w:t xml:space="preserve">(1) </w:t>
      </w:r>
      <w:r w:rsidR="00B76874" w:rsidRPr="00561F69">
        <w:rPr>
          <w:rFonts w:ascii="Times New Roman" w:hAnsi="Times New Roman" w:cs="Times New Roman"/>
          <w:sz w:val="24"/>
          <w:szCs w:val="24"/>
        </w:rPr>
        <w:t>por iniciativa própria</w:t>
      </w:r>
      <w:r w:rsidR="0050029F" w:rsidRPr="00561F69">
        <w:rPr>
          <w:rFonts w:ascii="Times New Roman" w:hAnsi="Times New Roman" w:cs="Times New Roman"/>
          <w:sz w:val="24"/>
          <w:szCs w:val="24"/>
        </w:rPr>
        <w:t xml:space="preserve">, </w:t>
      </w:r>
      <w:r w:rsidRPr="00561F69">
        <w:rPr>
          <w:rFonts w:ascii="Times New Roman" w:hAnsi="Times New Roman" w:cs="Times New Roman"/>
          <w:sz w:val="24"/>
          <w:szCs w:val="24"/>
        </w:rPr>
        <w:t xml:space="preserve">(2) </w:t>
      </w:r>
      <w:r w:rsidR="00B76874" w:rsidRPr="00561F69">
        <w:rPr>
          <w:rFonts w:ascii="Times New Roman" w:hAnsi="Times New Roman" w:cs="Times New Roman"/>
          <w:sz w:val="24"/>
          <w:szCs w:val="24"/>
        </w:rPr>
        <w:t xml:space="preserve">a pedido da parte </w:t>
      </w:r>
      <w:r w:rsidR="000169D6" w:rsidRPr="00561F69">
        <w:rPr>
          <w:rFonts w:ascii="Times New Roman" w:hAnsi="Times New Roman" w:cs="Times New Roman"/>
          <w:sz w:val="24"/>
          <w:szCs w:val="24"/>
        </w:rPr>
        <w:t xml:space="preserve">dentro de uma </w:t>
      </w:r>
      <w:r w:rsidR="00B76874" w:rsidRPr="00561F69">
        <w:rPr>
          <w:rFonts w:ascii="Times New Roman" w:hAnsi="Times New Roman" w:cs="Times New Roman"/>
          <w:sz w:val="24"/>
          <w:szCs w:val="24"/>
        </w:rPr>
        <w:t>petição ou caso</w:t>
      </w:r>
      <w:r w:rsidR="0050029F" w:rsidRPr="00561F69">
        <w:rPr>
          <w:rFonts w:ascii="Times New Roman" w:hAnsi="Times New Roman" w:cs="Times New Roman"/>
          <w:sz w:val="24"/>
          <w:szCs w:val="24"/>
        </w:rPr>
        <w:t xml:space="preserve">, </w:t>
      </w:r>
      <w:r w:rsidR="00B76874" w:rsidRPr="00561F69">
        <w:rPr>
          <w:rFonts w:ascii="Times New Roman" w:hAnsi="Times New Roman" w:cs="Times New Roman"/>
          <w:sz w:val="24"/>
          <w:szCs w:val="24"/>
        </w:rPr>
        <w:t>ou,</w:t>
      </w:r>
      <w:r w:rsidR="000169D6" w:rsidRPr="00561F69">
        <w:rPr>
          <w:rFonts w:ascii="Times New Roman" w:hAnsi="Times New Roman" w:cs="Times New Roman"/>
          <w:sz w:val="24"/>
          <w:szCs w:val="24"/>
        </w:rPr>
        <w:t xml:space="preserve"> ainda,</w:t>
      </w:r>
      <w:r w:rsidR="00B76874" w:rsidRPr="00561F69">
        <w:rPr>
          <w:rFonts w:ascii="Times New Roman" w:hAnsi="Times New Roman" w:cs="Times New Roman"/>
          <w:sz w:val="24"/>
          <w:szCs w:val="24"/>
        </w:rPr>
        <w:t xml:space="preserve"> </w:t>
      </w:r>
      <w:r w:rsidRPr="00561F69">
        <w:rPr>
          <w:rFonts w:ascii="Times New Roman" w:hAnsi="Times New Roman" w:cs="Times New Roman"/>
          <w:sz w:val="24"/>
          <w:szCs w:val="24"/>
        </w:rPr>
        <w:t xml:space="preserve">(3) </w:t>
      </w:r>
      <w:r w:rsidR="00B76874" w:rsidRPr="00561F69">
        <w:rPr>
          <w:rFonts w:ascii="Times New Roman" w:hAnsi="Times New Roman" w:cs="Times New Roman"/>
          <w:sz w:val="24"/>
          <w:szCs w:val="24"/>
        </w:rPr>
        <w:t xml:space="preserve">mediante solicitação encaminhada </w:t>
      </w:r>
      <w:r w:rsidR="000169D6" w:rsidRPr="00561F69">
        <w:rPr>
          <w:rFonts w:ascii="Times New Roman" w:hAnsi="Times New Roman" w:cs="Times New Roman"/>
          <w:sz w:val="24"/>
          <w:szCs w:val="24"/>
        </w:rPr>
        <w:t>pela sociedade civil</w:t>
      </w:r>
      <w:r w:rsidR="0050029F" w:rsidRPr="00561F69">
        <w:rPr>
          <w:rFonts w:ascii="Times New Roman" w:hAnsi="Times New Roman" w:cs="Times New Roman"/>
          <w:sz w:val="24"/>
          <w:szCs w:val="24"/>
        </w:rPr>
        <w:t xml:space="preserve"> - </w:t>
      </w:r>
      <w:r w:rsidR="00B76874" w:rsidRPr="00561F69">
        <w:rPr>
          <w:rFonts w:ascii="Times New Roman" w:hAnsi="Times New Roman" w:cs="Times New Roman"/>
          <w:sz w:val="24"/>
          <w:szCs w:val="24"/>
        </w:rPr>
        <w:t>sem que haja conexão do pedido com uma petição ou caso</w:t>
      </w:r>
      <w:r w:rsidR="0050029F" w:rsidRPr="00561F69">
        <w:rPr>
          <w:rFonts w:ascii="Times New Roman" w:hAnsi="Times New Roman" w:cs="Times New Roman"/>
          <w:sz w:val="24"/>
          <w:szCs w:val="24"/>
        </w:rPr>
        <w:t xml:space="preserve"> </w:t>
      </w:r>
      <w:r w:rsidRPr="00561F69">
        <w:rPr>
          <w:rFonts w:ascii="Times New Roman" w:hAnsi="Times New Roman" w:cs="Times New Roman"/>
          <w:sz w:val="24"/>
          <w:szCs w:val="24"/>
        </w:rPr>
        <w:t>–</w:t>
      </w:r>
      <w:r w:rsidR="00202458" w:rsidRPr="00561F69">
        <w:rPr>
          <w:rFonts w:ascii="Times New Roman" w:hAnsi="Times New Roman" w:cs="Times New Roman"/>
          <w:sz w:val="24"/>
          <w:szCs w:val="24"/>
        </w:rPr>
        <w:t xml:space="preserve"> </w:t>
      </w:r>
      <w:r w:rsidRPr="00561F69">
        <w:rPr>
          <w:rFonts w:ascii="Times New Roman" w:hAnsi="Times New Roman" w:cs="Times New Roman"/>
          <w:sz w:val="24"/>
          <w:szCs w:val="24"/>
        </w:rPr>
        <w:t xml:space="preserve">estava a CIDH expressamente autorizada a </w:t>
      </w:r>
      <w:r w:rsidR="00B76874" w:rsidRPr="00561F69">
        <w:rPr>
          <w:rFonts w:ascii="Times New Roman" w:hAnsi="Times New Roman" w:cs="Times New Roman"/>
          <w:sz w:val="24"/>
          <w:szCs w:val="24"/>
        </w:rPr>
        <w:t>solicitar que um Estado adot</w:t>
      </w:r>
      <w:r w:rsidRPr="00561F69">
        <w:rPr>
          <w:rFonts w:ascii="Times New Roman" w:hAnsi="Times New Roman" w:cs="Times New Roman"/>
          <w:sz w:val="24"/>
          <w:szCs w:val="24"/>
        </w:rPr>
        <w:t xml:space="preserve">asse </w:t>
      </w:r>
      <w:r w:rsidR="008C0BA0">
        <w:rPr>
          <w:rFonts w:ascii="Times New Roman" w:hAnsi="Times New Roman" w:cs="Times New Roman"/>
          <w:sz w:val="24"/>
          <w:szCs w:val="24"/>
        </w:rPr>
        <w:t xml:space="preserve">MC </w:t>
      </w:r>
      <w:r w:rsidR="00B76874" w:rsidRPr="00561F69">
        <w:rPr>
          <w:rFonts w:ascii="Times New Roman" w:hAnsi="Times New Roman" w:cs="Times New Roman"/>
          <w:sz w:val="24"/>
          <w:szCs w:val="24"/>
        </w:rPr>
        <w:t>em benefício de uma pessoa ou grupo de pessoas</w:t>
      </w:r>
      <w:r w:rsidRPr="00561F69">
        <w:rPr>
          <w:rFonts w:ascii="Times New Roman" w:hAnsi="Times New Roman" w:cs="Times New Roman"/>
          <w:sz w:val="24"/>
          <w:szCs w:val="24"/>
        </w:rPr>
        <w:t xml:space="preserve"> (</w:t>
      </w:r>
      <w:r w:rsidR="00422DDF" w:rsidRPr="00561F69">
        <w:rPr>
          <w:rFonts w:ascii="Times New Roman" w:hAnsi="Times New Roman" w:cs="Times New Roman"/>
          <w:sz w:val="24"/>
          <w:szCs w:val="24"/>
        </w:rPr>
        <w:t>ORGANIZAÇÃO DOS ESTADOS AMERICANOS</w:t>
      </w:r>
      <w:r w:rsidRPr="00561F69">
        <w:rPr>
          <w:rFonts w:ascii="Times New Roman" w:hAnsi="Times New Roman" w:cs="Times New Roman"/>
          <w:sz w:val="24"/>
          <w:szCs w:val="24"/>
        </w:rPr>
        <w:t>, 2014)</w:t>
      </w:r>
      <w:r w:rsidR="00B76874" w:rsidRPr="00561F69">
        <w:rPr>
          <w:rFonts w:ascii="Times New Roman" w:hAnsi="Times New Roman" w:cs="Times New Roman"/>
          <w:sz w:val="24"/>
          <w:szCs w:val="24"/>
        </w:rPr>
        <w:t xml:space="preserve">. </w:t>
      </w:r>
      <w:r w:rsidRPr="00561F69">
        <w:rPr>
          <w:rFonts w:ascii="Times New Roman" w:hAnsi="Times New Roman" w:cs="Times New Roman"/>
          <w:sz w:val="24"/>
          <w:szCs w:val="24"/>
        </w:rPr>
        <w:t xml:space="preserve">Para </w:t>
      </w:r>
      <w:r w:rsidR="0050029F" w:rsidRPr="00561F69">
        <w:rPr>
          <w:rFonts w:ascii="Times New Roman" w:hAnsi="Times New Roman" w:cs="Times New Roman"/>
          <w:sz w:val="24"/>
          <w:szCs w:val="24"/>
        </w:rPr>
        <w:t xml:space="preserve">o deferimento do pedido de </w:t>
      </w:r>
      <w:r w:rsidR="00512F67" w:rsidRPr="00561F69">
        <w:rPr>
          <w:rFonts w:ascii="Times New Roman" w:hAnsi="Times New Roman" w:cs="Times New Roman"/>
          <w:sz w:val="24"/>
          <w:szCs w:val="24"/>
        </w:rPr>
        <w:t>MC</w:t>
      </w:r>
      <w:r w:rsidR="0050029F" w:rsidRPr="00561F69">
        <w:rPr>
          <w:rFonts w:ascii="Times New Roman" w:hAnsi="Times New Roman" w:cs="Times New Roman"/>
          <w:sz w:val="24"/>
          <w:szCs w:val="24"/>
        </w:rPr>
        <w:t>,</w:t>
      </w:r>
      <w:r w:rsidR="00512F67" w:rsidRPr="00561F69">
        <w:rPr>
          <w:rFonts w:ascii="Times New Roman" w:hAnsi="Times New Roman" w:cs="Times New Roman"/>
          <w:sz w:val="24"/>
          <w:szCs w:val="24"/>
        </w:rPr>
        <w:t xml:space="preserve"> </w:t>
      </w:r>
      <w:r w:rsidR="00B76874" w:rsidRPr="00561F69">
        <w:rPr>
          <w:rFonts w:ascii="Times New Roman" w:hAnsi="Times New Roman" w:cs="Times New Roman"/>
          <w:sz w:val="24"/>
          <w:szCs w:val="24"/>
        </w:rPr>
        <w:t>tenh</w:t>
      </w:r>
      <w:r w:rsidR="00202458" w:rsidRPr="00561F69">
        <w:rPr>
          <w:rFonts w:ascii="Times New Roman" w:hAnsi="Times New Roman" w:cs="Times New Roman"/>
          <w:sz w:val="24"/>
          <w:szCs w:val="24"/>
        </w:rPr>
        <w:t>a</w:t>
      </w:r>
      <w:r w:rsidR="00B76874" w:rsidRPr="00561F69">
        <w:rPr>
          <w:rFonts w:ascii="Times New Roman" w:hAnsi="Times New Roman" w:cs="Times New Roman"/>
          <w:sz w:val="24"/>
          <w:szCs w:val="24"/>
        </w:rPr>
        <w:t xml:space="preserve"> el</w:t>
      </w:r>
      <w:r w:rsidR="00202458" w:rsidRPr="00561F69">
        <w:rPr>
          <w:rFonts w:ascii="Times New Roman" w:hAnsi="Times New Roman" w:cs="Times New Roman"/>
          <w:sz w:val="24"/>
          <w:szCs w:val="24"/>
        </w:rPr>
        <w:t>e</w:t>
      </w:r>
      <w:r w:rsidR="00B76874" w:rsidRPr="00561F69">
        <w:rPr>
          <w:rFonts w:ascii="Times New Roman" w:hAnsi="Times New Roman" w:cs="Times New Roman"/>
          <w:sz w:val="24"/>
          <w:szCs w:val="24"/>
        </w:rPr>
        <w:t xml:space="preserve"> conexão </w:t>
      </w:r>
      <w:r w:rsidR="00202458" w:rsidRPr="00561F69">
        <w:rPr>
          <w:rFonts w:ascii="Times New Roman" w:hAnsi="Times New Roman" w:cs="Times New Roman"/>
          <w:sz w:val="24"/>
          <w:szCs w:val="24"/>
        </w:rPr>
        <w:t xml:space="preserve">ou não </w:t>
      </w:r>
      <w:r w:rsidR="00B76874" w:rsidRPr="00561F69">
        <w:rPr>
          <w:rFonts w:ascii="Times New Roman" w:hAnsi="Times New Roman" w:cs="Times New Roman"/>
          <w:sz w:val="24"/>
          <w:szCs w:val="24"/>
        </w:rPr>
        <w:t xml:space="preserve">com uma petição ou caso, </w:t>
      </w:r>
      <w:r w:rsidR="0050029F" w:rsidRPr="00561F69">
        <w:rPr>
          <w:rFonts w:ascii="Times New Roman" w:hAnsi="Times New Roman" w:cs="Times New Roman"/>
          <w:sz w:val="24"/>
          <w:szCs w:val="24"/>
        </w:rPr>
        <w:t xml:space="preserve">os fatos </w:t>
      </w:r>
      <w:r w:rsidR="00024A7A">
        <w:rPr>
          <w:rFonts w:ascii="Times New Roman" w:hAnsi="Times New Roman" w:cs="Times New Roman"/>
          <w:sz w:val="24"/>
          <w:szCs w:val="24"/>
        </w:rPr>
        <w:t xml:space="preserve">levados à CIDH </w:t>
      </w:r>
      <w:r w:rsidR="00B76874" w:rsidRPr="00561F69">
        <w:rPr>
          <w:rFonts w:ascii="Times New Roman" w:hAnsi="Times New Roman" w:cs="Times New Roman"/>
          <w:sz w:val="24"/>
          <w:szCs w:val="24"/>
        </w:rPr>
        <w:t>dever</w:t>
      </w:r>
      <w:r w:rsidR="008C0BA0">
        <w:rPr>
          <w:rFonts w:ascii="Times New Roman" w:hAnsi="Times New Roman" w:cs="Times New Roman"/>
          <w:sz w:val="24"/>
          <w:szCs w:val="24"/>
        </w:rPr>
        <w:t>iam</w:t>
      </w:r>
      <w:r w:rsidR="00B76874" w:rsidRPr="00561F69">
        <w:rPr>
          <w:rFonts w:ascii="Times New Roman" w:hAnsi="Times New Roman" w:cs="Times New Roman"/>
          <w:sz w:val="24"/>
          <w:szCs w:val="24"/>
        </w:rPr>
        <w:t xml:space="preserve"> necessariamente estar relacionad</w:t>
      </w:r>
      <w:r w:rsidR="0050029F" w:rsidRPr="00561F69">
        <w:rPr>
          <w:rFonts w:ascii="Times New Roman" w:hAnsi="Times New Roman" w:cs="Times New Roman"/>
          <w:sz w:val="24"/>
          <w:szCs w:val="24"/>
        </w:rPr>
        <w:t>o</w:t>
      </w:r>
      <w:r w:rsidR="00B76874" w:rsidRPr="00561F69">
        <w:rPr>
          <w:rFonts w:ascii="Times New Roman" w:hAnsi="Times New Roman" w:cs="Times New Roman"/>
          <w:sz w:val="24"/>
          <w:szCs w:val="24"/>
        </w:rPr>
        <w:t xml:space="preserve">s a situações </w:t>
      </w:r>
      <w:r w:rsidR="00024A7A">
        <w:rPr>
          <w:rFonts w:ascii="Times New Roman" w:hAnsi="Times New Roman" w:cs="Times New Roman"/>
          <w:sz w:val="24"/>
          <w:szCs w:val="24"/>
        </w:rPr>
        <w:t>graves</w:t>
      </w:r>
      <w:r w:rsidR="00B76874" w:rsidRPr="00561F69">
        <w:rPr>
          <w:rFonts w:ascii="Times New Roman" w:hAnsi="Times New Roman" w:cs="Times New Roman"/>
          <w:sz w:val="24"/>
          <w:szCs w:val="24"/>
        </w:rPr>
        <w:t xml:space="preserve"> e urg</w:t>
      </w:r>
      <w:r w:rsidR="00024A7A">
        <w:rPr>
          <w:rFonts w:ascii="Times New Roman" w:hAnsi="Times New Roman" w:cs="Times New Roman"/>
          <w:sz w:val="24"/>
          <w:szCs w:val="24"/>
        </w:rPr>
        <w:t>entes</w:t>
      </w:r>
      <w:r w:rsidR="00B76874" w:rsidRPr="00561F69">
        <w:rPr>
          <w:rFonts w:ascii="Times New Roman" w:hAnsi="Times New Roman" w:cs="Times New Roman"/>
          <w:sz w:val="24"/>
          <w:szCs w:val="24"/>
        </w:rPr>
        <w:t xml:space="preserve">, </w:t>
      </w:r>
      <w:r w:rsidR="0050029F" w:rsidRPr="00561F69">
        <w:rPr>
          <w:rFonts w:ascii="Times New Roman" w:hAnsi="Times New Roman" w:cs="Times New Roman"/>
          <w:sz w:val="24"/>
          <w:szCs w:val="24"/>
        </w:rPr>
        <w:t>da</w:t>
      </w:r>
      <w:r w:rsidR="00F70084" w:rsidRPr="00561F69">
        <w:rPr>
          <w:rFonts w:ascii="Times New Roman" w:hAnsi="Times New Roman" w:cs="Times New Roman"/>
          <w:sz w:val="24"/>
          <w:szCs w:val="24"/>
        </w:rPr>
        <w:t>s</w:t>
      </w:r>
      <w:r w:rsidR="0050029F" w:rsidRPr="00561F69">
        <w:rPr>
          <w:rFonts w:ascii="Times New Roman" w:hAnsi="Times New Roman" w:cs="Times New Roman"/>
          <w:sz w:val="24"/>
          <w:szCs w:val="24"/>
        </w:rPr>
        <w:t xml:space="preserve"> qua</w:t>
      </w:r>
      <w:r w:rsidR="00F70084" w:rsidRPr="00561F69">
        <w:rPr>
          <w:rFonts w:ascii="Times New Roman" w:hAnsi="Times New Roman" w:cs="Times New Roman"/>
          <w:sz w:val="24"/>
          <w:szCs w:val="24"/>
        </w:rPr>
        <w:t>is</w:t>
      </w:r>
      <w:r w:rsidR="0050029F" w:rsidRPr="00561F69">
        <w:rPr>
          <w:rFonts w:ascii="Times New Roman" w:hAnsi="Times New Roman" w:cs="Times New Roman"/>
          <w:sz w:val="24"/>
          <w:szCs w:val="24"/>
        </w:rPr>
        <w:t xml:space="preserve"> </w:t>
      </w:r>
      <w:r w:rsidR="00024A7A" w:rsidRPr="00561F69">
        <w:rPr>
          <w:rFonts w:ascii="Times New Roman" w:hAnsi="Times New Roman" w:cs="Times New Roman"/>
          <w:sz w:val="24"/>
          <w:szCs w:val="24"/>
        </w:rPr>
        <w:t>pu</w:t>
      </w:r>
      <w:r w:rsidR="00024A7A">
        <w:rPr>
          <w:rFonts w:ascii="Times New Roman" w:hAnsi="Times New Roman" w:cs="Times New Roman"/>
          <w:sz w:val="24"/>
          <w:szCs w:val="24"/>
        </w:rPr>
        <w:t>dessem</w:t>
      </w:r>
      <w:r w:rsidR="0050029F" w:rsidRPr="00561F69">
        <w:rPr>
          <w:rFonts w:ascii="Times New Roman" w:hAnsi="Times New Roman" w:cs="Times New Roman"/>
          <w:sz w:val="24"/>
          <w:szCs w:val="24"/>
        </w:rPr>
        <w:t xml:space="preserve"> resultar dano</w:t>
      </w:r>
      <w:r w:rsidR="00F70084" w:rsidRPr="00561F69">
        <w:rPr>
          <w:rFonts w:ascii="Times New Roman" w:hAnsi="Times New Roman" w:cs="Times New Roman"/>
          <w:sz w:val="24"/>
          <w:szCs w:val="24"/>
        </w:rPr>
        <w:t>s</w:t>
      </w:r>
      <w:r w:rsidR="0050029F" w:rsidRPr="00561F69">
        <w:rPr>
          <w:rFonts w:ascii="Times New Roman" w:hAnsi="Times New Roman" w:cs="Times New Roman"/>
          <w:sz w:val="24"/>
          <w:szCs w:val="24"/>
        </w:rPr>
        <w:t xml:space="preserve"> irreparáve</w:t>
      </w:r>
      <w:r w:rsidR="00F70084" w:rsidRPr="00561F69">
        <w:rPr>
          <w:rFonts w:ascii="Times New Roman" w:hAnsi="Times New Roman" w:cs="Times New Roman"/>
          <w:sz w:val="24"/>
          <w:szCs w:val="24"/>
        </w:rPr>
        <w:t>is</w:t>
      </w:r>
      <w:r w:rsidR="0050029F" w:rsidRPr="00561F69">
        <w:rPr>
          <w:rFonts w:ascii="Times New Roman" w:hAnsi="Times New Roman" w:cs="Times New Roman"/>
          <w:sz w:val="24"/>
          <w:szCs w:val="24"/>
        </w:rPr>
        <w:t xml:space="preserve"> em prejuízo dos beneficiários, </w:t>
      </w:r>
      <w:r w:rsidR="00B76874" w:rsidRPr="00561F69">
        <w:rPr>
          <w:rFonts w:ascii="Times New Roman" w:hAnsi="Times New Roman" w:cs="Times New Roman"/>
          <w:sz w:val="24"/>
          <w:szCs w:val="24"/>
        </w:rPr>
        <w:t>nos termos previstos no artigo 2</w:t>
      </w:r>
      <w:r w:rsidR="0050029F" w:rsidRPr="00561F69">
        <w:rPr>
          <w:rFonts w:ascii="Times New Roman" w:hAnsi="Times New Roman" w:cs="Times New Roman"/>
          <w:sz w:val="24"/>
          <w:szCs w:val="24"/>
        </w:rPr>
        <w:t>5.</w:t>
      </w:r>
      <w:r w:rsidR="00B76874" w:rsidRPr="00561F69">
        <w:rPr>
          <w:rFonts w:ascii="Times New Roman" w:hAnsi="Times New Roman" w:cs="Times New Roman"/>
          <w:sz w:val="24"/>
          <w:szCs w:val="24"/>
        </w:rPr>
        <w:t>2 do R</w:t>
      </w:r>
      <w:r w:rsidR="00646187" w:rsidRPr="00561F69">
        <w:rPr>
          <w:rFonts w:ascii="Times New Roman" w:hAnsi="Times New Roman" w:cs="Times New Roman"/>
          <w:sz w:val="24"/>
          <w:szCs w:val="24"/>
        </w:rPr>
        <w:t xml:space="preserve">egulamento da </w:t>
      </w:r>
      <w:r w:rsidR="00B76874" w:rsidRPr="00561F69">
        <w:rPr>
          <w:rFonts w:ascii="Times New Roman" w:hAnsi="Times New Roman" w:cs="Times New Roman"/>
          <w:sz w:val="24"/>
          <w:szCs w:val="24"/>
        </w:rPr>
        <w:t>CIDH</w:t>
      </w:r>
      <w:r w:rsidR="00264773" w:rsidRPr="00561F69">
        <w:rPr>
          <w:rStyle w:val="FootnoteReference"/>
          <w:rFonts w:ascii="Times New Roman" w:hAnsi="Times New Roman" w:cs="Times New Roman"/>
          <w:sz w:val="24"/>
          <w:szCs w:val="24"/>
        </w:rPr>
        <w:footnoteReference w:id="1"/>
      </w:r>
      <w:r w:rsidR="00646187" w:rsidRPr="00561F69">
        <w:rPr>
          <w:rFonts w:ascii="Times New Roman" w:hAnsi="Times New Roman" w:cs="Times New Roman"/>
        </w:rPr>
        <w:t>.</w:t>
      </w:r>
      <w:r w:rsidR="00B76874" w:rsidRPr="00561F69">
        <w:rPr>
          <w:rFonts w:ascii="Times New Roman" w:hAnsi="Times New Roman" w:cs="Times New Roman"/>
          <w:sz w:val="24"/>
          <w:szCs w:val="24"/>
        </w:rPr>
        <w:t xml:space="preserve"> </w:t>
      </w:r>
    </w:p>
    <w:p w14:paraId="25FE56BD" w14:textId="77777777" w:rsidR="00D3615E" w:rsidRPr="00561F69" w:rsidRDefault="00D3615E" w:rsidP="00F2648A">
      <w:pPr>
        <w:spacing w:after="0"/>
        <w:ind w:firstLine="0"/>
        <w:rPr>
          <w:rFonts w:ascii="Times New Roman" w:hAnsi="Times New Roman" w:cs="Times New Roman"/>
          <w:sz w:val="24"/>
          <w:szCs w:val="24"/>
        </w:rPr>
      </w:pPr>
    </w:p>
    <w:p w14:paraId="45C11DE6" w14:textId="4853F0F2" w:rsidR="00F04536" w:rsidRPr="00561F69" w:rsidRDefault="00F2648A" w:rsidP="00F2648A">
      <w:pPr>
        <w:spacing w:after="0"/>
        <w:ind w:firstLine="0"/>
        <w:rPr>
          <w:rFonts w:ascii="Times New Roman" w:hAnsi="Times New Roman" w:cs="Times New Roman"/>
          <w:sz w:val="24"/>
          <w:szCs w:val="24"/>
        </w:rPr>
      </w:pPr>
      <w:r w:rsidRPr="00561F69">
        <w:rPr>
          <w:rFonts w:ascii="Times New Roman" w:hAnsi="Times New Roman" w:cs="Times New Roman"/>
          <w:sz w:val="24"/>
          <w:szCs w:val="24"/>
        </w:rPr>
        <w:lastRenderedPageBreak/>
        <w:tab/>
        <w:t xml:space="preserve">Após </w:t>
      </w:r>
      <w:r w:rsidR="00314098">
        <w:rPr>
          <w:rFonts w:ascii="Times New Roman" w:hAnsi="Times New Roman" w:cs="Times New Roman"/>
          <w:sz w:val="24"/>
          <w:szCs w:val="24"/>
        </w:rPr>
        <w:t xml:space="preserve">seu </w:t>
      </w:r>
      <w:r w:rsidRPr="00561F69">
        <w:rPr>
          <w:rFonts w:ascii="Times New Roman" w:hAnsi="Times New Roman" w:cs="Times New Roman"/>
          <w:sz w:val="24"/>
          <w:szCs w:val="24"/>
        </w:rPr>
        <w:t>procedimento</w:t>
      </w:r>
      <w:r w:rsidR="00314098">
        <w:rPr>
          <w:rFonts w:ascii="Times New Roman" w:hAnsi="Times New Roman" w:cs="Times New Roman"/>
          <w:sz w:val="24"/>
          <w:szCs w:val="24"/>
        </w:rPr>
        <w:t xml:space="preserve"> ganhar forma</w:t>
      </w:r>
      <w:r w:rsidRPr="00561F69">
        <w:rPr>
          <w:rFonts w:ascii="Times New Roman" w:hAnsi="Times New Roman" w:cs="Times New Roman"/>
          <w:sz w:val="24"/>
          <w:szCs w:val="24"/>
        </w:rPr>
        <w:t xml:space="preserve">, com a entrada em vigor em 1980 do novo texto do RCIDH, </w:t>
      </w:r>
      <w:r w:rsidR="0008563D">
        <w:rPr>
          <w:rFonts w:ascii="Times New Roman" w:hAnsi="Times New Roman" w:cs="Times New Roman"/>
          <w:sz w:val="24"/>
          <w:szCs w:val="24"/>
        </w:rPr>
        <w:t>o mecanismo das</w:t>
      </w:r>
      <w:r w:rsidR="00314098">
        <w:rPr>
          <w:rFonts w:ascii="Times New Roman" w:hAnsi="Times New Roman" w:cs="Times New Roman"/>
          <w:sz w:val="24"/>
          <w:szCs w:val="24"/>
        </w:rPr>
        <w:t xml:space="preserve"> </w:t>
      </w:r>
      <w:r w:rsidRPr="00561F69">
        <w:rPr>
          <w:rFonts w:ascii="Times New Roman" w:hAnsi="Times New Roman" w:cs="Times New Roman"/>
          <w:sz w:val="24"/>
          <w:szCs w:val="24"/>
        </w:rPr>
        <w:t xml:space="preserve">MC </w:t>
      </w:r>
      <w:r w:rsidR="0008563D">
        <w:rPr>
          <w:rFonts w:ascii="Times New Roman" w:hAnsi="Times New Roman" w:cs="Times New Roman"/>
          <w:sz w:val="24"/>
          <w:szCs w:val="24"/>
        </w:rPr>
        <w:t>consolidou-se no SIDH</w:t>
      </w:r>
      <w:r w:rsidRPr="00561F69">
        <w:rPr>
          <w:rFonts w:ascii="Times New Roman" w:hAnsi="Times New Roman" w:cs="Times New Roman"/>
          <w:sz w:val="24"/>
          <w:szCs w:val="24"/>
        </w:rPr>
        <w:t>,</w:t>
      </w:r>
      <w:r w:rsidR="006B2372" w:rsidRPr="00561F69">
        <w:rPr>
          <w:rFonts w:ascii="Times New Roman" w:hAnsi="Times New Roman" w:cs="Times New Roman"/>
          <w:sz w:val="24"/>
          <w:szCs w:val="24"/>
        </w:rPr>
        <w:t xml:space="preserve"> tendo a CIDH o situado como uma prática relacionada ao respeito dos direitos humanos</w:t>
      </w:r>
      <w:r w:rsidR="0008563D">
        <w:rPr>
          <w:rFonts w:ascii="Times New Roman" w:hAnsi="Times New Roman" w:cs="Times New Roman"/>
          <w:sz w:val="24"/>
          <w:szCs w:val="24"/>
        </w:rPr>
        <w:t xml:space="preserve">, </w:t>
      </w:r>
      <w:r w:rsidR="006B2372" w:rsidRPr="00561F69">
        <w:rPr>
          <w:rFonts w:ascii="Times New Roman" w:hAnsi="Times New Roman" w:cs="Times New Roman"/>
          <w:sz w:val="24"/>
          <w:szCs w:val="24"/>
        </w:rPr>
        <w:t xml:space="preserve">prevenção de danos irreparáveis </w:t>
      </w:r>
      <w:r w:rsidR="0008563D">
        <w:rPr>
          <w:rFonts w:ascii="Times New Roman" w:hAnsi="Times New Roman" w:cs="Times New Roman"/>
          <w:sz w:val="24"/>
          <w:szCs w:val="24"/>
        </w:rPr>
        <w:t>e possibilidade de reversão precoce de violações a direitos fundamentais previstos na normativa do SIDH.</w:t>
      </w:r>
      <w:r w:rsidR="006B2372" w:rsidRPr="00561F69">
        <w:rPr>
          <w:rFonts w:ascii="Times New Roman" w:hAnsi="Times New Roman" w:cs="Times New Roman"/>
          <w:sz w:val="24"/>
          <w:szCs w:val="24"/>
        </w:rPr>
        <w:t xml:space="preserve"> (</w:t>
      </w:r>
      <w:r w:rsidR="00FF0CDD">
        <w:rPr>
          <w:rFonts w:ascii="Times New Roman" w:hAnsi="Times New Roman" w:cs="Times New Roman"/>
          <w:sz w:val="24"/>
          <w:szCs w:val="24"/>
        </w:rPr>
        <w:t>SALMÓ</w:t>
      </w:r>
      <w:r w:rsidR="00857A65">
        <w:rPr>
          <w:rFonts w:ascii="Times New Roman" w:hAnsi="Times New Roman" w:cs="Times New Roman"/>
          <w:sz w:val="24"/>
          <w:szCs w:val="24"/>
        </w:rPr>
        <w:t>N</w:t>
      </w:r>
      <w:r w:rsidR="00FF0CDD">
        <w:rPr>
          <w:rFonts w:ascii="Times New Roman" w:hAnsi="Times New Roman" w:cs="Times New Roman"/>
          <w:sz w:val="24"/>
          <w:szCs w:val="24"/>
        </w:rPr>
        <w:t xml:space="preserve">, 2019; </w:t>
      </w:r>
      <w:r w:rsidR="006B2372" w:rsidRPr="00561F69">
        <w:rPr>
          <w:rFonts w:ascii="Times New Roman" w:hAnsi="Times New Roman" w:cs="Times New Roman"/>
          <w:sz w:val="24"/>
          <w:szCs w:val="24"/>
        </w:rPr>
        <w:t xml:space="preserve">COMISSÃO INTERAMERICANA DE DIREITOS HUMANOS, [2020?]). </w:t>
      </w:r>
    </w:p>
    <w:p w14:paraId="31122081" w14:textId="331157C5" w:rsidR="006C2E62" w:rsidRPr="00561F69" w:rsidRDefault="0070583F" w:rsidP="00536503">
      <w:pPr>
        <w:spacing w:after="0"/>
        <w:rPr>
          <w:rFonts w:ascii="Times New Roman" w:hAnsi="Times New Roman" w:cs="Times New Roman"/>
          <w:sz w:val="24"/>
          <w:szCs w:val="24"/>
        </w:rPr>
      </w:pPr>
      <w:r w:rsidRPr="00561F69">
        <w:rPr>
          <w:rFonts w:ascii="Times New Roman" w:hAnsi="Times New Roman" w:cs="Times New Roman"/>
          <w:sz w:val="24"/>
          <w:szCs w:val="24"/>
        </w:rPr>
        <w:t>Explícita a relevância que este mecanismo ganhou, sobretudo por permitir estratégia de atuação preventiva no litígio internacional para a proteção dos direitos humanos no continente americano, decidiu-se pelo escolha do mesmo para ser objeto desta investigação, com o intuito de que haja a identificação e descrição das possibilidades que o seu uso oferece para quem pensa o litígio em direitos humanos</w:t>
      </w:r>
      <w:r w:rsidR="005E6309">
        <w:rPr>
          <w:rFonts w:ascii="Times New Roman" w:hAnsi="Times New Roman" w:cs="Times New Roman"/>
          <w:sz w:val="24"/>
          <w:szCs w:val="24"/>
        </w:rPr>
        <w:t xml:space="preserve">. Na mesma </w:t>
      </w:r>
      <w:r w:rsidRPr="00561F69">
        <w:rPr>
          <w:rFonts w:ascii="Times New Roman" w:hAnsi="Times New Roman" w:cs="Times New Roman"/>
          <w:sz w:val="24"/>
          <w:szCs w:val="24"/>
        </w:rPr>
        <w:t>oportunidade, contrastar</w:t>
      </w:r>
      <w:r w:rsidR="005E6309">
        <w:rPr>
          <w:rFonts w:ascii="Times New Roman" w:hAnsi="Times New Roman" w:cs="Times New Roman"/>
          <w:sz w:val="24"/>
          <w:szCs w:val="24"/>
        </w:rPr>
        <w:t>á</w:t>
      </w:r>
      <w:r w:rsidRPr="00561F69">
        <w:rPr>
          <w:rFonts w:ascii="Times New Roman" w:hAnsi="Times New Roman" w:cs="Times New Roman"/>
          <w:sz w:val="24"/>
          <w:szCs w:val="24"/>
        </w:rPr>
        <w:t xml:space="preserve"> </w:t>
      </w:r>
      <w:r w:rsidR="005E6309">
        <w:rPr>
          <w:rFonts w:ascii="Times New Roman" w:hAnsi="Times New Roman" w:cs="Times New Roman"/>
          <w:sz w:val="24"/>
          <w:szCs w:val="24"/>
        </w:rPr>
        <w:t>as</w:t>
      </w:r>
      <w:r w:rsidRPr="00561F69">
        <w:rPr>
          <w:rFonts w:ascii="Times New Roman" w:hAnsi="Times New Roman" w:cs="Times New Roman"/>
          <w:sz w:val="24"/>
          <w:szCs w:val="24"/>
        </w:rPr>
        <w:t xml:space="preserve"> possibilidade</w:t>
      </w:r>
      <w:r w:rsidR="005E6309">
        <w:rPr>
          <w:rFonts w:ascii="Times New Roman" w:hAnsi="Times New Roman" w:cs="Times New Roman"/>
          <w:sz w:val="24"/>
          <w:szCs w:val="24"/>
        </w:rPr>
        <w:t>s</w:t>
      </w:r>
      <w:r w:rsidRPr="00561F69">
        <w:rPr>
          <w:rFonts w:ascii="Times New Roman" w:hAnsi="Times New Roman" w:cs="Times New Roman"/>
          <w:sz w:val="24"/>
          <w:szCs w:val="24"/>
        </w:rPr>
        <w:t xml:space="preserve"> identificadas com os desafios (fragilidades) em torno do seu uso</w:t>
      </w:r>
      <w:r w:rsidR="003252B8" w:rsidRPr="00561F69">
        <w:rPr>
          <w:rFonts w:ascii="Times New Roman" w:hAnsi="Times New Roman" w:cs="Times New Roman"/>
          <w:sz w:val="24"/>
          <w:szCs w:val="24"/>
        </w:rPr>
        <w:t xml:space="preserve"> nas etapas que compõem o percurso d</w:t>
      </w:r>
      <w:r w:rsidR="00DB025F">
        <w:rPr>
          <w:rFonts w:ascii="Times New Roman" w:hAnsi="Times New Roman" w:cs="Times New Roman"/>
          <w:sz w:val="24"/>
          <w:szCs w:val="24"/>
        </w:rPr>
        <w:t>o</w:t>
      </w:r>
      <w:r w:rsidR="003252B8" w:rsidRPr="00561F69">
        <w:rPr>
          <w:rFonts w:ascii="Times New Roman" w:hAnsi="Times New Roman" w:cs="Times New Roman"/>
          <w:sz w:val="24"/>
          <w:szCs w:val="24"/>
        </w:rPr>
        <w:t xml:space="preserve"> </w:t>
      </w:r>
      <w:r w:rsidR="00DB025F">
        <w:rPr>
          <w:rFonts w:ascii="Times New Roman" w:hAnsi="Times New Roman" w:cs="Times New Roman"/>
          <w:sz w:val="24"/>
          <w:szCs w:val="24"/>
        </w:rPr>
        <w:t>Litígio E</w:t>
      </w:r>
      <w:r w:rsidR="003252B8" w:rsidRPr="00561F69">
        <w:rPr>
          <w:rFonts w:ascii="Times New Roman" w:hAnsi="Times New Roman" w:cs="Times New Roman"/>
          <w:sz w:val="24"/>
          <w:szCs w:val="24"/>
        </w:rPr>
        <w:t>stratégic</w:t>
      </w:r>
      <w:r w:rsidR="00DB025F">
        <w:rPr>
          <w:rFonts w:ascii="Times New Roman" w:hAnsi="Times New Roman" w:cs="Times New Roman"/>
          <w:sz w:val="24"/>
          <w:szCs w:val="24"/>
        </w:rPr>
        <w:t>o</w:t>
      </w:r>
      <w:r w:rsidR="003252B8" w:rsidRPr="00561F69">
        <w:rPr>
          <w:rFonts w:ascii="Times New Roman" w:hAnsi="Times New Roman" w:cs="Times New Roman"/>
          <w:sz w:val="24"/>
          <w:szCs w:val="24"/>
        </w:rPr>
        <w:t xml:space="preserve"> em </w:t>
      </w:r>
      <w:r w:rsidR="00DB025F" w:rsidRPr="00561F69">
        <w:rPr>
          <w:rFonts w:ascii="Times New Roman" w:hAnsi="Times New Roman" w:cs="Times New Roman"/>
          <w:sz w:val="24"/>
          <w:szCs w:val="24"/>
        </w:rPr>
        <w:t xml:space="preserve">Direitos Humanos </w:t>
      </w:r>
      <w:r w:rsidR="003252B8" w:rsidRPr="00561F69">
        <w:rPr>
          <w:rFonts w:ascii="Times New Roman" w:hAnsi="Times New Roman" w:cs="Times New Roman"/>
          <w:sz w:val="24"/>
          <w:szCs w:val="24"/>
        </w:rPr>
        <w:t>(LEDH)</w:t>
      </w:r>
      <w:r w:rsidRPr="00561F69">
        <w:rPr>
          <w:rFonts w:ascii="Times New Roman" w:hAnsi="Times New Roman" w:cs="Times New Roman"/>
          <w:sz w:val="24"/>
          <w:szCs w:val="24"/>
        </w:rPr>
        <w:t>.</w:t>
      </w:r>
      <w:r w:rsidR="00926BAD" w:rsidRPr="00561F69">
        <w:rPr>
          <w:rFonts w:ascii="Times New Roman" w:hAnsi="Times New Roman" w:cs="Times New Roman"/>
          <w:sz w:val="24"/>
          <w:szCs w:val="24"/>
        </w:rPr>
        <w:t xml:space="preserve"> </w:t>
      </w:r>
    </w:p>
    <w:p w14:paraId="3D886076" w14:textId="0C0FD66D" w:rsidR="00712E06" w:rsidRPr="00561F69" w:rsidRDefault="003461CF" w:rsidP="00536503">
      <w:pPr>
        <w:spacing w:after="0"/>
        <w:rPr>
          <w:rFonts w:ascii="Times New Roman" w:hAnsi="Times New Roman" w:cs="Times New Roman"/>
          <w:sz w:val="24"/>
          <w:szCs w:val="24"/>
        </w:rPr>
      </w:pPr>
      <w:r w:rsidRPr="00561F69">
        <w:rPr>
          <w:rFonts w:ascii="Times New Roman" w:hAnsi="Times New Roman" w:cs="Times New Roman"/>
          <w:sz w:val="24"/>
          <w:szCs w:val="24"/>
        </w:rPr>
        <w:t>Porém, antes de apresentarmos os resultados obtidos sobre o assunto, por meio da revisão de literatura executada até aqui, faz-se indispensável apresentarmos brevemente ao leitor as principais definições em torno d</w:t>
      </w:r>
      <w:r w:rsidR="00DB025F">
        <w:rPr>
          <w:rFonts w:ascii="Times New Roman" w:hAnsi="Times New Roman" w:cs="Times New Roman"/>
          <w:sz w:val="24"/>
          <w:szCs w:val="24"/>
        </w:rPr>
        <w:t>o</w:t>
      </w:r>
      <w:r w:rsidRPr="00561F69">
        <w:rPr>
          <w:rFonts w:ascii="Times New Roman" w:hAnsi="Times New Roman" w:cs="Times New Roman"/>
          <w:sz w:val="24"/>
          <w:szCs w:val="24"/>
        </w:rPr>
        <w:t xml:space="preserve"> LRDH, </w:t>
      </w:r>
      <w:r w:rsidR="002941DC">
        <w:rPr>
          <w:rFonts w:ascii="Times New Roman" w:hAnsi="Times New Roman" w:cs="Times New Roman"/>
          <w:sz w:val="24"/>
          <w:szCs w:val="24"/>
        </w:rPr>
        <w:t xml:space="preserve">momento </w:t>
      </w:r>
      <w:r w:rsidR="00243708">
        <w:rPr>
          <w:rFonts w:ascii="Times New Roman" w:hAnsi="Times New Roman" w:cs="Times New Roman"/>
          <w:sz w:val="24"/>
          <w:szCs w:val="24"/>
        </w:rPr>
        <w:t>n</w:t>
      </w:r>
      <w:r w:rsidR="002941DC">
        <w:rPr>
          <w:rFonts w:ascii="Times New Roman" w:hAnsi="Times New Roman" w:cs="Times New Roman"/>
          <w:sz w:val="24"/>
          <w:szCs w:val="24"/>
        </w:rPr>
        <w:t>o</w:t>
      </w:r>
      <w:r w:rsidR="00243708">
        <w:rPr>
          <w:rFonts w:ascii="Times New Roman" w:hAnsi="Times New Roman" w:cs="Times New Roman"/>
          <w:sz w:val="24"/>
          <w:szCs w:val="24"/>
        </w:rPr>
        <w:t xml:space="preserve"> qual também </w:t>
      </w:r>
      <w:r w:rsidRPr="00561F69">
        <w:rPr>
          <w:rFonts w:ascii="Times New Roman" w:hAnsi="Times New Roman" w:cs="Times New Roman"/>
          <w:sz w:val="24"/>
          <w:szCs w:val="24"/>
        </w:rPr>
        <w:t>apresenta</w:t>
      </w:r>
      <w:r w:rsidR="00DB025F">
        <w:rPr>
          <w:rFonts w:ascii="Times New Roman" w:hAnsi="Times New Roman" w:cs="Times New Roman"/>
          <w:sz w:val="24"/>
          <w:szCs w:val="24"/>
        </w:rPr>
        <w:t>remos</w:t>
      </w:r>
      <w:r w:rsidRPr="00561F69">
        <w:rPr>
          <w:rFonts w:ascii="Times New Roman" w:hAnsi="Times New Roman" w:cs="Times New Roman"/>
          <w:sz w:val="24"/>
          <w:szCs w:val="24"/>
        </w:rPr>
        <w:t xml:space="preserve"> os diálogos já realizados entre o tema das MC e seu uso como ferramenta da LEDH.</w:t>
      </w:r>
    </w:p>
    <w:p w14:paraId="33E973F2" w14:textId="6475A369" w:rsidR="00712E06" w:rsidRPr="00561F69" w:rsidRDefault="00712E06" w:rsidP="0018503D">
      <w:pPr>
        <w:spacing w:after="0"/>
        <w:rPr>
          <w:rFonts w:ascii="Times New Roman" w:eastAsia="Times New Roman" w:hAnsi="Times New Roman" w:cs="Times New Roman"/>
          <w:sz w:val="24"/>
          <w:szCs w:val="24"/>
        </w:rPr>
      </w:pPr>
      <w:r w:rsidRPr="00561F69">
        <w:rPr>
          <w:rFonts w:ascii="Times New Roman" w:hAnsi="Times New Roman" w:cs="Times New Roman"/>
          <w:sz w:val="24"/>
          <w:szCs w:val="24"/>
        </w:rPr>
        <w:t xml:space="preserve"> </w:t>
      </w:r>
      <w:r w:rsidRPr="00561F69">
        <w:rPr>
          <w:rFonts w:ascii="Times New Roman" w:eastAsia="Times New Roman" w:hAnsi="Times New Roman" w:cs="Times New Roman"/>
          <w:sz w:val="24"/>
          <w:szCs w:val="24"/>
        </w:rPr>
        <w:t>O LEDH é identificado por meio de ações e atividades judiciais que possuem o objetivo de garantir a justiciabilidade dos direitos humanos entre as instâncias nacionais ou internacionais, para que seja possível avançar na modificação estrutural das normas e procedimentos de direito interno, com a finalidade de promover a realização de mudanças legais com modificações sociais extensas</w:t>
      </w:r>
      <w:r w:rsidR="00D00366">
        <w:rPr>
          <w:rFonts w:ascii="Times New Roman" w:eastAsia="Times New Roman" w:hAnsi="Times New Roman" w:cs="Times New Roman"/>
          <w:sz w:val="24"/>
          <w:szCs w:val="24"/>
        </w:rPr>
        <w:t xml:space="preserve"> </w:t>
      </w:r>
      <w:r w:rsidR="00D00366" w:rsidRPr="00561F69">
        <w:rPr>
          <w:rFonts w:ascii="Times New Roman" w:eastAsia="Times New Roman" w:hAnsi="Times New Roman" w:cs="Times New Roman"/>
          <w:sz w:val="24"/>
          <w:szCs w:val="24"/>
        </w:rPr>
        <w:t>(CONTRERAS;</w:t>
      </w:r>
      <w:r w:rsidR="00D00366" w:rsidRPr="00561F69">
        <w:rPr>
          <w:rFonts w:ascii="Times New Roman" w:hAnsi="Times New Roman" w:cs="Times New Roman"/>
          <w:sz w:val="24"/>
          <w:szCs w:val="24"/>
        </w:rPr>
        <w:t xml:space="preserve"> COVELI; CANTÚ,</w:t>
      </w:r>
      <w:r w:rsidR="00D00366" w:rsidRPr="00561F69">
        <w:rPr>
          <w:rFonts w:ascii="Times New Roman" w:eastAsia="Times New Roman" w:hAnsi="Times New Roman" w:cs="Times New Roman"/>
          <w:sz w:val="24"/>
          <w:szCs w:val="24"/>
        </w:rPr>
        <w:t xml:space="preserve"> 2011; DUFFY, 2018; NOVAK, 2020)</w:t>
      </w:r>
      <w:r w:rsidRPr="00561F69">
        <w:rPr>
          <w:rFonts w:ascii="Times New Roman" w:eastAsia="Times New Roman" w:hAnsi="Times New Roman" w:cs="Times New Roman"/>
          <w:sz w:val="24"/>
          <w:szCs w:val="24"/>
        </w:rPr>
        <w:t>. Dessa forma, o litígio estratégico também pode ser utilizado como mecanismo que gera o cumprimento interno de normas de direito internacional dos direitos humanos (</w:t>
      </w:r>
      <w:r w:rsidR="0029187C" w:rsidRPr="00561F69">
        <w:rPr>
          <w:rFonts w:ascii="Times New Roman" w:eastAsia="Times New Roman" w:hAnsi="Times New Roman" w:cs="Times New Roman"/>
          <w:sz w:val="24"/>
          <w:szCs w:val="24"/>
        </w:rPr>
        <w:t>CONTRERAS;</w:t>
      </w:r>
      <w:r w:rsidR="0029187C" w:rsidRPr="00561F69">
        <w:rPr>
          <w:rFonts w:ascii="Times New Roman" w:hAnsi="Times New Roman" w:cs="Times New Roman"/>
          <w:sz w:val="24"/>
          <w:szCs w:val="24"/>
        </w:rPr>
        <w:t xml:space="preserve"> COVELI; CANTÚ,</w:t>
      </w:r>
      <w:r w:rsidR="0029187C" w:rsidRPr="00561F69">
        <w:rPr>
          <w:rFonts w:ascii="Times New Roman" w:eastAsia="Times New Roman" w:hAnsi="Times New Roman" w:cs="Times New Roman"/>
          <w:sz w:val="24"/>
          <w:szCs w:val="24"/>
        </w:rPr>
        <w:t xml:space="preserve"> 2011</w:t>
      </w:r>
      <w:r w:rsidR="00D00366">
        <w:rPr>
          <w:rFonts w:ascii="Times New Roman" w:eastAsia="Times New Roman" w:hAnsi="Times New Roman" w:cs="Times New Roman"/>
          <w:sz w:val="24"/>
          <w:szCs w:val="24"/>
        </w:rPr>
        <w:t>).</w:t>
      </w:r>
    </w:p>
    <w:p w14:paraId="4109B630" w14:textId="77777777" w:rsidR="001C277C" w:rsidRDefault="001C277C" w:rsidP="00E6478D">
      <w:pPr>
        <w:spacing w:after="0"/>
        <w:rPr>
          <w:rFonts w:ascii="Times New Roman" w:eastAsia="Times New Roman" w:hAnsi="Times New Roman" w:cs="Times New Roman"/>
          <w:sz w:val="24"/>
          <w:szCs w:val="24"/>
        </w:rPr>
      </w:pPr>
    </w:p>
    <w:p w14:paraId="6E675856" w14:textId="77777777" w:rsidR="001C277C" w:rsidRDefault="001C277C" w:rsidP="00E6478D">
      <w:pPr>
        <w:spacing w:after="0"/>
        <w:rPr>
          <w:rFonts w:ascii="Times New Roman" w:eastAsia="Times New Roman" w:hAnsi="Times New Roman" w:cs="Times New Roman"/>
          <w:sz w:val="24"/>
          <w:szCs w:val="24"/>
        </w:rPr>
      </w:pPr>
    </w:p>
    <w:p w14:paraId="2FB26F97" w14:textId="600D3F8F" w:rsidR="00712E06" w:rsidRPr="00561F69" w:rsidRDefault="00712E06" w:rsidP="0024505E">
      <w:pPr>
        <w:spacing w:after="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Nesse sentido, o </w:t>
      </w:r>
      <w:r w:rsidR="00012F62">
        <w:rPr>
          <w:rFonts w:ascii="Times New Roman" w:eastAsia="Times New Roman" w:hAnsi="Times New Roman" w:cs="Times New Roman"/>
          <w:sz w:val="24"/>
          <w:szCs w:val="24"/>
        </w:rPr>
        <w:t xml:space="preserve">LEDH </w:t>
      </w:r>
      <w:r w:rsidRPr="00561F69">
        <w:rPr>
          <w:rFonts w:ascii="Times New Roman" w:eastAsia="Times New Roman" w:hAnsi="Times New Roman" w:cs="Times New Roman"/>
          <w:sz w:val="24"/>
          <w:szCs w:val="24"/>
        </w:rPr>
        <w:t xml:space="preserve">tem sido utilizado de maneira inovadora em espaços acadêmicos e não governamentais do continente, a exemplo da utilização deste mecanismo por Clínicas Jurídicas </w:t>
      </w:r>
      <w:r w:rsidR="00012F62">
        <w:rPr>
          <w:rFonts w:ascii="Times New Roman" w:eastAsia="Times New Roman" w:hAnsi="Times New Roman" w:cs="Times New Roman"/>
          <w:sz w:val="24"/>
          <w:szCs w:val="24"/>
        </w:rPr>
        <w:t xml:space="preserve">vinculadas à </w:t>
      </w:r>
      <w:r w:rsidRPr="00561F69">
        <w:rPr>
          <w:rFonts w:ascii="Times New Roman" w:eastAsia="Times New Roman" w:hAnsi="Times New Roman" w:cs="Times New Roman"/>
          <w:sz w:val="24"/>
          <w:szCs w:val="24"/>
        </w:rPr>
        <w:t xml:space="preserve">Universidades e </w:t>
      </w:r>
      <w:r w:rsidR="00012F62">
        <w:rPr>
          <w:rFonts w:ascii="Times New Roman" w:eastAsia="Times New Roman" w:hAnsi="Times New Roman" w:cs="Times New Roman"/>
          <w:sz w:val="24"/>
          <w:szCs w:val="24"/>
        </w:rPr>
        <w:t xml:space="preserve">por </w:t>
      </w:r>
      <w:r w:rsidRPr="00561F69">
        <w:rPr>
          <w:rFonts w:ascii="Times New Roman" w:eastAsia="Times New Roman" w:hAnsi="Times New Roman" w:cs="Times New Roman"/>
          <w:sz w:val="24"/>
          <w:szCs w:val="24"/>
        </w:rPr>
        <w:t xml:space="preserve">organizações não governamentais que </w:t>
      </w:r>
      <w:r w:rsidR="00370FF0">
        <w:rPr>
          <w:rFonts w:ascii="Times New Roman" w:eastAsia="Times New Roman" w:hAnsi="Times New Roman" w:cs="Times New Roman"/>
          <w:sz w:val="24"/>
          <w:szCs w:val="24"/>
        </w:rPr>
        <w:t xml:space="preserve">lançam mão da </w:t>
      </w:r>
      <w:r w:rsidRPr="00561F69">
        <w:rPr>
          <w:rFonts w:ascii="Times New Roman" w:eastAsia="Times New Roman" w:hAnsi="Times New Roman" w:cs="Times New Roman"/>
          <w:sz w:val="24"/>
          <w:szCs w:val="24"/>
        </w:rPr>
        <w:t>litigância estratégica como ferramenta para a luta por proteção aos direitos humanos (CONTRERAS;</w:t>
      </w:r>
      <w:r w:rsidRPr="00561F69">
        <w:rPr>
          <w:rFonts w:ascii="Times New Roman" w:hAnsi="Times New Roman" w:cs="Times New Roman"/>
          <w:sz w:val="24"/>
          <w:szCs w:val="24"/>
        </w:rPr>
        <w:t xml:space="preserve"> COVELI; CANTÚ</w:t>
      </w:r>
      <w:r w:rsidRPr="00561F69">
        <w:rPr>
          <w:rFonts w:ascii="Times New Roman" w:eastAsia="Times New Roman" w:hAnsi="Times New Roman" w:cs="Times New Roman"/>
          <w:sz w:val="24"/>
          <w:szCs w:val="24"/>
        </w:rPr>
        <w:t xml:space="preserve">, 2011). </w:t>
      </w:r>
      <w:r w:rsidR="0056179D">
        <w:rPr>
          <w:rFonts w:ascii="Times New Roman" w:eastAsia="Times New Roman" w:hAnsi="Times New Roman" w:cs="Times New Roman"/>
          <w:sz w:val="24"/>
          <w:szCs w:val="24"/>
        </w:rPr>
        <w:t>Os estudos em torno do LEDH demostram que o</w:t>
      </w:r>
      <w:r w:rsidRPr="00561F69">
        <w:rPr>
          <w:rFonts w:ascii="Times New Roman" w:eastAsia="Times New Roman" w:hAnsi="Times New Roman" w:cs="Times New Roman"/>
          <w:sz w:val="24"/>
          <w:szCs w:val="24"/>
        </w:rPr>
        <w:t xml:space="preserve"> direito tem sido utilizado como principal instrumento de mudanças</w:t>
      </w:r>
      <w:r w:rsidR="0056179D">
        <w:rPr>
          <w:rFonts w:ascii="Times New Roman" w:eastAsia="Times New Roman" w:hAnsi="Times New Roman" w:cs="Times New Roman"/>
          <w:sz w:val="24"/>
          <w:szCs w:val="24"/>
        </w:rPr>
        <w:t xml:space="preserve"> para a promoção e proteção </w:t>
      </w:r>
      <w:r w:rsidR="0056179D">
        <w:rPr>
          <w:rFonts w:ascii="Times New Roman" w:eastAsia="Times New Roman" w:hAnsi="Times New Roman" w:cs="Times New Roman"/>
          <w:sz w:val="24"/>
          <w:szCs w:val="24"/>
        </w:rPr>
        <w:lastRenderedPageBreak/>
        <w:t>dos direitos humanos</w:t>
      </w:r>
      <w:r w:rsidRPr="00561F69">
        <w:rPr>
          <w:rFonts w:ascii="Times New Roman" w:eastAsia="Times New Roman" w:hAnsi="Times New Roman" w:cs="Times New Roman"/>
          <w:sz w:val="24"/>
          <w:szCs w:val="24"/>
        </w:rPr>
        <w:t>, mas não de forma exclusiva</w:t>
      </w:r>
      <w:r w:rsidR="0024505E">
        <w:rPr>
          <w:rFonts w:ascii="Times New Roman" w:eastAsia="Times New Roman" w:hAnsi="Times New Roman" w:cs="Times New Roman"/>
          <w:sz w:val="24"/>
          <w:szCs w:val="24"/>
        </w:rPr>
        <w:t xml:space="preserve">; a adição de etapas não vinculadas ao poder judiciário na litigância em torno </w:t>
      </w:r>
      <w:r w:rsidRPr="00561F69">
        <w:rPr>
          <w:rFonts w:ascii="Times New Roman" w:eastAsia="Times New Roman" w:hAnsi="Times New Roman" w:cs="Times New Roman"/>
          <w:sz w:val="24"/>
          <w:szCs w:val="24"/>
        </w:rPr>
        <w:t xml:space="preserve">do caso concreto em análise </w:t>
      </w:r>
      <w:r w:rsidR="0024505E">
        <w:rPr>
          <w:rFonts w:ascii="Times New Roman" w:eastAsia="Times New Roman" w:hAnsi="Times New Roman" w:cs="Times New Roman"/>
          <w:sz w:val="24"/>
          <w:szCs w:val="24"/>
        </w:rPr>
        <w:t>demostraram impactos positivos na tramitação da demanda</w:t>
      </w:r>
      <w:r w:rsidR="00D408D2">
        <w:rPr>
          <w:rFonts w:ascii="Times New Roman" w:eastAsia="Times New Roman" w:hAnsi="Times New Roman" w:cs="Times New Roman"/>
          <w:sz w:val="24"/>
          <w:szCs w:val="24"/>
        </w:rPr>
        <w:t xml:space="preserve"> e, posteriormente, na fase da implementação da decisão judicial</w:t>
      </w:r>
      <w:r w:rsidR="0024505E">
        <w:rPr>
          <w:rFonts w:ascii="Times New Roman" w:eastAsia="Times New Roman" w:hAnsi="Times New Roman" w:cs="Times New Roman"/>
          <w:sz w:val="24"/>
          <w:szCs w:val="24"/>
        </w:rPr>
        <w:t xml:space="preserve"> (DUFFY, 2018).</w:t>
      </w:r>
    </w:p>
    <w:p w14:paraId="3088496C" w14:textId="77777777" w:rsidR="00271426" w:rsidRDefault="00712E06" w:rsidP="0070571E">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 Para que isso ocorra, é necessária a criação de um plano de litígio estratégico dividido em etapas, com objetivos consolidados</w:t>
      </w:r>
      <w:r w:rsidR="00A65073" w:rsidRPr="00561F69">
        <w:rPr>
          <w:rFonts w:ascii="Times New Roman" w:eastAsia="Times New Roman" w:hAnsi="Times New Roman" w:cs="Times New Roman"/>
          <w:sz w:val="24"/>
          <w:szCs w:val="24"/>
        </w:rPr>
        <w:t xml:space="preserve">, </w:t>
      </w:r>
      <w:r w:rsidR="004A7B12" w:rsidRPr="00561F69">
        <w:rPr>
          <w:rFonts w:ascii="Times New Roman" w:eastAsia="Times New Roman" w:hAnsi="Times New Roman" w:cs="Times New Roman"/>
          <w:sz w:val="24"/>
          <w:szCs w:val="24"/>
        </w:rPr>
        <w:t>de modo que seu impacto em torno das instituições do judiciário interno seja maximizado</w:t>
      </w:r>
      <w:r w:rsidR="00271426">
        <w:rPr>
          <w:rFonts w:ascii="Times New Roman" w:eastAsia="Times New Roman" w:hAnsi="Times New Roman" w:cs="Times New Roman"/>
          <w:sz w:val="24"/>
          <w:szCs w:val="24"/>
        </w:rPr>
        <w:t>, ao mesmo passo em que a sociedade civil em geral seja sensibilizada e mobilizada em torno do caso</w:t>
      </w:r>
      <w:r w:rsidR="004A7B12" w:rsidRPr="00561F69">
        <w:rPr>
          <w:rFonts w:ascii="Times New Roman" w:eastAsia="Times New Roman" w:hAnsi="Times New Roman" w:cs="Times New Roman"/>
          <w:sz w:val="24"/>
          <w:szCs w:val="24"/>
        </w:rPr>
        <w:t xml:space="preserve"> </w:t>
      </w:r>
      <w:r w:rsidR="00A65073" w:rsidRPr="00561F69">
        <w:rPr>
          <w:rFonts w:ascii="Times New Roman" w:eastAsia="Times New Roman" w:hAnsi="Times New Roman" w:cs="Times New Roman"/>
          <w:sz w:val="24"/>
          <w:szCs w:val="24"/>
        </w:rPr>
        <w:t>(DUFFY, 2018)</w:t>
      </w:r>
      <w:r w:rsidRPr="00561F69">
        <w:rPr>
          <w:rFonts w:ascii="Times New Roman" w:eastAsia="Times New Roman" w:hAnsi="Times New Roman" w:cs="Times New Roman"/>
          <w:sz w:val="24"/>
          <w:szCs w:val="24"/>
        </w:rPr>
        <w:t xml:space="preserve">. </w:t>
      </w:r>
      <w:r w:rsidR="004A7B12" w:rsidRPr="00561F69">
        <w:rPr>
          <w:rFonts w:ascii="Times New Roman" w:eastAsia="Times New Roman" w:hAnsi="Times New Roman" w:cs="Times New Roman"/>
          <w:sz w:val="24"/>
          <w:szCs w:val="24"/>
        </w:rPr>
        <w:t xml:space="preserve">Para esta discussão, traz-se as fases identificadas pela Comissão Mexicana de Defesa e Promoção dos Direitos Humanos, as quais </w:t>
      </w:r>
      <w:r w:rsidRPr="00561F69">
        <w:rPr>
          <w:rFonts w:ascii="Times New Roman" w:eastAsia="Times New Roman" w:hAnsi="Times New Roman" w:cs="Times New Roman"/>
          <w:sz w:val="24"/>
          <w:szCs w:val="24"/>
        </w:rPr>
        <w:t xml:space="preserve">podem ser seguidas para a construção de um </w:t>
      </w:r>
      <w:r w:rsidR="004A7B12" w:rsidRPr="00561F69">
        <w:rPr>
          <w:rFonts w:ascii="Times New Roman" w:eastAsia="Times New Roman" w:hAnsi="Times New Roman" w:cs="Times New Roman"/>
          <w:sz w:val="24"/>
          <w:szCs w:val="24"/>
        </w:rPr>
        <w:t>LEDH</w:t>
      </w:r>
      <w:r w:rsidR="00271426">
        <w:rPr>
          <w:rFonts w:ascii="Times New Roman" w:eastAsia="Times New Roman" w:hAnsi="Times New Roman" w:cs="Times New Roman"/>
          <w:sz w:val="24"/>
          <w:szCs w:val="24"/>
        </w:rPr>
        <w:t xml:space="preserve">, passamos a identificá-las. </w:t>
      </w:r>
      <w:r w:rsidR="004A7B12" w:rsidRPr="00561F69">
        <w:rPr>
          <w:rFonts w:ascii="Times New Roman" w:eastAsia="Times New Roman" w:hAnsi="Times New Roman" w:cs="Times New Roman"/>
          <w:sz w:val="24"/>
          <w:szCs w:val="24"/>
        </w:rPr>
        <w:t xml:space="preserve"> </w:t>
      </w:r>
    </w:p>
    <w:p w14:paraId="3661CED1" w14:textId="3EB13D45" w:rsidR="00712E06" w:rsidRPr="00561F69" w:rsidRDefault="00712E06" w:rsidP="0070571E">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A primeira </w:t>
      </w:r>
      <w:r w:rsidR="00297884" w:rsidRPr="00561F69">
        <w:rPr>
          <w:rFonts w:ascii="Times New Roman" w:eastAsia="Times New Roman" w:hAnsi="Times New Roman" w:cs="Times New Roman"/>
          <w:sz w:val="24"/>
          <w:szCs w:val="24"/>
        </w:rPr>
        <w:t>recomenda que os fatos e o contexto em torno da possível violação de Direitos Humanos sejam conhecidos de forma profunda pelos litigantes</w:t>
      </w:r>
      <w:r w:rsidRPr="00561F69">
        <w:rPr>
          <w:rFonts w:ascii="Times New Roman" w:eastAsia="Times New Roman" w:hAnsi="Times New Roman" w:cs="Times New Roman"/>
          <w:sz w:val="24"/>
          <w:szCs w:val="24"/>
        </w:rPr>
        <w:t>. É importante conhecer de forma ampla os sujeitos que necessitam da proteção</w:t>
      </w:r>
      <w:r w:rsidR="0070571E" w:rsidRPr="00561F69">
        <w:rPr>
          <w:rFonts w:ascii="Times New Roman" w:eastAsia="Times New Roman" w:hAnsi="Times New Roman" w:cs="Times New Roman"/>
          <w:sz w:val="24"/>
          <w:szCs w:val="24"/>
        </w:rPr>
        <w:t>, os fatos do caso, para que se possa chegar ao rol de direitos violados no caso</w:t>
      </w:r>
      <w:r w:rsidR="00527124" w:rsidRPr="00561F69">
        <w:rPr>
          <w:rFonts w:ascii="Times New Roman" w:eastAsia="Times New Roman" w:hAnsi="Times New Roman" w:cs="Times New Roman"/>
          <w:sz w:val="24"/>
          <w:szCs w:val="24"/>
        </w:rPr>
        <w:t xml:space="preserve"> (CONTRERAS;</w:t>
      </w:r>
      <w:r w:rsidR="00527124" w:rsidRPr="00561F69">
        <w:rPr>
          <w:rFonts w:ascii="Times New Roman" w:hAnsi="Times New Roman" w:cs="Times New Roman"/>
          <w:sz w:val="24"/>
          <w:szCs w:val="24"/>
        </w:rPr>
        <w:t xml:space="preserve"> COVELI; CANTÚ,</w:t>
      </w:r>
      <w:r w:rsidR="00527124" w:rsidRPr="00561F69">
        <w:rPr>
          <w:rFonts w:ascii="Times New Roman" w:eastAsia="Times New Roman" w:hAnsi="Times New Roman" w:cs="Times New Roman"/>
          <w:sz w:val="24"/>
          <w:szCs w:val="24"/>
        </w:rPr>
        <w:t xml:space="preserve"> 2011)</w:t>
      </w:r>
      <w:r w:rsidR="0070571E" w:rsidRPr="00561F69">
        <w:rPr>
          <w:rFonts w:ascii="Times New Roman" w:eastAsia="Times New Roman" w:hAnsi="Times New Roman" w:cs="Times New Roman"/>
          <w:sz w:val="24"/>
          <w:szCs w:val="24"/>
        </w:rPr>
        <w:t>.</w:t>
      </w:r>
    </w:p>
    <w:p w14:paraId="6148049C" w14:textId="6DC32D87" w:rsidR="00712E06" w:rsidRPr="00561F69" w:rsidRDefault="00712E06" w:rsidP="0070571E">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Em </w:t>
      </w:r>
      <w:r w:rsidR="0070571E" w:rsidRPr="00561F69">
        <w:rPr>
          <w:rFonts w:ascii="Times New Roman" w:eastAsia="Times New Roman" w:hAnsi="Times New Roman" w:cs="Times New Roman"/>
          <w:sz w:val="24"/>
          <w:szCs w:val="24"/>
        </w:rPr>
        <w:t xml:space="preserve">um </w:t>
      </w:r>
      <w:r w:rsidRPr="00561F69">
        <w:rPr>
          <w:rFonts w:ascii="Times New Roman" w:eastAsia="Times New Roman" w:hAnsi="Times New Roman" w:cs="Times New Roman"/>
          <w:sz w:val="24"/>
          <w:szCs w:val="24"/>
        </w:rPr>
        <w:t>segundo momento, deve-se realizar a análise de medidas estratégicas que podem levar a formação de precedentes judiciais favoráveis ao litígio, além de compreender as peculiaridades do caso em questão que podem ser utilizadas na construção da tutela judicial, nesse sentido, estudar a fundo os procedimentos internos que geram a proteção de direitos ou até mesmo a forma em que são produzidas as provas em um processo, são formas viáveis de entender o caminho para a construção do plano. Além de conhecer diversas formas paralelas à atividade judicial que possam ser utilizadas como mecanismo de movimentação internacional por meio da difusão e sensibilização do litígio em questão</w:t>
      </w:r>
      <w:r w:rsidR="00527124" w:rsidRPr="00561F69">
        <w:rPr>
          <w:rFonts w:ascii="Times New Roman" w:eastAsia="Times New Roman" w:hAnsi="Times New Roman" w:cs="Times New Roman"/>
          <w:sz w:val="24"/>
          <w:szCs w:val="24"/>
        </w:rPr>
        <w:t xml:space="preserve"> (CONTRERAS;</w:t>
      </w:r>
      <w:r w:rsidR="00527124" w:rsidRPr="00561F69">
        <w:rPr>
          <w:rFonts w:ascii="Times New Roman" w:hAnsi="Times New Roman" w:cs="Times New Roman"/>
          <w:sz w:val="24"/>
          <w:szCs w:val="24"/>
        </w:rPr>
        <w:t xml:space="preserve"> COVELI; CANTÚ,</w:t>
      </w:r>
      <w:r w:rsidR="00527124" w:rsidRPr="00561F69">
        <w:rPr>
          <w:rFonts w:ascii="Times New Roman" w:eastAsia="Times New Roman" w:hAnsi="Times New Roman" w:cs="Times New Roman"/>
          <w:sz w:val="24"/>
          <w:szCs w:val="24"/>
        </w:rPr>
        <w:t xml:space="preserve"> 2011)</w:t>
      </w:r>
      <w:r w:rsidRPr="00561F69">
        <w:rPr>
          <w:rFonts w:ascii="Times New Roman" w:eastAsia="Times New Roman" w:hAnsi="Times New Roman" w:cs="Times New Roman"/>
          <w:sz w:val="24"/>
          <w:szCs w:val="24"/>
        </w:rPr>
        <w:t xml:space="preserve">. </w:t>
      </w:r>
    </w:p>
    <w:p w14:paraId="72D86C15" w14:textId="77777777" w:rsidR="00271426" w:rsidRDefault="00712E06" w:rsidP="003461CF">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Após isso, para a proteção do direito em si, é essencial conhecer os elementos normativos que envolvem a proteção do direito em questão, precedentes judiciais e diversos documentos que possam ser úteis para o litígio. Nesta fase, é indispensável conhecer não </w:t>
      </w:r>
    </w:p>
    <w:p w14:paraId="5A9BD7DF" w14:textId="77777777" w:rsidR="00271426" w:rsidRDefault="00271426" w:rsidP="003461CF">
      <w:pPr>
        <w:spacing w:after="0"/>
        <w:ind w:firstLine="720"/>
        <w:rPr>
          <w:rFonts w:ascii="Times New Roman" w:eastAsia="Times New Roman" w:hAnsi="Times New Roman" w:cs="Times New Roman"/>
          <w:sz w:val="24"/>
          <w:szCs w:val="24"/>
        </w:rPr>
      </w:pPr>
    </w:p>
    <w:p w14:paraId="48642922" w14:textId="7DC52882" w:rsidR="006C2E62" w:rsidRPr="00561F69" w:rsidRDefault="00712E06" w:rsidP="00271426">
      <w:pPr>
        <w:spacing w:after="0"/>
        <w:ind w:firstLine="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somente as normas de direito internacional, mas também a Jurisprudência de Cortes Internacionais e elementos que podem ser confrontados com normas domésticas que não estão alinhados com os estândares internacionais. Caso as normas estejam em consonância, deve-se identificar o motivo que leva o não cumprimento da norma para o alcance de mudanças por meio da litigância estratégica</w:t>
      </w:r>
      <w:r w:rsidR="00527124" w:rsidRPr="00561F69">
        <w:rPr>
          <w:rFonts w:ascii="Times New Roman" w:eastAsia="Times New Roman" w:hAnsi="Times New Roman" w:cs="Times New Roman"/>
          <w:sz w:val="24"/>
          <w:szCs w:val="24"/>
        </w:rPr>
        <w:t xml:space="preserve"> (CONTRERAS;</w:t>
      </w:r>
      <w:r w:rsidR="00527124" w:rsidRPr="00561F69">
        <w:rPr>
          <w:rFonts w:ascii="Times New Roman" w:hAnsi="Times New Roman" w:cs="Times New Roman"/>
          <w:sz w:val="24"/>
          <w:szCs w:val="24"/>
        </w:rPr>
        <w:t xml:space="preserve"> COVELI; CANTÚ,</w:t>
      </w:r>
      <w:r w:rsidR="00527124" w:rsidRPr="00561F69">
        <w:rPr>
          <w:rFonts w:ascii="Times New Roman" w:eastAsia="Times New Roman" w:hAnsi="Times New Roman" w:cs="Times New Roman"/>
          <w:sz w:val="24"/>
          <w:szCs w:val="24"/>
        </w:rPr>
        <w:t xml:space="preserve"> 2011)</w:t>
      </w:r>
      <w:r w:rsidRPr="00561F69">
        <w:rPr>
          <w:rFonts w:ascii="Times New Roman" w:eastAsia="Times New Roman" w:hAnsi="Times New Roman" w:cs="Times New Roman"/>
          <w:sz w:val="24"/>
          <w:szCs w:val="24"/>
        </w:rPr>
        <w:t xml:space="preserve">. </w:t>
      </w:r>
    </w:p>
    <w:p w14:paraId="7ACD2034" w14:textId="5B4D18DD" w:rsidR="006C2E62" w:rsidRPr="00561F69" w:rsidRDefault="00712E06" w:rsidP="006C2E62">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lastRenderedPageBreak/>
        <w:t xml:space="preserve">Na fase posterior, </w:t>
      </w:r>
      <w:r w:rsidR="00424467">
        <w:rPr>
          <w:rFonts w:ascii="Times New Roman" w:eastAsia="Times New Roman" w:hAnsi="Times New Roman" w:cs="Times New Roman"/>
          <w:sz w:val="24"/>
          <w:szCs w:val="24"/>
        </w:rPr>
        <w:t xml:space="preserve">escolhe-se </w:t>
      </w:r>
      <w:r w:rsidRPr="00561F69">
        <w:rPr>
          <w:rFonts w:ascii="Times New Roman" w:eastAsia="Times New Roman" w:hAnsi="Times New Roman" w:cs="Times New Roman"/>
          <w:sz w:val="24"/>
          <w:szCs w:val="24"/>
        </w:rPr>
        <w:t>um caso paradigmático que seja estratégico para a litigância, seja por sua qualidade probatória, por esgotamento de recursos internos ou por peculiaridades concretas que permitam que o caso seja levado ao litígio nacional e internacional com êxito e relevância</w:t>
      </w:r>
      <w:r w:rsidR="00E312B8">
        <w:rPr>
          <w:rFonts w:ascii="Times New Roman" w:eastAsia="Times New Roman" w:hAnsi="Times New Roman" w:cs="Times New Roman"/>
          <w:sz w:val="24"/>
          <w:szCs w:val="24"/>
        </w:rPr>
        <w:t>, dada a qualidade dos argumentos jurídicos suscitados para o deferimento dos pedidos</w:t>
      </w:r>
      <w:r w:rsidRPr="00561F69">
        <w:rPr>
          <w:rFonts w:ascii="Times New Roman" w:eastAsia="Times New Roman" w:hAnsi="Times New Roman" w:cs="Times New Roman"/>
          <w:sz w:val="24"/>
          <w:szCs w:val="24"/>
        </w:rPr>
        <w:t>. Ademais, é necessária a avaliação sobre o contexto</w:t>
      </w:r>
      <w:r w:rsidR="004B7E76">
        <w:rPr>
          <w:rFonts w:ascii="Times New Roman" w:eastAsia="Times New Roman" w:hAnsi="Times New Roman" w:cs="Times New Roman"/>
          <w:sz w:val="24"/>
          <w:szCs w:val="24"/>
        </w:rPr>
        <w:t xml:space="preserve"> social e político</w:t>
      </w:r>
      <w:r w:rsidRPr="00561F69">
        <w:rPr>
          <w:rFonts w:ascii="Times New Roman" w:eastAsia="Times New Roman" w:hAnsi="Times New Roman" w:cs="Times New Roman"/>
          <w:sz w:val="24"/>
          <w:szCs w:val="24"/>
        </w:rPr>
        <w:t xml:space="preserve"> </w:t>
      </w:r>
      <w:r w:rsidR="004B7E76">
        <w:rPr>
          <w:rFonts w:ascii="Times New Roman" w:eastAsia="Times New Roman" w:hAnsi="Times New Roman" w:cs="Times New Roman"/>
          <w:sz w:val="24"/>
          <w:szCs w:val="24"/>
        </w:rPr>
        <w:t>no qual será conduzido o LEDH</w:t>
      </w:r>
      <w:r w:rsidRPr="00561F69">
        <w:rPr>
          <w:rFonts w:ascii="Times New Roman" w:eastAsia="Times New Roman" w:hAnsi="Times New Roman" w:cs="Times New Roman"/>
          <w:sz w:val="24"/>
          <w:szCs w:val="24"/>
        </w:rPr>
        <w:t>,</w:t>
      </w:r>
      <w:r w:rsidR="004B7E76">
        <w:rPr>
          <w:rFonts w:ascii="Times New Roman" w:eastAsia="Times New Roman" w:hAnsi="Times New Roman" w:cs="Times New Roman"/>
          <w:sz w:val="24"/>
          <w:szCs w:val="24"/>
        </w:rPr>
        <w:t xml:space="preserve"> com mapeamento dos principais atores envolvidos no caso, sobretudo àquele em face de quem se apresentará a demanda jurídica</w:t>
      </w:r>
      <w:r w:rsidR="00527124" w:rsidRPr="00561F69">
        <w:rPr>
          <w:rFonts w:ascii="Times New Roman" w:eastAsia="Times New Roman" w:hAnsi="Times New Roman" w:cs="Times New Roman"/>
          <w:sz w:val="24"/>
          <w:szCs w:val="24"/>
        </w:rPr>
        <w:t xml:space="preserve"> (CONTRERAS;</w:t>
      </w:r>
      <w:r w:rsidR="00527124" w:rsidRPr="00561F69">
        <w:rPr>
          <w:rFonts w:ascii="Times New Roman" w:hAnsi="Times New Roman" w:cs="Times New Roman"/>
          <w:sz w:val="24"/>
          <w:szCs w:val="24"/>
        </w:rPr>
        <w:t xml:space="preserve"> COVELI; CANTÚ,</w:t>
      </w:r>
      <w:r w:rsidR="00527124" w:rsidRPr="00561F69">
        <w:rPr>
          <w:rFonts w:ascii="Times New Roman" w:eastAsia="Times New Roman" w:hAnsi="Times New Roman" w:cs="Times New Roman"/>
          <w:sz w:val="24"/>
          <w:szCs w:val="24"/>
        </w:rPr>
        <w:t xml:space="preserve"> 2011)</w:t>
      </w:r>
      <w:r w:rsidRPr="00561F69">
        <w:rPr>
          <w:rFonts w:ascii="Times New Roman" w:eastAsia="Times New Roman" w:hAnsi="Times New Roman" w:cs="Times New Roman"/>
          <w:sz w:val="24"/>
          <w:szCs w:val="24"/>
        </w:rPr>
        <w:t xml:space="preserve">. </w:t>
      </w:r>
    </w:p>
    <w:p w14:paraId="34A4379F" w14:textId="2EA1FBBE" w:rsidR="006C2E62" w:rsidRPr="00561F69" w:rsidRDefault="00712E06" w:rsidP="006C2E62">
      <w:pPr>
        <w:spacing w:after="0"/>
        <w:ind w:firstLine="72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 xml:space="preserve">Para que seja obtido o apoio da sociedade civil, o apoio dos meios de comunicação </w:t>
      </w:r>
      <w:r w:rsidR="003461CF" w:rsidRPr="00561F69">
        <w:rPr>
          <w:rFonts w:ascii="Times New Roman" w:eastAsia="Times New Roman" w:hAnsi="Times New Roman" w:cs="Times New Roman"/>
          <w:sz w:val="24"/>
          <w:szCs w:val="24"/>
        </w:rPr>
        <w:t xml:space="preserve">constitui-se como passo fundamental a ser logrado, posto que </w:t>
      </w:r>
      <w:r w:rsidR="00D0749A">
        <w:rPr>
          <w:rFonts w:ascii="Times New Roman" w:eastAsia="Times New Roman" w:hAnsi="Times New Roman" w:cs="Times New Roman"/>
          <w:sz w:val="24"/>
          <w:szCs w:val="24"/>
        </w:rPr>
        <w:t xml:space="preserve">(1) </w:t>
      </w:r>
      <w:r w:rsidR="003461CF" w:rsidRPr="00561F69">
        <w:rPr>
          <w:rFonts w:ascii="Times New Roman" w:eastAsia="Times New Roman" w:hAnsi="Times New Roman" w:cs="Times New Roman"/>
          <w:sz w:val="24"/>
          <w:szCs w:val="24"/>
        </w:rPr>
        <w:t>haverá a difusão da questão</w:t>
      </w:r>
      <w:r w:rsidR="00D0749A">
        <w:rPr>
          <w:rFonts w:ascii="Times New Roman" w:eastAsia="Times New Roman" w:hAnsi="Times New Roman" w:cs="Times New Roman"/>
          <w:sz w:val="24"/>
          <w:szCs w:val="24"/>
        </w:rPr>
        <w:t xml:space="preserve"> e (2) será uma </w:t>
      </w:r>
      <w:r w:rsidR="003461CF" w:rsidRPr="00561F69">
        <w:rPr>
          <w:rFonts w:ascii="Times New Roman" w:eastAsia="Times New Roman" w:hAnsi="Times New Roman" w:cs="Times New Roman"/>
          <w:sz w:val="24"/>
          <w:szCs w:val="24"/>
        </w:rPr>
        <w:t xml:space="preserve">forma de </w:t>
      </w:r>
      <w:r w:rsidR="00D0749A">
        <w:rPr>
          <w:rFonts w:ascii="Times New Roman" w:eastAsia="Times New Roman" w:hAnsi="Times New Roman" w:cs="Times New Roman"/>
          <w:sz w:val="24"/>
          <w:szCs w:val="24"/>
        </w:rPr>
        <w:t xml:space="preserve">serem veiculadas na sociedade civil </w:t>
      </w:r>
      <w:r w:rsidR="003461CF" w:rsidRPr="00561F69">
        <w:rPr>
          <w:rFonts w:ascii="Times New Roman" w:eastAsia="Times New Roman" w:hAnsi="Times New Roman" w:cs="Times New Roman"/>
          <w:sz w:val="24"/>
          <w:szCs w:val="24"/>
        </w:rPr>
        <w:t>todas as vers</w:t>
      </w:r>
      <w:r w:rsidR="00D0749A">
        <w:rPr>
          <w:rFonts w:ascii="Times New Roman" w:eastAsia="Times New Roman" w:hAnsi="Times New Roman" w:cs="Times New Roman"/>
          <w:sz w:val="24"/>
          <w:szCs w:val="24"/>
        </w:rPr>
        <w:t xml:space="preserve">ões em torno </w:t>
      </w:r>
      <w:r w:rsidR="003461CF" w:rsidRPr="00561F69">
        <w:rPr>
          <w:rFonts w:ascii="Times New Roman" w:eastAsia="Times New Roman" w:hAnsi="Times New Roman" w:cs="Times New Roman"/>
          <w:sz w:val="24"/>
          <w:szCs w:val="24"/>
        </w:rPr>
        <w:t xml:space="preserve">dos fatos. </w:t>
      </w:r>
      <w:r w:rsidRPr="00561F69">
        <w:rPr>
          <w:rFonts w:ascii="Times New Roman" w:eastAsia="Times New Roman" w:hAnsi="Times New Roman" w:cs="Times New Roman"/>
          <w:sz w:val="24"/>
          <w:szCs w:val="24"/>
        </w:rPr>
        <w:t xml:space="preserve">Por fim, </w:t>
      </w:r>
      <w:r w:rsidR="003461CF" w:rsidRPr="00561F69">
        <w:rPr>
          <w:rFonts w:ascii="Times New Roman" w:eastAsia="Times New Roman" w:hAnsi="Times New Roman" w:cs="Times New Roman"/>
          <w:sz w:val="24"/>
          <w:szCs w:val="24"/>
        </w:rPr>
        <w:t xml:space="preserve">é </w:t>
      </w:r>
      <w:r w:rsidRPr="00561F69">
        <w:rPr>
          <w:rFonts w:ascii="Times New Roman" w:eastAsia="Times New Roman" w:hAnsi="Times New Roman" w:cs="Times New Roman"/>
          <w:sz w:val="24"/>
          <w:szCs w:val="24"/>
        </w:rPr>
        <w:t>suscita</w:t>
      </w:r>
      <w:r w:rsidR="003461CF" w:rsidRPr="00561F69">
        <w:rPr>
          <w:rFonts w:ascii="Times New Roman" w:eastAsia="Times New Roman" w:hAnsi="Times New Roman" w:cs="Times New Roman"/>
          <w:sz w:val="24"/>
          <w:szCs w:val="24"/>
        </w:rPr>
        <w:t>da</w:t>
      </w:r>
      <w:r w:rsidRPr="00561F69">
        <w:rPr>
          <w:rFonts w:ascii="Times New Roman" w:eastAsia="Times New Roman" w:hAnsi="Times New Roman" w:cs="Times New Roman"/>
          <w:sz w:val="24"/>
          <w:szCs w:val="24"/>
        </w:rPr>
        <w:t xml:space="preserve"> a análise do </w:t>
      </w:r>
      <w:r w:rsidR="00EB0C1C">
        <w:rPr>
          <w:rFonts w:ascii="Times New Roman" w:eastAsia="Times New Roman" w:hAnsi="Times New Roman" w:cs="Times New Roman"/>
          <w:sz w:val="24"/>
          <w:szCs w:val="24"/>
        </w:rPr>
        <w:t>LEDH em produzir justiça</w:t>
      </w:r>
      <w:r w:rsidRPr="00561F69">
        <w:rPr>
          <w:rFonts w:ascii="Times New Roman" w:eastAsia="Times New Roman" w:hAnsi="Times New Roman" w:cs="Times New Roman"/>
          <w:sz w:val="24"/>
          <w:szCs w:val="24"/>
        </w:rPr>
        <w:t xml:space="preserve">, ou seja, </w:t>
      </w:r>
      <w:r w:rsidR="00EB0C1C">
        <w:rPr>
          <w:rFonts w:ascii="Times New Roman" w:eastAsia="Times New Roman" w:hAnsi="Times New Roman" w:cs="Times New Roman"/>
          <w:sz w:val="24"/>
          <w:szCs w:val="24"/>
        </w:rPr>
        <w:t xml:space="preserve">como ele pode </w:t>
      </w:r>
      <w:r w:rsidRPr="00561F69">
        <w:rPr>
          <w:rFonts w:ascii="Times New Roman" w:eastAsia="Times New Roman" w:hAnsi="Times New Roman" w:cs="Times New Roman"/>
          <w:sz w:val="24"/>
          <w:szCs w:val="24"/>
        </w:rPr>
        <w:t xml:space="preserve">modificar o pensamento </w:t>
      </w:r>
      <w:r w:rsidR="00EB0C1C">
        <w:rPr>
          <w:rFonts w:ascii="Times New Roman" w:eastAsia="Times New Roman" w:hAnsi="Times New Roman" w:cs="Times New Roman"/>
          <w:sz w:val="24"/>
          <w:szCs w:val="24"/>
        </w:rPr>
        <w:t xml:space="preserve">hegemônico em torno daquela questão de direitos humanos? Não </w:t>
      </w:r>
      <w:r w:rsidRPr="00561F69">
        <w:rPr>
          <w:rFonts w:ascii="Times New Roman" w:eastAsia="Times New Roman" w:hAnsi="Times New Roman" w:cs="Times New Roman"/>
          <w:sz w:val="24"/>
          <w:szCs w:val="24"/>
        </w:rPr>
        <w:t>apenas</w:t>
      </w:r>
      <w:r w:rsidR="00EB0C1C">
        <w:rPr>
          <w:rFonts w:ascii="Times New Roman" w:eastAsia="Times New Roman" w:hAnsi="Times New Roman" w:cs="Times New Roman"/>
          <w:sz w:val="24"/>
          <w:szCs w:val="24"/>
        </w:rPr>
        <w:t xml:space="preserve"> quanto a </w:t>
      </w:r>
      <w:r w:rsidRPr="00561F69">
        <w:rPr>
          <w:rFonts w:ascii="Times New Roman" w:eastAsia="Times New Roman" w:hAnsi="Times New Roman" w:cs="Times New Roman"/>
          <w:sz w:val="24"/>
          <w:szCs w:val="24"/>
        </w:rPr>
        <w:t>subsunção das normas</w:t>
      </w:r>
      <w:r w:rsidR="00EB0C1C">
        <w:rPr>
          <w:rFonts w:ascii="Times New Roman" w:eastAsia="Times New Roman" w:hAnsi="Times New Roman" w:cs="Times New Roman"/>
          <w:sz w:val="24"/>
          <w:szCs w:val="24"/>
        </w:rPr>
        <w:t xml:space="preserve"> jurídicas</w:t>
      </w:r>
      <w:r w:rsidRPr="00561F69">
        <w:rPr>
          <w:rFonts w:ascii="Times New Roman" w:eastAsia="Times New Roman" w:hAnsi="Times New Roman" w:cs="Times New Roman"/>
          <w:sz w:val="24"/>
          <w:szCs w:val="24"/>
        </w:rPr>
        <w:t xml:space="preserve"> ao caso, mas </w:t>
      </w:r>
      <w:r w:rsidR="00EB0C1C">
        <w:rPr>
          <w:rFonts w:ascii="Times New Roman" w:eastAsia="Times New Roman" w:hAnsi="Times New Roman" w:cs="Times New Roman"/>
          <w:sz w:val="24"/>
          <w:szCs w:val="24"/>
        </w:rPr>
        <w:t xml:space="preserve">também </w:t>
      </w:r>
      <w:r w:rsidRPr="00561F69">
        <w:rPr>
          <w:rFonts w:ascii="Times New Roman" w:eastAsia="Times New Roman" w:hAnsi="Times New Roman" w:cs="Times New Roman"/>
          <w:sz w:val="24"/>
          <w:szCs w:val="24"/>
        </w:rPr>
        <w:t xml:space="preserve">em aspecto </w:t>
      </w:r>
      <w:r w:rsidR="00EB0C1C">
        <w:rPr>
          <w:rFonts w:ascii="Times New Roman" w:eastAsia="Times New Roman" w:hAnsi="Times New Roman" w:cs="Times New Roman"/>
          <w:sz w:val="24"/>
          <w:szCs w:val="24"/>
        </w:rPr>
        <w:t xml:space="preserve">mais </w:t>
      </w:r>
      <w:r w:rsidRPr="00561F69">
        <w:rPr>
          <w:rFonts w:ascii="Times New Roman" w:eastAsia="Times New Roman" w:hAnsi="Times New Roman" w:cs="Times New Roman"/>
          <w:sz w:val="24"/>
          <w:szCs w:val="24"/>
        </w:rPr>
        <w:t xml:space="preserve">amplo </w:t>
      </w:r>
      <w:r w:rsidR="00EB0C1C">
        <w:rPr>
          <w:rFonts w:ascii="Times New Roman" w:eastAsia="Times New Roman" w:hAnsi="Times New Roman" w:cs="Times New Roman"/>
          <w:sz w:val="24"/>
          <w:szCs w:val="24"/>
        </w:rPr>
        <w:t xml:space="preserve">ao pensa-se sobre </w:t>
      </w:r>
      <w:r w:rsidR="00B31D34">
        <w:rPr>
          <w:rFonts w:ascii="Times New Roman" w:eastAsia="Times New Roman" w:hAnsi="Times New Roman" w:cs="Times New Roman"/>
          <w:sz w:val="24"/>
          <w:szCs w:val="24"/>
        </w:rPr>
        <w:t>as possibilidades</w:t>
      </w:r>
      <w:r w:rsidR="00EB0C1C">
        <w:rPr>
          <w:rFonts w:ascii="Times New Roman" w:eastAsia="Times New Roman" w:hAnsi="Times New Roman" w:cs="Times New Roman"/>
          <w:sz w:val="24"/>
          <w:szCs w:val="24"/>
        </w:rPr>
        <w:t xml:space="preserve"> de justiça social naquele seio social </w:t>
      </w:r>
      <w:r w:rsidR="00527124" w:rsidRPr="00561F69">
        <w:rPr>
          <w:rFonts w:ascii="Times New Roman" w:eastAsia="Times New Roman" w:hAnsi="Times New Roman" w:cs="Times New Roman"/>
          <w:sz w:val="24"/>
          <w:szCs w:val="24"/>
        </w:rPr>
        <w:t>(CONTRERAS;</w:t>
      </w:r>
      <w:r w:rsidR="00527124" w:rsidRPr="00561F69">
        <w:rPr>
          <w:rFonts w:ascii="Times New Roman" w:hAnsi="Times New Roman" w:cs="Times New Roman"/>
          <w:sz w:val="24"/>
          <w:szCs w:val="24"/>
        </w:rPr>
        <w:t xml:space="preserve"> COVELI; CANTÚ,</w:t>
      </w:r>
      <w:r w:rsidR="00527124" w:rsidRPr="00561F69">
        <w:rPr>
          <w:rFonts w:ascii="Times New Roman" w:eastAsia="Times New Roman" w:hAnsi="Times New Roman" w:cs="Times New Roman"/>
          <w:sz w:val="24"/>
          <w:szCs w:val="24"/>
        </w:rPr>
        <w:t xml:space="preserve"> 2011; DUFFY, 2018).</w:t>
      </w:r>
    </w:p>
    <w:p w14:paraId="7B3393BB" w14:textId="151F1493" w:rsidR="00712E06" w:rsidRPr="00561F69" w:rsidRDefault="00B3769E" w:rsidP="006C2E6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apertada </w:t>
      </w:r>
      <w:r w:rsidR="00850C1B">
        <w:rPr>
          <w:rFonts w:ascii="Times New Roman" w:eastAsia="Times New Roman" w:hAnsi="Times New Roman" w:cs="Times New Roman"/>
          <w:sz w:val="24"/>
          <w:szCs w:val="24"/>
        </w:rPr>
        <w:t xml:space="preserve">e não exaustiva </w:t>
      </w:r>
      <w:r>
        <w:rPr>
          <w:rFonts w:ascii="Times New Roman" w:eastAsia="Times New Roman" w:hAnsi="Times New Roman" w:cs="Times New Roman"/>
          <w:sz w:val="24"/>
          <w:szCs w:val="24"/>
        </w:rPr>
        <w:t>síntese</w:t>
      </w:r>
      <w:r w:rsidR="003461CF" w:rsidRPr="00561F69">
        <w:rPr>
          <w:rFonts w:ascii="Times New Roman" w:eastAsia="Times New Roman" w:hAnsi="Times New Roman" w:cs="Times New Roman"/>
          <w:sz w:val="24"/>
          <w:szCs w:val="24"/>
        </w:rPr>
        <w:t xml:space="preserve">, </w:t>
      </w:r>
      <w:r w:rsidR="00682AB9">
        <w:rPr>
          <w:rFonts w:ascii="Times New Roman" w:eastAsia="Times New Roman" w:hAnsi="Times New Roman" w:cs="Times New Roman"/>
          <w:sz w:val="24"/>
          <w:szCs w:val="24"/>
        </w:rPr>
        <w:t xml:space="preserve">identificou-se </w:t>
      </w:r>
      <w:r w:rsidR="003461CF" w:rsidRPr="00561F69">
        <w:rPr>
          <w:rFonts w:ascii="Times New Roman" w:eastAsia="Times New Roman" w:hAnsi="Times New Roman" w:cs="Times New Roman"/>
          <w:sz w:val="24"/>
          <w:szCs w:val="24"/>
        </w:rPr>
        <w:t>que a</w:t>
      </w:r>
      <w:r w:rsidR="00712E06" w:rsidRPr="00561F69">
        <w:rPr>
          <w:rFonts w:ascii="Times New Roman" w:eastAsia="Times New Roman" w:hAnsi="Times New Roman" w:cs="Times New Roman"/>
          <w:sz w:val="24"/>
          <w:szCs w:val="24"/>
        </w:rPr>
        <w:t xml:space="preserve"> solicitação d</w:t>
      </w:r>
      <w:r w:rsidR="003461CF" w:rsidRPr="00561F69">
        <w:rPr>
          <w:rFonts w:ascii="Times New Roman" w:eastAsia="Times New Roman" w:hAnsi="Times New Roman" w:cs="Times New Roman"/>
          <w:sz w:val="24"/>
          <w:szCs w:val="24"/>
        </w:rPr>
        <w:t xml:space="preserve">e MC perante a CIDH </w:t>
      </w:r>
      <w:r w:rsidR="00712E06" w:rsidRPr="00561F69">
        <w:rPr>
          <w:rFonts w:ascii="Times New Roman" w:eastAsia="Times New Roman" w:hAnsi="Times New Roman" w:cs="Times New Roman"/>
          <w:sz w:val="24"/>
          <w:szCs w:val="24"/>
        </w:rPr>
        <w:t xml:space="preserve">pode ser utilizada como </w:t>
      </w:r>
      <w:r w:rsidR="00B31D34">
        <w:rPr>
          <w:rFonts w:ascii="Times New Roman" w:eastAsia="Times New Roman" w:hAnsi="Times New Roman" w:cs="Times New Roman"/>
          <w:sz w:val="24"/>
          <w:szCs w:val="24"/>
        </w:rPr>
        <w:t>ferramenta n</w:t>
      </w:r>
      <w:r w:rsidR="00871575">
        <w:rPr>
          <w:rFonts w:ascii="Times New Roman" w:eastAsia="Times New Roman" w:hAnsi="Times New Roman" w:cs="Times New Roman"/>
          <w:sz w:val="24"/>
          <w:szCs w:val="24"/>
        </w:rPr>
        <w:t>as etapas que constituem o</w:t>
      </w:r>
      <w:r w:rsidR="00B31D34">
        <w:rPr>
          <w:rFonts w:ascii="Times New Roman" w:eastAsia="Times New Roman" w:hAnsi="Times New Roman" w:cs="Times New Roman"/>
          <w:sz w:val="24"/>
          <w:szCs w:val="24"/>
        </w:rPr>
        <w:t xml:space="preserve"> </w:t>
      </w:r>
      <w:r w:rsidR="006C2E62" w:rsidRPr="00561F69">
        <w:rPr>
          <w:rFonts w:ascii="Times New Roman" w:eastAsia="Times New Roman" w:hAnsi="Times New Roman" w:cs="Times New Roman"/>
          <w:sz w:val="24"/>
          <w:szCs w:val="24"/>
        </w:rPr>
        <w:t xml:space="preserve">LEDH </w:t>
      </w:r>
      <w:r w:rsidR="003461CF" w:rsidRPr="00561F69">
        <w:rPr>
          <w:rFonts w:ascii="Times New Roman" w:eastAsia="Times New Roman" w:hAnsi="Times New Roman" w:cs="Times New Roman"/>
          <w:sz w:val="24"/>
          <w:szCs w:val="24"/>
        </w:rPr>
        <w:t xml:space="preserve">posto que: (1) contribui para a internacionalização das discussões sobre a demanda, seja no âmbito social em geral ou, especificamente no </w:t>
      </w:r>
      <w:r w:rsidR="00871575">
        <w:rPr>
          <w:rFonts w:ascii="Times New Roman" w:eastAsia="Times New Roman" w:hAnsi="Times New Roman" w:cs="Times New Roman"/>
          <w:sz w:val="24"/>
          <w:szCs w:val="24"/>
        </w:rPr>
        <w:t xml:space="preserve">poder </w:t>
      </w:r>
      <w:r w:rsidR="003461CF" w:rsidRPr="00561F69">
        <w:rPr>
          <w:rFonts w:ascii="Times New Roman" w:eastAsia="Times New Roman" w:hAnsi="Times New Roman" w:cs="Times New Roman"/>
          <w:sz w:val="24"/>
          <w:szCs w:val="24"/>
        </w:rPr>
        <w:t xml:space="preserve">judiciário; (2) a concessão das MC </w:t>
      </w:r>
      <w:r w:rsidR="00712E06" w:rsidRPr="00561F69">
        <w:rPr>
          <w:rFonts w:ascii="Times New Roman" w:eastAsia="Times New Roman" w:hAnsi="Times New Roman" w:cs="Times New Roman"/>
          <w:sz w:val="24"/>
          <w:szCs w:val="24"/>
        </w:rPr>
        <w:t>coaduna</w:t>
      </w:r>
      <w:r w:rsidR="003461CF" w:rsidRPr="00561F69">
        <w:rPr>
          <w:rFonts w:ascii="Times New Roman" w:eastAsia="Times New Roman" w:hAnsi="Times New Roman" w:cs="Times New Roman"/>
          <w:sz w:val="24"/>
          <w:szCs w:val="24"/>
        </w:rPr>
        <w:t>-se</w:t>
      </w:r>
      <w:r w:rsidR="00712E06" w:rsidRPr="00561F69">
        <w:rPr>
          <w:rFonts w:ascii="Times New Roman" w:eastAsia="Times New Roman" w:hAnsi="Times New Roman" w:cs="Times New Roman"/>
          <w:sz w:val="24"/>
          <w:szCs w:val="24"/>
        </w:rPr>
        <w:t xml:space="preserve"> com o objetivo de potencializar a formação da consciência pública nacional e internacional sobre a proteção de direitos humanos</w:t>
      </w:r>
      <w:r w:rsidR="00871575">
        <w:rPr>
          <w:rFonts w:ascii="Times New Roman" w:eastAsia="Times New Roman" w:hAnsi="Times New Roman" w:cs="Times New Roman"/>
          <w:sz w:val="24"/>
          <w:szCs w:val="24"/>
        </w:rPr>
        <w:t xml:space="preserve"> do indivíduo ou grupo beneficiado</w:t>
      </w:r>
      <w:r w:rsidR="003461CF" w:rsidRPr="00561F69">
        <w:rPr>
          <w:rFonts w:ascii="Times New Roman" w:eastAsia="Times New Roman" w:hAnsi="Times New Roman" w:cs="Times New Roman"/>
          <w:sz w:val="24"/>
          <w:szCs w:val="24"/>
        </w:rPr>
        <w:t xml:space="preserve">; (3) </w:t>
      </w:r>
      <w:r w:rsidR="00712E06" w:rsidRPr="00561F69">
        <w:rPr>
          <w:rFonts w:ascii="Times New Roman" w:eastAsia="Times New Roman" w:hAnsi="Times New Roman" w:cs="Times New Roman"/>
          <w:sz w:val="24"/>
          <w:szCs w:val="24"/>
        </w:rPr>
        <w:t xml:space="preserve">podem formar movimentações diversas que pressionem a implementação de novas estruturas </w:t>
      </w:r>
      <w:r w:rsidR="003461CF" w:rsidRPr="00561F69">
        <w:rPr>
          <w:rFonts w:ascii="Times New Roman" w:eastAsia="Times New Roman" w:hAnsi="Times New Roman" w:cs="Times New Roman"/>
          <w:sz w:val="24"/>
          <w:szCs w:val="24"/>
        </w:rPr>
        <w:t>direcionadas a não repetição de determinada situação que expõem o jurisdicionado à risco</w:t>
      </w:r>
      <w:r w:rsidR="00871575">
        <w:rPr>
          <w:rFonts w:ascii="Times New Roman" w:eastAsia="Times New Roman" w:hAnsi="Times New Roman" w:cs="Times New Roman"/>
          <w:sz w:val="24"/>
          <w:szCs w:val="24"/>
        </w:rPr>
        <w:t xml:space="preserve"> de dano irreparável</w:t>
      </w:r>
      <w:r w:rsidR="003461CF" w:rsidRPr="00561F69">
        <w:rPr>
          <w:rFonts w:ascii="Times New Roman" w:eastAsia="Times New Roman" w:hAnsi="Times New Roman" w:cs="Times New Roman"/>
          <w:sz w:val="24"/>
          <w:szCs w:val="24"/>
        </w:rPr>
        <w:t>; e (4) se concedidas pela CIDH e acatadas pelo Estado, existe a possibilidade de reversão precoce d</w:t>
      </w:r>
      <w:r w:rsidR="00682AB9">
        <w:rPr>
          <w:rFonts w:ascii="Times New Roman" w:eastAsia="Times New Roman" w:hAnsi="Times New Roman" w:cs="Times New Roman"/>
          <w:sz w:val="24"/>
          <w:szCs w:val="24"/>
        </w:rPr>
        <w:t>e</w:t>
      </w:r>
      <w:r w:rsidR="003461CF" w:rsidRPr="00561F69">
        <w:rPr>
          <w:rFonts w:ascii="Times New Roman" w:eastAsia="Times New Roman" w:hAnsi="Times New Roman" w:cs="Times New Roman"/>
          <w:sz w:val="24"/>
          <w:szCs w:val="24"/>
        </w:rPr>
        <w:t xml:space="preserve"> violações em curso </w:t>
      </w:r>
      <w:r w:rsidR="00712E06" w:rsidRPr="00561F69">
        <w:rPr>
          <w:rFonts w:ascii="Times New Roman" w:eastAsia="Times New Roman" w:hAnsi="Times New Roman" w:cs="Times New Roman"/>
          <w:sz w:val="24"/>
          <w:szCs w:val="24"/>
        </w:rPr>
        <w:t>(</w:t>
      </w:r>
      <w:r w:rsidR="006C2E62" w:rsidRPr="00561F69">
        <w:rPr>
          <w:rFonts w:ascii="Times New Roman" w:eastAsia="Times New Roman" w:hAnsi="Times New Roman" w:cs="Times New Roman"/>
          <w:sz w:val="24"/>
          <w:szCs w:val="24"/>
        </w:rPr>
        <w:t>CONTRERAS;</w:t>
      </w:r>
      <w:r w:rsidR="006C2E62" w:rsidRPr="00561F69">
        <w:rPr>
          <w:rFonts w:ascii="Times New Roman" w:hAnsi="Times New Roman" w:cs="Times New Roman"/>
          <w:sz w:val="24"/>
          <w:szCs w:val="24"/>
        </w:rPr>
        <w:t xml:space="preserve"> COVELI; CANTÚ,</w:t>
      </w:r>
      <w:r w:rsidR="006C2E62" w:rsidRPr="00561F69">
        <w:rPr>
          <w:rFonts w:ascii="Times New Roman" w:eastAsia="Times New Roman" w:hAnsi="Times New Roman" w:cs="Times New Roman"/>
          <w:sz w:val="24"/>
          <w:szCs w:val="24"/>
        </w:rPr>
        <w:t xml:space="preserve"> 2011;</w:t>
      </w:r>
      <w:r w:rsidR="00D97D72" w:rsidRPr="00561F69">
        <w:rPr>
          <w:rFonts w:ascii="Times New Roman" w:eastAsia="Times New Roman" w:hAnsi="Times New Roman" w:cs="Times New Roman"/>
          <w:sz w:val="24"/>
          <w:szCs w:val="24"/>
        </w:rPr>
        <w:t xml:space="preserve"> </w:t>
      </w:r>
      <w:r w:rsidR="003461CF" w:rsidRPr="00561F69">
        <w:rPr>
          <w:rFonts w:ascii="Times New Roman" w:eastAsia="Times New Roman" w:hAnsi="Times New Roman" w:cs="Times New Roman"/>
          <w:sz w:val="24"/>
          <w:szCs w:val="24"/>
        </w:rPr>
        <w:t>DUFFY, 2018;</w:t>
      </w:r>
      <w:r w:rsidR="00527124" w:rsidRPr="00561F69">
        <w:rPr>
          <w:rFonts w:ascii="Times New Roman" w:eastAsia="Times New Roman" w:hAnsi="Times New Roman" w:cs="Times New Roman"/>
          <w:sz w:val="24"/>
          <w:szCs w:val="24"/>
        </w:rPr>
        <w:t xml:space="preserve"> </w:t>
      </w:r>
      <w:r w:rsidR="00237FF2">
        <w:rPr>
          <w:rFonts w:ascii="Times New Roman" w:eastAsia="Times New Roman" w:hAnsi="Times New Roman" w:cs="Times New Roman"/>
          <w:sz w:val="24"/>
          <w:szCs w:val="24"/>
        </w:rPr>
        <w:t xml:space="preserve">SALMÓN, 2019; </w:t>
      </w:r>
      <w:r w:rsidR="00527124" w:rsidRPr="00561F69">
        <w:rPr>
          <w:rStyle w:val="halyaf"/>
          <w:rFonts w:ascii="Times New Roman" w:hAnsi="Times New Roman" w:cs="Times New Roman"/>
          <w:sz w:val="24"/>
          <w:szCs w:val="24"/>
        </w:rPr>
        <w:t>BURBANO-HERRERA; HAECK</w:t>
      </w:r>
      <w:r w:rsidR="00712E06" w:rsidRPr="00561F69">
        <w:rPr>
          <w:rFonts w:ascii="Times New Roman" w:eastAsia="Times New Roman" w:hAnsi="Times New Roman" w:cs="Times New Roman"/>
          <w:sz w:val="24"/>
          <w:szCs w:val="24"/>
        </w:rPr>
        <w:t xml:space="preserve">, 2019). </w:t>
      </w:r>
    </w:p>
    <w:p w14:paraId="5DF90AC6" w14:textId="77777777" w:rsidR="003C61E2" w:rsidRDefault="003C61E2" w:rsidP="002733D5">
      <w:pPr>
        <w:spacing w:after="0"/>
        <w:rPr>
          <w:rFonts w:ascii="Times New Roman" w:eastAsia="Times New Roman" w:hAnsi="Times New Roman" w:cs="Times New Roman"/>
          <w:sz w:val="24"/>
          <w:szCs w:val="24"/>
        </w:rPr>
      </w:pPr>
    </w:p>
    <w:p w14:paraId="1AF8C770" w14:textId="5EED570D" w:rsidR="00E53B90" w:rsidRDefault="00DB6516" w:rsidP="002733D5">
      <w:pPr>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rPr>
        <w:t xml:space="preserve">Apesar das possibilidades oferecidas, faz-se importante pontuar as conclusões do estudo realizado por </w:t>
      </w:r>
      <w:r w:rsidR="002733D5" w:rsidRPr="00561F69">
        <w:rPr>
          <w:rStyle w:val="halyaf"/>
          <w:rFonts w:ascii="Times New Roman" w:hAnsi="Times New Roman" w:cs="Times New Roman"/>
          <w:sz w:val="24"/>
          <w:szCs w:val="24"/>
        </w:rPr>
        <w:t>BURBANO-HERRERA e HAECK (2019)</w:t>
      </w:r>
      <w:r>
        <w:rPr>
          <w:rStyle w:val="halyaf"/>
          <w:rFonts w:ascii="Times New Roman" w:hAnsi="Times New Roman" w:cs="Times New Roman"/>
          <w:sz w:val="24"/>
          <w:szCs w:val="24"/>
        </w:rPr>
        <w:t xml:space="preserve">, no qual são reunidas evidências sobre as fragilidades do uso das MC. Na citada investigação, avaliou-se </w:t>
      </w:r>
      <w:r w:rsidR="002733D5" w:rsidRPr="00561F69">
        <w:rPr>
          <w:rFonts w:ascii="Times New Roman" w:eastAsia="Times New Roman" w:hAnsi="Times New Roman" w:cs="Times New Roman"/>
          <w:sz w:val="24"/>
          <w:szCs w:val="24"/>
          <w:lang w:eastAsia="pt-BR"/>
        </w:rPr>
        <w:t xml:space="preserve">o cumprimento e os impactos das </w:t>
      </w:r>
      <w:r w:rsidR="00E475B6" w:rsidRPr="00561F69">
        <w:rPr>
          <w:rFonts w:ascii="Times New Roman" w:eastAsia="Times New Roman" w:hAnsi="Times New Roman" w:cs="Times New Roman"/>
          <w:sz w:val="24"/>
          <w:szCs w:val="24"/>
          <w:lang w:eastAsia="pt-BR"/>
        </w:rPr>
        <w:t xml:space="preserve">MC </w:t>
      </w:r>
      <w:r w:rsidR="002733D5" w:rsidRPr="00561F69">
        <w:rPr>
          <w:rFonts w:ascii="Times New Roman" w:eastAsia="Times New Roman" w:hAnsi="Times New Roman" w:cs="Times New Roman"/>
          <w:sz w:val="24"/>
          <w:szCs w:val="24"/>
          <w:lang w:eastAsia="pt-BR"/>
        </w:rPr>
        <w:t xml:space="preserve">com o intuito de compreender </w:t>
      </w:r>
      <w:r w:rsidR="00E475B6" w:rsidRPr="00561F69">
        <w:rPr>
          <w:rFonts w:ascii="Times New Roman" w:eastAsia="Times New Roman" w:hAnsi="Times New Roman" w:cs="Times New Roman"/>
          <w:sz w:val="24"/>
          <w:szCs w:val="24"/>
          <w:lang w:eastAsia="pt-BR"/>
        </w:rPr>
        <w:t xml:space="preserve">quais </w:t>
      </w:r>
      <w:r w:rsidR="002733D5" w:rsidRPr="00561F69">
        <w:rPr>
          <w:rFonts w:ascii="Times New Roman" w:eastAsia="Times New Roman" w:hAnsi="Times New Roman" w:cs="Times New Roman"/>
          <w:sz w:val="24"/>
          <w:szCs w:val="24"/>
          <w:lang w:eastAsia="pt-BR"/>
        </w:rPr>
        <w:t>as providências que os Estados toma</w:t>
      </w:r>
      <w:r>
        <w:rPr>
          <w:rFonts w:ascii="Times New Roman" w:eastAsia="Times New Roman" w:hAnsi="Times New Roman" w:cs="Times New Roman"/>
          <w:sz w:val="24"/>
          <w:szCs w:val="24"/>
          <w:lang w:eastAsia="pt-BR"/>
        </w:rPr>
        <w:t>ram</w:t>
      </w:r>
      <w:r w:rsidR="002733D5" w:rsidRPr="00561F69">
        <w:rPr>
          <w:rFonts w:ascii="Times New Roman" w:eastAsia="Times New Roman" w:hAnsi="Times New Roman" w:cs="Times New Roman"/>
          <w:sz w:val="24"/>
          <w:szCs w:val="24"/>
          <w:lang w:eastAsia="pt-BR"/>
        </w:rPr>
        <w:t xml:space="preserve"> para </w:t>
      </w:r>
      <w:r w:rsidR="00E53B90">
        <w:rPr>
          <w:rFonts w:ascii="Times New Roman" w:eastAsia="Times New Roman" w:hAnsi="Times New Roman" w:cs="Times New Roman"/>
          <w:sz w:val="24"/>
          <w:szCs w:val="24"/>
          <w:lang w:eastAsia="pt-BR"/>
        </w:rPr>
        <w:t xml:space="preserve">dar cumprimento às medidas outorgadas pela CIDH, </w:t>
      </w:r>
      <w:r w:rsidR="00E475B6" w:rsidRPr="00561F69">
        <w:rPr>
          <w:rFonts w:ascii="Times New Roman" w:eastAsia="Times New Roman" w:hAnsi="Times New Roman" w:cs="Times New Roman"/>
          <w:sz w:val="24"/>
          <w:szCs w:val="24"/>
          <w:lang w:eastAsia="pt-BR"/>
        </w:rPr>
        <w:t xml:space="preserve">bem como </w:t>
      </w:r>
      <w:r>
        <w:rPr>
          <w:rFonts w:ascii="Times New Roman" w:eastAsia="Times New Roman" w:hAnsi="Times New Roman" w:cs="Times New Roman"/>
          <w:sz w:val="24"/>
          <w:szCs w:val="24"/>
          <w:lang w:eastAsia="pt-BR"/>
        </w:rPr>
        <w:t xml:space="preserve">foram identificados </w:t>
      </w:r>
      <w:r w:rsidR="002733D5" w:rsidRPr="00561F69">
        <w:rPr>
          <w:rFonts w:ascii="Times New Roman" w:eastAsia="Times New Roman" w:hAnsi="Times New Roman" w:cs="Times New Roman"/>
          <w:sz w:val="24"/>
          <w:szCs w:val="24"/>
          <w:lang w:eastAsia="pt-BR"/>
        </w:rPr>
        <w:t xml:space="preserve">os efeitos que </w:t>
      </w:r>
      <w:r w:rsidR="002733D5" w:rsidRPr="00561F69">
        <w:rPr>
          <w:rFonts w:ascii="Times New Roman" w:eastAsia="Times New Roman" w:hAnsi="Times New Roman" w:cs="Times New Roman"/>
          <w:sz w:val="24"/>
          <w:szCs w:val="24"/>
          <w:lang w:eastAsia="pt-BR"/>
        </w:rPr>
        <w:lastRenderedPageBreak/>
        <w:t xml:space="preserve">as MC </w:t>
      </w:r>
      <w:r>
        <w:rPr>
          <w:rFonts w:ascii="Times New Roman" w:eastAsia="Times New Roman" w:hAnsi="Times New Roman" w:cs="Times New Roman"/>
          <w:sz w:val="24"/>
          <w:szCs w:val="24"/>
          <w:lang w:eastAsia="pt-BR"/>
        </w:rPr>
        <w:t xml:space="preserve">tiveram </w:t>
      </w:r>
      <w:r w:rsidR="002733D5" w:rsidRPr="00561F69">
        <w:rPr>
          <w:rFonts w:ascii="Times New Roman" w:eastAsia="Times New Roman" w:hAnsi="Times New Roman" w:cs="Times New Roman"/>
          <w:sz w:val="24"/>
          <w:szCs w:val="24"/>
          <w:lang w:eastAsia="pt-BR"/>
        </w:rPr>
        <w:t>sobre os beneficiários (impacto direto) e sobre a sociedade em geral (impacto indireto).</w:t>
      </w:r>
      <w:r w:rsidR="00E475B6" w:rsidRPr="00561F69">
        <w:rPr>
          <w:rFonts w:ascii="Times New Roman" w:eastAsia="Times New Roman" w:hAnsi="Times New Roman" w:cs="Times New Roman"/>
          <w:sz w:val="24"/>
          <w:szCs w:val="24"/>
          <w:lang w:eastAsia="pt-BR"/>
        </w:rPr>
        <w:t xml:space="preserve"> </w:t>
      </w:r>
    </w:p>
    <w:p w14:paraId="2950E88E" w14:textId="1660EB6C" w:rsidR="002733D5" w:rsidRDefault="00DB6516" w:rsidP="00E53B90">
      <w:pPr>
        <w:spacing w:after="0"/>
        <w:rPr>
          <w:rFonts w:ascii="Times New Roman" w:eastAsia="Times New Roman" w:hAnsi="Times New Roman" w:cs="Times New Roman"/>
          <w:sz w:val="24"/>
          <w:szCs w:val="24"/>
          <w:lang w:eastAsia="pt-BR"/>
        </w:rPr>
      </w:pPr>
      <w:r w:rsidRPr="00561F69">
        <w:rPr>
          <w:rStyle w:val="halyaf"/>
          <w:rFonts w:ascii="Times New Roman" w:hAnsi="Times New Roman" w:cs="Times New Roman"/>
          <w:sz w:val="24"/>
          <w:szCs w:val="24"/>
        </w:rPr>
        <w:t>BURBANO-HERRERA e HAECK (2019)</w:t>
      </w:r>
      <w:r>
        <w:rPr>
          <w:rStyle w:val="halyaf"/>
          <w:rFonts w:ascii="Times New Roman" w:hAnsi="Times New Roman" w:cs="Times New Roman"/>
          <w:sz w:val="24"/>
          <w:szCs w:val="24"/>
        </w:rPr>
        <w:t xml:space="preserve"> constataram desafios entraves relacionados </w:t>
      </w:r>
      <w:r w:rsidR="002733D5" w:rsidRPr="00561F69">
        <w:rPr>
          <w:rFonts w:ascii="Times New Roman" w:eastAsia="Times New Roman" w:hAnsi="Times New Roman" w:cs="Times New Roman"/>
          <w:sz w:val="24"/>
          <w:szCs w:val="24"/>
          <w:lang w:eastAsia="pt-BR"/>
        </w:rPr>
        <w:t xml:space="preserve">ao uso das MC enquanto uma ferramenta </w:t>
      </w:r>
      <w:r w:rsidR="00E475B6" w:rsidRPr="00561F69">
        <w:rPr>
          <w:rFonts w:ascii="Times New Roman" w:eastAsia="Times New Roman" w:hAnsi="Times New Roman" w:cs="Times New Roman"/>
          <w:sz w:val="24"/>
          <w:szCs w:val="24"/>
          <w:lang w:eastAsia="pt-BR"/>
        </w:rPr>
        <w:t xml:space="preserve">de </w:t>
      </w:r>
      <w:r w:rsidR="00E52529" w:rsidRPr="00561F69">
        <w:rPr>
          <w:rFonts w:ascii="Times New Roman" w:eastAsia="Times New Roman" w:hAnsi="Times New Roman" w:cs="Times New Roman"/>
          <w:sz w:val="24"/>
          <w:szCs w:val="24"/>
          <w:lang w:eastAsia="pt-BR"/>
        </w:rPr>
        <w:t xml:space="preserve">prevenção ou reversão precoce de violações de direitos humanos em curso. Dentre as razões, a morosidade dos Estados no envio de </w:t>
      </w:r>
      <w:r w:rsidR="002733D5" w:rsidRPr="00561F69">
        <w:rPr>
          <w:rFonts w:ascii="Times New Roman" w:eastAsia="Times New Roman" w:hAnsi="Times New Roman" w:cs="Times New Roman"/>
          <w:sz w:val="24"/>
          <w:szCs w:val="24"/>
          <w:lang w:eastAsia="pt-BR"/>
        </w:rPr>
        <w:t xml:space="preserve">informações </w:t>
      </w:r>
      <w:r w:rsidR="00E52529" w:rsidRPr="00561F69">
        <w:rPr>
          <w:rFonts w:ascii="Times New Roman" w:eastAsia="Times New Roman" w:hAnsi="Times New Roman" w:cs="Times New Roman"/>
          <w:sz w:val="24"/>
          <w:szCs w:val="24"/>
          <w:lang w:eastAsia="pt-BR"/>
        </w:rPr>
        <w:t xml:space="preserve">à CIDH ou na adoção das medidas propostas foi </w:t>
      </w:r>
      <w:r w:rsidR="002733D5" w:rsidRPr="00561F69">
        <w:rPr>
          <w:rFonts w:ascii="Times New Roman" w:eastAsia="Times New Roman" w:hAnsi="Times New Roman" w:cs="Times New Roman"/>
          <w:sz w:val="24"/>
          <w:szCs w:val="24"/>
          <w:lang w:eastAsia="pt-BR"/>
        </w:rPr>
        <w:t>fator que dificult</w:t>
      </w:r>
      <w:r w:rsidR="00E52529" w:rsidRPr="00561F69">
        <w:rPr>
          <w:rFonts w:ascii="Times New Roman" w:eastAsia="Times New Roman" w:hAnsi="Times New Roman" w:cs="Times New Roman"/>
          <w:sz w:val="24"/>
          <w:szCs w:val="24"/>
          <w:lang w:eastAsia="pt-BR"/>
        </w:rPr>
        <w:t>ou</w:t>
      </w:r>
      <w:r w:rsidR="002733D5" w:rsidRPr="00561F69">
        <w:rPr>
          <w:rFonts w:ascii="Times New Roman" w:eastAsia="Times New Roman" w:hAnsi="Times New Roman" w:cs="Times New Roman"/>
          <w:sz w:val="24"/>
          <w:szCs w:val="24"/>
          <w:lang w:eastAsia="pt-BR"/>
        </w:rPr>
        <w:t xml:space="preserve"> a inferência sobre o acompanhamento dos resultados das </w:t>
      </w:r>
      <w:r w:rsidR="00E52529" w:rsidRPr="00561F69">
        <w:rPr>
          <w:rFonts w:ascii="Times New Roman" w:eastAsia="Times New Roman" w:hAnsi="Times New Roman" w:cs="Times New Roman"/>
          <w:sz w:val="24"/>
          <w:szCs w:val="24"/>
          <w:lang w:eastAsia="pt-BR"/>
        </w:rPr>
        <w:t xml:space="preserve">MC, em adição, também obstaculizou que a CIDH tivesse </w:t>
      </w:r>
      <w:r w:rsidR="002733D5" w:rsidRPr="00561F69">
        <w:rPr>
          <w:rFonts w:ascii="Times New Roman" w:eastAsia="Times New Roman" w:hAnsi="Times New Roman" w:cs="Times New Roman"/>
          <w:sz w:val="24"/>
          <w:szCs w:val="24"/>
          <w:lang w:eastAsia="pt-BR"/>
        </w:rPr>
        <w:t>conhecimento sobre o que realmente houve com os beneficiários</w:t>
      </w:r>
      <w:r w:rsidR="00E52529" w:rsidRPr="00561F69">
        <w:rPr>
          <w:rFonts w:ascii="Times New Roman" w:eastAsia="Times New Roman" w:hAnsi="Times New Roman" w:cs="Times New Roman"/>
          <w:sz w:val="24"/>
          <w:szCs w:val="24"/>
          <w:lang w:eastAsia="pt-BR"/>
        </w:rPr>
        <w:t xml:space="preserve"> e tornou mais difícil saber</w:t>
      </w:r>
      <w:r w:rsidR="002733D5" w:rsidRPr="00561F69">
        <w:rPr>
          <w:rFonts w:ascii="Times New Roman" w:eastAsia="Times New Roman" w:hAnsi="Times New Roman" w:cs="Times New Roman"/>
          <w:sz w:val="24"/>
          <w:szCs w:val="24"/>
          <w:lang w:eastAsia="pt-BR"/>
        </w:rPr>
        <w:t xml:space="preserve"> quais medidas foram realmente cumpridas pelo Estado e quais o Estado decidiu não cumprir. </w:t>
      </w:r>
      <w:r w:rsidR="00336A36">
        <w:rPr>
          <w:rFonts w:ascii="Times New Roman" w:eastAsia="Times New Roman" w:hAnsi="Times New Roman" w:cs="Times New Roman"/>
          <w:sz w:val="24"/>
          <w:szCs w:val="24"/>
          <w:lang w:eastAsia="pt-BR"/>
        </w:rPr>
        <w:t>Por fim, demostra o estudo que para além das possibilidades oferecidas, a solicitação de MC também apresenta limites e fragilidades.</w:t>
      </w:r>
    </w:p>
    <w:p w14:paraId="41FFF44C" w14:textId="77777777" w:rsidR="00916327" w:rsidRPr="00561F69" w:rsidRDefault="00916327" w:rsidP="00E53B90">
      <w:pPr>
        <w:spacing w:after="0"/>
        <w:rPr>
          <w:rFonts w:ascii="Times New Roman" w:eastAsia="Times New Roman" w:hAnsi="Times New Roman" w:cs="Times New Roman"/>
          <w:sz w:val="24"/>
          <w:szCs w:val="24"/>
          <w:lang w:eastAsia="pt-BR"/>
        </w:rPr>
      </w:pPr>
    </w:p>
    <w:p w14:paraId="0F9B895C" w14:textId="10FF43DF" w:rsidR="00452BAF" w:rsidRPr="00561F69" w:rsidRDefault="006108E2" w:rsidP="00D54668">
      <w:pPr>
        <w:widowControl w:val="0"/>
        <w:spacing w:after="0"/>
        <w:ind w:firstLine="0"/>
        <w:jc w:val="left"/>
        <w:rPr>
          <w:rFonts w:ascii="Times New Roman" w:eastAsia="Times New Roman" w:hAnsi="Times New Roman" w:cs="Times New Roman"/>
          <w:b/>
          <w:bCs/>
          <w:sz w:val="24"/>
          <w:szCs w:val="24"/>
        </w:rPr>
      </w:pPr>
      <w:r w:rsidRPr="00561F69">
        <w:rPr>
          <w:rFonts w:ascii="Times New Roman" w:eastAsia="Times New Roman" w:hAnsi="Times New Roman" w:cs="Times New Roman"/>
          <w:b/>
          <w:bCs/>
          <w:sz w:val="24"/>
          <w:szCs w:val="24"/>
        </w:rPr>
        <w:t>Resultados</w:t>
      </w:r>
    </w:p>
    <w:p w14:paraId="6D4EBFE7" w14:textId="77777777" w:rsidR="00006C4C" w:rsidRDefault="00FC5491" w:rsidP="00006C4C">
      <w:pPr>
        <w:widowControl w:val="0"/>
        <w:spacing w:after="0"/>
        <w:rPr>
          <w:rFonts w:ascii="Times New Roman" w:eastAsia="Times New Roman" w:hAnsi="Times New Roman" w:cs="Times New Roman"/>
          <w:sz w:val="24"/>
          <w:szCs w:val="24"/>
        </w:rPr>
      </w:pPr>
      <w:r w:rsidRPr="00561F69">
        <w:rPr>
          <w:rFonts w:ascii="Times New Roman" w:eastAsia="Times New Roman" w:hAnsi="Times New Roman" w:cs="Times New Roman"/>
          <w:sz w:val="24"/>
          <w:szCs w:val="24"/>
        </w:rPr>
        <w:t>Constatou-se que recaem sobro o mecanismo das MC inúmeras visões</w:t>
      </w:r>
      <w:r w:rsidR="00006C4C">
        <w:rPr>
          <w:rFonts w:ascii="Times New Roman" w:eastAsia="Times New Roman" w:hAnsi="Times New Roman" w:cs="Times New Roman"/>
          <w:sz w:val="24"/>
          <w:szCs w:val="24"/>
        </w:rPr>
        <w:t xml:space="preserve"> quanto ao seu uso</w:t>
      </w:r>
      <w:r w:rsidRPr="00561F69">
        <w:rPr>
          <w:rFonts w:ascii="Times New Roman" w:eastAsia="Times New Roman" w:hAnsi="Times New Roman" w:cs="Times New Roman"/>
          <w:sz w:val="24"/>
          <w:szCs w:val="24"/>
        </w:rPr>
        <w:t xml:space="preserve">, sobretudo quanto às possibilidades de seu uso à proteção dos direitos humanos no continente americano. Sendo assim, a tabela a seguir sistematiza o que a literatura especializada no tema aponta </w:t>
      </w:r>
      <w:r w:rsidR="001914AB">
        <w:rPr>
          <w:rFonts w:ascii="Times New Roman" w:eastAsia="Times New Roman" w:hAnsi="Times New Roman" w:cs="Times New Roman"/>
          <w:sz w:val="24"/>
          <w:szCs w:val="24"/>
        </w:rPr>
        <w:t xml:space="preserve">sobre </w:t>
      </w:r>
      <w:r w:rsidRPr="00561F69">
        <w:rPr>
          <w:rFonts w:ascii="Times New Roman" w:eastAsia="Times New Roman" w:hAnsi="Times New Roman" w:cs="Times New Roman"/>
          <w:sz w:val="24"/>
          <w:szCs w:val="24"/>
        </w:rPr>
        <w:t>as potencialidades (possibilidades) e as fragilidades (desafios) do</w:t>
      </w:r>
      <w:r w:rsidR="00006C4C">
        <w:rPr>
          <w:rFonts w:ascii="Times New Roman" w:eastAsia="Times New Roman" w:hAnsi="Times New Roman" w:cs="Times New Roman"/>
          <w:sz w:val="24"/>
          <w:szCs w:val="24"/>
        </w:rPr>
        <w:t xml:space="preserve"> seu</w:t>
      </w:r>
      <w:r w:rsidRPr="00561F69">
        <w:rPr>
          <w:rFonts w:ascii="Times New Roman" w:eastAsia="Times New Roman" w:hAnsi="Times New Roman" w:cs="Times New Roman"/>
          <w:sz w:val="24"/>
          <w:szCs w:val="24"/>
        </w:rPr>
        <w:t xml:space="preserve"> uso</w:t>
      </w:r>
      <w:r w:rsidR="00006C4C">
        <w:rPr>
          <w:rFonts w:ascii="Times New Roman" w:eastAsia="Times New Roman" w:hAnsi="Times New Roman" w:cs="Times New Roman"/>
          <w:sz w:val="24"/>
          <w:szCs w:val="24"/>
        </w:rPr>
        <w:t>.</w:t>
      </w:r>
      <w:r w:rsidRPr="00561F69">
        <w:rPr>
          <w:rFonts w:ascii="Times New Roman" w:eastAsia="Times New Roman" w:hAnsi="Times New Roman" w:cs="Times New Roman"/>
          <w:sz w:val="24"/>
          <w:szCs w:val="24"/>
        </w:rPr>
        <w:t xml:space="preserve"> </w:t>
      </w:r>
      <w:r w:rsidR="001914AB">
        <w:rPr>
          <w:rFonts w:ascii="Times New Roman" w:eastAsia="Times New Roman" w:hAnsi="Times New Roman" w:cs="Times New Roman"/>
          <w:sz w:val="24"/>
          <w:szCs w:val="24"/>
        </w:rPr>
        <w:t xml:space="preserve">Foram selecionados estudos empíricos sobre o tema das medidas provisórias concedidas por organismos </w:t>
      </w:r>
      <w:proofErr w:type="spellStart"/>
      <w:r w:rsidR="001914AB">
        <w:rPr>
          <w:rFonts w:ascii="Times New Roman" w:eastAsia="Times New Roman" w:hAnsi="Times New Roman" w:cs="Times New Roman"/>
          <w:sz w:val="24"/>
          <w:szCs w:val="24"/>
        </w:rPr>
        <w:t>quasi</w:t>
      </w:r>
      <w:proofErr w:type="spellEnd"/>
      <w:r w:rsidR="001914AB">
        <w:rPr>
          <w:rFonts w:ascii="Times New Roman" w:eastAsia="Times New Roman" w:hAnsi="Times New Roman" w:cs="Times New Roman"/>
          <w:sz w:val="24"/>
          <w:szCs w:val="24"/>
        </w:rPr>
        <w:t>-judiciais</w:t>
      </w:r>
      <w:r w:rsidR="00006C4C">
        <w:rPr>
          <w:rFonts w:ascii="Times New Roman" w:eastAsia="Times New Roman" w:hAnsi="Times New Roman" w:cs="Times New Roman"/>
          <w:sz w:val="24"/>
          <w:szCs w:val="24"/>
        </w:rPr>
        <w:t xml:space="preserve">. </w:t>
      </w:r>
    </w:p>
    <w:p w14:paraId="506687FC" w14:textId="4527CF3B" w:rsidR="001914AB" w:rsidRPr="00561F69" w:rsidRDefault="00006C4C" w:rsidP="0027751A">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914AB">
        <w:rPr>
          <w:rFonts w:ascii="Times New Roman" w:eastAsia="Times New Roman" w:hAnsi="Times New Roman" w:cs="Times New Roman"/>
          <w:sz w:val="24"/>
          <w:szCs w:val="24"/>
        </w:rPr>
        <w:t>endo em vista a escassa literatura sobre as MC concedidas no âmbito da CIDH, também foram analisados artigos que abordassem a concessão de medidas similares em outros sistemas de proteção dos direitos humanos. Os resultados da análise da literatura foram sistematizados na tabela a seguir</w:t>
      </w:r>
      <w:r>
        <w:rPr>
          <w:rFonts w:ascii="Times New Roman" w:eastAsia="Times New Roman" w:hAnsi="Times New Roman" w:cs="Times New Roman"/>
          <w:sz w:val="24"/>
          <w:szCs w:val="24"/>
        </w:rPr>
        <w:t xml:space="preserve"> e apresentam os resultados de busca realizada nas bases de dados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“EBSCO”, entre junho de 2020 a novembro de 2020. </w:t>
      </w:r>
    </w:p>
    <w:tbl>
      <w:tblPr>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992"/>
        <w:gridCol w:w="2835"/>
        <w:gridCol w:w="3091"/>
      </w:tblGrid>
      <w:tr w:rsidR="00004AC7" w:rsidRPr="00561F69" w14:paraId="74CF09C7" w14:textId="77777777" w:rsidTr="00977C20">
        <w:trPr>
          <w:trHeight w:val="251"/>
        </w:trPr>
        <w:tc>
          <w:tcPr>
            <w:tcW w:w="9470" w:type="dxa"/>
            <w:gridSpan w:val="4"/>
            <w:shd w:val="clear" w:color="auto" w:fill="A8D08D" w:themeFill="accent6" w:themeFillTint="99"/>
            <w:tcMar>
              <w:top w:w="100" w:type="dxa"/>
              <w:left w:w="100" w:type="dxa"/>
              <w:bottom w:w="100" w:type="dxa"/>
              <w:right w:w="100" w:type="dxa"/>
            </w:tcMar>
          </w:tcPr>
          <w:p w14:paraId="1F0DF079" w14:textId="77777777" w:rsidR="00004AC7" w:rsidRPr="00561F69" w:rsidRDefault="00004AC7" w:rsidP="00977C20">
            <w:pPr>
              <w:widowControl w:val="0"/>
              <w:spacing w:after="0" w:line="240" w:lineRule="auto"/>
              <w:ind w:firstLine="0"/>
              <w:jc w:val="center"/>
              <w:rPr>
                <w:rFonts w:ascii="Times New Roman" w:eastAsia="Times New Roman" w:hAnsi="Times New Roman" w:cs="Times New Roman"/>
                <w:b/>
                <w:bCs/>
                <w:sz w:val="18"/>
                <w:szCs w:val="18"/>
              </w:rPr>
            </w:pPr>
            <w:r w:rsidRPr="00561F69">
              <w:rPr>
                <w:rFonts w:ascii="Times New Roman" w:eastAsia="Times New Roman" w:hAnsi="Times New Roman" w:cs="Times New Roman"/>
                <w:b/>
                <w:bCs/>
                <w:sz w:val="18"/>
                <w:szCs w:val="18"/>
              </w:rPr>
              <w:t>TABELA – RESULTADOS PARCIAIS DA REVISÃO DE LITERATURA</w:t>
            </w:r>
          </w:p>
        </w:tc>
      </w:tr>
      <w:tr w:rsidR="00004AC7" w:rsidRPr="00561F69" w14:paraId="71D3490B" w14:textId="77777777" w:rsidTr="001914AB">
        <w:trPr>
          <w:trHeight w:val="330"/>
        </w:trPr>
        <w:tc>
          <w:tcPr>
            <w:tcW w:w="2552" w:type="dxa"/>
            <w:shd w:val="clear" w:color="auto" w:fill="E2EFD9" w:themeFill="accent6" w:themeFillTint="33"/>
            <w:tcMar>
              <w:top w:w="100" w:type="dxa"/>
              <w:left w:w="100" w:type="dxa"/>
              <w:bottom w:w="100" w:type="dxa"/>
              <w:right w:w="100" w:type="dxa"/>
            </w:tcMar>
          </w:tcPr>
          <w:p w14:paraId="45B6FD7F" w14:textId="77777777" w:rsidR="00004AC7" w:rsidRPr="00561F69" w:rsidRDefault="00004AC7" w:rsidP="00977C20">
            <w:pPr>
              <w:widowControl w:val="0"/>
              <w:spacing w:after="0" w:line="240" w:lineRule="auto"/>
              <w:ind w:firstLine="0"/>
              <w:jc w:val="center"/>
              <w:rPr>
                <w:rFonts w:ascii="Times New Roman" w:eastAsia="Times New Roman" w:hAnsi="Times New Roman" w:cs="Times New Roman"/>
                <w:b/>
                <w:bCs/>
                <w:sz w:val="18"/>
                <w:szCs w:val="18"/>
              </w:rPr>
            </w:pPr>
            <w:r w:rsidRPr="00561F69">
              <w:rPr>
                <w:rFonts w:ascii="Times New Roman" w:eastAsia="Times New Roman" w:hAnsi="Times New Roman" w:cs="Times New Roman"/>
                <w:b/>
                <w:bCs/>
                <w:sz w:val="18"/>
                <w:szCs w:val="18"/>
              </w:rPr>
              <w:t>ARTIGO</w:t>
            </w:r>
          </w:p>
        </w:tc>
        <w:tc>
          <w:tcPr>
            <w:tcW w:w="992" w:type="dxa"/>
            <w:shd w:val="clear" w:color="auto" w:fill="E2EFD9" w:themeFill="accent6" w:themeFillTint="33"/>
            <w:tcMar>
              <w:top w:w="100" w:type="dxa"/>
              <w:left w:w="100" w:type="dxa"/>
              <w:bottom w:w="100" w:type="dxa"/>
              <w:right w:w="100" w:type="dxa"/>
            </w:tcMar>
          </w:tcPr>
          <w:p w14:paraId="483E3A87" w14:textId="6D1BF65D" w:rsidR="00004AC7" w:rsidRPr="00561F69" w:rsidRDefault="00004AC7" w:rsidP="00977C20">
            <w:pPr>
              <w:widowControl w:val="0"/>
              <w:spacing w:after="0" w:line="240" w:lineRule="auto"/>
              <w:ind w:firstLine="0"/>
              <w:jc w:val="center"/>
              <w:rPr>
                <w:rFonts w:ascii="Times New Roman" w:eastAsia="Times New Roman" w:hAnsi="Times New Roman" w:cs="Times New Roman"/>
                <w:b/>
                <w:bCs/>
                <w:sz w:val="18"/>
                <w:szCs w:val="18"/>
              </w:rPr>
            </w:pPr>
            <w:r w:rsidRPr="00561F69">
              <w:rPr>
                <w:rFonts w:ascii="Times New Roman" w:eastAsia="Times New Roman" w:hAnsi="Times New Roman" w:cs="Times New Roman"/>
                <w:b/>
                <w:bCs/>
                <w:sz w:val="18"/>
                <w:szCs w:val="18"/>
              </w:rPr>
              <w:t>ANO</w:t>
            </w:r>
            <w:r w:rsidRPr="00561F69">
              <w:rPr>
                <w:rFonts w:ascii="Times New Roman" w:eastAsia="Times New Roman" w:hAnsi="Times New Roman" w:cs="Times New Roman"/>
                <w:b/>
                <w:bCs/>
                <w:sz w:val="18"/>
                <w:szCs w:val="18"/>
              </w:rPr>
              <w:br/>
            </w:r>
          </w:p>
        </w:tc>
        <w:tc>
          <w:tcPr>
            <w:tcW w:w="2835" w:type="dxa"/>
            <w:shd w:val="clear" w:color="auto" w:fill="E2EFD9" w:themeFill="accent6" w:themeFillTint="33"/>
            <w:tcMar>
              <w:top w:w="100" w:type="dxa"/>
              <w:left w:w="100" w:type="dxa"/>
              <w:bottom w:w="100" w:type="dxa"/>
              <w:right w:w="100" w:type="dxa"/>
            </w:tcMar>
          </w:tcPr>
          <w:p w14:paraId="165832B9" w14:textId="6688A88E" w:rsidR="00004AC7" w:rsidRPr="00561F69" w:rsidRDefault="00004AC7" w:rsidP="00977C20">
            <w:pPr>
              <w:widowControl w:val="0"/>
              <w:spacing w:after="0" w:line="240" w:lineRule="auto"/>
              <w:ind w:firstLine="0"/>
              <w:jc w:val="center"/>
              <w:rPr>
                <w:rFonts w:ascii="Times New Roman" w:eastAsia="Times New Roman" w:hAnsi="Times New Roman" w:cs="Times New Roman"/>
                <w:b/>
                <w:bCs/>
                <w:sz w:val="18"/>
                <w:szCs w:val="18"/>
              </w:rPr>
            </w:pPr>
            <w:r w:rsidRPr="00561F69">
              <w:rPr>
                <w:rFonts w:ascii="Times New Roman" w:eastAsia="Times New Roman" w:hAnsi="Times New Roman" w:cs="Times New Roman"/>
                <w:b/>
                <w:bCs/>
                <w:sz w:val="18"/>
                <w:szCs w:val="18"/>
              </w:rPr>
              <w:t>LIMITES AO USO DAS MC</w:t>
            </w:r>
          </w:p>
        </w:tc>
        <w:tc>
          <w:tcPr>
            <w:tcW w:w="3091" w:type="dxa"/>
            <w:shd w:val="clear" w:color="auto" w:fill="E2EFD9" w:themeFill="accent6" w:themeFillTint="33"/>
            <w:tcMar>
              <w:top w:w="100" w:type="dxa"/>
              <w:left w:w="100" w:type="dxa"/>
              <w:bottom w:w="100" w:type="dxa"/>
              <w:right w:w="100" w:type="dxa"/>
            </w:tcMar>
          </w:tcPr>
          <w:p w14:paraId="509EA957" w14:textId="23B730D8" w:rsidR="00004AC7" w:rsidRPr="00561F69" w:rsidRDefault="00004AC7" w:rsidP="00977C20">
            <w:pPr>
              <w:widowControl w:val="0"/>
              <w:spacing w:after="0" w:line="240" w:lineRule="auto"/>
              <w:ind w:firstLine="0"/>
              <w:jc w:val="center"/>
              <w:rPr>
                <w:rFonts w:ascii="Times New Roman" w:eastAsia="Times New Roman" w:hAnsi="Times New Roman" w:cs="Times New Roman"/>
                <w:b/>
                <w:bCs/>
                <w:sz w:val="18"/>
                <w:szCs w:val="18"/>
              </w:rPr>
            </w:pPr>
            <w:r w:rsidRPr="00561F69">
              <w:rPr>
                <w:rFonts w:ascii="Times New Roman" w:eastAsia="Times New Roman" w:hAnsi="Times New Roman" w:cs="Times New Roman"/>
                <w:b/>
                <w:bCs/>
                <w:sz w:val="18"/>
                <w:szCs w:val="18"/>
              </w:rPr>
              <w:t>POSSIBILIDADES QUANTO AO USO DAS MC</w:t>
            </w:r>
          </w:p>
        </w:tc>
      </w:tr>
      <w:tr w:rsidR="00004AC7" w:rsidRPr="00561F69" w14:paraId="47EA39F4" w14:textId="77777777" w:rsidTr="001914AB">
        <w:trPr>
          <w:trHeight w:val="1205"/>
        </w:trPr>
        <w:tc>
          <w:tcPr>
            <w:tcW w:w="2552" w:type="dxa"/>
            <w:shd w:val="clear" w:color="auto" w:fill="auto"/>
            <w:tcMar>
              <w:top w:w="100" w:type="dxa"/>
              <w:left w:w="100" w:type="dxa"/>
              <w:bottom w:w="100" w:type="dxa"/>
              <w:right w:w="100" w:type="dxa"/>
            </w:tcMar>
          </w:tcPr>
          <w:p w14:paraId="6A75E7A8" w14:textId="01AB572B"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t xml:space="preserve">PASQUALUCCI, J. M. </w:t>
            </w:r>
            <w:r w:rsidRPr="00561F69">
              <w:rPr>
                <w:rFonts w:ascii="Times New Roman" w:eastAsia="Times New Roman" w:hAnsi="Times New Roman" w:cs="Times New Roman"/>
                <w:b/>
                <w:bCs/>
                <w:sz w:val="18"/>
                <w:szCs w:val="18"/>
                <w:lang w:val="en-US"/>
              </w:rPr>
              <w:t>Interim Measures in International Human Rights: Evolution and Harmonization</w:t>
            </w:r>
            <w:r w:rsidRPr="00561F69">
              <w:rPr>
                <w:rFonts w:ascii="Times New Roman" w:eastAsia="Times New Roman" w:hAnsi="Times New Roman" w:cs="Times New Roman"/>
                <w:sz w:val="18"/>
                <w:szCs w:val="18"/>
                <w:lang w:val="en-US"/>
              </w:rPr>
              <w:t>.</w:t>
            </w:r>
          </w:p>
          <w:p w14:paraId="4844F731" w14:textId="77777777" w:rsidR="00004AC7" w:rsidRPr="00561F69" w:rsidRDefault="00004AC7" w:rsidP="001914AB">
            <w:pPr>
              <w:widowControl w:val="0"/>
              <w:spacing w:after="0" w:line="240" w:lineRule="auto"/>
              <w:jc w:val="left"/>
              <w:rPr>
                <w:rFonts w:ascii="Times New Roman" w:eastAsia="Times New Roman" w:hAnsi="Times New Roman" w:cs="Times New Roman"/>
                <w:sz w:val="18"/>
                <w:szCs w:val="18"/>
                <w:lang w:val="en-US"/>
              </w:rPr>
            </w:pPr>
          </w:p>
        </w:tc>
        <w:tc>
          <w:tcPr>
            <w:tcW w:w="992" w:type="dxa"/>
            <w:shd w:val="clear" w:color="auto" w:fill="auto"/>
            <w:tcMar>
              <w:top w:w="100" w:type="dxa"/>
              <w:left w:w="100" w:type="dxa"/>
              <w:bottom w:w="100" w:type="dxa"/>
              <w:right w:w="100" w:type="dxa"/>
            </w:tcMar>
          </w:tcPr>
          <w:p w14:paraId="18CBE081" w14:textId="77777777" w:rsidR="00004AC7" w:rsidRPr="00561F69" w:rsidRDefault="00004AC7" w:rsidP="001914AB">
            <w:pPr>
              <w:widowControl w:val="0"/>
              <w:spacing w:after="0" w:line="240" w:lineRule="auto"/>
              <w:ind w:hanging="94"/>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2005</w:t>
            </w:r>
          </w:p>
        </w:tc>
        <w:tc>
          <w:tcPr>
            <w:tcW w:w="2835" w:type="dxa"/>
            <w:shd w:val="clear" w:color="auto" w:fill="auto"/>
            <w:tcMar>
              <w:top w:w="100" w:type="dxa"/>
              <w:left w:w="100" w:type="dxa"/>
              <w:bottom w:w="100" w:type="dxa"/>
              <w:right w:w="100" w:type="dxa"/>
            </w:tcMar>
          </w:tcPr>
          <w:p w14:paraId="60707633" w14:textId="253BBFB9" w:rsidR="00004AC7" w:rsidRPr="00561F69" w:rsidRDefault="00004AC7" w:rsidP="001914AB">
            <w:pPr>
              <w:widowControl w:val="0"/>
              <w:spacing w:after="0" w:line="240" w:lineRule="auto"/>
              <w:ind w:firstLine="37"/>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Quando concedidas por organismos de natureza quase-judicial o cumprimento do teor das MC está relacionado à um ato de boa fé dos Estados; não havendo mecanismos para sua exigibilidade.</w:t>
            </w:r>
          </w:p>
        </w:tc>
        <w:tc>
          <w:tcPr>
            <w:tcW w:w="3091" w:type="dxa"/>
            <w:shd w:val="clear" w:color="auto" w:fill="auto"/>
            <w:tcMar>
              <w:top w:w="100" w:type="dxa"/>
              <w:left w:w="100" w:type="dxa"/>
              <w:bottom w:w="100" w:type="dxa"/>
              <w:right w:w="100" w:type="dxa"/>
            </w:tcMar>
          </w:tcPr>
          <w:p w14:paraId="55736B5A" w14:textId="0036F168" w:rsidR="00004AC7" w:rsidRPr="00561F69" w:rsidRDefault="00004AC7" w:rsidP="001914AB">
            <w:pPr>
              <w:widowControl w:val="0"/>
              <w:spacing w:after="0" w:line="240" w:lineRule="auto"/>
              <w:ind w:firstLine="37"/>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A CIDH é um organismo quase-judicial que permite a solicitação e outorga de MC fora de um caso ou petição em trâmite no SIDH. Esta possibilidade sublinha as possibilidades de atuação em caráter preventivo e precoce.</w:t>
            </w:r>
          </w:p>
        </w:tc>
      </w:tr>
      <w:tr w:rsidR="00004AC7" w:rsidRPr="00561F69" w14:paraId="6DB1CE63" w14:textId="77777777" w:rsidTr="001914AB">
        <w:trPr>
          <w:trHeight w:val="2390"/>
        </w:trPr>
        <w:tc>
          <w:tcPr>
            <w:tcW w:w="2552" w:type="dxa"/>
            <w:shd w:val="clear" w:color="auto" w:fill="auto"/>
            <w:tcMar>
              <w:top w:w="100" w:type="dxa"/>
              <w:left w:w="100" w:type="dxa"/>
              <w:bottom w:w="100" w:type="dxa"/>
              <w:right w:w="100" w:type="dxa"/>
            </w:tcMar>
          </w:tcPr>
          <w:p w14:paraId="66C5C550" w14:textId="13EF7432"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lastRenderedPageBreak/>
              <w:t xml:space="preserve">HAECK, Yves; HERRERA, Clara </w:t>
            </w:r>
            <w:proofErr w:type="spellStart"/>
            <w:r w:rsidRPr="00561F69">
              <w:rPr>
                <w:rFonts w:ascii="Times New Roman" w:eastAsia="Times New Roman" w:hAnsi="Times New Roman" w:cs="Times New Roman"/>
                <w:sz w:val="18"/>
                <w:szCs w:val="18"/>
                <w:lang w:val="en-US"/>
              </w:rPr>
              <w:t>Burbano</w:t>
            </w:r>
            <w:proofErr w:type="spellEnd"/>
            <w:r w:rsidRPr="00561F69">
              <w:rPr>
                <w:rFonts w:ascii="Times New Roman" w:eastAsia="Times New Roman" w:hAnsi="Times New Roman" w:cs="Times New Roman"/>
                <w:sz w:val="18"/>
                <w:szCs w:val="18"/>
                <w:lang w:val="en-US"/>
              </w:rPr>
              <w:t xml:space="preserve">; ZWAAK, Leo. </w:t>
            </w:r>
            <w:r w:rsidRPr="00561F69">
              <w:rPr>
                <w:rFonts w:ascii="Times New Roman" w:eastAsia="Times New Roman" w:hAnsi="Times New Roman" w:cs="Times New Roman"/>
                <w:b/>
                <w:bCs/>
                <w:sz w:val="18"/>
                <w:szCs w:val="18"/>
                <w:lang w:val="en-US"/>
              </w:rPr>
              <w:t>Non-compliance with a</w:t>
            </w:r>
            <w:r w:rsidR="00E808BA"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Provisional Measure Automatically Leads To a Violation of the Right of Individual</w:t>
            </w:r>
            <w:r w:rsidR="00E808BA"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 xml:space="preserve">Application or </w:t>
            </w:r>
            <w:proofErr w:type="spellStart"/>
            <w:r w:rsidRPr="00561F69">
              <w:rPr>
                <w:rFonts w:ascii="Times New Roman" w:eastAsia="Times New Roman" w:hAnsi="Times New Roman" w:cs="Times New Roman"/>
                <w:b/>
                <w:bCs/>
                <w:sz w:val="18"/>
                <w:szCs w:val="18"/>
                <w:lang w:val="en-US"/>
              </w:rPr>
              <w:t>Doesnt</w:t>
            </w:r>
            <w:proofErr w:type="spellEnd"/>
            <w:r w:rsidRPr="00561F69">
              <w:rPr>
                <w:rFonts w:ascii="Times New Roman" w:eastAsia="Times New Roman" w:hAnsi="Times New Roman" w:cs="Times New Roman"/>
                <w:b/>
                <w:bCs/>
                <w:sz w:val="18"/>
                <w:szCs w:val="18"/>
                <w:lang w:val="en-US"/>
              </w:rPr>
              <w:t xml:space="preserve"> It: Strasbourg Court Takes Away Any Remaining Doubts</w:t>
            </w:r>
            <w:r w:rsidR="00E808BA"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and Broadens Its Pan-European Protection. European Constitutional Law</w:t>
            </w:r>
            <w:r w:rsidRPr="00561F69">
              <w:rPr>
                <w:rFonts w:ascii="Times New Roman" w:eastAsia="Times New Roman" w:hAnsi="Times New Roman" w:cs="Times New Roman"/>
                <w:sz w:val="18"/>
                <w:szCs w:val="18"/>
                <w:lang w:val="en-US"/>
              </w:rPr>
              <w:t>.</w:t>
            </w:r>
          </w:p>
        </w:tc>
        <w:tc>
          <w:tcPr>
            <w:tcW w:w="992" w:type="dxa"/>
            <w:shd w:val="clear" w:color="auto" w:fill="auto"/>
            <w:tcMar>
              <w:top w:w="100" w:type="dxa"/>
              <w:left w:w="100" w:type="dxa"/>
              <w:bottom w:w="100" w:type="dxa"/>
              <w:right w:w="100" w:type="dxa"/>
            </w:tcMar>
          </w:tcPr>
          <w:p w14:paraId="4C2F8C51" w14:textId="77777777" w:rsidR="00004AC7" w:rsidRPr="00561F69" w:rsidRDefault="00004AC7" w:rsidP="001914AB">
            <w:pPr>
              <w:widowControl w:val="0"/>
              <w:spacing w:after="0" w:line="240" w:lineRule="auto"/>
              <w:ind w:hanging="94"/>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2008</w:t>
            </w:r>
          </w:p>
        </w:tc>
        <w:tc>
          <w:tcPr>
            <w:tcW w:w="2835" w:type="dxa"/>
            <w:shd w:val="clear" w:color="auto" w:fill="auto"/>
            <w:tcMar>
              <w:top w:w="100" w:type="dxa"/>
              <w:left w:w="100" w:type="dxa"/>
              <w:bottom w:w="100" w:type="dxa"/>
              <w:right w:w="100" w:type="dxa"/>
            </w:tcMar>
          </w:tcPr>
          <w:p w14:paraId="59012F2F" w14:textId="77777777"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As MC concedidas pelo Tribunal Europeu de Direitos Humanos (TEDH) não são publicadas, fator que gera o desconhecimento sobre o conteúdo da maioria das solicitações.</w:t>
            </w:r>
          </w:p>
          <w:p w14:paraId="390D903B" w14:textId="77777777" w:rsidR="00CD3F5E" w:rsidRPr="00561F69" w:rsidRDefault="00CD3F5E" w:rsidP="001914AB">
            <w:pPr>
              <w:spacing w:after="0"/>
              <w:rPr>
                <w:rFonts w:ascii="Times New Roman" w:eastAsia="Times New Roman" w:hAnsi="Times New Roman" w:cs="Times New Roman"/>
                <w:sz w:val="18"/>
                <w:szCs w:val="18"/>
              </w:rPr>
            </w:pPr>
          </w:p>
          <w:p w14:paraId="08C8B31C" w14:textId="5862FA3A" w:rsidR="00CD3F5E" w:rsidRPr="00561F69" w:rsidRDefault="00CD3F5E" w:rsidP="001914AB">
            <w:pPr>
              <w:spacing w:after="0"/>
              <w:ind w:firstLine="0"/>
              <w:rPr>
                <w:rFonts w:ascii="Times New Roman" w:eastAsia="Times New Roman" w:hAnsi="Times New Roman" w:cs="Times New Roman"/>
                <w:sz w:val="18"/>
                <w:szCs w:val="18"/>
              </w:rPr>
            </w:pPr>
          </w:p>
        </w:tc>
        <w:tc>
          <w:tcPr>
            <w:tcW w:w="3091" w:type="dxa"/>
            <w:shd w:val="clear" w:color="auto" w:fill="auto"/>
            <w:tcMar>
              <w:top w:w="100" w:type="dxa"/>
              <w:left w:w="100" w:type="dxa"/>
              <w:bottom w:w="100" w:type="dxa"/>
              <w:right w:w="100" w:type="dxa"/>
            </w:tcMar>
          </w:tcPr>
          <w:p w14:paraId="138EF09F" w14:textId="7D768ACC" w:rsidR="00004AC7" w:rsidRPr="00561F69" w:rsidRDefault="00004AC7" w:rsidP="001914AB">
            <w:pPr>
              <w:widowControl w:val="0"/>
              <w:spacing w:after="0" w:line="240" w:lineRule="auto"/>
              <w:ind w:firstLine="37"/>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O TEDH reconheceu que as MC possuem caráter vinculante no Sistema Europeu e o não cumprimento destas, gera a violação automática do Artigo 34 da CEDH.</w:t>
            </w:r>
          </w:p>
        </w:tc>
      </w:tr>
      <w:tr w:rsidR="00004AC7" w:rsidRPr="00561F69" w14:paraId="76E2048D" w14:textId="77777777" w:rsidTr="001914AB">
        <w:trPr>
          <w:trHeight w:val="669"/>
        </w:trPr>
        <w:tc>
          <w:tcPr>
            <w:tcW w:w="2552" w:type="dxa"/>
            <w:vMerge w:val="restart"/>
            <w:shd w:val="clear" w:color="auto" w:fill="auto"/>
            <w:tcMar>
              <w:top w:w="100" w:type="dxa"/>
              <w:left w:w="100" w:type="dxa"/>
              <w:bottom w:w="100" w:type="dxa"/>
              <w:right w:w="100" w:type="dxa"/>
            </w:tcMar>
          </w:tcPr>
          <w:p w14:paraId="2D26450F" w14:textId="256B2A6C"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rPr>
            </w:pPr>
            <w:r w:rsidRPr="00561F69">
              <w:rPr>
                <w:rFonts w:ascii="Times New Roman" w:eastAsia="Times New Roman" w:hAnsi="Times New Roman" w:cs="Times New Roman"/>
                <w:sz w:val="18"/>
                <w:szCs w:val="18"/>
              </w:rPr>
              <w:t xml:space="preserve">GONZÁLEZ, Felipe. </w:t>
            </w:r>
            <w:r w:rsidRPr="00561F69">
              <w:rPr>
                <w:rFonts w:ascii="Times New Roman" w:eastAsia="Times New Roman" w:hAnsi="Times New Roman" w:cs="Times New Roman"/>
                <w:b/>
                <w:bCs/>
                <w:sz w:val="18"/>
                <w:szCs w:val="18"/>
              </w:rPr>
              <w:t>As Medidas de Urgência no Sistema Interamericano de Direitos</w:t>
            </w:r>
            <w:r w:rsidR="00CD3F5E" w:rsidRPr="00561F69">
              <w:rPr>
                <w:rFonts w:ascii="Times New Roman" w:eastAsia="Times New Roman" w:hAnsi="Times New Roman" w:cs="Times New Roman"/>
                <w:b/>
                <w:bCs/>
                <w:sz w:val="18"/>
                <w:szCs w:val="18"/>
              </w:rPr>
              <w:t xml:space="preserve"> </w:t>
            </w:r>
            <w:r w:rsidRPr="00561F69">
              <w:rPr>
                <w:rFonts w:ascii="Times New Roman" w:eastAsia="Times New Roman" w:hAnsi="Times New Roman" w:cs="Times New Roman"/>
                <w:b/>
                <w:bCs/>
                <w:sz w:val="18"/>
                <w:szCs w:val="18"/>
              </w:rPr>
              <w:t>Humanos</w:t>
            </w:r>
            <w:r w:rsidRPr="00561F69">
              <w:rPr>
                <w:rFonts w:ascii="Times New Roman" w:eastAsia="Times New Roman" w:hAnsi="Times New Roman" w:cs="Times New Roman"/>
                <w:sz w:val="18"/>
                <w:szCs w:val="18"/>
              </w:rPr>
              <w:t>.</w:t>
            </w:r>
          </w:p>
        </w:tc>
        <w:tc>
          <w:tcPr>
            <w:tcW w:w="992" w:type="dxa"/>
            <w:vMerge w:val="restart"/>
            <w:shd w:val="clear" w:color="auto" w:fill="auto"/>
            <w:tcMar>
              <w:top w:w="100" w:type="dxa"/>
              <w:left w:w="100" w:type="dxa"/>
              <w:bottom w:w="100" w:type="dxa"/>
              <w:right w:w="100" w:type="dxa"/>
            </w:tcMar>
          </w:tcPr>
          <w:p w14:paraId="30342651" w14:textId="77777777" w:rsidR="00004AC7" w:rsidRPr="00561F69" w:rsidRDefault="00004AC7" w:rsidP="001914AB">
            <w:pPr>
              <w:widowControl w:val="0"/>
              <w:spacing w:after="0" w:line="240" w:lineRule="auto"/>
              <w:ind w:firstLine="0"/>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2010</w:t>
            </w:r>
          </w:p>
        </w:tc>
        <w:tc>
          <w:tcPr>
            <w:tcW w:w="2835" w:type="dxa"/>
            <w:shd w:val="clear" w:color="auto" w:fill="auto"/>
            <w:tcMar>
              <w:top w:w="100" w:type="dxa"/>
              <w:left w:w="100" w:type="dxa"/>
              <w:bottom w:w="100" w:type="dxa"/>
              <w:right w:w="100" w:type="dxa"/>
            </w:tcMar>
          </w:tcPr>
          <w:p w14:paraId="5BAED168" w14:textId="15530816"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Os parâmetros para o trâmite interno e cumprimento das MC não foram fixados por todos os Estados parte da CADH.</w:t>
            </w:r>
          </w:p>
        </w:tc>
        <w:tc>
          <w:tcPr>
            <w:tcW w:w="3091" w:type="dxa"/>
            <w:shd w:val="clear" w:color="auto" w:fill="auto"/>
            <w:tcMar>
              <w:top w:w="100" w:type="dxa"/>
              <w:left w:w="100" w:type="dxa"/>
              <w:bottom w:w="100" w:type="dxa"/>
              <w:right w:w="100" w:type="dxa"/>
            </w:tcMar>
          </w:tcPr>
          <w:p w14:paraId="2C6D444D" w14:textId="6C4031D7"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Qualquer pessoa ou grupo de pessoas pode apresentar um pedido de cautelar perante a</w:t>
            </w:r>
            <w:r w:rsidR="00CD3F5E"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CIDH.</w:t>
            </w:r>
          </w:p>
        </w:tc>
      </w:tr>
      <w:tr w:rsidR="00004AC7" w:rsidRPr="00561F69" w14:paraId="73754C59" w14:textId="77777777" w:rsidTr="001914AB">
        <w:trPr>
          <w:trHeight w:val="1662"/>
        </w:trPr>
        <w:tc>
          <w:tcPr>
            <w:tcW w:w="2552" w:type="dxa"/>
            <w:vMerge/>
            <w:shd w:val="clear" w:color="auto" w:fill="auto"/>
            <w:tcMar>
              <w:top w:w="100" w:type="dxa"/>
              <w:left w:w="100" w:type="dxa"/>
              <w:bottom w:w="100" w:type="dxa"/>
              <w:right w:w="100" w:type="dxa"/>
            </w:tcMar>
          </w:tcPr>
          <w:p w14:paraId="57D59978" w14:textId="77777777" w:rsidR="00004AC7" w:rsidRPr="00561F69" w:rsidRDefault="00004AC7" w:rsidP="001914AB">
            <w:pPr>
              <w:widowControl w:val="0"/>
              <w:spacing w:after="0" w:line="240" w:lineRule="auto"/>
              <w:rPr>
                <w:rFonts w:ascii="Times New Roman" w:eastAsia="Times New Roman" w:hAnsi="Times New Roman" w:cs="Times New Roman"/>
                <w:sz w:val="18"/>
                <w:szCs w:val="18"/>
              </w:rPr>
            </w:pPr>
          </w:p>
        </w:tc>
        <w:tc>
          <w:tcPr>
            <w:tcW w:w="992" w:type="dxa"/>
            <w:vMerge/>
            <w:shd w:val="clear" w:color="auto" w:fill="auto"/>
            <w:tcMar>
              <w:top w:w="100" w:type="dxa"/>
              <w:left w:w="100" w:type="dxa"/>
              <w:bottom w:w="100" w:type="dxa"/>
              <w:right w:w="100" w:type="dxa"/>
            </w:tcMar>
          </w:tcPr>
          <w:p w14:paraId="386D815D" w14:textId="77777777" w:rsidR="00004AC7" w:rsidRPr="00561F69" w:rsidRDefault="00004AC7" w:rsidP="001914AB">
            <w:pPr>
              <w:widowControl w:val="0"/>
              <w:spacing w:after="0" w:line="240" w:lineRule="auto"/>
              <w:rPr>
                <w:rFonts w:ascii="Times New Roman" w:eastAsia="Times New Roman" w:hAnsi="Times New Roman" w:cs="Times New Roman"/>
                <w:sz w:val="18"/>
                <w:szCs w:val="18"/>
              </w:rPr>
            </w:pPr>
          </w:p>
        </w:tc>
        <w:tc>
          <w:tcPr>
            <w:tcW w:w="2835" w:type="dxa"/>
            <w:shd w:val="clear" w:color="auto" w:fill="auto"/>
            <w:tcMar>
              <w:top w:w="100" w:type="dxa"/>
              <w:left w:w="100" w:type="dxa"/>
              <w:bottom w:w="100" w:type="dxa"/>
              <w:right w:w="100" w:type="dxa"/>
            </w:tcMar>
          </w:tcPr>
          <w:p w14:paraId="5C088E6C" w14:textId="39AE53F4"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Não parece existir fundamento para equiparar as medidas de urgência da CIDH, ao mandado de segurança no Direito Comparado.</w:t>
            </w:r>
          </w:p>
          <w:p w14:paraId="4F4CA392" w14:textId="77777777" w:rsidR="00004AC7" w:rsidRPr="00561F69" w:rsidRDefault="00004AC7" w:rsidP="001914AB">
            <w:pPr>
              <w:widowControl w:val="0"/>
              <w:spacing w:after="0" w:line="240" w:lineRule="auto"/>
              <w:rPr>
                <w:rFonts w:ascii="Times New Roman" w:eastAsia="Times New Roman" w:hAnsi="Times New Roman" w:cs="Times New Roman"/>
                <w:sz w:val="18"/>
                <w:szCs w:val="18"/>
              </w:rPr>
            </w:pPr>
          </w:p>
        </w:tc>
        <w:tc>
          <w:tcPr>
            <w:tcW w:w="3091" w:type="dxa"/>
            <w:shd w:val="clear" w:color="auto" w:fill="auto"/>
            <w:tcMar>
              <w:top w:w="100" w:type="dxa"/>
              <w:left w:w="100" w:type="dxa"/>
              <w:bottom w:w="100" w:type="dxa"/>
              <w:right w:w="100" w:type="dxa"/>
            </w:tcMar>
          </w:tcPr>
          <w:p w14:paraId="057EFB24" w14:textId="222DE173"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As medidas de urgência poderiam, em tese, se assemelhar a uma espécie de mandado de</w:t>
            </w:r>
            <w:r w:rsidR="00CD3F5E"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segurança internacional dentro sistema interamericano. Uma vez que esse mecanismo permite à Comissão contornar muito da própria burocracia e tomar decisões de forma mais rápida em</w:t>
            </w:r>
            <w:r w:rsidR="00CD3F5E"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casos mais urgentes, como o de violações de direitos humanos.</w:t>
            </w:r>
          </w:p>
        </w:tc>
      </w:tr>
      <w:tr w:rsidR="00004AC7" w:rsidRPr="00561F69" w14:paraId="0146E079" w14:textId="77777777" w:rsidTr="001914AB">
        <w:trPr>
          <w:trHeight w:val="510"/>
        </w:trPr>
        <w:tc>
          <w:tcPr>
            <w:tcW w:w="2552" w:type="dxa"/>
            <w:vMerge w:val="restart"/>
            <w:shd w:val="clear" w:color="auto" w:fill="auto"/>
            <w:tcMar>
              <w:top w:w="100" w:type="dxa"/>
              <w:left w:w="100" w:type="dxa"/>
              <w:bottom w:w="100" w:type="dxa"/>
              <w:right w:w="100" w:type="dxa"/>
            </w:tcMar>
          </w:tcPr>
          <w:p w14:paraId="2C825E2B" w14:textId="04D9ADDA" w:rsidR="000F0D67" w:rsidRPr="001914AB"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t xml:space="preserve">HERRERA, Clara. </w:t>
            </w:r>
            <w:r w:rsidRPr="00561F69">
              <w:rPr>
                <w:rFonts w:ascii="Times New Roman" w:eastAsia="Times New Roman" w:hAnsi="Times New Roman" w:cs="Times New Roman"/>
                <w:b/>
                <w:bCs/>
                <w:sz w:val="18"/>
                <w:szCs w:val="18"/>
                <w:lang w:val="en-US"/>
              </w:rPr>
              <w:t xml:space="preserve">A critical analysis of the work of the </w:t>
            </w:r>
            <w:proofErr w:type="spellStart"/>
            <w:r w:rsidRPr="00561F69">
              <w:rPr>
                <w:rFonts w:ascii="Times New Roman" w:eastAsia="Times New Roman" w:hAnsi="Times New Roman" w:cs="Times New Roman"/>
                <w:b/>
                <w:bCs/>
                <w:sz w:val="18"/>
                <w:szCs w:val="18"/>
                <w:lang w:val="en-US"/>
              </w:rPr>
              <w:t>european</w:t>
            </w:r>
            <w:proofErr w:type="spellEnd"/>
            <w:r w:rsidRPr="00561F69">
              <w:rPr>
                <w:rFonts w:ascii="Times New Roman" w:eastAsia="Times New Roman" w:hAnsi="Times New Roman" w:cs="Times New Roman"/>
                <w:b/>
                <w:bCs/>
                <w:sz w:val="18"/>
                <w:szCs w:val="18"/>
                <w:lang w:val="en-US"/>
              </w:rPr>
              <w:t xml:space="preserve"> commission and</w:t>
            </w:r>
            <w:r w:rsidR="004939DF" w:rsidRPr="00561F69">
              <w:rPr>
                <w:rFonts w:ascii="Times New Roman" w:eastAsia="Times New Roman" w:hAnsi="Times New Roman" w:cs="Times New Roman"/>
                <w:b/>
                <w:bCs/>
                <w:sz w:val="18"/>
                <w:szCs w:val="18"/>
                <w:lang w:val="en-US"/>
              </w:rPr>
              <w:t xml:space="preserve"> </w:t>
            </w:r>
            <w:proofErr w:type="spellStart"/>
            <w:r w:rsidRPr="00561F69">
              <w:rPr>
                <w:rFonts w:ascii="Times New Roman" w:eastAsia="Times New Roman" w:hAnsi="Times New Roman" w:cs="Times New Roman"/>
                <w:b/>
                <w:bCs/>
                <w:sz w:val="18"/>
                <w:szCs w:val="18"/>
                <w:lang w:val="en-US"/>
              </w:rPr>
              <w:t>european</w:t>
            </w:r>
            <w:proofErr w:type="spellEnd"/>
            <w:r w:rsidRPr="00561F69">
              <w:rPr>
                <w:rFonts w:ascii="Times New Roman" w:eastAsia="Times New Roman" w:hAnsi="Times New Roman" w:cs="Times New Roman"/>
                <w:b/>
                <w:bCs/>
                <w:sz w:val="18"/>
                <w:szCs w:val="18"/>
                <w:lang w:val="en-US"/>
              </w:rPr>
              <w:t xml:space="preserve"> court of human rights in relation with non-compliance of interim measures</w:t>
            </w:r>
            <w:r w:rsidRPr="00561F69">
              <w:rPr>
                <w:rFonts w:ascii="Times New Roman" w:eastAsia="Times New Roman" w:hAnsi="Times New Roman" w:cs="Times New Roman"/>
                <w:sz w:val="18"/>
                <w:szCs w:val="18"/>
                <w:lang w:val="en-US"/>
              </w:rPr>
              <w:t>.</w:t>
            </w:r>
          </w:p>
        </w:tc>
        <w:tc>
          <w:tcPr>
            <w:tcW w:w="992" w:type="dxa"/>
            <w:vMerge w:val="restart"/>
            <w:shd w:val="clear" w:color="auto" w:fill="auto"/>
            <w:tcMar>
              <w:top w:w="100" w:type="dxa"/>
              <w:left w:w="100" w:type="dxa"/>
              <w:bottom w:w="100" w:type="dxa"/>
              <w:right w:w="100" w:type="dxa"/>
            </w:tcMar>
          </w:tcPr>
          <w:p w14:paraId="30B44491" w14:textId="77777777" w:rsidR="00004AC7" w:rsidRPr="00561F69" w:rsidRDefault="00004AC7" w:rsidP="004939DF">
            <w:pPr>
              <w:widowControl w:val="0"/>
              <w:spacing w:line="240" w:lineRule="auto"/>
              <w:ind w:firstLine="0"/>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2012</w:t>
            </w:r>
          </w:p>
          <w:p w14:paraId="206366E6" w14:textId="4017BCF7" w:rsidR="00E808BA" w:rsidRPr="00561F69" w:rsidRDefault="00E808BA" w:rsidP="00E808BA">
            <w:pPr>
              <w:ind w:firstLine="0"/>
              <w:rPr>
                <w:rFonts w:ascii="Times New Roman" w:eastAsia="Times New Roman" w:hAnsi="Times New Roman" w:cs="Times New Roman"/>
                <w:sz w:val="18"/>
                <w:szCs w:val="18"/>
              </w:rPr>
            </w:pPr>
          </w:p>
        </w:tc>
        <w:tc>
          <w:tcPr>
            <w:tcW w:w="2835" w:type="dxa"/>
            <w:vMerge w:val="restart"/>
            <w:shd w:val="clear" w:color="auto" w:fill="auto"/>
            <w:tcMar>
              <w:top w:w="100" w:type="dxa"/>
              <w:left w:w="100" w:type="dxa"/>
              <w:bottom w:w="100" w:type="dxa"/>
              <w:right w:w="100" w:type="dxa"/>
            </w:tcMar>
          </w:tcPr>
          <w:p w14:paraId="63FC7650" w14:textId="2FFC807B" w:rsidR="00CD3F5E"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Para não darem cumprimento às MC, há Estados que recorrem ao argumento de que</w:t>
            </w:r>
            <w:r w:rsidR="004939D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as MC não são vinculantes; ainda, argumentam os governos</w:t>
            </w:r>
            <w:r w:rsidR="004939D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que sua legislação não dispõe de procedimentos definidos para tramitarem o cumprimento das MC.</w:t>
            </w:r>
          </w:p>
        </w:tc>
        <w:tc>
          <w:tcPr>
            <w:tcW w:w="3091" w:type="dxa"/>
            <w:vMerge w:val="restart"/>
            <w:shd w:val="clear" w:color="auto" w:fill="auto"/>
            <w:tcMar>
              <w:top w:w="100" w:type="dxa"/>
              <w:left w:w="100" w:type="dxa"/>
              <w:bottom w:w="100" w:type="dxa"/>
              <w:right w:w="100" w:type="dxa"/>
            </w:tcMar>
          </w:tcPr>
          <w:p w14:paraId="76BE6573" w14:textId="488FC905" w:rsidR="00004AC7" w:rsidRPr="00561F69" w:rsidRDefault="001914AB" w:rsidP="001914AB">
            <w:pPr>
              <w:widowControl w:val="0"/>
              <w:spacing w:line="240" w:lineRule="auto"/>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 autora não abordou este aspecto sobre as MC.</w:t>
            </w:r>
          </w:p>
        </w:tc>
      </w:tr>
      <w:tr w:rsidR="00004AC7" w:rsidRPr="00561F69" w14:paraId="542ED606" w14:textId="77777777" w:rsidTr="001914AB">
        <w:trPr>
          <w:trHeight w:val="683"/>
        </w:trPr>
        <w:tc>
          <w:tcPr>
            <w:tcW w:w="2552" w:type="dxa"/>
            <w:vMerge/>
            <w:shd w:val="clear" w:color="auto" w:fill="auto"/>
            <w:tcMar>
              <w:top w:w="100" w:type="dxa"/>
              <w:left w:w="100" w:type="dxa"/>
              <w:bottom w:w="100" w:type="dxa"/>
              <w:right w:w="100" w:type="dxa"/>
            </w:tcMar>
          </w:tcPr>
          <w:p w14:paraId="171E2075" w14:textId="77777777" w:rsidR="00004AC7" w:rsidRPr="00561F69" w:rsidRDefault="00004AC7" w:rsidP="00004AC7">
            <w:pPr>
              <w:widowControl w:val="0"/>
              <w:spacing w:line="240" w:lineRule="auto"/>
              <w:rPr>
                <w:rFonts w:ascii="Times New Roman" w:eastAsia="Times New Roman" w:hAnsi="Times New Roman" w:cs="Times New Roman"/>
                <w:sz w:val="18"/>
                <w:szCs w:val="18"/>
              </w:rPr>
            </w:pPr>
          </w:p>
        </w:tc>
        <w:tc>
          <w:tcPr>
            <w:tcW w:w="992" w:type="dxa"/>
            <w:vMerge/>
            <w:shd w:val="clear" w:color="auto" w:fill="auto"/>
            <w:tcMar>
              <w:top w:w="100" w:type="dxa"/>
              <w:left w:w="100" w:type="dxa"/>
              <w:bottom w:w="100" w:type="dxa"/>
              <w:right w:w="100" w:type="dxa"/>
            </w:tcMar>
          </w:tcPr>
          <w:p w14:paraId="79CFD935" w14:textId="77777777" w:rsidR="00004AC7" w:rsidRPr="00561F69" w:rsidRDefault="00004AC7" w:rsidP="00004AC7">
            <w:pPr>
              <w:widowControl w:val="0"/>
              <w:spacing w:line="240" w:lineRule="auto"/>
              <w:rPr>
                <w:rFonts w:ascii="Times New Roman" w:eastAsia="Times New Roman" w:hAnsi="Times New Roman" w:cs="Times New Roman"/>
                <w:sz w:val="18"/>
                <w:szCs w:val="18"/>
              </w:rPr>
            </w:pPr>
          </w:p>
        </w:tc>
        <w:tc>
          <w:tcPr>
            <w:tcW w:w="2835" w:type="dxa"/>
            <w:vMerge/>
            <w:shd w:val="clear" w:color="auto" w:fill="auto"/>
            <w:tcMar>
              <w:top w:w="100" w:type="dxa"/>
              <w:left w:w="100" w:type="dxa"/>
              <w:bottom w:w="100" w:type="dxa"/>
              <w:right w:w="100" w:type="dxa"/>
            </w:tcMar>
          </w:tcPr>
          <w:p w14:paraId="35CCAE25" w14:textId="77777777" w:rsidR="00004AC7" w:rsidRPr="00561F69" w:rsidRDefault="00004AC7" w:rsidP="00004AC7">
            <w:pPr>
              <w:widowControl w:val="0"/>
              <w:spacing w:line="240" w:lineRule="auto"/>
              <w:rPr>
                <w:rFonts w:ascii="Times New Roman" w:eastAsia="Times New Roman" w:hAnsi="Times New Roman" w:cs="Times New Roman"/>
                <w:sz w:val="18"/>
                <w:szCs w:val="18"/>
              </w:rPr>
            </w:pPr>
          </w:p>
        </w:tc>
        <w:tc>
          <w:tcPr>
            <w:tcW w:w="3091" w:type="dxa"/>
            <w:vMerge/>
            <w:shd w:val="clear" w:color="auto" w:fill="auto"/>
            <w:tcMar>
              <w:top w:w="100" w:type="dxa"/>
              <w:left w:w="100" w:type="dxa"/>
              <w:bottom w:w="100" w:type="dxa"/>
              <w:right w:w="100" w:type="dxa"/>
            </w:tcMar>
          </w:tcPr>
          <w:p w14:paraId="08418242" w14:textId="77777777" w:rsidR="00004AC7" w:rsidRPr="00561F69" w:rsidRDefault="00004AC7" w:rsidP="00004AC7">
            <w:pPr>
              <w:widowControl w:val="0"/>
              <w:spacing w:line="240" w:lineRule="auto"/>
              <w:rPr>
                <w:rFonts w:ascii="Times New Roman" w:eastAsia="Times New Roman" w:hAnsi="Times New Roman" w:cs="Times New Roman"/>
                <w:sz w:val="18"/>
                <w:szCs w:val="18"/>
              </w:rPr>
            </w:pPr>
          </w:p>
        </w:tc>
      </w:tr>
      <w:tr w:rsidR="00004AC7" w:rsidRPr="00561F69" w14:paraId="0BB33352" w14:textId="77777777" w:rsidTr="001914AB">
        <w:trPr>
          <w:trHeight w:val="1355"/>
        </w:trPr>
        <w:tc>
          <w:tcPr>
            <w:tcW w:w="2552" w:type="dxa"/>
            <w:shd w:val="clear" w:color="auto" w:fill="auto"/>
            <w:tcMar>
              <w:top w:w="100" w:type="dxa"/>
              <w:left w:w="100" w:type="dxa"/>
              <w:bottom w:w="100" w:type="dxa"/>
              <w:right w:w="100" w:type="dxa"/>
            </w:tcMar>
          </w:tcPr>
          <w:p w14:paraId="6A850F3B" w14:textId="3764BAE8"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t xml:space="preserve">HILLEBRECHT, Courtney. </w:t>
            </w:r>
            <w:r w:rsidRPr="00561F69">
              <w:rPr>
                <w:rFonts w:ascii="Times New Roman" w:eastAsia="Times New Roman" w:hAnsi="Times New Roman" w:cs="Times New Roman"/>
                <w:b/>
                <w:bCs/>
                <w:sz w:val="18"/>
                <w:szCs w:val="18"/>
                <w:lang w:val="en-US"/>
              </w:rPr>
              <w:t>The Domestic Mechanisms of Compliance with International</w:t>
            </w:r>
            <w:r w:rsidR="004939DF"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Human Rights Law: Case Studies from the Inter-American Human Rights System</w:t>
            </w:r>
            <w:r w:rsidRPr="00561F69">
              <w:rPr>
                <w:rFonts w:ascii="Times New Roman" w:eastAsia="Times New Roman" w:hAnsi="Times New Roman" w:cs="Times New Roman"/>
                <w:sz w:val="18"/>
                <w:szCs w:val="18"/>
                <w:lang w:val="en-US"/>
              </w:rPr>
              <w:t>.</w:t>
            </w:r>
          </w:p>
        </w:tc>
        <w:tc>
          <w:tcPr>
            <w:tcW w:w="992" w:type="dxa"/>
            <w:shd w:val="clear" w:color="auto" w:fill="auto"/>
            <w:tcMar>
              <w:top w:w="100" w:type="dxa"/>
              <w:left w:w="100" w:type="dxa"/>
              <w:bottom w:w="100" w:type="dxa"/>
              <w:right w:w="100" w:type="dxa"/>
            </w:tcMar>
          </w:tcPr>
          <w:p w14:paraId="2B1DAAC2" w14:textId="77777777" w:rsidR="00004AC7" w:rsidRPr="00561F69" w:rsidRDefault="00004AC7" w:rsidP="001914AB">
            <w:pPr>
              <w:widowControl w:val="0"/>
              <w:spacing w:after="0" w:line="240" w:lineRule="auto"/>
              <w:ind w:firstLine="0"/>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2012</w:t>
            </w:r>
          </w:p>
          <w:p w14:paraId="0DA64BEA" w14:textId="370207CC" w:rsidR="00E808BA" w:rsidRPr="00561F69" w:rsidRDefault="00E808BA" w:rsidP="001914AB">
            <w:pPr>
              <w:spacing w:after="0"/>
              <w:ind w:firstLine="0"/>
              <w:rPr>
                <w:rFonts w:ascii="Times New Roman" w:eastAsia="Times New Roman" w:hAnsi="Times New Roman" w:cs="Times New Roman"/>
                <w:sz w:val="18"/>
                <w:szCs w:val="18"/>
              </w:rPr>
            </w:pPr>
          </w:p>
        </w:tc>
        <w:tc>
          <w:tcPr>
            <w:tcW w:w="2835" w:type="dxa"/>
            <w:shd w:val="clear" w:color="auto" w:fill="auto"/>
            <w:tcMar>
              <w:top w:w="100" w:type="dxa"/>
              <w:left w:w="100" w:type="dxa"/>
              <w:bottom w:w="100" w:type="dxa"/>
              <w:right w:w="100" w:type="dxa"/>
            </w:tcMar>
          </w:tcPr>
          <w:p w14:paraId="65265C3B" w14:textId="1D33ECE6"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O cumprimento das MC é um processo</w:t>
            </w:r>
            <w:r w:rsidR="004939D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fundamentalmente interno e inerentemente político. Entender as relações entre direitos humanos e sua aplicação requer analisar as relações entre os atores internos, suas</w:t>
            </w:r>
            <w:r w:rsidR="004939D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motivações e interesses políticos.</w:t>
            </w:r>
          </w:p>
        </w:tc>
        <w:tc>
          <w:tcPr>
            <w:tcW w:w="3091" w:type="dxa"/>
            <w:shd w:val="clear" w:color="auto" w:fill="auto"/>
            <w:tcMar>
              <w:top w:w="100" w:type="dxa"/>
              <w:left w:w="100" w:type="dxa"/>
              <w:bottom w:w="100" w:type="dxa"/>
              <w:right w:w="100" w:type="dxa"/>
            </w:tcMar>
          </w:tcPr>
          <w:p w14:paraId="0BAD200C" w14:textId="586087EF"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O cumprimento das MC pode trazer benefícios quanto a evolução das instituições públicas e do direito material; ainda, o cumprimento impacta positivamente a reputação do poder executivo.</w:t>
            </w:r>
          </w:p>
        </w:tc>
      </w:tr>
      <w:tr w:rsidR="00004AC7" w:rsidRPr="00561F69" w14:paraId="0DD06BE0" w14:textId="77777777" w:rsidTr="001914AB">
        <w:trPr>
          <w:trHeight w:val="1237"/>
        </w:trPr>
        <w:tc>
          <w:tcPr>
            <w:tcW w:w="2552" w:type="dxa"/>
            <w:shd w:val="clear" w:color="auto" w:fill="auto"/>
            <w:tcMar>
              <w:top w:w="100" w:type="dxa"/>
              <w:left w:w="100" w:type="dxa"/>
              <w:bottom w:w="100" w:type="dxa"/>
              <w:right w:w="100" w:type="dxa"/>
            </w:tcMar>
          </w:tcPr>
          <w:p w14:paraId="206F7F94" w14:textId="4BCB8ED3"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t xml:space="preserve">HERRERA, Clara. </w:t>
            </w:r>
            <w:r w:rsidRPr="00561F69">
              <w:rPr>
                <w:rFonts w:ascii="Times New Roman" w:eastAsia="Times New Roman" w:hAnsi="Times New Roman" w:cs="Times New Roman"/>
                <w:b/>
                <w:bCs/>
                <w:sz w:val="18"/>
                <w:szCs w:val="18"/>
                <w:lang w:val="en-US"/>
              </w:rPr>
              <w:t>Examining High Rates of Preventable Maternal Mortality</w:t>
            </w:r>
            <w:r w:rsidR="005A4E4F"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in Kenya: Could Provisional Measures be an Effective Tool to Guarantee Safe</w:t>
            </w:r>
            <w:r w:rsidR="005A4E4F"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Pregnancy?</w:t>
            </w:r>
          </w:p>
        </w:tc>
        <w:tc>
          <w:tcPr>
            <w:tcW w:w="992" w:type="dxa"/>
            <w:shd w:val="clear" w:color="auto" w:fill="auto"/>
            <w:tcMar>
              <w:top w:w="100" w:type="dxa"/>
              <w:left w:w="100" w:type="dxa"/>
              <w:bottom w:w="100" w:type="dxa"/>
              <w:right w:w="100" w:type="dxa"/>
            </w:tcMar>
          </w:tcPr>
          <w:p w14:paraId="707E0237" w14:textId="77777777" w:rsidR="00004AC7" w:rsidRPr="00561F69" w:rsidRDefault="00004AC7" w:rsidP="001914AB">
            <w:pPr>
              <w:widowControl w:val="0"/>
              <w:spacing w:after="0" w:line="240" w:lineRule="auto"/>
              <w:ind w:firstLine="0"/>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2017</w:t>
            </w:r>
          </w:p>
        </w:tc>
        <w:tc>
          <w:tcPr>
            <w:tcW w:w="2835" w:type="dxa"/>
            <w:shd w:val="clear" w:color="auto" w:fill="auto"/>
            <w:tcMar>
              <w:top w:w="100" w:type="dxa"/>
              <w:left w:w="100" w:type="dxa"/>
              <w:bottom w:w="100" w:type="dxa"/>
              <w:right w:w="100" w:type="dxa"/>
            </w:tcMar>
          </w:tcPr>
          <w:p w14:paraId="0A042B36" w14:textId="39D25F0F"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As MC só podem ter resultados</w:t>
            </w:r>
            <w:r w:rsidR="005A4E4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positivos se houver vontade política por parte das autoridades em relação ao cumprimento das</w:t>
            </w:r>
            <w:r w:rsidR="005A4E4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recomendações outorgadas.</w:t>
            </w:r>
          </w:p>
        </w:tc>
        <w:tc>
          <w:tcPr>
            <w:tcW w:w="3091" w:type="dxa"/>
            <w:shd w:val="clear" w:color="auto" w:fill="auto"/>
            <w:tcMar>
              <w:top w:w="100" w:type="dxa"/>
              <w:left w:w="100" w:type="dxa"/>
              <w:bottom w:w="100" w:type="dxa"/>
              <w:right w:w="100" w:type="dxa"/>
            </w:tcMar>
          </w:tcPr>
          <w:p w14:paraId="498B6516" w14:textId="77777777" w:rsidR="001914AB" w:rsidRPr="00561F69" w:rsidRDefault="001914AB" w:rsidP="001914AB">
            <w:pPr>
              <w:widowControl w:val="0"/>
              <w:spacing w:after="0" w:line="240" w:lineRule="auto"/>
              <w:ind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 autora não abordou este aspecto sobre as MC.</w:t>
            </w:r>
          </w:p>
          <w:p w14:paraId="5CFA6A64" w14:textId="17C3F291" w:rsidR="00004AC7" w:rsidRPr="00561F69" w:rsidRDefault="00004AC7" w:rsidP="001914AB">
            <w:pPr>
              <w:widowControl w:val="0"/>
              <w:spacing w:after="0" w:line="240" w:lineRule="auto"/>
              <w:rPr>
                <w:rFonts w:ascii="Times New Roman" w:eastAsia="Times New Roman" w:hAnsi="Times New Roman" w:cs="Times New Roman"/>
                <w:sz w:val="18"/>
                <w:szCs w:val="18"/>
              </w:rPr>
            </w:pPr>
          </w:p>
        </w:tc>
      </w:tr>
      <w:tr w:rsidR="00004AC7" w:rsidRPr="00561F69" w14:paraId="025CA972" w14:textId="77777777" w:rsidTr="0027751A">
        <w:trPr>
          <w:trHeight w:val="1945"/>
        </w:trPr>
        <w:tc>
          <w:tcPr>
            <w:tcW w:w="2552" w:type="dxa"/>
            <w:shd w:val="clear" w:color="auto" w:fill="auto"/>
            <w:tcMar>
              <w:top w:w="100" w:type="dxa"/>
              <w:left w:w="100" w:type="dxa"/>
              <w:bottom w:w="100" w:type="dxa"/>
              <w:right w:w="100" w:type="dxa"/>
            </w:tcMar>
          </w:tcPr>
          <w:p w14:paraId="72F7F1C4" w14:textId="5CD896FF" w:rsidR="00004AC7" w:rsidRPr="00561F69" w:rsidRDefault="00004AC7" w:rsidP="001914AB">
            <w:pPr>
              <w:widowControl w:val="0"/>
              <w:spacing w:after="0" w:line="240" w:lineRule="auto"/>
              <w:ind w:firstLine="0"/>
              <w:jc w:val="left"/>
              <w:rPr>
                <w:rFonts w:ascii="Times New Roman" w:eastAsia="Times New Roman" w:hAnsi="Times New Roman" w:cs="Times New Roman"/>
                <w:b/>
                <w:bCs/>
                <w:sz w:val="18"/>
                <w:szCs w:val="18"/>
                <w:lang w:val="en-US"/>
              </w:rPr>
            </w:pPr>
            <w:r w:rsidRPr="00561F69">
              <w:rPr>
                <w:rFonts w:ascii="Times New Roman" w:eastAsia="Times New Roman" w:hAnsi="Times New Roman" w:cs="Times New Roman"/>
                <w:sz w:val="18"/>
                <w:szCs w:val="18"/>
                <w:lang w:val="en-US"/>
              </w:rPr>
              <w:t xml:space="preserve">HERRERA, Clara; HAECK, Yves. </w:t>
            </w:r>
            <w:r w:rsidRPr="00561F69">
              <w:rPr>
                <w:rFonts w:ascii="Times New Roman" w:eastAsia="Times New Roman" w:hAnsi="Times New Roman" w:cs="Times New Roman"/>
                <w:b/>
                <w:bCs/>
                <w:sz w:val="18"/>
                <w:szCs w:val="18"/>
                <w:lang w:val="en-US"/>
              </w:rPr>
              <w:t>The Impact of Precautionary</w:t>
            </w:r>
            <w:r w:rsidR="005A4E4F" w:rsidRPr="00561F69">
              <w:rPr>
                <w:rFonts w:ascii="Times New Roman" w:eastAsia="Times New Roman" w:hAnsi="Times New Roman" w:cs="Times New Roman"/>
                <w:b/>
                <w:bCs/>
                <w:sz w:val="18"/>
                <w:szCs w:val="18"/>
                <w:lang w:val="en-US"/>
              </w:rPr>
              <w:t xml:space="preserve"> </w:t>
            </w:r>
            <w:r w:rsidRPr="00561F69">
              <w:rPr>
                <w:rFonts w:ascii="Times New Roman" w:eastAsia="Times New Roman" w:hAnsi="Times New Roman" w:cs="Times New Roman"/>
                <w:b/>
                <w:bCs/>
                <w:sz w:val="18"/>
                <w:szCs w:val="18"/>
                <w:lang w:val="en-US"/>
              </w:rPr>
              <w:t>Measures on Persons Deprived of Liberty in the Americas</w:t>
            </w:r>
            <w:r w:rsidRPr="00561F69">
              <w:rPr>
                <w:rFonts w:ascii="Times New Roman" w:eastAsia="Times New Roman" w:hAnsi="Times New Roman" w:cs="Times New Roman"/>
                <w:sz w:val="18"/>
                <w:szCs w:val="18"/>
                <w:lang w:val="en-US"/>
              </w:rPr>
              <w:t>. In: The Inter-American</w:t>
            </w:r>
            <w:r w:rsidR="005A4E4F" w:rsidRPr="00561F69">
              <w:rPr>
                <w:rFonts w:ascii="Times New Roman" w:eastAsia="Times New Roman" w:hAnsi="Times New Roman" w:cs="Times New Roman"/>
                <w:sz w:val="18"/>
                <w:szCs w:val="18"/>
                <w:lang w:val="en-US"/>
              </w:rPr>
              <w:t xml:space="preserve"> </w:t>
            </w:r>
            <w:r w:rsidRPr="00561F69">
              <w:rPr>
                <w:rFonts w:ascii="Times New Roman" w:eastAsia="Times New Roman" w:hAnsi="Times New Roman" w:cs="Times New Roman"/>
                <w:sz w:val="18"/>
                <w:szCs w:val="18"/>
                <w:lang w:val="en-US"/>
              </w:rPr>
              <w:t>Human Rights: System Impact Beyond Compliance.</w:t>
            </w:r>
          </w:p>
          <w:p w14:paraId="2D02D8DA" w14:textId="77777777" w:rsidR="00004AC7" w:rsidRPr="00561F69" w:rsidRDefault="00004AC7" w:rsidP="001914AB">
            <w:pPr>
              <w:widowControl w:val="0"/>
              <w:spacing w:after="0" w:line="240" w:lineRule="auto"/>
              <w:rPr>
                <w:rFonts w:ascii="Times New Roman" w:eastAsia="Times New Roman" w:hAnsi="Times New Roman" w:cs="Times New Roman"/>
                <w:sz w:val="18"/>
                <w:szCs w:val="18"/>
                <w:lang w:val="en-US"/>
              </w:rPr>
            </w:pPr>
          </w:p>
        </w:tc>
        <w:tc>
          <w:tcPr>
            <w:tcW w:w="992" w:type="dxa"/>
            <w:shd w:val="clear" w:color="auto" w:fill="auto"/>
            <w:tcMar>
              <w:top w:w="100" w:type="dxa"/>
              <w:left w:w="100" w:type="dxa"/>
              <w:bottom w:w="100" w:type="dxa"/>
              <w:right w:w="100" w:type="dxa"/>
            </w:tcMar>
          </w:tcPr>
          <w:p w14:paraId="6145E55B" w14:textId="77777777" w:rsidR="00004AC7" w:rsidRPr="00561F69" w:rsidRDefault="00004AC7" w:rsidP="001914AB">
            <w:pPr>
              <w:widowControl w:val="0"/>
              <w:spacing w:after="0" w:line="240" w:lineRule="auto"/>
              <w:ind w:firstLine="0"/>
              <w:jc w:val="center"/>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2019</w:t>
            </w:r>
          </w:p>
        </w:tc>
        <w:tc>
          <w:tcPr>
            <w:tcW w:w="2835" w:type="dxa"/>
            <w:shd w:val="clear" w:color="auto" w:fill="auto"/>
            <w:tcMar>
              <w:top w:w="100" w:type="dxa"/>
              <w:left w:w="100" w:type="dxa"/>
              <w:bottom w:w="100" w:type="dxa"/>
              <w:right w:w="100" w:type="dxa"/>
            </w:tcMar>
          </w:tcPr>
          <w:p w14:paraId="3964287E" w14:textId="4C1BD289"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 xml:space="preserve">A falta de informações prejudica e a morosidade na sua transmissão prejudica os esforços </w:t>
            </w:r>
            <w:r w:rsidR="005A4E4F" w:rsidRPr="00561F69">
              <w:rPr>
                <w:rFonts w:ascii="Times New Roman" w:eastAsia="Times New Roman" w:hAnsi="Times New Roman" w:cs="Times New Roman"/>
                <w:sz w:val="18"/>
                <w:szCs w:val="18"/>
              </w:rPr>
              <w:t>realizados pela CIDH: (1) em a</w:t>
            </w:r>
            <w:r w:rsidRPr="00561F69">
              <w:rPr>
                <w:rFonts w:ascii="Times New Roman" w:eastAsia="Times New Roman" w:hAnsi="Times New Roman" w:cs="Times New Roman"/>
                <w:sz w:val="18"/>
                <w:szCs w:val="18"/>
              </w:rPr>
              <w:t>nalisar</w:t>
            </w:r>
            <w:r w:rsidR="005A4E4F" w:rsidRPr="00561F69">
              <w:rPr>
                <w:rFonts w:ascii="Times New Roman" w:eastAsia="Times New Roman" w:hAnsi="Times New Roman" w:cs="Times New Roman"/>
                <w:sz w:val="18"/>
                <w:szCs w:val="18"/>
              </w:rPr>
              <w:t xml:space="preserve"> </w:t>
            </w:r>
            <w:r w:rsidRPr="00561F69">
              <w:rPr>
                <w:rFonts w:ascii="Times New Roman" w:eastAsia="Times New Roman" w:hAnsi="Times New Roman" w:cs="Times New Roman"/>
                <w:sz w:val="18"/>
                <w:szCs w:val="18"/>
              </w:rPr>
              <w:t>os atos que se constituem como potenciais violadores dos direitos humanos dos beneficiários das MC; ainda, (2) a CIDH encontra dificuldades de obter informações sobre o curso da implementação das MC.</w:t>
            </w:r>
          </w:p>
        </w:tc>
        <w:tc>
          <w:tcPr>
            <w:tcW w:w="3091" w:type="dxa"/>
            <w:shd w:val="clear" w:color="auto" w:fill="auto"/>
            <w:tcMar>
              <w:top w:w="100" w:type="dxa"/>
              <w:left w:w="100" w:type="dxa"/>
              <w:bottom w:w="100" w:type="dxa"/>
              <w:right w:w="100" w:type="dxa"/>
            </w:tcMar>
          </w:tcPr>
          <w:p w14:paraId="527234B3" w14:textId="2623464A" w:rsidR="00004AC7" w:rsidRPr="00561F69" w:rsidRDefault="00004AC7" w:rsidP="001914AB">
            <w:pPr>
              <w:widowControl w:val="0"/>
              <w:spacing w:after="0" w:line="240" w:lineRule="auto"/>
              <w:ind w:firstLine="0"/>
              <w:rPr>
                <w:rFonts w:ascii="Times New Roman" w:eastAsia="Times New Roman" w:hAnsi="Times New Roman" w:cs="Times New Roman"/>
                <w:sz w:val="18"/>
                <w:szCs w:val="18"/>
              </w:rPr>
            </w:pPr>
            <w:r w:rsidRPr="00561F69">
              <w:rPr>
                <w:rFonts w:ascii="Times New Roman" w:eastAsia="Times New Roman" w:hAnsi="Times New Roman" w:cs="Times New Roman"/>
                <w:sz w:val="18"/>
                <w:szCs w:val="18"/>
              </w:rPr>
              <w:t>O impacto das MC não depende necessariamente de seu cumprimento integral, posto que acordo com os Estados podem dar vez a novos arranjos de proteção.</w:t>
            </w:r>
          </w:p>
        </w:tc>
      </w:tr>
    </w:tbl>
    <w:p w14:paraId="37DD3BE7" w14:textId="77777777" w:rsidR="00004AC7" w:rsidRPr="00561F69" w:rsidRDefault="00004AC7" w:rsidP="00004AC7">
      <w:pPr>
        <w:spacing w:line="240" w:lineRule="auto"/>
        <w:rPr>
          <w:rFonts w:ascii="Times New Roman" w:eastAsia="Times New Roman" w:hAnsi="Times New Roman" w:cs="Times New Roman"/>
          <w:sz w:val="18"/>
          <w:szCs w:val="18"/>
        </w:rPr>
      </w:pPr>
    </w:p>
    <w:p w14:paraId="6621F4A0" w14:textId="77777777" w:rsidR="00CD3F5E" w:rsidRPr="00561F69" w:rsidRDefault="00CD3F5E" w:rsidP="00F7297D">
      <w:pPr>
        <w:widowControl w:val="0"/>
        <w:spacing w:after="0" w:line="240" w:lineRule="auto"/>
        <w:ind w:firstLine="0"/>
        <w:jc w:val="left"/>
        <w:rPr>
          <w:rStyle w:val="Strong"/>
          <w:rFonts w:ascii="Times New Roman" w:hAnsi="Times New Roman" w:cs="Times New Roman"/>
          <w:sz w:val="24"/>
          <w:szCs w:val="24"/>
        </w:rPr>
      </w:pPr>
    </w:p>
    <w:p w14:paraId="459F163A" w14:textId="50B4533B" w:rsidR="00F7297D" w:rsidRPr="009C28D9" w:rsidRDefault="00E506F9" w:rsidP="00F7297D">
      <w:pPr>
        <w:widowControl w:val="0"/>
        <w:spacing w:after="0" w:line="240" w:lineRule="auto"/>
        <w:ind w:firstLine="0"/>
        <w:jc w:val="left"/>
        <w:rPr>
          <w:rStyle w:val="Strong"/>
          <w:rFonts w:ascii="Times New Roman" w:hAnsi="Times New Roman" w:cs="Times New Roman"/>
          <w:sz w:val="24"/>
          <w:szCs w:val="24"/>
          <w:lang w:val="en-US"/>
        </w:rPr>
      </w:pPr>
      <w:r w:rsidRPr="009C28D9">
        <w:rPr>
          <w:rStyle w:val="Strong"/>
          <w:rFonts w:ascii="Times New Roman" w:hAnsi="Times New Roman" w:cs="Times New Roman"/>
          <w:sz w:val="24"/>
          <w:szCs w:val="24"/>
          <w:lang w:val="en-US"/>
        </w:rPr>
        <w:t xml:space="preserve">REFERÊNCIAS </w:t>
      </w:r>
    </w:p>
    <w:p w14:paraId="1AC46E3C" w14:textId="77777777" w:rsidR="007F7999" w:rsidRPr="009C28D9" w:rsidRDefault="007F7999" w:rsidP="00F7297D">
      <w:pPr>
        <w:widowControl w:val="0"/>
        <w:spacing w:after="0" w:line="240" w:lineRule="auto"/>
        <w:ind w:firstLine="0"/>
        <w:jc w:val="left"/>
        <w:rPr>
          <w:rStyle w:val="halyaf"/>
          <w:rFonts w:ascii="Times New Roman" w:hAnsi="Times New Roman" w:cs="Times New Roman"/>
          <w:sz w:val="24"/>
          <w:szCs w:val="24"/>
          <w:lang w:val="en-US"/>
        </w:rPr>
      </w:pPr>
    </w:p>
    <w:p w14:paraId="58697D62" w14:textId="77777777" w:rsidR="00E97E7E" w:rsidRPr="00561F69" w:rsidRDefault="00E97E7E" w:rsidP="00055641">
      <w:pPr>
        <w:autoSpaceDE w:val="0"/>
        <w:autoSpaceDN w:val="0"/>
        <w:adjustRightInd w:val="0"/>
        <w:spacing w:line="240" w:lineRule="auto"/>
        <w:ind w:firstLine="0"/>
        <w:jc w:val="left"/>
        <w:rPr>
          <w:rFonts w:ascii="Times New Roman" w:eastAsia="Times New Roman" w:hAnsi="Times New Roman" w:cs="Times New Roman"/>
          <w:sz w:val="24"/>
          <w:szCs w:val="24"/>
          <w:lang w:val="en-US" w:eastAsia="pt-BR"/>
        </w:rPr>
      </w:pPr>
      <w:r w:rsidRPr="00561F69">
        <w:rPr>
          <w:rFonts w:ascii="Times New Roman" w:eastAsia="Times New Roman" w:hAnsi="Times New Roman" w:cs="Times New Roman"/>
          <w:sz w:val="24"/>
          <w:szCs w:val="24"/>
          <w:lang w:val="en-US" w:eastAsia="pt-BR"/>
        </w:rPr>
        <w:t>BURBANO-HERRERA, Clara</w:t>
      </w:r>
      <w:r w:rsidRPr="00561F69">
        <w:rPr>
          <w:rFonts w:ascii="Times New Roman" w:hAnsi="Times New Roman" w:cs="Times New Roman"/>
          <w:sz w:val="24"/>
          <w:szCs w:val="24"/>
          <w:lang w:val="en-US"/>
        </w:rPr>
        <w:t xml:space="preserve">. A critical analysis of the work of the European Commission and European Court of Human Rights in relation with non-compliance of interim measures - period 1957-2011. </w:t>
      </w:r>
      <w:proofErr w:type="spellStart"/>
      <w:r w:rsidRPr="00561F69">
        <w:rPr>
          <w:rFonts w:ascii="Times New Roman" w:hAnsi="Times New Roman" w:cs="Times New Roman"/>
          <w:b/>
          <w:bCs/>
          <w:sz w:val="24"/>
          <w:szCs w:val="24"/>
          <w:lang w:val="es-ES"/>
        </w:rPr>
        <w:t>Via</w:t>
      </w:r>
      <w:proofErr w:type="spellEnd"/>
      <w:r w:rsidRPr="00561F69">
        <w:rPr>
          <w:rFonts w:ascii="Times New Roman" w:hAnsi="Times New Roman" w:cs="Times New Roman"/>
          <w:b/>
          <w:bCs/>
          <w:sz w:val="24"/>
          <w:szCs w:val="24"/>
          <w:lang w:val="es-ES"/>
        </w:rPr>
        <w:t xml:space="preserve"> </w:t>
      </w:r>
      <w:proofErr w:type="spellStart"/>
      <w:r w:rsidRPr="00561F69">
        <w:rPr>
          <w:rFonts w:ascii="Times New Roman" w:hAnsi="Times New Roman" w:cs="Times New Roman"/>
          <w:b/>
          <w:bCs/>
          <w:sz w:val="24"/>
          <w:szCs w:val="24"/>
          <w:lang w:val="es-ES"/>
        </w:rPr>
        <w:t>Inveniendi</w:t>
      </w:r>
      <w:proofErr w:type="spellEnd"/>
      <w:r w:rsidRPr="00561F69">
        <w:rPr>
          <w:rFonts w:ascii="Times New Roman" w:hAnsi="Times New Roman" w:cs="Times New Roman"/>
          <w:b/>
          <w:bCs/>
          <w:sz w:val="24"/>
          <w:szCs w:val="24"/>
          <w:lang w:val="es-ES"/>
        </w:rPr>
        <w:t xml:space="preserve"> Et </w:t>
      </w:r>
      <w:proofErr w:type="spellStart"/>
      <w:r w:rsidRPr="00561F69">
        <w:rPr>
          <w:rFonts w:ascii="Times New Roman" w:hAnsi="Times New Roman" w:cs="Times New Roman"/>
          <w:b/>
          <w:bCs/>
          <w:sz w:val="24"/>
          <w:szCs w:val="24"/>
          <w:lang w:val="es-ES"/>
        </w:rPr>
        <w:t>Iudicandi</w:t>
      </w:r>
      <w:proofErr w:type="spellEnd"/>
      <w:r w:rsidRPr="00561F69">
        <w:rPr>
          <w:rFonts w:ascii="Times New Roman" w:hAnsi="Times New Roman" w:cs="Times New Roman"/>
          <w:sz w:val="24"/>
          <w:szCs w:val="24"/>
          <w:lang w:val="es-ES"/>
        </w:rPr>
        <w:t xml:space="preserve">, v. 7, n. 2, julio-diciembre, 2012. Universidad Santo Tomás. </w:t>
      </w:r>
      <w:r w:rsidRPr="00561F69">
        <w:rPr>
          <w:rFonts w:ascii="Times New Roman" w:hAnsi="Times New Roman" w:cs="Times New Roman"/>
          <w:sz w:val="24"/>
          <w:szCs w:val="24"/>
          <w:lang w:val="en-US"/>
        </w:rPr>
        <w:t>Bogotá, Colombia</w:t>
      </w:r>
      <w:r w:rsidRPr="00561F69">
        <w:rPr>
          <w:rFonts w:ascii="Times New Roman" w:eastAsia="Times New Roman" w:hAnsi="Times New Roman" w:cs="Times New Roman"/>
          <w:sz w:val="24"/>
          <w:szCs w:val="24"/>
          <w:lang w:val="en-US" w:eastAsia="pt-BR"/>
        </w:rPr>
        <w:t>.</w:t>
      </w:r>
    </w:p>
    <w:p w14:paraId="61FC0625" w14:textId="253B0CF7" w:rsidR="00E97E7E" w:rsidRPr="00561F69" w:rsidRDefault="00E97E7E" w:rsidP="00055641">
      <w:pPr>
        <w:spacing w:line="240" w:lineRule="auto"/>
        <w:ind w:firstLine="0"/>
        <w:jc w:val="left"/>
        <w:rPr>
          <w:rFonts w:ascii="Times New Roman" w:eastAsia="Times New Roman" w:hAnsi="Times New Roman" w:cs="Times New Roman"/>
          <w:sz w:val="24"/>
          <w:szCs w:val="24"/>
          <w:lang w:val="en-US" w:eastAsia="pt-BR"/>
        </w:rPr>
      </w:pPr>
      <w:r w:rsidRPr="00561F69">
        <w:rPr>
          <w:rFonts w:ascii="Times New Roman" w:eastAsia="Times New Roman" w:hAnsi="Times New Roman" w:cs="Times New Roman"/>
          <w:sz w:val="24"/>
          <w:szCs w:val="24"/>
          <w:lang w:val="en-US" w:eastAsia="pt-BR"/>
        </w:rPr>
        <w:t xml:space="preserve">BURBANO-HERRERA, Clara. Examining High Rates of Preventable Maternal Mortality in Kenya: Could Provisional Measures be an Effective Tool to Guarantee Safe </w:t>
      </w:r>
      <w:r w:rsidR="00055641" w:rsidRPr="00561F69">
        <w:rPr>
          <w:rFonts w:ascii="Times New Roman" w:eastAsia="Times New Roman" w:hAnsi="Times New Roman" w:cs="Times New Roman"/>
          <w:sz w:val="24"/>
          <w:szCs w:val="24"/>
          <w:lang w:val="en-US" w:eastAsia="pt-BR"/>
        </w:rPr>
        <w:t>Pregnancy?</w:t>
      </w:r>
      <w:r w:rsidRPr="00561F69">
        <w:rPr>
          <w:rFonts w:ascii="Times New Roman" w:eastAsia="Times New Roman" w:hAnsi="Times New Roman" w:cs="Times New Roman"/>
          <w:sz w:val="24"/>
          <w:szCs w:val="24"/>
          <w:lang w:val="en-US" w:eastAsia="pt-BR"/>
        </w:rPr>
        <w:t> </w:t>
      </w:r>
      <w:r w:rsidRPr="00561F69">
        <w:rPr>
          <w:rFonts w:ascii="Times New Roman" w:eastAsia="Times New Roman" w:hAnsi="Times New Roman" w:cs="Times New Roman"/>
          <w:b/>
          <w:bCs/>
          <w:sz w:val="24"/>
          <w:szCs w:val="24"/>
          <w:lang w:val="en-US" w:eastAsia="pt-BR"/>
        </w:rPr>
        <w:t>Journal of African Law</w:t>
      </w:r>
      <w:r w:rsidRPr="00561F69">
        <w:rPr>
          <w:rFonts w:ascii="Times New Roman" w:eastAsia="Times New Roman" w:hAnsi="Times New Roman" w:cs="Times New Roman"/>
          <w:sz w:val="24"/>
          <w:szCs w:val="24"/>
          <w:lang w:val="en-US" w:eastAsia="pt-BR"/>
        </w:rPr>
        <w:t>, v. 61, n. 2, p. 197-225, 2017.</w:t>
      </w:r>
    </w:p>
    <w:p w14:paraId="1C84A8B6" w14:textId="77777777" w:rsidR="00E97E7E" w:rsidRPr="00561F69" w:rsidRDefault="00E97E7E" w:rsidP="00055641">
      <w:pPr>
        <w:widowControl w:val="0"/>
        <w:spacing w:line="240" w:lineRule="auto"/>
        <w:ind w:firstLine="0"/>
        <w:jc w:val="left"/>
        <w:rPr>
          <w:rStyle w:val="halyaf"/>
          <w:rFonts w:ascii="Times New Roman" w:hAnsi="Times New Roman" w:cs="Times New Roman"/>
          <w:sz w:val="24"/>
          <w:szCs w:val="24"/>
          <w:lang w:val="en-US"/>
        </w:rPr>
      </w:pPr>
      <w:r w:rsidRPr="009C28D9">
        <w:rPr>
          <w:rStyle w:val="halyaf"/>
          <w:rFonts w:ascii="Times New Roman" w:hAnsi="Times New Roman" w:cs="Times New Roman"/>
          <w:sz w:val="24"/>
          <w:szCs w:val="24"/>
          <w:lang w:val="en-US"/>
        </w:rPr>
        <w:t xml:space="preserve">BURBANO-HERRERA, Clara; HAECK, Yves. </w:t>
      </w:r>
      <w:r w:rsidRPr="00561F69">
        <w:rPr>
          <w:rStyle w:val="halyaf"/>
          <w:rFonts w:ascii="Times New Roman" w:hAnsi="Times New Roman" w:cs="Times New Roman"/>
          <w:sz w:val="24"/>
          <w:szCs w:val="24"/>
          <w:lang w:val="en-US"/>
        </w:rPr>
        <w:t xml:space="preserve">The Impact of Precautionary Measures on Persons Deprived of Liberty in the Americas. In: ENGSTROM, Par (Ed.). </w:t>
      </w:r>
      <w:r w:rsidRPr="00561F69">
        <w:rPr>
          <w:rStyle w:val="halyaf"/>
          <w:rFonts w:ascii="Times New Roman" w:hAnsi="Times New Roman" w:cs="Times New Roman"/>
          <w:b/>
          <w:bCs/>
          <w:sz w:val="24"/>
          <w:szCs w:val="24"/>
          <w:lang w:val="en-US"/>
        </w:rPr>
        <w:t>The Inter-American Human Rights System</w:t>
      </w:r>
      <w:r w:rsidRPr="00561F69">
        <w:rPr>
          <w:rStyle w:val="halyaf"/>
          <w:rFonts w:ascii="Times New Roman" w:hAnsi="Times New Roman" w:cs="Times New Roman"/>
          <w:sz w:val="24"/>
          <w:szCs w:val="24"/>
          <w:lang w:val="en-US"/>
        </w:rPr>
        <w:t>:</w:t>
      </w:r>
      <w:r w:rsidRPr="00561F69">
        <w:rPr>
          <w:rStyle w:val="halyaf"/>
          <w:rFonts w:ascii="Times New Roman" w:hAnsi="Times New Roman" w:cs="Times New Roman"/>
          <w:b/>
          <w:bCs/>
          <w:sz w:val="24"/>
          <w:szCs w:val="24"/>
          <w:lang w:val="en-US"/>
        </w:rPr>
        <w:t xml:space="preserve"> </w:t>
      </w:r>
      <w:r w:rsidRPr="00561F69">
        <w:rPr>
          <w:rStyle w:val="halyaf"/>
          <w:rFonts w:ascii="Times New Roman" w:hAnsi="Times New Roman" w:cs="Times New Roman"/>
          <w:sz w:val="24"/>
          <w:szCs w:val="24"/>
          <w:lang w:val="en-US"/>
        </w:rPr>
        <w:t>impact beyond compliance. Switzerland: Palgrave Macmillan, 2019.</w:t>
      </w:r>
    </w:p>
    <w:p w14:paraId="28491DD8" w14:textId="656D1A19" w:rsidR="00E97E7E" w:rsidRPr="00561F69" w:rsidRDefault="00E97E7E" w:rsidP="00055641">
      <w:pPr>
        <w:shd w:val="clear" w:color="auto" w:fill="FFFFFF" w:themeFill="background1"/>
        <w:spacing w:line="240" w:lineRule="auto"/>
        <w:ind w:firstLine="0"/>
        <w:jc w:val="left"/>
        <w:rPr>
          <w:rFonts w:ascii="Times New Roman" w:eastAsia="Times New Roman" w:hAnsi="Times New Roman" w:cs="Times New Roman"/>
          <w:sz w:val="24"/>
          <w:szCs w:val="24"/>
          <w:lang w:val="en-US" w:eastAsia="pt-BR"/>
        </w:rPr>
      </w:pPr>
      <w:r w:rsidRPr="009C28D9">
        <w:rPr>
          <w:rFonts w:ascii="Times New Roman" w:eastAsia="Times New Roman" w:hAnsi="Times New Roman" w:cs="Times New Roman"/>
          <w:sz w:val="24"/>
          <w:szCs w:val="24"/>
          <w:lang w:val="en-US" w:eastAsia="pt-BR"/>
        </w:rPr>
        <w:t xml:space="preserve">BURBANO-HERRERA, Clara; HAECK, Yves. </w:t>
      </w:r>
      <w:r w:rsidRPr="00561F69">
        <w:rPr>
          <w:rFonts w:ascii="Times New Roman" w:eastAsia="Times New Roman" w:hAnsi="Times New Roman" w:cs="Times New Roman"/>
          <w:sz w:val="24"/>
          <w:szCs w:val="24"/>
          <w:lang w:val="en-US" w:eastAsia="pt-BR"/>
        </w:rPr>
        <w:t>The Impact of Precautionary Measures on Persons Deprived of Liberty in the Americas. In: ENGSTROM, Par</w:t>
      </w:r>
      <w:r w:rsidR="00055641" w:rsidRPr="00561F69">
        <w:rPr>
          <w:rFonts w:ascii="Times New Roman" w:eastAsia="Times New Roman" w:hAnsi="Times New Roman" w:cs="Times New Roman"/>
          <w:sz w:val="24"/>
          <w:szCs w:val="24"/>
          <w:lang w:val="en-US" w:eastAsia="pt-BR"/>
        </w:rPr>
        <w:t xml:space="preserve">. </w:t>
      </w:r>
      <w:r w:rsidRPr="00561F69">
        <w:rPr>
          <w:rFonts w:ascii="Times New Roman" w:eastAsia="Times New Roman" w:hAnsi="Times New Roman" w:cs="Times New Roman"/>
          <w:b/>
          <w:bCs/>
          <w:sz w:val="24"/>
          <w:szCs w:val="24"/>
          <w:lang w:val="en-US" w:eastAsia="pt-BR"/>
        </w:rPr>
        <w:t>The Inter-American Human Rights System:</w:t>
      </w:r>
      <w:r w:rsidRPr="00561F69">
        <w:rPr>
          <w:rFonts w:ascii="Times New Roman" w:eastAsia="Times New Roman" w:hAnsi="Times New Roman" w:cs="Times New Roman"/>
          <w:sz w:val="24"/>
          <w:szCs w:val="24"/>
          <w:lang w:val="en-US" w:eastAsia="pt-BR"/>
        </w:rPr>
        <w:t xml:space="preserve"> Impact Beyond Compliance. Cham, Switzerland: Palgrave Macmillan, p. 89-113, 2019.</w:t>
      </w:r>
    </w:p>
    <w:p w14:paraId="180AA523" w14:textId="77777777" w:rsidR="00E97E7E" w:rsidRPr="00561F69" w:rsidRDefault="00E97E7E" w:rsidP="00055641">
      <w:pPr>
        <w:widowControl w:val="0"/>
        <w:spacing w:after="0" w:line="240" w:lineRule="auto"/>
        <w:ind w:firstLine="0"/>
        <w:jc w:val="left"/>
        <w:rPr>
          <w:rFonts w:ascii="Times New Roman" w:hAnsi="Times New Roman" w:cs="Times New Roman"/>
          <w:sz w:val="24"/>
          <w:szCs w:val="24"/>
        </w:rPr>
      </w:pPr>
      <w:r w:rsidRPr="009C28D9">
        <w:rPr>
          <w:rFonts w:ascii="Times New Roman" w:hAnsi="Times New Roman" w:cs="Times New Roman"/>
          <w:sz w:val="24"/>
          <w:szCs w:val="24"/>
          <w:lang w:val="en-US"/>
        </w:rPr>
        <w:t xml:space="preserve">CANÇADO TRINDADE, Antonio. </w:t>
      </w:r>
      <w:proofErr w:type="spellStart"/>
      <w:r w:rsidRPr="009C28D9">
        <w:rPr>
          <w:rFonts w:ascii="Times New Roman" w:hAnsi="Times New Roman" w:cs="Times New Roman"/>
          <w:sz w:val="24"/>
          <w:szCs w:val="24"/>
          <w:lang w:val="en-US"/>
        </w:rPr>
        <w:t>Prólogo</w:t>
      </w:r>
      <w:proofErr w:type="spellEnd"/>
      <w:r w:rsidRPr="009C28D9">
        <w:rPr>
          <w:rFonts w:ascii="Times New Roman" w:hAnsi="Times New Roman" w:cs="Times New Roman"/>
          <w:sz w:val="24"/>
          <w:szCs w:val="24"/>
          <w:lang w:val="en-US"/>
        </w:rPr>
        <w:t xml:space="preserve"> del </w:t>
      </w:r>
      <w:proofErr w:type="spellStart"/>
      <w:r w:rsidRPr="009C28D9">
        <w:rPr>
          <w:rFonts w:ascii="Times New Roman" w:hAnsi="Times New Roman" w:cs="Times New Roman"/>
          <w:sz w:val="24"/>
          <w:szCs w:val="24"/>
          <w:lang w:val="en-US"/>
        </w:rPr>
        <w:t>presidente</w:t>
      </w:r>
      <w:proofErr w:type="spellEnd"/>
      <w:r w:rsidRPr="009C28D9">
        <w:rPr>
          <w:rFonts w:ascii="Times New Roman" w:hAnsi="Times New Roman" w:cs="Times New Roman"/>
          <w:sz w:val="24"/>
          <w:szCs w:val="24"/>
          <w:lang w:val="en-US"/>
        </w:rPr>
        <w:t xml:space="preserve"> de la </w:t>
      </w:r>
      <w:proofErr w:type="spellStart"/>
      <w:r w:rsidRPr="009C28D9">
        <w:rPr>
          <w:rFonts w:ascii="Times New Roman" w:hAnsi="Times New Roman" w:cs="Times New Roman"/>
          <w:sz w:val="24"/>
          <w:szCs w:val="24"/>
          <w:lang w:val="en-US"/>
        </w:rPr>
        <w:t>corte</w:t>
      </w:r>
      <w:proofErr w:type="spellEnd"/>
      <w:r w:rsidRPr="009C28D9">
        <w:rPr>
          <w:rFonts w:ascii="Times New Roman" w:hAnsi="Times New Roman" w:cs="Times New Roman"/>
          <w:sz w:val="24"/>
          <w:szCs w:val="24"/>
          <w:lang w:val="en-US"/>
        </w:rPr>
        <w:t xml:space="preserve"> </w:t>
      </w:r>
      <w:proofErr w:type="spellStart"/>
      <w:r w:rsidRPr="009C28D9">
        <w:rPr>
          <w:rFonts w:ascii="Times New Roman" w:hAnsi="Times New Roman" w:cs="Times New Roman"/>
          <w:sz w:val="24"/>
          <w:szCs w:val="24"/>
          <w:lang w:val="en-US"/>
        </w:rPr>
        <w:t>interamericana</w:t>
      </w:r>
      <w:proofErr w:type="spellEnd"/>
      <w:r w:rsidRPr="009C28D9">
        <w:rPr>
          <w:rFonts w:ascii="Times New Roman" w:hAnsi="Times New Roman" w:cs="Times New Roman"/>
          <w:sz w:val="24"/>
          <w:szCs w:val="24"/>
          <w:lang w:val="en-US"/>
        </w:rPr>
        <w:t xml:space="preserve"> de derechos </w:t>
      </w:r>
      <w:proofErr w:type="spellStart"/>
      <w:r w:rsidRPr="009C28D9">
        <w:rPr>
          <w:rFonts w:ascii="Times New Roman" w:hAnsi="Times New Roman" w:cs="Times New Roman"/>
          <w:sz w:val="24"/>
          <w:szCs w:val="24"/>
          <w:lang w:val="en-US"/>
        </w:rPr>
        <w:t>humanos</w:t>
      </w:r>
      <w:proofErr w:type="spellEnd"/>
      <w:r w:rsidRPr="009C28D9">
        <w:rPr>
          <w:rFonts w:ascii="Times New Roman" w:hAnsi="Times New Roman" w:cs="Times New Roman"/>
          <w:sz w:val="24"/>
          <w:szCs w:val="24"/>
          <w:lang w:val="en-US"/>
        </w:rPr>
        <w:t xml:space="preserve">. In: Corte </w:t>
      </w:r>
      <w:proofErr w:type="spellStart"/>
      <w:r w:rsidRPr="009C28D9">
        <w:rPr>
          <w:rFonts w:ascii="Times New Roman" w:hAnsi="Times New Roman" w:cs="Times New Roman"/>
          <w:sz w:val="24"/>
          <w:szCs w:val="24"/>
          <w:lang w:val="en-US"/>
        </w:rPr>
        <w:t>Interamericana</w:t>
      </w:r>
      <w:proofErr w:type="spellEnd"/>
      <w:r w:rsidRPr="009C28D9">
        <w:rPr>
          <w:rFonts w:ascii="Times New Roman" w:hAnsi="Times New Roman" w:cs="Times New Roman"/>
          <w:sz w:val="24"/>
          <w:szCs w:val="24"/>
          <w:lang w:val="en-US"/>
        </w:rPr>
        <w:t xml:space="preserve"> de Derechos Humanos. </w:t>
      </w:r>
      <w:r w:rsidRPr="00561F69">
        <w:rPr>
          <w:rFonts w:ascii="Times New Roman" w:hAnsi="Times New Roman" w:cs="Times New Roman"/>
          <w:b/>
          <w:bCs/>
          <w:sz w:val="24"/>
          <w:szCs w:val="24"/>
        </w:rPr>
        <w:t xml:space="preserve">Compendio de Medidas </w:t>
      </w:r>
      <w:proofErr w:type="spellStart"/>
      <w:r w:rsidRPr="00561F69">
        <w:rPr>
          <w:rFonts w:ascii="Times New Roman" w:hAnsi="Times New Roman" w:cs="Times New Roman"/>
          <w:b/>
          <w:bCs/>
          <w:sz w:val="24"/>
          <w:szCs w:val="24"/>
        </w:rPr>
        <w:t>Provisionales</w:t>
      </w:r>
      <w:proofErr w:type="spellEnd"/>
      <w:r w:rsidRPr="00561F69">
        <w:rPr>
          <w:rFonts w:ascii="Times New Roman" w:hAnsi="Times New Roman" w:cs="Times New Roman"/>
          <w:b/>
          <w:bCs/>
          <w:sz w:val="24"/>
          <w:szCs w:val="24"/>
        </w:rPr>
        <w:t xml:space="preserve"> (1996-2000)</w:t>
      </w:r>
      <w:r w:rsidRPr="00561F69">
        <w:rPr>
          <w:rFonts w:ascii="Times New Roman" w:hAnsi="Times New Roman" w:cs="Times New Roman"/>
          <w:sz w:val="24"/>
          <w:szCs w:val="24"/>
        </w:rPr>
        <w:t>. 2000. Disponível em: &lt;</w:t>
      </w:r>
      <w:hyperlink r:id="rId8" w:history="1">
        <w:r w:rsidRPr="00561F69">
          <w:rPr>
            <w:rStyle w:val="Hyperlink"/>
            <w:rFonts w:ascii="Times New Roman" w:hAnsi="Times New Roman" w:cs="Times New Roman"/>
            <w:sz w:val="24"/>
            <w:szCs w:val="24"/>
          </w:rPr>
          <w:t>http://hrlibrary.umn.edu/iachr/E/2-esp-pro.html</w:t>
        </w:r>
      </w:hyperlink>
      <w:r w:rsidRPr="00561F69">
        <w:rPr>
          <w:rFonts w:ascii="Times New Roman" w:hAnsi="Times New Roman" w:cs="Times New Roman"/>
          <w:sz w:val="24"/>
          <w:szCs w:val="24"/>
        </w:rPr>
        <w:t>&gt;. Acesso em: 18 jun. 2020.</w:t>
      </w:r>
    </w:p>
    <w:p w14:paraId="086BD64B" w14:textId="77777777" w:rsidR="00055641" w:rsidRPr="00561F69" w:rsidRDefault="00055641" w:rsidP="00055641">
      <w:pPr>
        <w:widowControl w:val="0"/>
        <w:spacing w:after="0" w:line="240" w:lineRule="auto"/>
        <w:ind w:firstLine="0"/>
        <w:jc w:val="left"/>
        <w:rPr>
          <w:rFonts w:ascii="Times New Roman" w:hAnsi="Times New Roman" w:cs="Times New Roman"/>
          <w:sz w:val="24"/>
          <w:szCs w:val="24"/>
        </w:rPr>
      </w:pPr>
    </w:p>
    <w:p w14:paraId="6B6DF5FF" w14:textId="7E7FD06D" w:rsidR="00E97E7E" w:rsidRPr="00561F69" w:rsidRDefault="00E97E7E" w:rsidP="00055641">
      <w:pPr>
        <w:widowControl w:val="0"/>
        <w:spacing w:after="0" w:line="240" w:lineRule="auto"/>
        <w:ind w:firstLine="0"/>
        <w:jc w:val="left"/>
        <w:rPr>
          <w:rStyle w:val="Strong"/>
          <w:rFonts w:ascii="Times New Roman" w:hAnsi="Times New Roman" w:cs="Times New Roman"/>
          <w:b w:val="0"/>
          <w:bCs w:val="0"/>
          <w:sz w:val="24"/>
          <w:szCs w:val="24"/>
        </w:rPr>
      </w:pPr>
      <w:r w:rsidRPr="00561F69">
        <w:rPr>
          <w:rFonts w:ascii="Times New Roman" w:hAnsi="Times New Roman" w:cs="Times New Roman"/>
          <w:sz w:val="24"/>
          <w:szCs w:val="24"/>
        </w:rPr>
        <w:t xml:space="preserve">COMISSÃO INTERAMERICANA DE DIREITOS HUMANOS. </w:t>
      </w:r>
      <w:proofErr w:type="spellStart"/>
      <w:r w:rsidRPr="009C28D9">
        <w:rPr>
          <w:rStyle w:val="Strong"/>
          <w:rFonts w:ascii="Times New Roman" w:hAnsi="Times New Roman" w:cs="Times New Roman"/>
          <w:sz w:val="24"/>
          <w:szCs w:val="24"/>
        </w:rPr>
        <w:t>Las</w:t>
      </w:r>
      <w:proofErr w:type="spellEnd"/>
      <w:r w:rsidRPr="009C28D9">
        <w:rPr>
          <w:rStyle w:val="Strong"/>
          <w:rFonts w:ascii="Times New Roman" w:hAnsi="Times New Roman" w:cs="Times New Roman"/>
          <w:sz w:val="24"/>
          <w:szCs w:val="24"/>
        </w:rPr>
        <w:t xml:space="preserve"> medidas cautelares</w:t>
      </w:r>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Su</w:t>
      </w:r>
      <w:proofErr w:type="spellEnd"/>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práctica</w:t>
      </w:r>
      <w:proofErr w:type="spellEnd"/>
      <w:r w:rsidRPr="009C28D9">
        <w:rPr>
          <w:rStyle w:val="Strong"/>
          <w:rFonts w:ascii="Times New Roman" w:hAnsi="Times New Roman" w:cs="Times New Roman"/>
          <w:b w:val="0"/>
          <w:bCs w:val="0"/>
          <w:sz w:val="24"/>
          <w:szCs w:val="24"/>
        </w:rPr>
        <w:t xml:space="preserve"> como </w:t>
      </w:r>
      <w:proofErr w:type="spellStart"/>
      <w:r w:rsidRPr="009C28D9">
        <w:rPr>
          <w:rStyle w:val="Strong"/>
          <w:rFonts w:ascii="Times New Roman" w:hAnsi="Times New Roman" w:cs="Times New Roman"/>
          <w:b w:val="0"/>
          <w:bCs w:val="0"/>
          <w:sz w:val="24"/>
          <w:szCs w:val="24"/>
        </w:rPr>
        <w:t>garantía</w:t>
      </w:r>
      <w:proofErr w:type="spellEnd"/>
      <w:r w:rsidRPr="009C28D9">
        <w:rPr>
          <w:rStyle w:val="Strong"/>
          <w:rFonts w:ascii="Times New Roman" w:hAnsi="Times New Roman" w:cs="Times New Roman"/>
          <w:b w:val="0"/>
          <w:bCs w:val="0"/>
          <w:sz w:val="24"/>
          <w:szCs w:val="24"/>
        </w:rPr>
        <w:t xml:space="preserve"> de </w:t>
      </w:r>
      <w:proofErr w:type="spellStart"/>
      <w:r w:rsidRPr="009C28D9">
        <w:rPr>
          <w:rStyle w:val="Strong"/>
          <w:rFonts w:ascii="Times New Roman" w:hAnsi="Times New Roman" w:cs="Times New Roman"/>
          <w:b w:val="0"/>
          <w:bCs w:val="0"/>
          <w:sz w:val="24"/>
          <w:szCs w:val="24"/>
        </w:rPr>
        <w:t>respetar</w:t>
      </w:r>
      <w:proofErr w:type="spellEnd"/>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los</w:t>
      </w:r>
      <w:proofErr w:type="spellEnd"/>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derechos</w:t>
      </w:r>
      <w:proofErr w:type="spellEnd"/>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fundamentales</w:t>
      </w:r>
      <w:proofErr w:type="spellEnd"/>
      <w:r w:rsidRPr="009C28D9">
        <w:rPr>
          <w:rStyle w:val="Strong"/>
          <w:rFonts w:ascii="Times New Roman" w:hAnsi="Times New Roman" w:cs="Times New Roman"/>
          <w:b w:val="0"/>
          <w:bCs w:val="0"/>
          <w:sz w:val="24"/>
          <w:szCs w:val="24"/>
        </w:rPr>
        <w:t xml:space="preserve"> y prevenir </w:t>
      </w:r>
      <w:proofErr w:type="spellStart"/>
      <w:r w:rsidRPr="009C28D9">
        <w:rPr>
          <w:rStyle w:val="Strong"/>
          <w:rFonts w:ascii="Times New Roman" w:hAnsi="Times New Roman" w:cs="Times New Roman"/>
          <w:b w:val="0"/>
          <w:bCs w:val="0"/>
          <w:sz w:val="24"/>
          <w:szCs w:val="24"/>
        </w:rPr>
        <w:t>daños</w:t>
      </w:r>
      <w:proofErr w:type="spellEnd"/>
      <w:r w:rsidRPr="009C28D9">
        <w:rPr>
          <w:rStyle w:val="Strong"/>
          <w:rFonts w:ascii="Times New Roman" w:hAnsi="Times New Roman" w:cs="Times New Roman"/>
          <w:b w:val="0"/>
          <w:bCs w:val="0"/>
          <w:sz w:val="24"/>
          <w:szCs w:val="24"/>
        </w:rPr>
        <w:t xml:space="preserve"> </w:t>
      </w:r>
      <w:proofErr w:type="spellStart"/>
      <w:r w:rsidRPr="009C28D9">
        <w:rPr>
          <w:rStyle w:val="Strong"/>
          <w:rFonts w:ascii="Times New Roman" w:hAnsi="Times New Roman" w:cs="Times New Roman"/>
          <w:b w:val="0"/>
          <w:bCs w:val="0"/>
          <w:sz w:val="24"/>
          <w:szCs w:val="24"/>
        </w:rPr>
        <w:t>irreparables</w:t>
      </w:r>
      <w:proofErr w:type="spellEnd"/>
      <w:r w:rsidRPr="009C28D9">
        <w:rPr>
          <w:rStyle w:val="Strong"/>
          <w:rFonts w:ascii="Times New Roman" w:hAnsi="Times New Roman" w:cs="Times New Roman"/>
          <w:b w:val="0"/>
          <w:bCs w:val="0"/>
          <w:sz w:val="24"/>
          <w:szCs w:val="24"/>
        </w:rPr>
        <w:t xml:space="preserve">. </w:t>
      </w:r>
      <w:r w:rsidRPr="00561F69">
        <w:rPr>
          <w:rFonts w:ascii="Times New Roman" w:hAnsi="Times New Roman" w:cs="Times New Roman"/>
          <w:sz w:val="24"/>
          <w:szCs w:val="24"/>
        </w:rPr>
        <w:t>Washington, DC</w:t>
      </w:r>
      <w:r w:rsidRPr="00561F69">
        <w:rPr>
          <w:rStyle w:val="Strong"/>
          <w:rFonts w:ascii="Times New Roman" w:hAnsi="Times New Roman" w:cs="Times New Roman"/>
          <w:b w:val="0"/>
          <w:bCs w:val="0"/>
          <w:sz w:val="24"/>
          <w:szCs w:val="24"/>
        </w:rPr>
        <w:t>, [2020?]. Disponível em: &lt;</w:t>
      </w:r>
      <w:hyperlink r:id="rId9" w:history="1">
        <w:r w:rsidRPr="00561F69">
          <w:rPr>
            <w:rStyle w:val="Hyperlink"/>
            <w:rFonts w:ascii="Times New Roman" w:hAnsi="Times New Roman" w:cs="Times New Roman"/>
            <w:sz w:val="24"/>
            <w:szCs w:val="24"/>
          </w:rPr>
          <w:t>http://www.oas.org/es/cidh/decisiones/sobre-cautelares.asp</w:t>
        </w:r>
      </w:hyperlink>
      <w:r w:rsidRPr="00561F69">
        <w:rPr>
          <w:rStyle w:val="Strong"/>
          <w:rFonts w:ascii="Times New Roman" w:hAnsi="Times New Roman" w:cs="Times New Roman"/>
          <w:b w:val="0"/>
          <w:bCs w:val="0"/>
          <w:sz w:val="24"/>
          <w:szCs w:val="24"/>
        </w:rPr>
        <w:t xml:space="preserve">&gt;. Acesso em: 14 nov. 2020. </w:t>
      </w:r>
    </w:p>
    <w:p w14:paraId="74832002" w14:textId="55CE845A" w:rsidR="00E97E7E" w:rsidRPr="009C28D9" w:rsidRDefault="00E97E7E" w:rsidP="00055641">
      <w:pPr>
        <w:spacing w:before="240" w:line="240" w:lineRule="auto"/>
        <w:ind w:firstLine="0"/>
        <w:jc w:val="left"/>
        <w:rPr>
          <w:rFonts w:ascii="Times New Roman" w:hAnsi="Times New Roman" w:cs="Times New Roman"/>
          <w:sz w:val="24"/>
          <w:szCs w:val="24"/>
          <w:lang w:val="en-US"/>
        </w:rPr>
      </w:pPr>
      <w:r w:rsidRPr="00F466A8">
        <w:rPr>
          <w:rFonts w:ascii="Times New Roman" w:hAnsi="Times New Roman" w:cs="Times New Roman"/>
          <w:sz w:val="24"/>
          <w:szCs w:val="24"/>
          <w:lang w:val="pt-PT"/>
        </w:rPr>
        <w:t xml:space="preserve">CONTRERAS, Juan Carlos; COVELI, Tatiana Rincón; CANTÚ, Martínez Silvano. </w:t>
      </w:r>
      <w:r w:rsidRPr="00F466A8">
        <w:rPr>
          <w:rFonts w:ascii="Times New Roman" w:hAnsi="Times New Roman" w:cs="Times New Roman"/>
          <w:b/>
          <w:bCs/>
          <w:sz w:val="24"/>
          <w:szCs w:val="24"/>
          <w:lang w:val="pt-PT"/>
        </w:rPr>
        <w:t>Litigio Estratégico en Derechos Humanos</w:t>
      </w:r>
      <w:r w:rsidRPr="00F466A8">
        <w:rPr>
          <w:rFonts w:ascii="Times New Roman" w:hAnsi="Times New Roman" w:cs="Times New Roman"/>
          <w:sz w:val="24"/>
          <w:szCs w:val="24"/>
          <w:lang w:val="pt-PT"/>
        </w:rPr>
        <w:t xml:space="preserve">: modelo para armar. </w:t>
      </w:r>
      <w:r w:rsidRPr="00561F69">
        <w:rPr>
          <w:rFonts w:ascii="Times New Roman" w:hAnsi="Times New Roman" w:cs="Times New Roman"/>
          <w:sz w:val="24"/>
          <w:szCs w:val="24"/>
        </w:rPr>
        <w:t xml:space="preserve">2011. Disponível em: &lt;http://cmdpdh.org/publicaciones-pdf/cmdpdh-litigio-estrategico-en-derechos-humanos-modelo-para-armar.pdfp&gt;. </w:t>
      </w:r>
      <w:proofErr w:type="spellStart"/>
      <w:r w:rsidRPr="009C28D9">
        <w:rPr>
          <w:rFonts w:ascii="Times New Roman" w:hAnsi="Times New Roman" w:cs="Times New Roman"/>
          <w:sz w:val="24"/>
          <w:szCs w:val="24"/>
          <w:lang w:val="en-US"/>
        </w:rPr>
        <w:t>Acesso</w:t>
      </w:r>
      <w:proofErr w:type="spellEnd"/>
      <w:r w:rsidRPr="009C28D9">
        <w:rPr>
          <w:rFonts w:ascii="Times New Roman" w:hAnsi="Times New Roman" w:cs="Times New Roman"/>
          <w:sz w:val="24"/>
          <w:szCs w:val="24"/>
          <w:lang w:val="en-US"/>
        </w:rPr>
        <w:t xml:space="preserve"> </w:t>
      </w:r>
      <w:proofErr w:type="spellStart"/>
      <w:r w:rsidRPr="009C28D9">
        <w:rPr>
          <w:rFonts w:ascii="Times New Roman" w:hAnsi="Times New Roman" w:cs="Times New Roman"/>
          <w:sz w:val="24"/>
          <w:szCs w:val="24"/>
          <w:lang w:val="en-US"/>
        </w:rPr>
        <w:t>em</w:t>
      </w:r>
      <w:proofErr w:type="spellEnd"/>
      <w:r w:rsidRPr="009C28D9">
        <w:rPr>
          <w:rFonts w:ascii="Times New Roman" w:hAnsi="Times New Roman" w:cs="Times New Roman"/>
          <w:sz w:val="24"/>
          <w:szCs w:val="24"/>
          <w:lang w:val="en-US"/>
        </w:rPr>
        <w:t xml:space="preserve">: 15 </w:t>
      </w:r>
      <w:proofErr w:type="spellStart"/>
      <w:r w:rsidRPr="009C28D9">
        <w:rPr>
          <w:rFonts w:ascii="Times New Roman" w:hAnsi="Times New Roman" w:cs="Times New Roman"/>
          <w:sz w:val="24"/>
          <w:szCs w:val="24"/>
          <w:lang w:val="en-US"/>
        </w:rPr>
        <w:t>nov.</w:t>
      </w:r>
      <w:proofErr w:type="spellEnd"/>
      <w:r w:rsidRPr="009C28D9">
        <w:rPr>
          <w:rFonts w:ascii="Times New Roman" w:hAnsi="Times New Roman" w:cs="Times New Roman"/>
          <w:sz w:val="24"/>
          <w:szCs w:val="24"/>
          <w:lang w:val="en-US"/>
        </w:rPr>
        <w:t xml:space="preserve"> 2020. </w:t>
      </w:r>
    </w:p>
    <w:p w14:paraId="6EB85F83" w14:textId="68907264" w:rsidR="00561F69" w:rsidRPr="009C28D9" w:rsidRDefault="00561F69" w:rsidP="00055641">
      <w:pPr>
        <w:spacing w:before="240" w:line="240" w:lineRule="auto"/>
        <w:ind w:firstLine="0"/>
        <w:jc w:val="left"/>
        <w:rPr>
          <w:rFonts w:ascii="Times New Roman" w:hAnsi="Times New Roman" w:cs="Times New Roman"/>
          <w:sz w:val="24"/>
          <w:szCs w:val="24"/>
        </w:rPr>
      </w:pPr>
      <w:r w:rsidRPr="00561F69">
        <w:rPr>
          <w:rFonts w:ascii="Times New Roman" w:hAnsi="Times New Roman" w:cs="Times New Roman"/>
          <w:sz w:val="24"/>
          <w:szCs w:val="24"/>
          <w:lang w:val="en-US"/>
        </w:rPr>
        <w:t xml:space="preserve">DUFFY, Helen. </w:t>
      </w:r>
      <w:r w:rsidRPr="00561F69">
        <w:rPr>
          <w:rFonts w:ascii="Times New Roman" w:hAnsi="Times New Roman" w:cs="Times New Roman"/>
          <w:b/>
          <w:bCs/>
          <w:sz w:val="24"/>
          <w:szCs w:val="24"/>
          <w:lang w:val="en-US"/>
        </w:rPr>
        <w:t>Strategic Human Rights Litigation</w:t>
      </w:r>
      <w:r>
        <w:rPr>
          <w:rFonts w:ascii="Times New Roman" w:hAnsi="Times New Roman" w:cs="Times New Roman"/>
          <w:sz w:val="24"/>
          <w:szCs w:val="24"/>
          <w:lang w:val="en-US"/>
        </w:rPr>
        <w:t xml:space="preserve">: understanding and maximizing impact. </w:t>
      </w:r>
      <w:r w:rsidRPr="009C28D9">
        <w:rPr>
          <w:rFonts w:ascii="Times New Roman" w:hAnsi="Times New Roman" w:cs="Times New Roman"/>
          <w:sz w:val="24"/>
          <w:szCs w:val="24"/>
        </w:rPr>
        <w:t xml:space="preserve">Nova York: Hart </w:t>
      </w:r>
      <w:proofErr w:type="spellStart"/>
      <w:r w:rsidRPr="009C28D9">
        <w:rPr>
          <w:rFonts w:ascii="Times New Roman" w:hAnsi="Times New Roman" w:cs="Times New Roman"/>
          <w:sz w:val="24"/>
          <w:szCs w:val="24"/>
        </w:rPr>
        <w:t>Publishing</w:t>
      </w:r>
      <w:proofErr w:type="spellEnd"/>
      <w:r w:rsidRPr="009C28D9">
        <w:rPr>
          <w:rFonts w:ascii="Times New Roman" w:hAnsi="Times New Roman" w:cs="Times New Roman"/>
          <w:sz w:val="24"/>
          <w:szCs w:val="24"/>
        </w:rPr>
        <w:t>, 2018.</w:t>
      </w:r>
    </w:p>
    <w:p w14:paraId="656FEDFA" w14:textId="77777777" w:rsidR="00E97E7E" w:rsidRPr="00561F69" w:rsidRDefault="00E97E7E" w:rsidP="00055641">
      <w:pPr>
        <w:widowControl w:val="0"/>
        <w:spacing w:line="240" w:lineRule="auto"/>
        <w:ind w:firstLine="0"/>
        <w:jc w:val="left"/>
        <w:rPr>
          <w:rFonts w:ascii="Times New Roman" w:hAnsi="Times New Roman" w:cs="Times New Roman"/>
          <w:sz w:val="24"/>
          <w:szCs w:val="24"/>
        </w:rPr>
      </w:pPr>
      <w:r w:rsidRPr="009C28D9">
        <w:rPr>
          <w:rFonts w:ascii="Times New Roman" w:hAnsi="Times New Roman" w:cs="Times New Roman"/>
          <w:sz w:val="24"/>
          <w:szCs w:val="24"/>
        </w:rPr>
        <w:t xml:space="preserve">GIL, </w:t>
      </w:r>
      <w:proofErr w:type="spellStart"/>
      <w:r w:rsidRPr="009C28D9">
        <w:rPr>
          <w:rFonts w:ascii="Times New Roman" w:hAnsi="Times New Roman" w:cs="Times New Roman"/>
          <w:sz w:val="24"/>
          <w:szCs w:val="24"/>
        </w:rPr>
        <w:t>Antonio</w:t>
      </w:r>
      <w:proofErr w:type="spellEnd"/>
      <w:r w:rsidRPr="009C28D9">
        <w:rPr>
          <w:rFonts w:ascii="Times New Roman" w:hAnsi="Times New Roman" w:cs="Times New Roman"/>
          <w:sz w:val="24"/>
          <w:szCs w:val="24"/>
        </w:rPr>
        <w:t xml:space="preserve"> Carlos.</w:t>
      </w:r>
      <w:r w:rsidRPr="009C28D9">
        <w:rPr>
          <w:rFonts w:ascii="Times New Roman" w:hAnsi="Times New Roman" w:cs="Times New Roman"/>
          <w:b/>
          <w:bCs/>
          <w:sz w:val="24"/>
          <w:szCs w:val="24"/>
        </w:rPr>
        <w:t xml:space="preserve"> </w:t>
      </w:r>
      <w:r w:rsidRPr="00561F69">
        <w:rPr>
          <w:rFonts w:ascii="Times New Roman" w:hAnsi="Times New Roman" w:cs="Times New Roman"/>
          <w:b/>
          <w:bCs/>
          <w:sz w:val="24"/>
          <w:szCs w:val="24"/>
        </w:rPr>
        <w:t>Métodos e técnicas de pesquisa social</w:t>
      </w:r>
      <w:r w:rsidRPr="00561F69">
        <w:rPr>
          <w:rFonts w:ascii="Times New Roman" w:hAnsi="Times New Roman" w:cs="Times New Roman"/>
          <w:sz w:val="24"/>
          <w:szCs w:val="24"/>
        </w:rPr>
        <w:t>. 7. ed. São Paulo: Atlas, 2019.</w:t>
      </w:r>
    </w:p>
    <w:p w14:paraId="12097666" w14:textId="77777777" w:rsidR="00E97E7E" w:rsidRPr="009C28D9" w:rsidRDefault="00E97E7E" w:rsidP="00055641">
      <w:pPr>
        <w:widowControl w:val="0"/>
        <w:spacing w:after="0" w:line="240" w:lineRule="auto"/>
        <w:ind w:firstLine="0"/>
        <w:jc w:val="left"/>
        <w:rPr>
          <w:rFonts w:ascii="Times New Roman" w:eastAsia="Times New Roman" w:hAnsi="Times New Roman" w:cs="Times New Roman"/>
          <w:b/>
          <w:bCs/>
          <w:sz w:val="24"/>
          <w:szCs w:val="24"/>
        </w:rPr>
      </w:pPr>
      <w:r w:rsidRPr="009C28D9">
        <w:rPr>
          <w:rFonts w:ascii="Times New Roman" w:hAnsi="Times New Roman" w:cs="Times New Roman"/>
          <w:sz w:val="24"/>
          <w:szCs w:val="24"/>
        </w:rPr>
        <w:t xml:space="preserve">GONZÁLEZ, Felipe. As medidas de urgência no Sistema Interamericano de Direitos Humanos. </w:t>
      </w:r>
      <w:r w:rsidRPr="009C28D9">
        <w:rPr>
          <w:rFonts w:ascii="Times New Roman" w:hAnsi="Times New Roman" w:cs="Times New Roman"/>
          <w:b/>
          <w:bCs/>
          <w:sz w:val="24"/>
          <w:szCs w:val="24"/>
        </w:rPr>
        <w:t>SUR – Revista Internacional de Direitos Humanos</w:t>
      </w:r>
      <w:r w:rsidRPr="009C28D9">
        <w:rPr>
          <w:rFonts w:ascii="Times New Roman" w:hAnsi="Times New Roman" w:cs="Times New Roman"/>
          <w:sz w:val="24"/>
          <w:szCs w:val="24"/>
        </w:rPr>
        <w:t>, v. 7, n.13, jan., 2004, p. 51-73.</w:t>
      </w:r>
    </w:p>
    <w:p w14:paraId="100FF416" w14:textId="251306A2" w:rsidR="00E97E7E" w:rsidRPr="009C28D9" w:rsidRDefault="00E97E7E" w:rsidP="00055641">
      <w:pPr>
        <w:spacing w:before="240" w:line="240" w:lineRule="auto"/>
        <w:ind w:firstLine="0"/>
        <w:jc w:val="left"/>
        <w:rPr>
          <w:rFonts w:ascii="Times New Roman" w:hAnsi="Times New Roman" w:cs="Times New Roman"/>
          <w:sz w:val="24"/>
          <w:szCs w:val="24"/>
        </w:rPr>
      </w:pPr>
      <w:r w:rsidRPr="00561F69">
        <w:rPr>
          <w:rFonts w:ascii="Times New Roman" w:hAnsi="Times New Roman" w:cs="Times New Roman"/>
          <w:sz w:val="24"/>
          <w:szCs w:val="24"/>
          <w:lang w:val="en-US"/>
        </w:rPr>
        <w:t xml:space="preserve">NOVAK, Andrew. </w:t>
      </w:r>
      <w:r w:rsidRPr="00561F69">
        <w:rPr>
          <w:rFonts w:ascii="Times New Roman" w:hAnsi="Times New Roman" w:cs="Times New Roman"/>
          <w:b/>
          <w:bCs/>
          <w:sz w:val="24"/>
          <w:szCs w:val="24"/>
          <w:lang w:val="en-US"/>
        </w:rPr>
        <w:t>Transnational Human Rights Litigation:</w:t>
      </w:r>
      <w:r w:rsidRPr="00561F69">
        <w:rPr>
          <w:rFonts w:ascii="Times New Roman" w:hAnsi="Times New Roman" w:cs="Times New Roman"/>
          <w:sz w:val="24"/>
          <w:szCs w:val="24"/>
          <w:lang w:val="en-US"/>
        </w:rPr>
        <w:t xml:space="preserve"> Challenging the Death Penalty and Criminalization of Homosexuality in the Commonwealth. </w:t>
      </w:r>
      <w:proofErr w:type="spellStart"/>
      <w:r w:rsidRPr="009C28D9">
        <w:rPr>
          <w:rFonts w:ascii="Times New Roman" w:hAnsi="Times New Roman" w:cs="Times New Roman"/>
          <w:sz w:val="24"/>
          <w:szCs w:val="24"/>
        </w:rPr>
        <w:t>Ius</w:t>
      </w:r>
      <w:proofErr w:type="spellEnd"/>
      <w:r w:rsidRPr="009C28D9">
        <w:rPr>
          <w:rFonts w:ascii="Times New Roman" w:hAnsi="Times New Roman" w:cs="Times New Roman"/>
          <w:sz w:val="24"/>
          <w:szCs w:val="24"/>
        </w:rPr>
        <w:t xml:space="preserve"> Gentium: </w:t>
      </w:r>
      <w:proofErr w:type="spellStart"/>
      <w:r w:rsidRPr="009C28D9">
        <w:rPr>
          <w:rFonts w:ascii="Times New Roman" w:hAnsi="Times New Roman" w:cs="Times New Roman"/>
          <w:sz w:val="24"/>
          <w:szCs w:val="24"/>
        </w:rPr>
        <w:t>Comparative</w:t>
      </w:r>
      <w:proofErr w:type="spellEnd"/>
      <w:r w:rsidRPr="009C28D9">
        <w:rPr>
          <w:rFonts w:ascii="Times New Roman" w:hAnsi="Times New Roman" w:cs="Times New Roman"/>
          <w:sz w:val="24"/>
          <w:szCs w:val="24"/>
        </w:rPr>
        <w:t xml:space="preserve"> Perspectives </w:t>
      </w:r>
      <w:proofErr w:type="spellStart"/>
      <w:r w:rsidRPr="009C28D9">
        <w:rPr>
          <w:rFonts w:ascii="Times New Roman" w:hAnsi="Times New Roman" w:cs="Times New Roman"/>
          <w:sz w:val="24"/>
          <w:szCs w:val="24"/>
        </w:rPr>
        <w:t>on</w:t>
      </w:r>
      <w:proofErr w:type="spellEnd"/>
      <w:r w:rsidRPr="009C28D9">
        <w:rPr>
          <w:rFonts w:ascii="Times New Roman" w:hAnsi="Times New Roman" w:cs="Times New Roman"/>
          <w:sz w:val="24"/>
          <w:szCs w:val="24"/>
        </w:rPr>
        <w:t xml:space="preserve"> Law </w:t>
      </w:r>
      <w:proofErr w:type="spellStart"/>
      <w:r w:rsidRPr="009C28D9">
        <w:rPr>
          <w:rFonts w:ascii="Times New Roman" w:hAnsi="Times New Roman" w:cs="Times New Roman"/>
          <w:sz w:val="24"/>
          <w:szCs w:val="24"/>
        </w:rPr>
        <w:t>and</w:t>
      </w:r>
      <w:proofErr w:type="spellEnd"/>
      <w:r w:rsidRPr="009C28D9">
        <w:rPr>
          <w:rFonts w:ascii="Times New Roman" w:hAnsi="Times New Roman" w:cs="Times New Roman"/>
          <w:sz w:val="24"/>
          <w:szCs w:val="24"/>
        </w:rPr>
        <w:t xml:space="preserve"> Justice, 2020.</w:t>
      </w:r>
    </w:p>
    <w:p w14:paraId="4F1398FA" w14:textId="77777777" w:rsidR="00E97E7E" w:rsidRPr="009C28D9" w:rsidRDefault="00E97E7E" w:rsidP="00055641">
      <w:pPr>
        <w:widowControl w:val="0"/>
        <w:spacing w:line="240" w:lineRule="auto"/>
        <w:ind w:firstLine="0"/>
        <w:jc w:val="left"/>
        <w:rPr>
          <w:rFonts w:ascii="Times New Roman" w:hAnsi="Times New Roman" w:cs="Times New Roman"/>
          <w:sz w:val="24"/>
          <w:szCs w:val="24"/>
          <w:lang w:val="en-US"/>
        </w:rPr>
      </w:pPr>
      <w:r w:rsidRPr="00561F69">
        <w:rPr>
          <w:rFonts w:ascii="Times New Roman" w:hAnsi="Times New Roman" w:cs="Times New Roman"/>
          <w:sz w:val="24"/>
          <w:szCs w:val="24"/>
        </w:rPr>
        <w:t xml:space="preserve">ORGANIZAÇÃO DOS ESTADOS AMERICANOS. Comissão Interamericana de Direitos </w:t>
      </w:r>
      <w:r w:rsidRPr="00561F69">
        <w:rPr>
          <w:rFonts w:ascii="Times New Roman" w:hAnsi="Times New Roman" w:cs="Times New Roman"/>
          <w:sz w:val="24"/>
          <w:szCs w:val="24"/>
        </w:rPr>
        <w:lastRenderedPageBreak/>
        <w:t xml:space="preserve">Humanos. </w:t>
      </w:r>
      <w:r w:rsidRPr="00561F69">
        <w:rPr>
          <w:rFonts w:ascii="Times New Roman" w:hAnsi="Times New Roman" w:cs="Times New Roman"/>
          <w:b/>
          <w:bCs/>
          <w:sz w:val="24"/>
          <w:szCs w:val="24"/>
          <w:lang w:val="es-ES"/>
        </w:rPr>
        <w:t>Documentos básicos en materia de derechos humanos en el sistema interamericano</w:t>
      </w:r>
      <w:r w:rsidRPr="00561F69">
        <w:rPr>
          <w:rFonts w:ascii="Times New Roman" w:hAnsi="Times New Roman" w:cs="Times New Roman"/>
          <w:sz w:val="24"/>
          <w:szCs w:val="24"/>
          <w:lang w:val="es-ES"/>
        </w:rPr>
        <w:t xml:space="preserve">. </w:t>
      </w:r>
      <w:proofErr w:type="spellStart"/>
      <w:r w:rsidRPr="009C28D9">
        <w:rPr>
          <w:rFonts w:ascii="Times New Roman" w:hAnsi="Times New Roman" w:cs="Times New Roman"/>
          <w:sz w:val="24"/>
          <w:szCs w:val="24"/>
          <w:lang w:val="en-US"/>
        </w:rPr>
        <w:t>Actualizado</w:t>
      </w:r>
      <w:proofErr w:type="spellEnd"/>
      <w:r w:rsidRPr="009C28D9">
        <w:rPr>
          <w:rFonts w:ascii="Times New Roman" w:hAnsi="Times New Roman" w:cs="Times New Roman"/>
          <w:sz w:val="24"/>
          <w:szCs w:val="24"/>
          <w:lang w:val="en-US"/>
        </w:rPr>
        <w:t xml:space="preserve"> a 30 de </w:t>
      </w:r>
      <w:proofErr w:type="spellStart"/>
      <w:r w:rsidRPr="009C28D9">
        <w:rPr>
          <w:rFonts w:ascii="Times New Roman" w:hAnsi="Times New Roman" w:cs="Times New Roman"/>
          <w:sz w:val="24"/>
          <w:szCs w:val="24"/>
          <w:lang w:val="en-US"/>
        </w:rPr>
        <w:t>septiembre</w:t>
      </w:r>
      <w:proofErr w:type="spellEnd"/>
      <w:r w:rsidRPr="009C28D9">
        <w:rPr>
          <w:rFonts w:ascii="Times New Roman" w:hAnsi="Times New Roman" w:cs="Times New Roman"/>
          <w:sz w:val="24"/>
          <w:szCs w:val="24"/>
          <w:lang w:val="en-US"/>
        </w:rPr>
        <w:t xml:space="preserve"> de 2014. 2014.</w:t>
      </w:r>
    </w:p>
    <w:p w14:paraId="3DE0965F" w14:textId="7EA3FFCD" w:rsidR="00E97E7E" w:rsidRPr="009C28D9" w:rsidRDefault="00E97E7E" w:rsidP="00055641">
      <w:pPr>
        <w:autoSpaceDE w:val="0"/>
        <w:autoSpaceDN w:val="0"/>
        <w:adjustRightInd w:val="0"/>
        <w:spacing w:line="240" w:lineRule="auto"/>
        <w:ind w:firstLine="0"/>
        <w:jc w:val="left"/>
        <w:rPr>
          <w:rFonts w:ascii="Times New Roman" w:hAnsi="Times New Roman" w:cs="Times New Roman"/>
          <w:sz w:val="24"/>
          <w:szCs w:val="24"/>
          <w:lang w:val="en-US"/>
        </w:rPr>
      </w:pPr>
      <w:r w:rsidRPr="00561F69">
        <w:rPr>
          <w:rFonts w:ascii="Times New Roman" w:hAnsi="Times New Roman" w:cs="Times New Roman"/>
          <w:sz w:val="24"/>
          <w:szCs w:val="24"/>
          <w:lang w:val="en-US"/>
        </w:rPr>
        <w:t xml:space="preserve">PASQUALUCCI, J. M. Interim Measures in </w:t>
      </w:r>
      <w:proofErr w:type="spellStart"/>
      <w:r w:rsidRPr="00561F69">
        <w:rPr>
          <w:rFonts w:ascii="Times New Roman" w:hAnsi="Times New Roman" w:cs="Times New Roman"/>
          <w:sz w:val="24"/>
          <w:szCs w:val="24"/>
          <w:lang w:val="en-US"/>
        </w:rPr>
        <w:t>Internacional</w:t>
      </w:r>
      <w:proofErr w:type="spellEnd"/>
      <w:r w:rsidRPr="00561F69">
        <w:rPr>
          <w:rFonts w:ascii="Times New Roman" w:hAnsi="Times New Roman" w:cs="Times New Roman"/>
          <w:sz w:val="24"/>
          <w:szCs w:val="24"/>
          <w:lang w:val="en-US"/>
        </w:rPr>
        <w:t xml:space="preserve"> Human Rights: Evolution and Harmonization. </w:t>
      </w:r>
      <w:r w:rsidRPr="009C28D9">
        <w:rPr>
          <w:rFonts w:ascii="Times New Roman" w:hAnsi="Times New Roman" w:cs="Times New Roman"/>
          <w:b/>
          <w:bCs/>
          <w:sz w:val="24"/>
          <w:szCs w:val="24"/>
          <w:lang w:val="en-US"/>
        </w:rPr>
        <w:t>Vanderbilt Journal of Transnational Law</w:t>
      </w:r>
      <w:r w:rsidRPr="009C28D9">
        <w:rPr>
          <w:rFonts w:ascii="Times New Roman" w:hAnsi="Times New Roman" w:cs="Times New Roman"/>
          <w:sz w:val="24"/>
          <w:szCs w:val="24"/>
          <w:lang w:val="en-US"/>
        </w:rPr>
        <w:t>,</w:t>
      </w:r>
      <w:r w:rsidRPr="009C28D9">
        <w:rPr>
          <w:rFonts w:ascii="Times New Roman" w:hAnsi="Times New Roman" w:cs="Times New Roman"/>
          <w:b/>
          <w:bCs/>
          <w:sz w:val="24"/>
          <w:szCs w:val="24"/>
          <w:lang w:val="en-US"/>
        </w:rPr>
        <w:t xml:space="preserve"> </w:t>
      </w:r>
      <w:r w:rsidRPr="009C28D9">
        <w:rPr>
          <w:rFonts w:ascii="Times New Roman" w:hAnsi="Times New Roman" w:cs="Times New Roman"/>
          <w:sz w:val="24"/>
          <w:szCs w:val="24"/>
          <w:lang w:val="en-US"/>
        </w:rPr>
        <w:t xml:space="preserve">v. 38, 2005. </w:t>
      </w:r>
    </w:p>
    <w:p w14:paraId="6BF59566" w14:textId="77777777" w:rsidR="00E97E7E" w:rsidRPr="00561F69" w:rsidRDefault="00E97E7E" w:rsidP="00055641">
      <w:pPr>
        <w:widowControl w:val="0"/>
        <w:spacing w:after="0" w:line="240" w:lineRule="auto"/>
        <w:ind w:firstLine="0"/>
        <w:jc w:val="left"/>
        <w:rPr>
          <w:rFonts w:ascii="Times New Roman" w:hAnsi="Times New Roman" w:cs="Times New Roman"/>
          <w:sz w:val="24"/>
          <w:szCs w:val="24"/>
        </w:rPr>
      </w:pPr>
      <w:r w:rsidRPr="00561F69">
        <w:rPr>
          <w:rFonts w:ascii="Times New Roman" w:hAnsi="Times New Roman" w:cs="Times New Roman"/>
          <w:sz w:val="24"/>
          <w:szCs w:val="24"/>
          <w:lang w:val="es-ES"/>
        </w:rPr>
        <w:t>SALMÓN, Elizabeth.</w:t>
      </w:r>
      <w:r w:rsidRPr="00561F69">
        <w:rPr>
          <w:rFonts w:ascii="Times New Roman" w:hAnsi="Times New Roman" w:cs="Times New Roman"/>
          <w:b/>
          <w:bCs/>
          <w:sz w:val="24"/>
          <w:szCs w:val="24"/>
          <w:lang w:val="es-ES"/>
        </w:rPr>
        <w:t xml:space="preserve"> Introducción al sistema interamericano de derechos humanos</w:t>
      </w:r>
      <w:r w:rsidRPr="00561F69">
        <w:rPr>
          <w:rFonts w:ascii="Times New Roman" w:hAnsi="Times New Roman" w:cs="Times New Roman"/>
          <w:sz w:val="24"/>
          <w:szCs w:val="24"/>
          <w:lang w:val="es-ES"/>
        </w:rPr>
        <w:t xml:space="preserve">. </w:t>
      </w:r>
      <w:r w:rsidRPr="00561F69">
        <w:rPr>
          <w:rFonts w:ascii="Times New Roman" w:hAnsi="Times New Roman" w:cs="Times New Roman"/>
          <w:sz w:val="24"/>
          <w:szCs w:val="24"/>
        </w:rPr>
        <w:t xml:space="preserve">1. ed. Lima: </w:t>
      </w:r>
      <w:proofErr w:type="spellStart"/>
      <w:r w:rsidRPr="00561F69">
        <w:rPr>
          <w:rFonts w:ascii="Times New Roman" w:hAnsi="Times New Roman" w:cs="Times New Roman"/>
          <w:sz w:val="24"/>
          <w:szCs w:val="24"/>
        </w:rPr>
        <w:t>Pontificia</w:t>
      </w:r>
      <w:proofErr w:type="spellEnd"/>
      <w:r w:rsidRPr="00561F69">
        <w:rPr>
          <w:rFonts w:ascii="Times New Roman" w:hAnsi="Times New Roman" w:cs="Times New Roman"/>
          <w:sz w:val="24"/>
          <w:szCs w:val="24"/>
        </w:rPr>
        <w:t xml:space="preserve"> </w:t>
      </w:r>
      <w:proofErr w:type="spellStart"/>
      <w:r w:rsidRPr="00561F69">
        <w:rPr>
          <w:rFonts w:ascii="Times New Roman" w:hAnsi="Times New Roman" w:cs="Times New Roman"/>
          <w:sz w:val="24"/>
          <w:szCs w:val="24"/>
        </w:rPr>
        <w:t>Universidad</w:t>
      </w:r>
      <w:proofErr w:type="spellEnd"/>
      <w:r w:rsidRPr="00561F69">
        <w:rPr>
          <w:rFonts w:ascii="Times New Roman" w:hAnsi="Times New Roman" w:cs="Times New Roman"/>
          <w:sz w:val="24"/>
          <w:szCs w:val="24"/>
        </w:rPr>
        <w:t xml:space="preserve"> Católica </w:t>
      </w:r>
      <w:proofErr w:type="spellStart"/>
      <w:r w:rsidRPr="00561F69">
        <w:rPr>
          <w:rFonts w:ascii="Times New Roman" w:hAnsi="Times New Roman" w:cs="Times New Roman"/>
          <w:sz w:val="24"/>
          <w:szCs w:val="24"/>
        </w:rPr>
        <w:t>del</w:t>
      </w:r>
      <w:proofErr w:type="spellEnd"/>
      <w:r w:rsidRPr="00561F69">
        <w:rPr>
          <w:rFonts w:ascii="Times New Roman" w:hAnsi="Times New Roman" w:cs="Times New Roman"/>
          <w:sz w:val="24"/>
          <w:szCs w:val="24"/>
        </w:rPr>
        <w:t xml:space="preserve"> </w:t>
      </w:r>
      <w:proofErr w:type="spellStart"/>
      <w:r w:rsidRPr="00561F69">
        <w:rPr>
          <w:rFonts w:ascii="Times New Roman" w:hAnsi="Times New Roman" w:cs="Times New Roman"/>
          <w:sz w:val="24"/>
          <w:szCs w:val="24"/>
        </w:rPr>
        <w:t>Perú</w:t>
      </w:r>
      <w:proofErr w:type="spellEnd"/>
      <w:r w:rsidRPr="00561F69">
        <w:rPr>
          <w:rFonts w:ascii="Times New Roman" w:hAnsi="Times New Roman" w:cs="Times New Roman"/>
          <w:sz w:val="24"/>
          <w:szCs w:val="24"/>
        </w:rPr>
        <w:t>, 2019.</w:t>
      </w:r>
    </w:p>
    <w:p w14:paraId="62CCA94A" w14:textId="77777777" w:rsidR="00055641" w:rsidRPr="00561F69" w:rsidRDefault="00055641" w:rsidP="00055641">
      <w:pPr>
        <w:widowControl w:val="0"/>
        <w:spacing w:after="0" w:line="240" w:lineRule="auto"/>
        <w:ind w:firstLine="0"/>
        <w:jc w:val="left"/>
        <w:rPr>
          <w:rFonts w:ascii="Times New Roman" w:hAnsi="Times New Roman" w:cs="Times New Roman"/>
          <w:sz w:val="24"/>
          <w:szCs w:val="24"/>
        </w:rPr>
      </w:pPr>
    </w:p>
    <w:p w14:paraId="4771508E" w14:textId="19A82629" w:rsidR="00E97E7E" w:rsidRPr="00561F69" w:rsidRDefault="00E97E7E" w:rsidP="00055641">
      <w:pPr>
        <w:widowControl w:val="0"/>
        <w:spacing w:after="0" w:line="240" w:lineRule="auto"/>
        <w:ind w:firstLine="0"/>
        <w:jc w:val="left"/>
        <w:rPr>
          <w:rFonts w:ascii="Times New Roman" w:eastAsia="Times New Roman" w:hAnsi="Times New Roman" w:cs="Times New Roman"/>
          <w:b/>
          <w:bCs/>
          <w:sz w:val="24"/>
          <w:szCs w:val="24"/>
        </w:rPr>
      </w:pPr>
      <w:r w:rsidRPr="00561F69">
        <w:rPr>
          <w:rFonts w:ascii="Times New Roman" w:hAnsi="Times New Roman" w:cs="Times New Roman"/>
          <w:sz w:val="24"/>
          <w:szCs w:val="24"/>
        </w:rPr>
        <w:t xml:space="preserve">TEREZO, Cristina Figueiredo. </w:t>
      </w:r>
      <w:r w:rsidRPr="00561F69">
        <w:rPr>
          <w:rFonts w:ascii="Times New Roman" w:hAnsi="Times New Roman" w:cs="Times New Roman"/>
          <w:b/>
          <w:bCs/>
          <w:sz w:val="24"/>
          <w:szCs w:val="24"/>
        </w:rPr>
        <w:t>Sistema Interamericano de Direitos Humanos</w:t>
      </w:r>
      <w:r w:rsidRPr="00561F69">
        <w:rPr>
          <w:rFonts w:ascii="Times New Roman" w:hAnsi="Times New Roman" w:cs="Times New Roman"/>
          <w:sz w:val="24"/>
          <w:szCs w:val="24"/>
        </w:rPr>
        <w:t xml:space="preserve">: pela defesa dos direitos econômicos, sociais e culturais. Curitiba: </w:t>
      </w:r>
      <w:proofErr w:type="spellStart"/>
      <w:r w:rsidRPr="00561F69">
        <w:rPr>
          <w:rFonts w:ascii="Times New Roman" w:hAnsi="Times New Roman" w:cs="Times New Roman"/>
          <w:sz w:val="24"/>
          <w:szCs w:val="24"/>
        </w:rPr>
        <w:t>Appris</w:t>
      </w:r>
      <w:proofErr w:type="spellEnd"/>
      <w:r w:rsidRPr="00561F69">
        <w:rPr>
          <w:rFonts w:ascii="Times New Roman" w:hAnsi="Times New Roman" w:cs="Times New Roman"/>
          <w:sz w:val="24"/>
          <w:szCs w:val="24"/>
        </w:rPr>
        <w:t>, 2014.</w:t>
      </w:r>
    </w:p>
    <w:p w14:paraId="47F27233" w14:textId="77777777" w:rsidR="00055641" w:rsidRPr="00561F69" w:rsidRDefault="00055641" w:rsidP="00055641">
      <w:pPr>
        <w:widowControl w:val="0"/>
        <w:spacing w:after="0" w:line="240" w:lineRule="auto"/>
        <w:ind w:firstLine="0"/>
        <w:jc w:val="left"/>
        <w:rPr>
          <w:rStyle w:val="halyaf"/>
          <w:rFonts w:ascii="Times New Roman" w:hAnsi="Times New Roman" w:cs="Times New Roman"/>
          <w:sz w:val="24"/>
          <w:szCs w:val="24"/>
        </w:rPr>
      </w:pPr>
    </w:p>
    <w:p w14:paraId="612C4401" w14:textId="60877723" w:rsidR="00E97E7E" w:rsidRPr="00561F69" w:rsidRDefault="00E97E7E" w:rsidP="00055641">
      <w:pPr>
        <w:widowControl w:val="0"/>
        <w:spacing w:after="0" w:line="240" w:lineRule="auto"/>
        <w:ind w:firstLine="0"/>
        <w:jc w:val="left"/>
        <w:rPr>
          <w:rStyle w:val="halyaf"/>
          <w:rFonts w:ascii="Times New Roman" w:hAnsi="Times New Roman" w:cs="Times New Roman"/>
          <w:sz w:val="24"/>
          <w:szCs w:val="24"/>
        </w:rPr>
      </w:pPr>
      <w:r w:rsidRPr="00561F69">
        <w:rPr>
          <w:rStyle w:val="halyaf"/>
          <w:rFonts w:ascii="Times New Roman" w:hAnsi="Times New Roman" w:cs="Times New Roman"/>
          <w:sz w:val="24"/>
          <w:szCs w:val="24"/>
        </w:rPr>
        <w:t>VON HOHENDORFF, Jean. Como escrever um artigo de revisão de literatura. In: KOLLER, Sílvia H.; COUTO, Maria Clara P. de Paula; e VON HOHENDORFF, Jean (</w:t>
      </w:r>
      <w:proofErr w:type="spellStart"/>
      <w:r w:rsidRPr="00561F69">
        <w:rPr>
          <w:rStyle w:val="halyaf"/>
          <w:rFonts w:ascii="Times New Roman" w:hAnsi="Times New Roman" w:cs="Times New Roman"/>
          <w:sz w:val="24"/>
          <w:szCs w:val="24"/>
        </w:rPr>
        <w:t>Orgs</w:t>
      </w:r>
      <w:proofErr w:type="spellEnd"/>
      <w:r w:rsidRPr="00561F69">
        <w:rPr>
          <w:rStyle w:val="halyaf"/>
          <w:rFonts w:ascii="Times New Roman" w:hAnsi="Times New Roman" w:cs="Times New Roman"/>
          <w:sz w:val="24"/>
          <w:szCs w:val="24"/>
        </w:rPr>
        <w:t xml:space="preserve">.). </w:t>
      </w:r>
      <w:r w:rsidRPr="00561F69">
        <w:rPr>
          <w:rStyle w:val="halyaf"/>
          <w:rFonts w:ascii="Times New Roman" w:hAnsi="Times New Roman" w:cs="Times New Roman"/>
          <w:b/>
          <w:bCs/>
          <w:sz w:val="24"/>
          <w:szCs w:val="24"/>
        </w:rPr>
        <w:t>Manual de Produção Científica</w:t>
      </w:r>
      <w:r w:rsidRPr="00561F69">
        <w:rPr>
          <w:rStyle w:val="halyaf"/>
          <w:rFonts w:ascii="Times New Roman" w:hAnsi="Times New Roman" w:cs="Times New Roman"/>
          <w:sz w:val="24"/>
          <w:szCs w:val="24"/>
        </w:rPr>
        <w:t xml:space="preserve">. Porto Alegre: Penso, 2014. </w:t>
      </w:r>
    </w:p>
    <w:sectPr w:rsidR="00E97E7E" w:rsidRPr="00561F69" w:rsidSect="00594F24">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65BD6" w14:textId="77777777" w:rsidR="00A2419D" w:rsidRDefault="00A2419D" w:rsidP="00646E7E">
      <w:pPr>
        <w:spacing w:after="0" w:line="240" w:lineRule="auto"/>
      </w:pPr>
      <w:r>
        <w:separator/>
      </w:r>
    </w:p>
  </w:endnote>
  <w:endnote w:type="continuationSeparator" w:id="0">
    <w:p w14:paraId="3A310C70" w14:textId="77777777" w:rsidR="00A2419D" w:rsidRDefault="00A2419D"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358F" w14:textId="77777777" w:rsidR="00A2419D" w:rsidRDefault="00A2419D" w:rsidP="00646E7E">
      <w:pPr>
        <w:spacing w:after="0" w:line="240" w:lineRule="auto"/>
      </w:pPr>
      <w:r>
        <w:separator/>
      </w:r>
    </w:p>
  </w:footnote>
  <w:footnote w:type="continuationSeparator" w:id="0">
    <w:p w14:paraId="039259E3" w14:textId="77777777" w:rsidR="00A2419D" w:rsidRDefault="00A2419D" w:rsidP="00646E7E">
      <w:pPr>
        <w:spacing w:after="0" w:line="240" w:lineRule="auto"/>
      </w:pPr>
      <w:r>
        <w:continuationSeparator/>
      </w:r>
    </w:p>
  </w:footnote>
  <w:footnote w:id="1">
    <w:p w14:paraId="28FA820F" w14:textId="4185AEE3" w:rsidR="00004AC7" w:rsidRPr="00264773" w:rsidRDefault="00004AC7" w:rsidP="00264773">
      <w:pPr>
        <w:pStyle w:val="NormalWeb"/>
        <w:spacing w:before="0" w:beforeAutospacing="0" w:after="0" w:afterAutospacing="0"/>
        <w:jc w:val="both"/>
        <w:rPr>
          <w:sz w:val="20"/>
          <w:szCs w:val="20"/>
        </w:rPr>
      </w:pPr>
      <w:r w:rsidRPr="0050029F">
        <w:rPr>
          <w:rStyle w:val="FootnoteReference"/>
          <w:sz w:val="20"/>
          <w:szCs w:val="20"/>
        </w:rPr>
        <w:footnoteRef/>
      </w:r>
      <w:r w:rsidRPr="00AF7796">
        <w:rPr>
          <w:sz w:val="20"/>
          <w:szCs w:val="20"/>
          <w:lang w:val="es-ES"/>
        </w:rPr>
        <w:t xml:space="preserve"> </w:t>
      </w:r>
      <w:r w:rsidR="00BA2080">
        <w:rPr>
          <w:sz w:val="20"/>
          <w:szCs w:val="20"/>
          <w:lang w:val="es-ES"/>
        </w:rPr>
        <w:t xml:space="preserve">Conforme texto </w:t>
      </w:r>
      <w:r w:rsidRPr="00AF7796">
        <w:rPr>
          <w:sz w:val="20"/>
          <w:szCs w:val="20"/>
          <w:lang w:val="es-ES"/>
        </w:rPr>
        <w:t xml:space="preserve">do artigo 25.2 do </w:t>
      </w:r>
      <w:proofErr w:type="spellStart"/>
      <w:r w:rsidRPr="00AF7796">
        <w:rPr>
          <w:sz w:val="20"/>
          <w:szCs w:val="20"/>
          <w:lang w:val="es-ES"/>
        </w:rPr>
        <w:t>Regulamento</w:t>
      </w:r>
      <w:proofErr w:type="spellEnd"/>
      <w:r w:rsidRPr="00AF7796">
        <w:rPr>
          <w:sz w:val="20"/>
          <w:szCs w:val="20"/>
          <w:lang w:val="es-ES"/>
        </w:rPr>
        <w:t xml:space="preserve"> da CIDH, os termos “</w:t>
      </w:r>
      <w:proofErr w:type="spellStart"/>
      <w:r w:rsidRPr="00AF7796">
        <w:rPr>
          <w:sz w:val="20"/>
          <w:szCs w:val="20"/>
          <w:lang w:val="es-ES"/>
        </w:rPr>
        <w:t>gravidade</w:t>
      </w:r>
      <w:proofErr w:type="spellEnd"/>
      <w:r w:rsidRPr="00AF7796">
        <w:rPr>
          <w:sz w:val="20"/>
          <w:szCs w:val="20"/>
          <w:lang w:val="es-ES"/>
        </w:rPr>
        <w:t>”, “</w:t>
      </w:r>
      <w:proofErr w:type="spellStart"/>
      <w:r w:rsidRPr="00AF7796">
        <w:rPr>
          <w:sz w:val="20"/>
          <w:szCs w:val="20"/>
          <w:lang w:val="es-ES"/>
        </w:rPr>
        <w:t>urgência</w:t>
      </w:r>
      <w:proofErr w:type="spellEnd"/>
      <w:r w:rsidRPr="00AF7796">
        <w:rPr>
          <w:sz w:val="20"/>
          <w:szCs w:val="20"/>
          <w:lang w:val="es-ES"/>
        </w:rPr>
        <w:t>” e “</w:t>
      </w:r>
      <w:proofErr w:type="spellStart"/>
      <w:r w:rsidRPr="00AF7796">
        <w:rPr>
          <w:sz w:val="20"/>
          <w:szCs w:val="20"/>
          <w:lang w:val="es-ES"/>
        </w:rPr>
        <w:t>dano</w:t>
      </w:r>
      <w:proofErr w:type="spellEnd"/>
      <w:r w:rsidRPr="00AF7796">
        <w:rPr>
          <w:sz w:val="20"/>
          <w:szCs w:val="20"/>
          <w:lang w:val="es-ES"/>
        </w:rPr>
        <w:t xml:space="preserve"> </w:t>
      </w:r>
      <w:proofErr w:type="spellStart"/>
      <w:r w:rsidRPr="00AF7796">
        <w:rPr>
          <w:sz w:val="20"/>
          <w:szCs w:val="20"/>
          <w:lang w:val="es-ES"/>
        </w:rPr>
        <w:t>irreparável</w:t>
      </w:r>
      <w:proofErr w:type="spellEnd"/>
      <w:r w:rsidRPr="00AF7796">
        <w:rPr>
          <w:sz w:val="20"/>
          <w:szCs w:val="20"/>
          <w:lang w:val="es-ES"/>
        </w:rPr>
        <w:t xml:space="preserve">” </w:t>
      </w:r>
      <w:proofErr w:type="spellStart"/>
      <w:r w:rsidRPr="00AF7796">
        <w:rPr>
          <w:sz w:val="20"/>
          <w:szCs w:val="20"/>
          <w:lang w:val="es-ES"/>
        </w:rPr>
        <w:t>significam</w:t>
      </w:r>
      <w:proofErr w:type="spellEnd"/>
      <w:r w:rsidRPr="00AF7796">
        <w:rPr>
          <w:sz w:val="20"/>
          <w:szCs w:val="20"/>
          <w:lang w:val="es-ES"/>
        </w:rPr>
        <w:t>, respectivamente: “[</w:t>
      </w:r>
      <w:r>
        <w:rPr>
          <w:sz w:val="20"/>
          <w:szCs w:val="20"/>
          <w:lang w:val="es-ES"/>
        </w:rPr>
        <w:t xml:space="preserve">…] </w:t>
      </w:r>
      <w:r w:rsidRPr="0050029F">
        <w:rPr>
          <w:sz w:val="20"/>
          <w:szCs w:val="20"/>
          <w:lang w:val="es-ES"/>
        </w:rPr>
        <w:t xml:space="preserve">a. la </w:t>
      </w:r>
      <w:r w:rsidRPr="0050029F">
        <w:rPr>
          <w:b/>
          <w:bCs/>
          <w:sz w:val="20"/>
          <w:szCs w:val="20"/>
          <w:lang w:val="es-ES"/>
        </w:rPr>
        <w:t>“gravedad de la situación”</w:t>
      </w:r>
      <w:r w:rsidRPr="0050029F">
        <w:rPr>
          <w:sz w:val="20"/>
          <w:szCs w:val="20"/>
          <w:lang w:val="es-ES"/>
        </w:rPr>
        <w:t xml:space="preserve">, significa el serio impacto que una acción u omisión puede tener sobre un derecho protegido o sobre el efecto eventual de una decisión pendiente en un caso o petición ante los órganos del Sistema Interamericano; b. la </w:t>
      </w:r>
      <w:r w:rsidRPr="0050029F">
        <w:rPr>
          <w:b/>
          <w:bCs/>
          <w:sz w:val="20"/>
          <w:szCs w:val="20"/>
          <w:lang w:val="es-ES"/>
        </w:rPr>
        <w:t>“urgencia de la situación”</w:t>
      </w:r>
      <w:r w:rsidRPr="0050029F">
        <w:rPr>
          <w:sz w:val="20"/>
          <w:szCs w:val="20"/>
          <w:lang w:val="es-ES"/>
        </w:rPr>
        <w:t xml:space="preserve"> se determina por la información que indica que el riesgo o la amenaza sean inminentes y puedan materializarse, requiriendo de esa manera acción preventiva o tutelar; y c. el </w:t>
      </w:r>
      <w:r w:rsidRPr="0050029F">
        <w:rPr>
          <w:b/>
          <w:bCs/>
          <w:sz w:val="20"/>
          <w:szCs w:val="20"/>
          <w:lang w:val="es-ES"/>
        </w:rPr>
        <w:t>“daño irreparable”</w:t>
      </w:r>
      <w:r w:rsidRPr="0050029F">
        <w:rPr>
          <w:sz w:val="20"/>
          <w:szCs w:val="20"/>
          <w:lang w:val="es-ES"/>
        </w:rPr>
        <w:t xml:space="preserve"> significa la afectación sobre derechos que, por su propia naturaleza, no son susceptibles de reparación, restauración o adecuada indemnización.”. </w:t>
      </w:r>
      <w:r w:rsidRPr="00264773">
        <w:rPr>
          <w:sz w:val="20"/>
          <w:szCs w:val="20"/>
        </w:rPr>
        <w:t xml:space="preserve">Ver em: Organização dos Estados Americanos. </w:t>
      </w:r>
      <w:r w:rsidRPr="0050029F">
        <w:rPr>
          <w:sz w:val="20"/>
          <w:szCs w:val="20"/>
        </w:rPr>
        <w:t xml:space="preserve">Comissão Interamericana de Direitos Humanos. </w:t>
      </w:r>
      <w:r w:rsidRPr="0050029F">
        <w:rPr>
          <w:b/>
          <w:bCs/>
          <w:sz w:val="20"/>
          <w:szCs w:val="20"/>
        </w:rPr>
        <w:t xml:space="preserve">Documentos básicos em </w:t>
      </w:r>
      <w:proofErr w:type="spellStart"/>
      <w:r w:rsidRPr="0050029F">
        <w:rPr>
          <w:b/>
          <w:bCs/>
          <w:sz w:val="20"/>
          <w:szCs w:val="20"/>
        </w:rPr>
        <w:t>materia</w:t>
      </w:r>
      <w:proofErr w:type="spellEnd"/>
      <w:r w:rsidRPr="0050029F">
        <w:rPr>
          <w:b/>
          <w:bCs/>
          <w:sz w:val="20"/>
          <w:szCs w:val="20"/>
        </w:rPr>
        <w:t xml:space="preserve"> de </w:t>
      </w:r>
      <w:proofErr w:type="spellStart"/>
      <w:r w:rsidRPr="0050029F">
        <w:rPr>
          <w:b/>
          <w:bCs/>
          <w:sz w:val="20"/>
          <w:szCs w:val="20"/>
        </w:rPr>
        <w:t>derechos</w:t>
      </w:r>
      <w:proofErr w:type="spellEnd"/>
      <w:r w:rsidRPr="0050029F">
        <w:rPr>
          <w:b/>
          <w:bCs/>
          <w:sz w:val="20"/>
          <w:szCs w:val="20"/>
        </w:rPr>
        <w:t xml:space="preserve"> humanos </w:t>
      </w:r>
      <w:proofErr w:type="spellStart"/>
      <w:r w:rsidRPr="0050029F">
        <w:rPr>
          <w:b/>
          <w:bCs/>
          <w:sz w:val="20"/>
          <w:szCs w:val="20"/>
        </w:rPr>
        <w:t>en</w:t>
      </w:r>
      <w:proofErr w:type="spellEnd"/>
      <w:r w:rsidRPr="0050029F">
        <w:rPr>
          <w:b/>
          <w:bCs/>
          <w:sz w:val="20"/>
          <w:szCs w:val="20"/>
        </w:rPr>
        <w:t xml:space="preserve"> </w:t>
      </w:r>
      <w:proofErr w:type="spellStart"/>
      <w:r w:rsidRPr="0050029F">
        <w:rPr>
          <w:b/>
          <w:bCs/>
          <w:sz w:val="20"/>
          <w:szCs w:val="20"/>
        </w:rPr>
        <w:t>el</w:t>
      </w:r>
      <w:proofErr w:type="spellEnd"/>
      <w:r w:rsidRPr="0050029F">
        <w:rPr>
          <w:b/>
          <w:bCs/>
          <w:sz w:val="20"/>
          <w:szCs w:val="20"/>
        </w:rPr>
        <w:t xml:space="preserve"> sistema interamericano</w:t>
      </w:r>
      <w:r w:rsidRPr="0050029F">
        <w:rPr>
          <w:sz w:val="20"/>
          <w:szCs w:val="20"/>
        </w:rPr>
        <w:t xml:space="preserve">. </w:t>
      </w:r>
      <w:proofErr w:type="spellStart"/>
      <w:r w:rsidRPr="0050029F">
        <w:rPr>
          <w:sz w:val="20"/>
          <w:szCs w:val="20"/>
        </w:rPr>
        <w:t>Actualizado</w:t>
      </w:r>
      <w:proofErr w:type="spellEnd"/>
      <w:r w:rsidRPr="0050029F">
        <w:rPr>
          <w:sz w:val="20"/>
          <w:szCs w:val="20"/>
        </w:rPr>
        <w:t xml:space="preserve"> a 30 de </w:t>
      </w:r>
      <w:proofErr w:type="spellStart"/>
      <w:r w:rsidRPr="0050029F">
        <w:rPr>
          <w:sz w:val="20"/>
          <w:szCs w:val="20"/>
        </w:rPr>
        <w:t>septiembre</w:t>
      </w:r>
      <w:proofErr w:type="spellEnd"/>
      <w:r w:rsidRPr="0050029F">
        <w:rPr>
          <w:sz w:val="20"/>
          <w:szCs w:val="20"/>
        </w:rPr>
        <w:t xml:space="preserve"> de 2014. 2014, p. 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004AC7" w:rsidRDefault="00004AC7" w:rsidP="00844166">
    <w:pPr>
      <w:pStyle w:val="Header"/>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004AC7" w:rsidRDefault="00004AC7" w:rsidP="00844166">
    <w:pPr>
      <w:pStyle w:val="Header"/>
      <w:rPr>
        <w:noProof/>
      </w:rPr>
    </w:pPr>
  </w:p>
  <w:p w14:paraId="0CCD5649" w14:textId="3C73D615" w:rsidR="00004AC7" w:rsidRDefault="00004AC7" w:rsidP="00844166">
    <w:pPr>
      <w:pStyle w:val="Header"/>
      <w:rPr>
        <w:noProof/>
      </w:rPr>
    </w:pPr>
  </w:p>
  <w:p w14:paraId="42E8B9DF" w14:textId="752F7C78" w:rsidR="00004AC7" w:rsidRDefault="00004AC7" w:rsidP="00844166">
    <w:pPr>
      <w:pStyle w:val="Header"/>
      <w:rPr>
        <w:noProof/>
      </w:rPr>
    </w:pPr>
  </w:p>
  <w:p w14:paraId="516CC3D3" w14:textId="77777777" w:rsidR="00004AC7" w:rsidRPr="00844166" w:rsidRDefault="00004AC7" w:rsidP="00844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01BAE"/>
    <w:multiLevelType w:val="hybridMultilevel"/>
    <w:tmpl w:val="449EB1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04AC7"/>
    <w:rsid w:val="00005327"/>
    <w:rsid w:val="0000690E"/>
    <w:rsid w:val="00006C4C"/>
    <w:rsid w:val="00012F62"/>
    <w:rsid w:val="000142BC"/>
    <w:rsid w:val="000169D6"/>
    <w:rsid w:val="00024A7A"/>
    <w:rsid w:val="000443E5"/>
    <w:rsid w:val="00055641"/>
    <w:rsid w:val="0008563D"/>
    <w:rsid w:val="0008788A"/>
    <w:rsid w:val="000B7DD3"/>
    <w:rsid w:val="000E2B7A"/>
    <w:rsid w:val="000F0CDA"/>
    <w:rsid w:val="000F0D67"/>
    <w:rsid w:val="0015297F"/>
    <w:rsid w:val="001566BF"/>
    <w:rsid w:val="00165352"/>
    <w:rsid w:val="0018503D"/>
    <w:rsid w:val="00191241"/>
    <w:rsid w:val="001914AB"/>
    <w:rsid w:val="001B6BBD"/>
    <w:rsid w:val="001C277C"/>
    <w:rsid w:val="0020054E"/>
    <w:rsid w:val="00201BF3"/>
    <w:rsid w:val="00202458"/>
    <w:rsid w:val="00207CE8"/>
    <w:rsid w:val="00231D92"/>
    <w:rsid w:val="00237FF2"/>
    <w:rsid w:val="00241656"/>
    <w:rsid w:val="00243708"/>
    <w:rsid w:val="0024505E"/>
    <w:rsid w:val="00264773"/>
    <w:rsid w:val="00270FDD"/>
    <w:rsid w:val="00271426"/>
    <w:rsid w:val="002733D5"/>
    <w:rsid w:val="0027751A"/>
    <w:rsid w:val="0029187C"/>
    <w:rsid w:val="00291F88"/>
    <w:rsid w:val="002941DC"/>
    <w:rsid w:val="00297884"/>
    <w:rsid w:val="002E54C0"/>
    <w:rsid w:val="002E61BE"/>
    <w:rsid w:val="002F4DDB"/>
    <w:rsid w:val="00314098"/>
    <w:rsid w:val="003252B8"/>
    <w:rsid w:val="00336A36"/>
    <w:rsid w:val="003461CF"/>
    <w:rsid w:val="00370FF0"/>
    <w:rsid w:val="00381F74"/>
    <w:rsid w:val="00384CBE"/>
    <w:rsid w:val="003931A4"/>
    <w:rsid w:val="003B1CC2"/>
    <w:rsid w:val="003C61E2"/>
    <w:rsid w:val="003D4B18"/>
    <w:rsid w:val="00401DF0"/>
    <w:rsid w:val="00422DDF"/>
    <w:rsid w:val="00424467"/>
    <w:rsid w:val="00444875"/>
    <w:rsid w:val="00450B8F"/>
    <w:rsid w:val="00452BAF"/>
    <w:rsid w:val="004603C0"/>
    <w:rsid w:val="004939DF"/>
    <w:rsid w:val="00493BBF"/>
    <w:rsid w:val="004A1D0D"/>
    <w:rsid w:val="004A2EB8"/>
    <w:rsid w:val="004A7B12"/>
    <w:rsid w:val="004B7E76"/>
    <w:rsid w:val="004C430C"/>
    <w:rsid w:val="004D7555"/>
    <w:rsid w:val="004F6066"/>
    <w:rsid w:val="0050029F"/>
    <w:rsid w:val="00502B0A"/>
    <w:rsid w:val="00504DDE"/>
    <w:rsid w:val="00512F67"/>
    <w:rsid w:val="00526701"/>
    <w:rsid w:val="00527124"/>
    <w:rsid w:val="00536503"/>
    <w:rsid w:val="0056179D"/>
    <w:rsid w:val="00561F69"/>
    <w:rsid w:val="00586CFD"/>
    <w:rsid w:val="00590B60"/>
    <w:rsid w:val="00592F69"/>
    <w:rsid w:val="00594F24"/>
    <w:rsid w:val="00596825"/>
    <w:rsid w:val="005A4E4F"/>
    <w:rsid w:val="005C52FD"/>
    <w:rsid w:val="005E6309"/>
    <w:rsid w:val="00603CE9"/>
    <w:rsid w:val="006108E2"/>
    <w:rsid w:val="00617CB5"/>
    <w:rsid w:val="00621FEB"/>
    <w:rsid w:val="00632ACC"/>
    <w:rsid w:val="00646187"/>
    <w:rsid w:val="00646E7E"/>
    <w:rsid w:val="00647CEE"/>
    <w:rsid w:val="00682AB9"/>
    <w:rsid w:val="0069022E"/>
    <w:rsid w:val="006B2372"/>
    <w:rsid w:val="006B5CCB"/>
    <w:rsid w:val="006C2E62"/>
    <w:rsid w:val="006C37E4"/>
    <w:rsid w:val="0070119F"/>
    <w:rsid w:val="00702CD7"/>
    <w:rsid w:val="0070571E"/>
    <w:rsid w:val="0070583F"/>
    <w:rsid w:val="00712E06"/>
    <w:rsid w:val="007178C7"/>
    <w:rsid w:val="007412A2"/>
    <w:rsid w:val="00770DFF"/>
    <w:rsid w:val="007737FE"/>
    <w:rsid w:val="0079638B"/>
    <w:rsid w:val="007A4E52"/>
    <w:rsid w:val="007F2F83"/>
    <w:rsid w:val="007F7999"/>
    <w:rsid w:val="00800E50"/>
    <w:rsid w:val="0081166B"/>
    <w:rsid w:val="00844166"/>
    <w:rsid w:val="00845844"/>
    <w:rsid w:val="00850C1B"/>
    <w:rsid w:val="00857A65"/>
    <w:rsid w:val="00870E69"/>
    <w:rsid w:val="00871575"/>
    <w:rsid w:val="00871AD7"/>
    <w:rsid w:val="008A36F3"/>
    <w:rsid w:val="008C0BA0"/>
    <w:rsid w:val="008F6760"/>
    <w:rsid w:val="00916327"/>
    <w:rsid w:val="0091705F"/>
    <w:rsid w:val="00926BAD"/>
    <w:rsid w:val="00943352"/>
    <w:rsid w:val="0094760E"/>
    <w:rsid w:val="00953D0D"/>
    <w:rsid w:val="00953D50"/>
    <w:rsid w:val="0096786F"/>
    <w:rsid w:val="00976154"/>
    <w:rsid w:val="00977C20"/>
    <w:rsid w:val="0099182E"/>
    <w:rsid w:val="009A7209"/>
    <w:rsid w:val="009B16A0"/>
    <w:rsid w:val="009C28D9"/>
    <w:rsid w:val="009D14F4"/>
    <w:rsid w:val="009D7A6C"/>
    <w:rsid w:val="009E5164"/>
    <w:rsid w:val="00A01197"/>
    <w:rsid w:val="00A230CD"/>
    <w:rsid w:val="00A2419D"/>
    <w:rsid w:val="00A630A2"/>
    <w:rsid w:val="00A65073"/>
    <w:rsid w:val="00A7313D"/>
    <w:rsid w:val="00A82151"/>
    <w:rsid w:val="00AD3F8B"/>
    <w:rsid w:val="00AD4BF6"/>
    <w:rsid w:val="00AD5A7E"/>
    <w:rsid w:val="00AE31D6"/>
    <w:rsid w:val="00AF6437"/>
    <w:rsid w:val="00AF7796"/>
    <w:rsid w:val="00B174D9"/>
    <w:rsid w:val="00B2609A"/>
    <w:rsid w:val="00B31D34"/>
    <w:rsid w:val="00B3769E"/>
    <w:rsid w:val="00B55B9A"/>
    <w:rsid w:val="00B60B9B"/>
    <w:rsid w:val="00B76874"/>
    <w:rsid w:val="00B836C3"/>
    <w:rsid w:val="00BA2080"/>
    <w:rsid w:val="00BE3435"/>
    <w:rsid w:val="00C10AB1"/>
    <w:rsid w:val="00C20411"/>
    <w:rsid w:val="00C35757"/>
    <w:rsid w:val="00C4160A"/>
    <w:rsid w:val="00C80C8A"/>
    <w:rsid w:val="00C901F6"/>
    <w:rsid w:val="00CA232B"/>
    <w:rsid w:val="00CC1F44"/>
    <w:rsid w:val="00CD3F5E"/>
    <w:rsid w:val="00CF0D12"/>
    <w:rsid w:val="00D00366"/>
    <w:rsid w:val="00D0696A"/>
    <w:rsid w:val="00D0749A"/>
    <w:rsid w:val="00D200D7"/>
    <w:rsid w:val="00D204F8"/>
    <w:rsid w:val="00D3615E"/>
    <w:rsid w:val="00D408D2"/>
    <w:rsid w:val="00D4144A"/>
    <w:rsid w:val="00D54668"/>
    <w:rsid w:val="00D54BF0"/>
    <w:rsid w:val="00D860AC"/>
    <w:rsid w:val="00D97D72"/>
    <w:rsid w:val="00DB025F"/>
    <w:rsid w:val="00DB6516"/>
    <w:rsid w:val="00DC693C"/>
    <w:rsid w:val="00DD5447"/>
    <w:rsid w:val="00E14A86"/>
    <w:rsid w:val="00E2059F"/>
    <w:rsid w:val="00E312B8"/>
    <w:rsid w:val="00E35B4F"/>
    <w:rsid w:val="00E40CA8"/>
    <w:rsid w:val="00E475B6"/>
    <w:rsid w:val="00E47F77"/>
    <w:rsid w:val="00E506F9"/>
    <w:rsid w:val="00E52529"/>
    <w:rsid w:val="00E535B1"/>
    <w:rsid w:val="00E53B90"/>
    <w:rsid w:val="00E55D80"/>
    <w:rsid w:val="00E56842"/>
    <w:rsid w:val="00E61A4E"/>
    <w:rsid w:val="00E6478D"/>
    <w:rsid w:val="00E808BA"/>
    <w:rsid w:val="00E97E7E"/>
    <w:rsid w:val="00EA7A6E"/>
    <w:rsid w:val="00EB0C1C"/>
    <w:rsid w:val="00EF1BF7"/>
    <w:rsid w:val="00F04536"/>
    <w:rsid w:val="00F2648A"/>
    <w:rsid w:val="00F26C13"/>
    <w:rsid w:val="00F3721A"/>
    <w:rsid w:val="00F466A8"/>
    <w:rsid w:val="00F50002"/>
    <w:rsid w:val="00F56F22"/>
    <w:rsid w:val="00F70084"/>
    <w:rsid w:val="00F7297D"/>
    <w:rsid w:val="00F804BB"/>
    <w:rsid w:val="00FA0080"/>
    <w:rsid w:val="00FC5491"/>
    <w:rsid w:val="00FD4E10"/>
    <w:rsid w:val="00FD5DC6"/>
    <w:rsid w:val="00FF0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0A"/>
    <w:pPr>
      <w:spacing w:after="200" w:line="360" w:lineRule="auto"/>
      <w:ind w:firstLine="709"/>
      <w:jc w:val="both"/>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ind w:firstLine="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ind w:firstLine="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after="160" w:line="240" w:lineRule="auto"/>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Char"/>
    <w:basedOn w:val="Normal"/>
    <w:link w:val="FootnoteTextChar"/>
    <w:uiPriority w:val="99"/>
    <w:unhideWhenUsed/>
    <w:qFormat/>
    <w:rsid w:val="00594F24"/>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qFormat/>
    <w:rsid w:val="00594F24"/>
    <w:rPr>
      <w:rFonts w:ascii="Calibri" w:eastAsia="Calibri" w:hAnsi="Calibri" w:cs="Calibri"/>
      <w:sz w:val="20"/>
      <w:szCs w:val="20"/>
    </w:rPr>
  </w:style>
  <w:style w:type="character" w:styleId="FootnoteReference">
    <w:name w:val="footnote reference"/>
    <w:aliases w:val="Texto de nota al pie,Appel note de bas de page,Footnotes refss,f,Footnote number,referencia nota al pie,BVI fnr,4_G,16 Point,Superscript 6 Point,ftref,Ref,de nota al pie,de nota al pie + (Asian) MS Mincho,11 pt,Texto nota al pie"/>
    <w:basedOn w:val="DefaultParagraphFont"/>
    <w:uiPriority w:val="99"/>
    <w:unhideWhenUsed/>
    <w:qFormat/>
    <w:rsid w:val="00594F24"/>
    <w:rPr>
      <w:vertAlign w:val="superscript"/>
    </w:rPr>
  </w:style>
  <w:style w:type="paragraph" w:customStyle="1" w:styleId="Default">
    <w:name w:val="Default"/>
    <w:rsid w:val="0079638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A0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lyaf">
    <w:name w:val="halyaf"/>
    <w:basedOn w:val="DefaultParagraphFont"/>
    <w:rsid w:val="00943352"/>
  </w:style>
  <w:style w:type="paragraph" w:styleId="ListParagraph">
    <w:name w:val="List Paragraph"/>
    <w:basedOn w:val="Normal"/>
    <w:uiPriority w:val="34"/>
    <w:qFormat/>
    <w:rsid w:val="00D54668"/>
    <w:pPr>
      <w:ind w:left="720"/>
      <w:contextualSpacing/>
    </w:pPr>
  </w:style>
  <w:style w:type="paragraph" w:styleId="NormalWeb">
    <w:name w:val="Normal (Web)"/>
    <w:basedOn w:val="Normal"/>
    <w:uiPriority w:val="99"/>
    <w:unhideWhenUsed/>
    <w:rsid w:val="0050029F"/>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D20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820376">
      <w:bodyDiv w:val="1"/>
      <w:marLeft w:val="0"/>
      <w:marRight w:val="0"/>
      <w:marTop w:val="0"/>
      <w:marBottom w:val="0"/>
      <w:divBdr>
        <w:top w:val="none" w:sz="0" w:space="0" w:color="auto"/>
        <w:left w:val="none" w:sz="0" w:space="0" w:color="auto"/>
        <w:bottom w:val="none" w:sz="0" w:space="0" w:color="auto"/>
        <w:right w:val="none" w:sz="0" w:space="0" w:color="auto"/>
      </w:divBdr>
      <w:divsChild>
        <w:div w:id="418597821">
          <w:marLeft w:val="0"/>
          <w:marRight w:val="0"/>
          <w:marTop w:val="0"/>
          <w:marBottom w:val="0"/>
          <w:divBdr>
            <w:top w:val="none" w:sz="0" w:space="0" w:color="auto"/>
            <w:left w:val="none" w:sz="0" w:space="0" w:color="auto"/>
            <w:bottom w:val="none" w:sz="0" w:space="0" w:color="auto"/>
            <w:right w:val="none" w:sz="0" w:space="0" w:color="auto"/>
          </w:divBdr>
          <w:divsChild>
            <w:div w:id="781614063">
              <w:marLeft w:val="0"/>
              <w:marRight w:val="0"/>
              <w:marTop w:val="0"/>
              <w:marBottom w:val="0"/>
              <w:divBdr>
                <w:top w:val="none" w:sz="0" w:space="0" w:color="auto"/>
                <w:left w:val="none" w:sz="0" w:space="0" w:color="auto"/>
                <w:bottom w:val="none" w:sz="0" w:space="0" w:color="auto"/>
                <w:right w:val="none" w:sz="0" w:space="0" w:color="auto"/>
              </w:divBdr>
              <w:divsChild>
                <w:div w:id="426537539">
                  <w:marLeft w:val="0"/>
                  <w:marRight w:val="0"/>
                  <w:marTop w:val="0"/>
                  <w:marBottom w:val="0"/>
                  <w:divBdr>
                    <w:top w:val="none" w:sz="0" w:space="0" w:color="auto"/>
                    <w:left w:val="none" w:sz="0" w:space="0" w:color="auto"/>
                    <w:bottom w:val="none" w:sz="0" w:space="0" w:color="auto"/>
                    <w:right w:val="none" w:sz="0" w:space="0" w:color="auto"/>
                  </w:divBdr>
                  <w:divsChild>
                    <w:div w:id="1704133212">
                      <w:marLeft w:val="0"/>
                      <w:marRight w:val="0"/>
                      <w:marTop w:val="0"/>
                      <w:marBottom w:val="0"/>
                      <w:divBdr>
                        <w:top w:val="none" w:sz="0" w:space="0" w:color="auto"/>
                        <w:left w:val="none" w:sz="0" w:space="0" w:color="auto"/>
                        <w:bottom w:val="none" w:sz="0" w:space="0" w:color="auto"/>
                        <w:right w:val="none" w:sz="0" w:space="0" w:color="auto"/>
                      </w:divBdr>
                    </w:div>
                    <w:div w:id="129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786">
              <w:marLeft w:val="0"/>
              <w:marRight w:val="0"/>
              <w:marTop w:val="0"/>
              <w:marBottom w:val="0"/>
              <w:divBdr>
                <w:top w:val="none" w:sz="0" w:space="0" w:color="auto"/>
                <w:left w:val="none" w:sz="0" w:space="0" w:color="auto"/>
                <w:bottom w:val="none" w:sz="0" w:space="0" w:color="auto"/>
                <w:right w:val="none" w:sz="0" w:space="0" w:color="auto"/>
              </w:divBdr>
              <w:divsChild>
                <w:div w:id="195696806">
                  <w:marLeft w:val="0"/>
                  <w:marRight w:val="0"/>
                  <w:marTop w:val="0"/>
                  <w:marBottom w:val="0"/>
                  <w:divBdr>
                    <w:top w:val="none" w:sz="0" w:space="0" w:color="auto"/>
                    <w:left w:val="none" w:sz="0" w:space="0" w:color="auto"/>
                    <w:bottom w:val="none" w:sz="0" w:space="0" w:color="auto"/>
                    <w:right w:val="none" w:sz="0" w:space="0" w:color="auto"/>
                  </w:divBdr>
                  <w:divsChild>
                    <w:div w:id="740520155">
                      <w:marLeft w:val="0"/>
                      <w:marRight w:val="0"/>
                      <w:marTop w:val="0"/>
                      <w:marBottom w:val="0"/>
                      <w:divBdr>
                        <w:top w:val="none" w:sz="0" w:space="0" w:color="auto"/>
                        <w:left w:val="none" w:sz="0" w:space="0" w:color="auto"/>
                        <w:bottom w:val="none" w:sz="0" w:space="0" w:color="auto"/>
                        <w:right w:val="none" w:sz="0" w:space="0" w:color="auto"/>
                      </w:divBdr>
                    </w:div>
                    <w:div w:id="702831196">
                      <w:marLeft w:val="0"/>
                      <w:marRight w:val="0"/>
                      <w:marTop w:val="0"/>
                      <w:marBottom w:val="0"/>
                      <w:divBdr>
                        <w:top w:val="none" w:sz="0" w:space="0" w:color="auto"/>
                        <w:left w:val="none" w:sz="0" w:space="0" w:color="auto"/>
                        <w:bottom w:val="none" w:sz="0" w:space="0" w:color="auto"/>
                        <w:right w:val="none" w:sz="0" w:space="0" w:color="auto"/>
                      </w:divBdr>
                    </w:div>
                  </w:divsChild>
                </w:div>
                <w:div w:id="1692099551">
                  <w:marLeft w:val="0"/>
                  <w:marRight w:val="0"/>
                  <w:marTop w:val="0"/>
                  <w:marBottom w:val="0"/>
                  <w:divBdr>
                    <w:top w:val="none" w:sz="0" w:space="0" w:color="auto"/>
                    <w:left w:val="none" w:sz="0" w:space="0" w:color="auto"/>
                    <w:bottom w:val="none" w:sz="0" w:space="0" w:color="auto"/>
                    <w:right w:val="none" w:sz="0" w:space="0" w:color="auto"/>
                  </w:divBdr>
                  <w:divsChild>
                    <w:div w:id="442768310">
                      <w:marLeft w:val="0"/>
                      <w:marRight w:val="0"/>
                      <w:marTop w:val="0"/>
                      <w:marBottom w:val="0"/>
                      <w:divBdr>
                        <w:top w:val="none" w:sz="0" w:space="0" w:color="auto"/>
                        <w:left w:val="none" w:sz="0" w:space="0" w:color="auto"/>
                        <w:bottom w:val="none" w:sz="0" w:space="0" w:color="auto"/>
                        <w:right w:val="none" w:sz="0" w:space="0" w:color="auto"/>
                      </w:divBdr>
                    </w:div>
                    <w:div w:id="485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2719">
      <w:bodyDiv w:val="1"/>
      <w:marLeft w:val="0"/>
      <w:marRight w:val="0"/>
      <w:marTop w:val="0"/>
      <w:marBottom w:val="0"/>
      <w:divBdr>
        <w:top w:val="none" w:sz="0" w:space="0" w:color="auto"/>
        <w:left w:val="none" w:sz="0" w:space="0" w:color="auto"/>
        <w:bottom w:val="none" w:sz="0" w:space="0" w:color="auto"/>
        <w:right w:val="none" w:sz="0" w:space="0" w:color="auto"/>
      </w:divBdr>
      <w:divsChild>
        <w:div w:id="1801730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s/cidh/decisiones/sobre-cautelar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5F81-0294-4439-8470-3C73C7CF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3237</Words>
  <Characters>17805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270</cp:revision>
  <cp:lastPrinted>2020-10-10T20:41:00Z</cp:lastPrinted>
  <dcterms:created xsi:type="dcterms:W3CDTF">2020-10-26T18:12:00Z</dcterms:created>
  <dcterms:modified xsi:type="dcterms:W3CDTF">2020-11-17T19:24:00Z</dcterms:modified>
</cp:coreProperties>
</file>