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100" w:rsidRDefault="001E5A6A">
      <w:pPr>
        <w:jc w:val="center"/>
        <w:rPr>
          <w:b/>
          <w:sz w:val="24"/>
          <w:szCs w:val="24"/>
        </w:rPr>
      </w:pPr>
      <w:r>
        <w:rPr>
          <w:b/>
          <w:sz w:val="24"/>
          <w:szCs w:val="24"/>
        </w:rPr>
        <w:t xml:space="preserve"> </w:t>
      </w:r>
    </w:p>
    <w:p w:rsidR="00DB5100" w:rsidRDefault="001E5A6A" w:rsidP="00725A54">
      <w:pPr>
        <w:jc w:val="center"/>
        <w:rPr>
          <w:sz w:val="24"/>
          <w:szCs w:val="24"/>
        </w:rPr>
      </w:pPr>
      <w:r>
        <w:rPr>
          <w:b/>
          <w:sz w:val="24"/>
          <w:szCs w:val="24"/>
        </w:rPr>
        <w:t>ANÁLISE DA RELAÇÃO DA TAXA DE INCIDÊNCIA DE DENGUE E O GRAU DE SANEAMENTO BÁSICO NO ESTADO DO PARÁ</w:t>
      </w:r>
    </w:p>
    <w:p w:rsidR="00DB5100" w:rsidRDefault="00DB5100" w:rsidP="00725A54">
      <w:pPr>
        <w:jc w:val="center"/>
        <w:rPr>
          <w:b/>
          <w:sz w:val="24"/>
          <w:szCs w:val="24"/>
        </w:rPr>
      </w:pPr>
    </w:p>
    <w:p w:rsidR="00DB5100" w:rsidRDefault="001E5A6A" w:rsidP="00725A54">
      <w:pPr>
        <w:jc w:val="center"/>
        <w:rPr>
          <w:sz w:val="24"/>
          <w:szCs w:val="24"/>
        </w:rPr>
      </w:pPr>
      <w:bookmarkStart w:id="0" w:name="_gjdgxs" w:colFirst="0" w:colLast="0"/>
      <w:bookmarkEnd w:id="0"/>
      <w:r>
        <w:rPr>
          <w:sz w:val="24"/>
          <w:szCs w:val="24"/>
        </w:rPr>
        <w:t>E</w:t>
      </w:r>
      <w:r w:rsidR="00725A54">
        <w:rPr>
          <w:sz w:val="24"/>
          <w:szCs w:val="24"/>
        </w:rPr>
        <w:t>r</w:t>
      </w:r>
      <w:r>
        <w:rPr>
          <w:sz w:val="24"/>
          <w:szCs w:val="24"/>
        </w:rPr>
        <w:t>me</w:t>
      </w:r>
      <w:r>
        <w:rPr>
          <w:sz w:val="24"/>
          <w:szCs w:val="24"/>
        </w:rPr>
        <w:t>son Freitas da Silva</w:t>
      </w:r>
      <w:r>
        <w:rPr>
          <w:sz w:val="24"/>
          <w:szCs w:val="24"/>
          <w:vertAlign w:val="superscript"/>
        </w:rPr>
        <w:t>1</w:t>
      </w:r>
      <w:r>
        <w:rPr>
          <w:sz w:val="24"/>
          <w:szCs w:val="24"/>
        </w:rPr>
        <w:t>; Erika Joana Nabiça Borges</w:t>
      </w:r>
      <w:r>
        <w:rPr>
          <w:sz w:val="24"/>
          <w:szCs w:val="24"/>
          <w:vertAlign w:val="superscript"/>
        </w:rPr>
        <w:t>2</w:t>
      </w:r>
      <w:r>
        <w:rPr>
          <w:sz w:val="24"/>
          <w:szCs w:val="24"/>
        </w:rPr>
        <w:t>; João Augusto Saraiva Pereira Junior</w:t>
      </w:r>
      <w:r>
        <w:rPr>
          <w:sz w:val="24"/>
          <w:szCs w:val="24"/>
          <w:vertAlign w:val="superscript"/>
        </w:rPr>
        <w:t>3</w:t>
      </w:r>
      <w:r>
        <w:rPr>
          <w:sz w:val="24"/>
          <w:szCs w:val="24"/>
        </w:rPr>
        <w:t>; Tadeu Mello Rodrigues</w:t>
      </w:r>
      <w:r>
        <w:rPr>
          <w:sz w:val="24"/>
          <w:szCs w:val="24"/>
          <w:vertAlign w:val="superscript"/>
        </w:rPr>
        <w:t>4</w:t>
      </w:r>
      <w:r>
        <w:rPr>
          <w:sz w:val="24"/>
          <w:szCs w:val="24"/>
        </w:rPr>
        <w:t>; Michelle de Oliveira Borges de Mesquita</w:t>
      </w:r>
      <w:r>
        <w:rPr>
          <w:sz w:val="24"/>
          <w:szCs w:val="24"/>
          <w:vertAlign w:val="superscript"/>
        </w:rPr>
        <w:t>5</w:t>
      </w:r>
      <w:r>
        <w:rPr>
          <w:sz w:val="24"/>
          <w:szCs w:val="24"/>
        </w:rPr>
        <w:t>;</w:t>
      </w:r>
    </w:p>
    <w:p w:rsidR="00DB5100" w:rsidRDefault="00DB5100" w:rsidP="00725A54">
      <w:pPr>
        <w:jc w:val="center"/>
        <w:rPr>
          <w:sz w:val="24"/>
          <w:szCs w:val="24"/>
        </w:rPr>
      </w:pPr>
      <w:bookmarkStart w:id="1" w:name="_m8sbi3safbkp" w:colFirst="0" w:colLast="0"/>
      <w:bookmarkEnd w:id="1"/>
    </w:p>
    <w:p w:rsidR="00DB5100" w:rsidRDefault="001E5A6A" w:rsidP="00725A54">
      <w:pPr>
        <w:pBdr>
          <w:top w:val="nil"/>
          <w:left w:val="nil"/>
          <w:bottom w:val="nil"/>
          <w:right w:val="nil"/>
          <w:between w:val="nil"/>
        </w:pBdr>
        <w:tabs>
          <w:tab w:val="center" w:pos="4252"/>
          <w:tab w:val="right" w:pos="8504"/>
        </w:tabs>
        <w:jc w:val="center"/>
        <w:rPr>
          <w:color w:val="FF0000"/>
          <w:sz w:val="24"/>
          <w:szCs w:val="24"/>
        </w:rPr>
      </w:pPr>
      <w:r>
        <w:rPr>
          <w:color w:val="000000"/>
          <w:sz w:val="24"/>
          <w:szCs w:val="24"/>
          <w:vertAlign w:val="superscript"/>
        </w:rPr>
        <w:t xml:space="preserve">1 </w:t>
      </w:r>
      <w:r>
        <w:rPr>
          <w:sz w:val="24"/>
          <w:szCs w:val="24"/>
        </w:rPr>
        <w:t>Graduando em Engenharia Ambiental</w:t>
      </w:r>
      <w:r>
        <w:rPr>
          <w:color w:val="000000"/>
          <w:sz w:val="24"/>
          <w:szCs w:val="24"/>
        </w:rPr>
        <w:t xml:space="preserve">. </w:t>
      </w:r>
      <w:r>
        <w:rPr>
          <w:sz w:val="24"/>
          <w:szCs w:val="24"/>
        </w:rPr>
        <w:t>Universidade do Estado do Pará</w:t>
      </w:r>
      <w:r>
        <w:rPr>
          <w:color w:val="000000"/>
          <w:sz w:val="24"/>
          <w:szCs w:val="24"/>
        </w:rPr>
        <w:t xml:space="preserve">. </w:t>
      </w:r>
      <w:r>
        <w:rPr>
          <w:sz w:val="24"/>
          <w:szCs w:val="24"/>
        </w:rPr>
        <w:t>e</w:t>
      </w:r>
      <w:r>
        <w:rPr>
          <w:color w:val="000000"/>
          <w:sz w:val="24"/>
          <w:szCs w:val="24"/>
        </w:rPr>
        <w:t>rmesonfreitasdasilva@gmail.com.</w:t>
      </w:r>
    </w:p>
    <w:p w:rsidR="00DB5100" w:rsidRDefault="001E5A6A" w:rsidP="00725A54">
      <w:pPr>
        <w:pBdr>
          <w:top w:val="nil"/>
          <w:left w:val="nil"/>
          <w:bottom w:val="nil"/>
          <w:right w:val="nil"/>
          <w:between w:val="nil"/>
        </w:pBdr>
        <w:tabs>
          <w:tab w:val="center" w:pos="4252"/>
          <w:tab w:val="right" w:pos="8504"/>
        </w:tabs>
        <w:jc w:val="center"/>
        <w:rPr>
          <w:sz w:val="24"/>
          <w:szCs w:val="24"/>
        </w:rPr>
      </w:pPr>
      <w:r>
        <w:rPr>
          <w:color w:val="000000"/>
          <w:sz w:val="24"/>
          <w:szCs w:val="24"/>
          <w:vertAlign w:val="superscript"/>
        </w:rPr>
        <w:t xml:space="preserve">2 </w:t>
      </w:r>
      <w:r>
        <w:rPr>
          <w:sz w:val="24"/>
          <w:szCs w:val="24"/>
        </w:rPr>
        <w:t>Graduanda em Engenharia Ambiental. Universidade do Estado do Pará. erikanabica10@gmail.com</w:t>
      </w:r>
    </w:p>
    <w:p w:rsidR="00DB5100" w:rsidRDefault="001E5A6A" w:rsidP="00725A54">
      <w:pPr>
        <w:jc w:val="center"/>
        <w:rPr>
          <w:sz w:val="24"/>
          <w:szCs w:val="24"/>
        </w:rPr>
      </w:pPr>
      <w:r>
        <w:rPr>
          <w:b/>
          <w:sz w:val="24"/>
          <w:szCs w:val="24"/>
          <w:vertAlign w:val="superscript"/>
        </w:rPr>
        <w:t>3</w:t>
      </w:r>
      <w:r>
        <w:rPr>
          <w:sz w:val="24"/>
          <w:szCs w:val="24"/>
        </w:rPr>
        <w:t>Graduando em E</w:t>
      </w:r>
      <w:r>
        <w:rPr>
          <w:sz w:val="24"/>
          <w:szCs w:val="24"/>
        </w:rPr>
        <w:t>ngenharia Ambiental. Universidade do Estado do Pará. joaoaugustojunior000@gmail.com</w:t>
      </w:r>
    </w:p>
    <w:p w:rsidR="00DB5100" w:rsidRDefault="001E5A6A" w:rsidP="00725A54">
      <w:pPr>
        <w:tabs>
          <w:tab w:val="center" w:pos="4252"/>
          <w:tab w:val="right" w:pos="8504"/>
        </w:tabs>
        <w:jc w:val="center"/>
        <w:rPr>
          <w:sz w:val="24"/>
          <w:szCs w:val="24"/>
        </w:rPr>
      </w:pPr>
      <w:r>
        <w:rPr>
          <w:b/>
          <w:sz w:val="24"/>
          <w:szCs w:val="24"/>
          <w:vertAlign w:val="superscript"/>
        </w:rPr>
        <w:t>4</w:t>
      </w:r>
      <w:r>
        <w:rPr>
          <w:sz w:val="24"/>
          <w:szCs w:val="24"/>
        </w:rPr>
        <w:t>Graduando em Engenharia Ambiental. Universidade do Estado do Pará. tadeumello98@gmail.com</w:t>
      </w:r>
    </w:p>
    <w:p w:rsidR="00DB5100" w:rsidRDefault="001E5A6A" w:rsidP="00725A54">
      <w:pPr>
        <w:jc w:val="center"/>
        <w:rPr>
          <w:b/>
          <w:sz w:val="24"/>
          <w:szCs w:val="24"/>
        </w:rPr>
      </w:pPr>
      <w:r>
        <w:rPr>
          <w:b/>
          <w:sz w:val="24"/>
          <w:szCs w:val="24"/>
          <w:vertAlign w:val="superscript"/>
        </w:rPr>
        <w:t>5</w:t>
      </w:r>
      <w:r>
        <w:rPr>
          <w:sz w:val="24"/>
          <w:szCs w:val="24"/>
        </w:rPr>
        <w:t xml:space="preserve">Professora </w:t>
      </w:r>
      <w:proofErr w:type="spellStart"/>
      <w:r>
        <w:rPr>
          <w:sz w:val="24"/>
          <w:szCs w:val="24"/>
        </w:rPr>
        <w:t>Msc</w:t>
      </w:r>
      <w:proofErr w:type="spellEnd"/>
      <w:r>
        <w:rPr>
          <w:sz w:val="24"/>
          <w:szCs w:val="24"/>
        </w:rPr>
        <w:t>. Michelle de Oliveira Borges de Mesquita</w:t>
      </w:r>
    </w:p>
    <w:p w:rsidR="00725A54" w:rsidRPr="00725A54" w:rsidRDefault="00725A54" w:rsidP="00725A54">
      <w:pPr>
        <w:jc w:val="center"/>
        <w:rPr>
          <w:sz w:val="24"/>
          <w:szCs w:val="24"/>
        </w:rPr>
      </w:pPr>
      <w:r>
        <w:rPr>
          <w:sz w:val="24"/>
          <w:szCs w:val="24"/>
        </w:rPr>
        <w:t>micborges@yahoo.com.br</w:t>
      </w:r>
    </w:p>
    <w:p w:rsidR="00DB5100" w:rsidRDefault="00DB5100">
      <w:pPr>
        <w:jc w:val="center"/>
        <w:rPr>
          <w:b/>
          <w:sz w:val="24"/>
          <w:szCs w:val="24"/>
        </w:rPr>
      </w:pPr>
    </w:p>
    <w:p w:rsidR="001A38DA" w:rsidRDefault="001E5A6A" w:rsidP="001A38DA">
      <w:pPr>
        <w:spacing w:after="240"/>
        <w:jc w:val="center"/>
        <w:rPr>
          <w:b/>
          <w:sz w:val="24"/>
          <w:szCs w:val="24"/>
        </w:rPr>
      </w:pPr>
      <w:r>
        <w:rPr>
          <w:b/>
          <w:sz w:val="24"/>
          <w:szCs w:val="24"/>
        </w:rPr>
        <w:t xml:space="preserve">RESUMO </w:t>
      </w:r>
    </w:p>
    <w:p w:rsidR="00DB5100" w:rsidRDefault="001E5A6A">
      <w:pPr>
        <w:jc w:val="both"/>
        <w:rPr>
          <w:sz w:val="24"/>
          <w:szCs w:val="24"/>
        </w:rPr>
      </w:pPr>
      <w:r>
        <w:rPr>
          <w:sz w:val="24"/>
          <w:szCs w:val="24"/>
        </w:rPr>
        <w:t>A falta de saneamento em alguns Estados brasileiros constitui hoje um dos maiores problemas de saúde pública, o que possibilita que doenças infecciosas, como a dengue, consigam ultrapassar fronteiras abrangendo um extenso território.  Diante disso</w:t>
      </w:r>
      <w:r>
        <w:rPr>
          <w:sz w:val="24"/>
          <w:szCs w:val="24"/>
        </w:rPr>
        <w:t>, o presente trabalho objetivou analisar qual a relação existente entre a população atendida pelos Serviços de Saneamento e a Taxa de Incidência de Dengue - TID, no estado do Pará, no período de 2003 a 2012, assumindo a hipótese de que são diretamente prop</w:t>
      </w:r>
      <w:r>
        <w:rPr>
          <w:sz w:val="24"/>
          <w:szCs w:val="24"/>
        </w:rPr>
        <w:t>orcionais. Para isso, foi realizada uma análise estatística de regressão linear simples, utilizando dados do SNIS e DATASUS. A partir dos resultados, foi observado que as variáveis Serviço de Esgotamento Sanitário (SES) e Serviço de Coleta de Resíduos Sóli</w:t>
      </w:r>
      <w:r>
        <w:rPr>
          <w:sz w:val="24"/>
          <w:szCs w:val="24"/>
        </w:rPr>
        <w:t>dos (SCR) possuem pouca significância estatística quando comparadas às taxas de incidência de dengue, já que os valores encontrados no teste para o p-valor encontram-se abaixo do limite de significação estatística de 0,05. No entanto, apenas a variável Ser</w:t>
      </w:r>
      <w:r>
        <w:rPr>
          <w:sz w:val="24"/>
          <w:szCs w:val="24"/>
        </w:rPr>
        <w:t>viço de Abastecimento de Água (SAA) apresentou significância estatística e validade no modelo de regressão. Isto posto, verificou-se que a demanda de acesso a serviços de saneamento básico é diretamente proporcional a taxa de incidência de dengue no Estado</w:t>
      </w:r>
      <w:r>
        <w:rPr>
          <w:sz w:val="24"/>
          <w:szCs w:val="24"/>
        </w:rPr>
        <w:t xml:space="preserve"> do Pará, de 2003 a 2012, visto que o vetor da dengue se prolifera em ambientes salubres.</w:t>
      </w:r>
    </w:p>
    <w:p w:rsidR="00DB5100" w:rsidRDefault="00DB5100">
      <w:pPr>
        <w:jc w:val="both"/>
        <w:rPr>
          <w:color w:val="0000FF"/>
          <w:sz w:val="24"/>
          <w:szCs w:val="24"/>
        </w:rPr>
      </w:pPr>
    </w:p>
    <w:p w:rsidR="00DB5100" w:rsidRDefault="001E5A6A">
      <w:pPr>
        <w:jc w:val="both"/>
        <w:rPr>
          <w:sz w:val="24"/>
          <w:szCs w:val="24"/>
        </w:rPr>
      </w:pPr>
      <w:r>
        <w:rPr>
          <w:b/>
          <w:sz w:val="24"/>
          <w:szCs w:val="24"/>
        </w:rPr>
        <w:t xml:space="preserve">Palavras-chave: </w:t>
      </w:r>
      <w:r>
        <w:rPr>
          <w:sz w:val="24"/>
          <w:szCs w:val="24"/>
        </w:rPr>
        <w:t>Saneamento. Dengue</w:t>
      </w:r>
      <w:r>
        <w:rPr>
          <w:sz w:val="24"/>
          <w:szCs w:val="24"/>
        </w:rPr>
        <w:t xml:space="preserve">. </w:t>
      </w:r>
      <w:r>
        <w:rPr>
          <w:sz w:val="24"/>
          <w:szCs w:val="24"/>
        </w:rPr>
        <w:t>Regressão</w:t>
      </w:r>
      <w:r>
        <w:rPr>
          <w:sz w:val="24"/>
          <w:szCs w:val="24"/>
        </w:rPr>
        <w:t>.</w:t>
      </w:r>
    </w:p>
    <w:p w:rsidR="00725A54" w:rsidRDefault="00725A54">
      <w:pPr>
        <w:jc w:val="both"/>
        <w:rPr>
          <w:b/>
          <w:sz w:val="24"/>
          <w:szCs w:val="24"/>
        </w:rPr>
      </w:pPr>
    </w:p>
    <w:p w:rsidR="001A38DA" w:rsidRDefault="001E5A6A" w:rsidP="001A38DA">
      <w:pPr>
        <w:jc w:val="both"/>
        <w:rPr>
          <w:sz w:val="24"/>
          <w:szCs w:val="24"/>
        </w:rPr>
      </w:pPr>
      <w:r>
        <w:rPr>
          <w:b/>
          <w:sz w:val="24"/>
          <w:szCs w:val="24"/>
        </w:rPr>
        <w:t>Área de Interesse do Simpósio</w:t>
      </w:r>
      <w:r>
        <w:rPr>
          <w:sz w:val="24"/>
          <w:szCs w:val="24"/>
        </w:rPr>
        <w:t>: Saúde Pública.</w:t>
      </w:r>
    </w:p>
    <w:p w:rsidR="001A38DA" w:rsidRDefault="001A38DA" w:rsidP="001A38DA">
      <w:pPr>
        <w:jc w:val="both"/>
        <w:rPr>
          <w:sz w:val="24"/>
          <w:szCs w:val="24"/>
        </w:rPr>
      </w:pPr>
    </w:p>
    <w:p w:rsidR="001A38DA" w:rsidRDefault="001A38DA" w:rsidP="001A38DA">
      <w:pPr>
        <w:jc w:val="both"/>
        <w:rPr>
          <w:sz w:val="24"/>
          <w:szCs w:val="24"/>
        </w:rPr>
      </w:pPr>
    </w:p>
    <w:p w:rsidR="001A38DA" w:rsidRDefault="001A38DA" w:rsidP="001A38DA">
      <w:pPr>
        <w:jc w:val="both"/>
        <w:rPr>
          <w:sz w:val="24"/>
          <w:szCs w:val="24"/>
        </w:rPr>
      </w:pPr>
    </w:p>
    <w:p w:rsidR="001A38DA" w:rsidRDefault="001A38DA" w:rsidP="001A38DA">
      <w:pPr>
        <w:jc w:val="both"/>
        <w:rPr>
          <w:sz w:val="24"/>
          <w:szCs w:val="24"/>
        </w:rPr>
      </w:pPr>
    </w:p>
    <w:p w:rsidR="001A38DA" w:rsidRDefault="001A38DA" w:rsidP="001A38DA">
      <w:pPr>
        <w:jc w:val="both"/>
        <w:rPr>
          <w:sz w:val="24"/>
          <w:szCs w:val="24"/>
        </w:rPr>
      </w:pPr>
    </w:p>
    <w:p w:rsidR="001A38DA" w:rsidRDefault="001A38DA" w:rsidP="001A38DA">
      <w:pPr>
        <w:jc w:val="both"/>
        <w:rPr>
          <w:sz w:val="24"/>
          <w:szCs w:val="24"/>
        </w:rPr>
      </w:pPr>
    </w:p>
    <w:p w:rsidR="00DB5100" w:rsidRPr="001A38DA" w:rsidRDefault="001E5A6A" w:rsidP="001A38DA">
      <w:pPr>
        <w:tabs>
          <w:tab w:val="left" w:pos="1290"/>
        </w:tabs>
        <w:spacing w:after="240" w:line="360" w:lineRule="auto"/>
        <w:jc w:val="both"/>
        <w:rPr>
          <w:color w:val="FF0000"/>
          <w:sz w:val="24"/>
          <w:szCs w:val="24"/>
        </w:rPr>
      </w:pPr>
      <w:r w:rsidRPr="00725A54">
        <w:rPr>
          <w:b/>
          <w:sz w:val="24"/>
          <w:szCs w:val="24"/>
        </w:rPr>
        <w:lastRenderedPageBreak/>
        <w:t>1. INTRODUÇÃO</w:t>
      </w:r>
      <w:r w:rsidRPr="00725A54">
        <w:rPr>
          <w:sz w:val="24"/>
          <w:szCs w:val="24"/>
        </w:rPr>
        <w:t xml:space="preserve"> </w:t>
      </w:r>
    </w:p>
    <w:p w:rsidR="004B18C2" w:rsidRDefault="001E5A6A" w:rsidP="004B18C2">
      <w:pPr>
        <w:tabs>
          <w:tab w:val="left" w:pos="699"/>
        </w:tabs>
        <w:spacing w:line="360" w:lineRule="auto"/>
        <w:jc w:val="both"/>
        <w:rPr>
          <w:sz w:val="24"/>
          <w:szCs w:val="24"/>
        </w:rPr>
      </w:pPr>
      <w:r w:rsidRPr="00725A54">
        <w:rPr>
          <w:sz w:val="24"/>
          <w:szCs w:val="24"/>
          <w:highlight w:val="white"/>
        </w:rPr>
        <w:tab/>
      </w:r>
      <w:r w:rsidRPr="00725A54">
        <w:rPr>
          <w:sz w:val="24"/>
          <w:szCs w:val="24"/>
          <w:highlight w:val="white"/>
        </w:rPr>
        <w:t xml:space="preserve">A </w:t>
      </w:r>
      <w:r w:rsidR="00886B22">
        <w:rPr>
          <w:sz w:val="24"/>
          <w:szCs w:val="24"/>
          <w:highlight w:val="white"/>
        </w:rPr>
        <w:t>falta</w:t>
      </w:r>
      <w:r w:rsidRPr="00725A54">
        <w:rPr>
          <w:sz w:val="24"/>
          <w:szCs w:val="24"/>
          <w:highlight w:val="white"/>
        </w:rPr>
        <w:t xml:space="preserve"> de saneamento é responsável por uma situação de vulnerabilidade socioambiental, principalmente em ár</w:t>
      </w:r>
      <w:r w:rsidRPr="00725A54">
        <w:rPr>
          <w:sz w:val="24"/>
          <w:szCs w:val="24"/>
          <w:highlight w:val="white"/>
        </w:rPr>
        <w:t xml:space="preserve">eas ocupadas por populações mais empobrecidas, sendo responsável pela ocorrência de diversas doenças (Teixeira e Guilhermino, 2006 apud Vidigal, 2015). Doenças, essas que são frequentes </w:t>
      </w:r>
      <w:r w:rsidRPr="00725A54">
        <w:rPr>
          <w:sz w:val="24"/>
          <w:szCs w:val="24"/>
        </w:rPr>
        <w:t xml:space="preserve">no país, como a </w:t>
      </w:r>
      <w:r w:rsidR="00725A54" w:rsidRPr="00725A54">
        <w:rPr>
          <w:sz w:val="24"/>
          <w:szCs w:val="24"/>
        </w:rPr>
        <w:t>diarreia</w:t>
      </w:r>
      <w:r w:rsidRPr="00725A54">
        <w:rPr>
          <w:sz w:val="24"/>
          <w:szCs w:val="24"/>
        </w:rPr>
        <w:t>, as verminoses, as epidemias de dengue, entre</w:t>
      </w:r>
      <w:r w:rsidRPr="00725A54">
        <w:rPr>
          <w:sz w:val="24"/>
          <w:szCs w:val="24"/>
        </w:rPr>
        <w:t xml:space="preserve"> outras, que precisam de prevenção urgente, e estão ligadas a falta de saneamento, </w:t>
      </w:r>
      <w:r w:rsidR="00886B22" w:rsidRPr="00725A54">
        <w:rPr>
          <w:sz w:val="24"/>
          <w:szCs w:val="24"/>
        </w:rPr>
        <w:t>às</w:t>
      </w:r>
      <w:r w:rsidRPr="00725A54">
        <w:rPr>
          <w:sz w:val="24"/>
          <w:szCs w:val="24"/>
        </w:rPr>
        <w:t xml:space="preserve"> condições de moradias precárias e ao crescimento populacional desordenado das cidades (Costa, 2014).</w:t>
      </w:r>
      <w:r w:rsidR="004B18C2">
        <w:rPr>
          <w:sz w:val="24"/>
          <w:szCs w:val="24"/>
        </w:rPr>
        <w:t xml:space="preserve"> </w:t>
      </w:r>
    </w:p>
    <w:p w:rsidR="00DB5100" w:rsidRPr="004B18C2" w:rsidRDefault="004B18C2" w:rsidP="004B18C2">
      <w:pPr>
        <w:tabs>
          <w:tab w:val="left" w:pos="699"/>
        </w:tabs>
        <w:spacing w:line="360" w:lineRule="auto"/>
        <w:jc w:val="both"/>
        <w:rPr>
          <w:sz w:val="24"/>
          <w:szCs w:val="24"/>
        </w:rPr>
      </w:pPr>
      <w:r>
        <w:rPr>
          <w:sz w:val="24"/>
          <w:szCs w:val="24"/>
        </w:rPr>
        <w:tab/>
      </w:r>
      <w:r w:rsidR="001E5A6A" w:rsidRPr="00725A54">
        <w:rPr>
          <w:sz w:val="24"/>
          <w:szCs w:val="24"/>
        </w:rPr>
        <w:t>Nesse sentido, permite-se inferir que a progressão dessas doenças depe</w:t>
      </w:r>
      <w:r w:rsidR="001E5A6A" w:rsidRPr="00725A54">
        <w:rPr>
          <w:sz w:val="24"/>
          <w:szCs w:val="24"/>
        </w:rPr>
        <w:t xml:space="preserve">nde diretamente das condições ecológicas e </w:t>
      </w:r>
      <w:r w:rsidR="00725A54" w:rsidRPr="00725A54">
        <w:rPr>
          <w:sz w:val="24"/>
          <w:szCs w:val="24"/>
        </w:rPr>
        <w:t>socioambientais</w:t>
      </w:r>
      <w:r w:rsidR="001E5A6A" w:rsidRPr="00725A54">
        <w:rPr>
          <w:sz w:val="24"/>
          <w:szCs w:val="24"/>
        </w:rPr>
        <w:t xml:space="preserve">. Costa (2014), expõe que a dengue, doença endêmica infecciosa, causada por um arbovírus (gênero </w:t>
      </w:r>
      <w:r w:rsidR="001E5A6A" w:rsidRPr="00725A54">
        <w:rPr>
          <w:i/>
          <w:sz w:val="24"/>
          <w:szCs w:val="24"/>
        </w:rPr>
        <w:t>Flavivírus</w:t>
      </w:r>
      <w:r w:rsidR="001E5A6A" w:rsidRPr="00725A54">
        <w:rPr>
          <w:sz w:val="24"/>
          <w:szCs w:val="24"/>
        </w:rPr>
        <w:t xml:space="preserve"> e família </w:t>
      </w:r>
      <w:proofErr w:type="spellStart"/>
      <w:r w:rsidR="001E5A6A" w:rsidRPr="00725A54">
        <w:rPr>
          <w:i/>
          <w:sz w:val="24"/>
          <w:szCs w:val="24"/>
        </w:rPr>
        <w:t>Flaviviridae</w:t>
      </w:r>
      <w:proofErr w:type="spellEnd"/>
      <w:r w:rsidR="001E5A6A" w:rsidRPr="00725A54">
        <w:rPr>
          <w:i/>
          <w:sz w:val="24"/>
          <w:szCs w:val="24"/>
        </w:rPr>
        <w:t>)</w:t>
      </w:r>
      <w:r w:rsidR="001E5A6A" w:rsidRPr="00725A54">
        <w:rPr>
          <w:sz w:val="24"/>
          <w:szCs w:val="24"/>
        </w:rPr>
        <w:t>, e transmitida pelo</w:t>
      </w:r>
      <w:r w:rsidR="001E5A6A" w:rsidRPr="00725A54">
        <w:rPr>
          <w:sz w:val="24"/>
          <w:szCs w:val="24"/>
          <w:highlight w:val="white"/>
        </w:rPr>
        <w:t xml:space="preserve"> mosquito </w:t>
      </w:r>
      <w:r w:rsidR="001E5A6A" w:rsidRPr="00725A54">
        <w:rPr>
          <w:i/>
          <w:sz w:val="24"/>
          <w:szCs w:val="24"/>
          <w:highlight w:val="white"/>
        </w:rPr>
        <w:t>Aedes aegypti</w:t>
      </w:r>
      <w:r w:rsidR="001E5A6A" w:rsidRPr="00725A54">
        <w:rPr>
          <w:sz w:val="24"/>
          <w:szCs w:val="24"/>
          <w:highlight w:val="white"/>
        </w:rPr>
        <w:t>, de origem africana, t</w:t>
      </w:r>
      <w:r w:rsidR="001E5A6A" w:rsidRPr="00725A54">
        <w:rPr>
          <w:sz w:val="24"/>
          <w:szCs w:val="24"/>
          <w:highlight w:val="white"/>
        </w:rPr>
        <w:t>eve neste uma adaptação que possibilitou seu avanço sobre grandes extensões geográficas. Sendo, as regiões de áreas tropicais e subtropicais os maiores números de ocorrências. Deste modo, dados os fatores, a região Norte do país torna-se propensa a apresen</w:t>
      </w:r>
      <w:r w:rsidR="001E5A6A" w:rsidRPr="00725A54">
        <w:rPr>
          <w:sz w:val="24"/>
          <w:szCs w:val="24"/>
          <w:highlight w:val="white"/>
        </w:rPr>
        <w:t>tar casos da enfermidade.</w:t>
      </w:r>
    </w:p>
    <w:p w:rsidR="00DB5100" w:rsidRPr="00725A54" w:rsidRDefault="001E5A6A" w:rsidP="00725A54">
      <w:pPr>
        <w:spacing w:line="360" w:lineRule="auto"/>
        <w:ind w:firstLine="720"/>
        <w:jc w:val="both"/>
        <w:rPr>
          <w:sz w:val="24"/>
          <w:szCs w:val="24"/>
          <w:highlight w:val="white"/>
        </w:rPr>
      </w:pPr>
      <w:r w:rsidRPr="00725A54">
        <w:rPr>
          <w:sz w:val="24"/>
          <w:szCs w:val="24"/>
          <w:highlight w:val="white"/>
        </w:rPr>
        <w:t>Existem duas principais variáveis que influenciam na disseminação da dengue, a primeira diz que a incidência de dengue flutua conforme a sazonalidade climática, o que se dá pela maior disponibilidade de água para a proliferação do</w:t>
      </w:r>
      <w:r w:rsidRPr="00725A54">
        <w:rPr>
          <w:sz w:val="24"/>
          <w:szCs w:val="24"/>
          <w:highlight w:val="white"/>
        </w:rPr>
        <w:t xml:space="preserve"> vetor. A segunda diz a respeito das mudanças demográficas, isso se dá pelo crescimento populacional e logo do repasto sanguíneo, bem como a migração de pessoas para as zonas urbanas e periféricas, onde os sistemas de saneamento são deficitários (Costa, 20</w:t>
      </w:r>
      <w:r w:rsidRPr="00725A54">
        <w:rPr>
          <w:sz w:val="24"/>
          <w:szCs w:val="24"/>
          <w:highlight w:val="white"/>
        </w:rPr>
        <w:t>14).</w:t>
      </w:r>
    </w:p>
    <w:p w:rsidR="00DB5100" w:rsidRPr="00725A54" w:rsidRDefault="001E5A6A" w:rsidP="00725A54">
      <w:pPr>
        <w:spacing w:line="360" w:lineRule="auto"/>
        <w:ind w:firstLine="720"/>
        <w:jc w:val="both"/>
        <w:rPr>
          <w:sz w:val="24"/>
          <w:szCs w:val="24"/>
          <w:highlight w:val="white"/>
        </w:rPr>
      </w:pPr>
      <w:r w:rsidRPr="00725A54">
        <w:rPr>
          <w:sz w:val="24"/>
          <w:szCs w:val="24"/>
          <w:highlight w:val="white"/>
        </w:rPr>
        <w:t xml:space="preserve">No Estado do Pará, segundo dados divulgados pela Secretaria de Saúde Pública - SESPA (2016), no início do ano 2016 foram confirmados 191 casos de dengue no Pará, e no </w:t>
      </w:r>
      <w:r w:rsidRPr="00725A54">
        <w:rPr>
          <w:sz w:val="24"/>
          <w:szCs w:val="24"/>
        </w:rPr>
        <w:t xml:space="preserve">mesmo período, no ano de 2015, foram registrados 287 casos confirmados. O </w:t>
      </w:r>
      <w:r w:rsidRPr="00725A54">
        <w:rPr>
          <w:sz w:val="24"/>
          <w:szCs w:val="24"/>
          <w:highlight w:val="white"/>
        </w:rPr>
        <w:t>que consta</w:t>
      </w:r>
      <w:r w:rsidRPr="00725A54">
        <w:rPr>
          <w:sz w:val="24"/>
          <w:szCs w:val="24"/>
          <w:highlight w:val="white"/>
        </w:rPr>
        <w:t>tou</w:t>
      </w:r>
      <w:r w:rsidRPr="00725A54">
        <w:rPr>
          <w:sz w:val="24"/>
          <w:szCs w:val="24"/>
        </w:rPr>
        <w:t xml:space="preserve"> uma redução de 33,44% na quantidade de doentes com dengue no Estado. Também foram divulgados, os municípios paraenses com maior ocorrência da dengue, os quais, Monte Alegre lidera no ranking com 56 casos confirmados, seguido por Oriximiná (15), Belém (</w:t>
      </w:r>
      <w:r w:rsidRPr="00725A54">
        <w:rPr>
          <w:sz w:val="24"/>
          <w:szCs w:val="24"/>
        </w:rPr>
        <w:t xml:space="preserve">13), Santana do Araguaia (8), Benevides (7) e Canaã dos Carajás (4). </w:t>
      </w:r>
    </w:p>
    <w:p w:rsidR="00DB5100" w:rsidRDefault="001E5A6A" w:rsidP="00725A54">
      <w:pPr>
        <w:spacing w:line="360" w:lineRule="auto"/>
        <w:ind w:firstLine="720"/>
        <w:jc w:val="both"/>
        <w:rPr>
          <w:sz w:val="24"/>
          <w:szCs w:val="24"/>
          <w:highlight w:val="white"/>
        </w:rPr>
      </w:pPr>
      <w:r w:rsidRPr="00725A54">
        <w:rPr>
          <w:sz w:val="24"/>
          <w:szCs w:val="24"/>
          <w:highlight w:val="white"/>
        </w:rPr>
        <w:t>Portanto, o presente trabalho tem como objetivo analisar a correlação entre os indicador</w:t>
      </w:r>
      <w:r w:rsidRPr="00725A54">
        <w:rPr>
          <w:sz w:val="24"/>
          <w:szCs w:val="24"/>
          <w:highlight w:val="white"/>
        </w:rPr>
        <w:t xml:space="preserve">es de saneamento básico, os quais são, </w:t>
      </w:r>
      <w:r w:rsidR="00E82DEC">
        <w:rPr>
          <w:sz w:val="24"/>
          <w:szCs w:val="24"/>
          <w:highlight w:val="white"/>
        </w:rPr>
        <w:t>a coleta</w:t>
      </w:r>
      <w:r w:rsidRPr="00725A54">
        <w:rPr>
          <w:sz w:val="24"/>
          <w:szCs w:val="24"/>
          <w:highlight w:val="white"/>
        </w:rPr>
        <w:t xml:space="preserve"> de resíduos sólidos, o abastecimento de água e </w:t>
      </w:r>
      <w:r w:rsidR="00E82DEC">
        <w:rPr>
          <w:sz w:val="24"/>
          <w:szCs w:val="24"/>
          <w:highlight w:val="white"/>
        </w:rPr>
        <w:t>o</w:t>
      </w:r>
      <w:r w:rsidRPr="00725A54">
        <w:rPr>
          <w:sz w:val="24"/>
          <w:szCs w:val="24"/>
          <w:highlight w:val="white"/>
        </w:rPr>
        <w:t xml:space="preserve"> </w:t>
      </w:r>
      <w:r w:rsidR="00E82DEC">
        <w:rPr>
          <w:sz w:val="24"/>
          <w:szCs w:val="24"/>
          <w:highlight w:val="white"/>
        </w:rPr>
        <w:lastRenderedPageBreak/>
        <w:t>esgotamento sanitário</w:t>
      </w:r>
      <w:r w:rsidRPr="00725A54">
        <w:rPr>
          <w:sz w:val="24"/>
          <w:szCs w:val="24"/>
          <w:highlight w:val="white"/>
        </w:rPr>
        <w:t>, com a incidência dos casos confirmados de dengue no estado do Pará, no período de 2003 a 2012.</w:t>
      </w:r>
    </w:p>
    <w:p w:rsidR="000B2AB0" w:rsidRPr="00725A54" w:rsidRDefault="000B2AB0" w:rsidP="000B2AB0">
      <w:pPr>
        <w:spacing w:line="360" w:lineRule="auto"/>
        <w:jc w:val="both"/>
        <w:rPr>
          <w:b/>
          <w:sz w:val="24"/>
          <w:szCs w:val="24"/>
        </w:rPr>
      </w:pPr>
    </w:p>
    <w:p w:rsidR="00DB5100" w:rsidRPr="00725A54" w:rsidRDefault="001E5A6A" w:rsidP="000B2AB0">
      <w:pPr>
        <w:spacing w:after="240" w:line="360" w:lineRule="auto"/>
        <w:jc w:val="both"/>
        <w:rPr>
          <w:b/>
          <w:sz w:val="24"/>
          <w:szCs w:val="24"/>
        </w:rPr>
      </w:pPr>
      <w:r w:rsidRPr="00725A54">
        <w:rPr>
          <w:b/>
          <w:sz w:val="24"/>
          <w:szCs w:val="24"/>
        </w:rPr>
        <w:t>2. METODOLOGIA</w:t>
      </w:r>
    </w:p>
    <w:p w:rsidR="00DB5100" w:rsidRPr="00725A54" w:rsidRDefault="001E5A6A" w:rsidP="00886B22">
      <w:pPr>
        <w:spacing w:line="360" w:lineRule="auto"/>
        <w:jc w:val="both"/>
        <w:rPr>
          <w:sz w:val="24"/>
          <w:szCs w:val="24"/>
        </w:rPr>
      </w:pPr>
      <w:r w:rsidRPr="00725A54">
        <w:rPr>
          <w:sz w:val="24"/>
          <w:szCs w:val="24"/>
        </w:rPr>
        <w:t>2.1 CARACTERIZAÇÃO DA ÁREA DE ESTUDO</w:t>
      </w:r>
    </w:p>
    <w:p w:rsidR="001A1612" w:rsidRPr="001A1612" w:rsidRDefault="001E5A6A" w:rsidP="004B18C2">
      <w:pPr>
        <w:spacing w:line="360" w:lineRule="auto"/>
        <w:ind w:firstLine="720"/>
        <w:jc w:val="both"/>
        <w:rPr>
          <w:sz w:val="24"/>
          <w:szCs w:val="24"/>
        </w:rPr>
      </w:pPr>
      <w:r w:rsidRPr="00725A54">
        <w:rPr>
          <w:sz w:val="24"/>
          <w:szCs w:val="24"/>
        </w:rPr>
        <w:t>O Estado do Pará é uma das 27 unidades federativas do Brasil, está situado no centro da regi</w:t>
      </w:r>
      <w:r w:rsidRPr="00725A54">
        <w:rPr>
          <w:sz w:val="24"/>
          <w:szCs w:val="24"/>
        </w:rPr>
        <w:t>ão Norte</w:t>
      </w:r>
      <w:r w:rsidRPr="00725A54">
        <w:rPr>
          <w:sz w:val="24"/>
          <w:szCs w:val="24"/>
        </w:rPr>
        <w:t>. É o segundo maior estado do país com uma extensão de 1</w:t>
      </w:r>
      <w:r w:rsidRPr="00725A54">
        <w:rPr>
          <w:sz w:val="24"/>
          <w:szCs w:val="24"/>
        </w:rPr>
        <w:t xml:space="preserve">.247.955,238 km², dividido em 144 municípios, e população estimada para 2017 de 8.366.628 habitantes (IBGE, 2018). </w:t>
      </w:r>
      <w:r w:rsidR="00886B22">
        <w:rPr>
          <w:sz w:val="24"/>
          <w:szCs w:val="24"/>
        </w:rPr>
        <w:t xml:space="preserve"> </w:t>
      </w:r>
      <w:r w:rsidRPr="00725A54">
        <w:rPr>
          <w:sz w:val="24"/>
          <w:szCs w:val="24"/>
        </w:rPr>
        <w:t>O clima predominante da área é o equatorial úmido, onde as temperaturas variam entre 24ºC a 30ºC, durante o ano. Também apresenta índices pl</w:t>
      </w:r>
      <w:r w:rsidRPr="00725A54">
        <w:rPr>
          <w:sz w:val="24"/>
          <w:szCs w:val="24"/>
        </w:rPr>
        <w:t xml:space="preserve">uviométricos elevados, o que afeta diretamente na longevidade, fecundidade e atividade do mosquito </w:t>
      </w:r>
      <w:r w:rsidRPr="00725A54">
        <w:rPr>
          <w:i/>
          <w:sz w:val="24"/>
          <w:szCs w:val="24"/>
          <w:highlight w:val="white"/>
        </w:rPr>
        <w:t>Aedes aegypti</w:t>
      </w:r>
      <w:r w:rsidRPr="00725A54">
        <w:rPr>
          <w:sz w:val="24"/>
          <w:szCs w:val="24"/>
          <w:highlight w:val="white"/>
        </w:rPr>
        <w:t>, transmissor da dengue</w:t>
      </w:r>
      <w:r w:rsidRPr="00725A54">
        <w:rPr>
          <w:sz w:val="24"/>
          <w:szCs w:val="24"/>
        </w:rPr>
        <w:t>.</w:t>
      </w:r>
    </w:p>
    <w:p w:rsidR="00DB5100" w:rsidRPr="001A1612" w:rsidRDefault="001E5A6A">
      <w:pPr>
        <w:spacing w:line="360" w:lineRule="auto"/>
        <w:jc w:val="center"/>
        <w:rPr>
          <w:sz w:val="22"/>
          <w:szCs w:val="22"/>
        </w:rPr>
      </w:pPr>
      <w:r w:rsidRPr="001A1612">
        <w:rPr>
          <w:sz w:val="22"/>
          <w:szCs w:val="22"/>
        </w:rPr>
        <w:t xml:space="preserve">Figura </w:t>
      </w:r>
      <w:r w:rsidRPr="001A1612">
        <w:rPr>
          <w:sz w:val="22"/>
          <w:szCs w:val="22"/>
        </w:rPr>
        <w:t>1</w:t>
      </w:r>
      <w:r w:rsidR="00B221D4">
        <w:rPr>
          <w:sz w:val="22"/>
          <w:szCs w:val="22"/>
        </w:rPr>
        <w:t xml:space="preserve"> - </w:t>
      </w:r>
      <w:r w:rsidRPr="001A1612">
        <w:rPr>
          <w:sz w:val="22"/>
          <w:szCs w:val="22"/>
        </w:rPr>
        <w:t>Localização do Estado do Pará</w:t>
      </w:r>
      <w:r w:rsidRPr="001A1612">
        <w:rPr>
          <w:sz w:val="22"/>
          <w:szCs w:val="22"/>
        </w:rPr>
        <w:t>.</w:t>
      </w:r>
    </w:p>
    <w:p w:rsidR="00DB5100" w:rsidRPr="001A1612" w:rsidRDefault="004B18C2">
      <w:pPr>
        <w:spacing w:line="360" w:lineRule="auto"/>
        <w:jc w:val="center"/>
        <w:rPr>
          <w:sz w:val="22"/>
          <w:szCs w:val="22"/>
        </w:rPr>
      </w:pPr>
      <w:r w:rsidRPr="004B18C2">
        <w:rPr>
          <w:noProof/>
          <w:sz w:val="24"/>
          <w:szCs w:val="24"/>
          <w:shd w:val="clear" w:color="auto" w:fill="FFFFFF" w:themeFill="background1"/>
        </w:rPr>
        <w:drawing>
          <wp:inline distT="0" distB="0" distL="0" distR="0" wp14:anchorId="04855EA0" wp14:editId="0B8BD9AC">
            <wp:extent cx="4292304" cy="3000375"/>
            <wp:effectExtent l="19050" t="19050" r="1333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pa Localização do Pará2jpeg.jpg"/>
                    <pic:cNvPicPr/>
                  </pic:nvPicPr>
                  <pic:blipFill rotWithShape="1">
                    <a:blip r:embed="rId7" cstate="print">
                      <a:extLst>
                        <a:ext uri="{28A0092B-C50C-407E-A947-70E740481C1C}">
                          <a14:useLocalDpi xmlns:a14="http://schemas.microsoft.com/office/drawing/2010/main" val="0"/>
                        </a:ext>
                      </a:extLst>
                    </a:blip>
                    <a:srcRect l="1755" t="2253" r="1276" b="1968"/>
                    <a:stretch/>
                  </pic:blipFill>
                  <pic:spPr bwMode="auto">
                    <a:xfrm>
                      <a:off x="0" y="0"/>
                      <a:ext cx="4331567" cy="3027820"/>
                    </a:xfrm>
                    <a:prstGeom prst="rect">
                      <a:avLst/>
                    </a:prstGeom>
                    <a:ln w="12700">
                      <a:solidFill>
                        <a:schemeClr val="tx1"/>
                      </a:solidFill>
                    </a:ln>
                    <a:effectLst>
                      <a:softEdge rad="0"/>
                    </a:effectLst>
                    <a:extLst>
                      <a:ext uri="{53640926-AAD7-44D8-BBD7-CCE9431645EC}">
                        <a14:shadowObscured xmlns:a14="http://schemas.microsoft.com/office/drawing/2010/main"/>
                      </a:ext>
                    </a:extLst>
                  </pic:spPr>
                </pic:pic>
              </a:graphicData>
            </a:graphic>
          </wp:inline>
        </w:drawing>
      </w:r>
    </w:p>
    <w:p w:rsidR="00DB5100" w:rsidRDefault="001E5A6A">
      <w:pPr>
        <w:spacing w:line="360" w:lineRule="auto"/>
        <w:jc w:val="center"/>
        <w:rPr>
          <w:sz w:val="22"/>
          <w:szCs w:val="22"/>
        </w:rPr>
      </w:pPr>
      <w:r w:rsidRPr="001A1612">
        <w:rPr>
          <w:sz w:val="22"/>
          <w:szCs w:val="22"/>
        </w:rPr>
        <w:t>Fonte:</w:t>
      </w:r>
      <w:r w:rsidRPr="001A1612">
        <w:rPr>
          <w:sz w:val="22"/>
          <w:szCs w:val="22"/>
        </w:rPr>
        <w:t xml:space="preserve"> </w:t>
      </w:r>
      <w:r w:rsidR="001A1612" w:rsidRPr="001A1612">
        <w:rPr>
          <w:sz w:val="22"/>
          <w:szCs w:val="22"/>
        </w:rPr>
        <w:t>Autores</w:t>
      </w:r>
      <w:r w:rsidRPr="001A1612">
        <w:rPr>
          <w:sz w:val="22"/>
          <w:szCs w:val="22"/>
        </w:rPr>
        <w:t xml:space="preserve"> (201</w:t>
      </w:r>
      <w:r w:rsidR="001A1612" w:rsidRPr="001A1612">
        <w:rPr>
          <w:sz w:val="22"/>
          <w:szCs w:val="22"/>
        </w:rPr>
        <w:t>8</w:t>
      </w:r>
      <w:r w:rsidRPr="001A1612">
        <w:rPr>
          <w:sz w:val="22"/>
          <w:szCs w:val="22"/>
        </w:rPr>
        <w:t>)</w:t>
      </w:r>
      <w:r w:rsidR="00877567" w:rsidRPr="001A1612">
        <w:rPr>
          <w:sz w:val="22"/>
          <w:szCs w:val="22"/>
        </w:rPr>
        <w:t>.</w:t>
      </w:r>
    </w:p>
    <w:p w:rsidR="001A1612" w:rsidRPr="000B2AB0" w:rsidRDefault="001A1612" w:rsidP="001A1612">
      <w:pPr>
        <w:spacing w:line="360" w:lineRule="auto"/>
        <w:rPr>
          <w:sz w:val="24"/>
          <w:szCs w:val="24"/>
        </w:rPr>
      </w:pPr>
    </w:p>
    <w:p w:rsidR="00DB5100" w:rsidRPr="00725A54" w:rsidRDefault="001E5A6A" w:rsidP="00886B22">
      <w:pPr>
        <w:spacing w:line="360" w:lineRule="auto"/>
        <w:rPr>
          <w:sz w:val="24"/>
          <w:szCs w:val="24"/>
        </w:rPr>
      </w:pPr>
      <w:r w:rsidRPr="00725A54">
        <w:rPr>
          <w:sz w:val="24"/>
          <w:szCs w:val="24"/>
        </w:rPr>
        <w:t>2.2 FONTE DE DADOS</w:t>
      </w:r>
    </w:p>
    <w:p w:rsidR="00DB5100" w:rsidRDefault="001E5A6A">
      <w:pPr>
        <w:spacing w:line="360" w:lineRule="auto"/>
        <w:ind w:firstLine="720"/>
        <w:jc w:val="both"/>
        <w:rPr>
          <w:sz w:val="24"/>
          <w:szCs w:val="24"/>
        </w:rPr>
      </w:pPr>
      <w:r w:rsidRPr="00725A54">
        <w:rPr>
          <w:sz w:val="24"/>
          <w:szCs w:val="24"/>
        </w:rPr>
        <w:t xml:space="preserve">Realizou-se um levantamento da taxa de incidência de dengue em usuários do Sistema Único de Saúde - SUS, e dos dados referentes aos serviços de saneamento básico, ambos no </w:t>
      </w:r>
      <w:r w:rsidRPr="00725A54">
        <w:rPr>
          <w:sz w:val="24"/>
          <w:szCs w:val="24"/>
        </w:rPr>
        <w:lastRenderedPageBreak/>
        <w:t>Estado do Pará, no intervalo temporal de 2003 a 2012. Estes dados</w:t>
      </w:r>
      <w:r w:rsidRPr="00725A54">
        <w:rPr>
          <w:sz w:val="24"/>
          <w:szCs w:val="24"/>
        </w:rPr>
        <w:t xml:space="preserve"> foram coletados junto ao Portal DATASUS (2018), e no Sistema Nacional de Informações sobre Saneamento - SNIS (2018), respectivamente.</w:t>
      </w:r>
    </w:p>
    <w:p w:rsidR="001A1612" w:rsidRPr="00725A54" w:rsidRDefault="001A1612">
      <w:pPr>
        <w:spacing w:line="360" w:lineRule="auto"/>
        <w:ind w:firstLine="720"/>
        <w:jc w:val="both"/>
        <w:rPr>
          <w:sz w:val="24"/>
          <w:szCs w:val="24"/>
        </w:rPr>
      </w:pPr>
    </w:p>
    <w:p w:rsidR="00DB5100" w:rsidRPr="00725A54" w:rsidRDefault="001E5A6A" w:rsidP="00886B22">
      <w:pPr>
        <w:spacing w:line="360" w:lineRule="auto"/>
        <w:rPr>
          <w:sz w:val="24"/>
          <w:szCs w:val="24"/>
        </w:rPr>
      </w:pPr>
      <w:r w:rsidRPr="00725A54">
        <w:rPr>
          <w:sz w:val="24"/>
          <w:szCs w:val="24"/>
        </w:rPr>
        <w:t>2.3 MÉTODO DE ANÁLISE</w:t>
      </w:r>
    </w:p>
    <w:p w:rsidR="00DB5100" w:rsidRPr="00725A54" w:rsidRDefault="001E5A6A">
      <w:pPr>
        <w:spacing w:line="360" w:lineRule="auto"/>
        <w:jc w:val="both"/>
        <w:rPr>
          <w:sz w:val="24"/>
          <w:szCs w:val="24"/>
        </w:rPr>
      </w:pPr>
      <w:r w:rsidRPr="00725A54">
        <w:rPr>
          <w:b/>
          <w:sz w:val="24"/>
          <w:szCs w:val="24"/>
        </w:rPr>
        <w:tab/>
      </w:r>
      <w:r w:rsidRPr="00725A54">
        <w:rPr>
          <w:sz w:val="24"/>
          <w:szCs w:val="24"/>
        </w:rPr>
        <w:t>A partir dos dados, formulou-se a hipótese de que a demanda de acesso a serviços de saneamento bás</w:t>
      </w:r>
      <w:r w:rsidRPr="00725A54">
        <w:rPr>
          <w:sz w:val="24"/>
          <w:szCs w:val="24"/>
        </w:rPr>
        <w:t xml:space="preserve">ico (coleta de </w:t>
      </w:r>
      <w:r w:rsidR="00C63553">
        <w:rPr>
          <w:sz w:val="24"/>
          <w:szCs w:val="24"/>
        </w:rPr>
        <w:t>resíduo</w:t>
      </w:r>
      <w:r w:rsidRPr="00725A54">
        <w:rPr>
          <w:sz w:val="24"/>
          <w:szCs w:val="24"/>
        </w:rPr>
        <w:t xml:space="preserve">, abastecimento de água e esgotamento sanitário) interfere de forma inversamente proporcional sobre a </w:t>
      </w:r>
      <w:r w:rsidR="00C63553">
        <w:rPr>
          <w:sz w:val="24"/>
          <w:szCs w:val="24"/>
        </w:rPr>
        <w:t>T</w:t>
      </w:r>
      <w:r w:rsidRPr="00725A54">
        <w:rPr>
          <w:sz w:val="24"/>
          <w:szCs w:val="24"/>
        </w:rPr>
        <w:t xml:space="preserve">axa de </w:t>
      </w:r>
      <w:r w:rsidR="00C63553">
        <w:rPr>
          <w:sz w:val="24"/>
          <w:szCs w:val="24"/>
        </w:rPr>
        <w:t>I</w:t>
      </w:r>
      <w:r w:rsidRPr="00725A54">
        <w:rPr>
          <w:sz w:val="24"/>
          <w:szCs w:val="24"/>
        </w:rPr>
        <w:t xml:space="preserve">ncidência de </w:t>
      </w:r>
      <w:r w:rsidR="00C63553">
        <w:rPr>
          <w:sz w:val="24"/>
          <w:szCs w:val="24"/>
        </w:rPr>
        <w:t>D</w:t>
      </w:r>
      <w:r w:rsidRPr="00725A54">
        <w:rPr>
          <w:sz w:val="24"/>
          <w:szCs w:val="24"/>
        </w:rPr>
        <w:t>engue</w:t>
      </w:r>
      <w:r w:rsidR="00C63553">
        <w:rPr>
          <w:sz w:val="24"/>
          <w:szCs w:val="24"/>
        </w:rPr>
        <w:t xml:space="preserve"> (TID)</w:t>
      </w:r>
      <w:r w:rsidRPr="00725A54">
        <w:rPr>
          <w:sz w:val="24"/>
          <w:szCs w:val="24"/>
        </w:rPr>
        <w:t xml:space="preserve"> na população do Pará, no período 2003 a 2012. Cabe destacar que o intervalo usado constitui o maior na qua</w:t>
      </w:r>
      <w:r w:rsidRPr="00725A54">
        <w:rPr>
          <w:sz w:val="24"/>
          <w:szCs w:val="24"/>
        </w:rPr>
        <w:t>ntidade de dados disponíveis.</w:t>
      </w:r>
    </w:p>
    <w:p w:rsidR="00DB5100" w:rsidRPr="00725A54" w:rsidRDefault="001E5A6A" w:rsidP="00B221D4">
      <w:pPr>
        <w:spacing w:line="360" w:lineRule="auto"/>
        <w:ind w:firstLine="720"/>
        <w:jc w:val="both"/>
        <w:rPr>
          <w:sz w:val="24"/>
          <w:szCs w:val="24"/>
        </w:rPr>
      </w:pPr>
      <w:r w:rsidRPr="00725A54">
        <w:rPr>
          <w:sz w:val="24"/>
          <w:szCs w:val="24"/>
        </w:rPr>
        <w:t>Então, utilizando o software Microsoft Excel</w:t>
      </w:r>
      <w:r w:rsidR="00E82DEC">
        <w:rPr>
          <w:sz w:val="24"/>
          <w:szCs w:val="24"/>
        </w:rPr>
        <w:t xml:space="preserve"> 2016</w:t>
      </w:r>
      <w:r w:rsidRPr="00725A54">
        <w:rPr>
          <w:sz w:val="24"/>
          <w:szCs w:val="24"/>
        </w:rPr>
        <w:t xml:space="preserve">, foi verificado se a hipótese seria, ou não, verdadeira, através do método de regressão linear simples. Considerou-se uma significância estatística igual a 5%. As correlações foram </w:t>
      </w:r>
      <w:r w:rsidRPr="00725A54">
        <w:rPr>
          <w:sz w:val="24"/>
          <w:szCs w:val="24"/>
        </w:rPr>
        <w:t>feitas da seguinte forma:</w:t>
      </w:r>
    </w:p>
    <w:p w:rsidR="00DB5100" w:rsidRPr="00725A54" w:rsidRDefault="001E5A6A">
      <w:pPr>
        <w:numPr>
          <w:ilvl w:val="0"/>
          <w:numId w:val="1"/>
        </w:numPr>
        <w:spacing w:line="360" w:lineRule="auto"/>
        <w:contextualSpacing/>
        <w:jc w:val="both"/>
        <w:rPr>
          <w:sz w:val="24"/>
          <w:szCs w:val="24"/>
        </w:rPr>
      </w:pPr>
      <w:r w:rsidRPr="00725A54">
        <w:rPr>
          <w:sz w:val="24"/>
          <w:szCs w:val="24"/>
        </w:rPr>
        <w:t>Entre Taxa de Incidência de Dengue</w:t>
      </w:r>
      <w:r w:rsidR="004B18C2">
        <w:rPr>
          <w:sz w:val="24"/>
          <w:szCs w:val="24"/>
        </w:rPr>
        <w:t xml:space="preserve"> (TID)</w:t>
      </w:r>
      <w:r w:rsidRPr="00725A54">
        <w:rPr>
          <w:sz w:val="24"/>
          <w:szCs w:val="24"/>
        </w:rPr>
        <w:t xml:space="preserve"> e a proporção da população atendida por Serviço de abastecimento de água (SAA) em 2003 - 2012;</w:t>
      </w:r>
    </w:p>
    <w:p w:rsidR="00DB5100" w:rsidRPr="00725A54" w:rsidRDefault="001E5A6A">
      <w:pPr>
        <w:numPr>
          <w:ilvl w:val="0"/>
          <w:numId w:val="1"/>
        </w:numPr>
        <w:spacing w:line="360" w:lineRule="auto"/>
        <w:contextualSpacing/>
        <w:jc w:val="both"/>
        <w:rPr>
          <w:sz w:val="24"/>
          <w:szCs w:val="24"/>
        </w:rPr>
      </w:pPr>
      <w:r w:rsidRPr="00725A54">
        <w:rPr>
          <w:sz w:val="24"/>
          <w:szCs w:val="24"/>
        </w:rPr>
        <w:t>E</w:t>
      </w:r>
      <w:r w:rsidRPr="00725A54">
        <w:rPr>
          <w:sz w:val="24"/>
          <w:szCs w:val="24"/>
        </w:rPr>
        <w:t>ntre a Taxa de Incidência de Dengue</w:t>
      </w:r>
      <w:r w:rsidR="004B18C2">
        <w:rPr>
          <w:sz w:val="24"/>
          <w:szCs w:val="24"/>
        </w:rPr>
        <w:t xml:space="preserve"> </w:t>
      </w:r>
      <w:r w:rsidR="004B18C2">
        <w:rPr>
          <w:sz w:val="24"/>
          <w:szCs w:val="24"/>
        </w:rPr>
        <w:t>(TID)</w:t>
      </w:r>
      <w:r w:rsidRPr="00725A54">
        <w:rPr>
          <w:sz w:val="24"/>
          <w:szCs w:val="24"/>
        </w:rPr>
        <w:t xml:space="preserve"> e a proporção da população atendida por Serviço de Esgotamento Sanitário (SES) nos anos de 2003 - 2012;</w:t>
      </w:r>
    </w:p>
    <w:p w:rsidR="00DB5100" w:rsidRPr="00725A54" w:rsidRDefault="001E5A6A">
      <w:pPr>
        <w:numPr>
          <w:ilvl w:val="0"/>
          <w:numId w:val="1"/>
        </w:numPr>
        <w:spacing w:line="360" w:lineRule="auto"/>
        <w:contextualSpacing/>
        <w:jc w:val="both"/>
        <w:rPr>
          <w:sz w:val="24"/>
          <w:szCs w:val="24"/>
        </w:rPr>
      </w:pPr>
      <w:r w:rsidRPr="00725A54">
        <w:rPr>
          <w:sz w:val="24"/>
          <w:szCs w:val="24"/>
        </w:rPr>
        <w:t>Entre Taxa de Incidência de Dengue</w:t>
      </w:r>
      <w:r w:rsidR="004B18C2">
        <w:rPr>
          <w:sz w:val="24"/>
          <w:szCs w:val="24"/>
        </w:rPr>
        <w:t xml:space="preserve"> </w:t>
      </w:r>
      <w:r w:rsidR="004B18C2">
        <w:rPr>
          <w:sz w:val="24"/>
          <w:szCs w:val="24"/>
        </w:rPr>
        <w:t>(TID)</w:t>
      </w:r>
      <w:r w:rsidRPr="00725A54">
        <w:rPr>
          <w:sz w:val="24"/>
          <w:szCs w:val="24"/>
        </w:rPr>
        <w:t xml:space="preserve"> e a proporção da população atendida por Serviço de coleta de resíduos sólidos (SC</w:t>
      </w:r>
      <w:r w:rsidRPr="00725A54">
        <w:rPr>
          <w:sz w:val="24"/>
          <w:szCs w:val="24"/>
        </w:rPr>
        <w:t>R) em 2003 - 2012.</w:t>
      </w:r>
    </w:p>
    <w:p w:rsidR="00DB5100" w:rsidRDefault="001E5A6A">
      <w:pPr>
        <w:spacing w:line="360" w:lineRule="auto"/>
        <w:jc w:val="both"/>
        <w:rPr>
          <w:sz w:val="24"/>
          <w:szCs w:val="24"/>
        </w:rPr>
      </w:pPr>
      <w:r w:rsidRPr="00725A54">
        <w:rPr>
          <w:sz w:val="24"/>
          <w:szCs w:val="24"/>
        </w:rPr>
        <w:tab/>
        <w:t>A proporção da população atendida pelos serviços de Saneamento, foi obtida por meio da razão entre a quantidade da população atendida por determinado serviço e a quantidade populacional do Estado do Pará no referido ano.</w:t>
      </w:r>
    </w:p>
    <w:p w:rsidR="001A1612" w:rsidRPr="00725A54" w:rsidRDefault="001A1612">
      <w:pPr>
        <w:spacing w:line="360" w:lineRule="auto"/>
        <w:jc w:val="both"/>
        <w:rPr>
          <w:b/>
          <w:sz w:val="24"/>
          <w:szCs w:val="24"/>
        </w:rPr>
      </w:pPr>
    </w:p>
    <w:p w:rsidR="00DB5100" w:rsidRPr="00725A54" w:rsidRDefault="001E5A6A" w:rsidP="001A1612">
      <w:pPr>
        <w:spacing w:after="240" w:line="360" w:lineRule="auto"/>
        <w:jc w:val="both"/>
        <w:rPr>
          <w:sz w:val="24"/>
          <w:szCs w:val="24"/>
        </w:rPr>
      </w:pPr>
      <w:r w:rsidRPr="00725A54">
        <w:rPr>
          <w:b/>
          <w:sz w:val="24"/>
          <w:szCs w:val="24"/>
        </w:rPr>
        <w:t>3. RESULTADOS E</w:t>
      </w:r>
      <w:r w:rsidRPr="00725A54">
        <w:rPr>
          <w:b/>
          <w:sz w:val="24"/>
          <w:szCs w:val="24"/>
        </w:rPr>
        <w:t xml:space="preserve"> DISCUSSÃO</w:t>
      </w:r>
    </w:p>
    <w:p w:rsidR="00DB5100" w:rsidRDefault="001E5A6A">
      <w:pPr>
        <w:spacing w:line="360" w:lineRule="auto"/>
        <w:ind w:firstLine="720"/>
        <w:jc w:val="both"/>
        <w:rPr>
          <w:sz w:val="24"/>
          <w:szCs w:val="24"/>
        </w:rPr>
      </w:pPr>
      <w:r w:rsidRPr="00725A54">
        <w:rPr>
          <w:sz w:val="24"/>
          <w:szCs w:val="24"/>
        </w:rPr>
        <w:t xml:space="preserve">Inicialmente, os dados foram dispostos na Tabela </w:t>
      </w:r>
      <w:r w:rsidRPr="00725A54">
        <w:rPr>
          <w:sz w:val="24"/>
          <w:szCs w:val="24"/>
        </w:rPr>
        <w:t xml:space="preserve">1, em que apresenta a </w:t>
      </w:r>
      <w:r w:rsidR="00C63553">
        <w:rPr>
          <w:sz w:val="24"/>
          <w:szCs w:val="24"/>
        </w:rPr>
        <w:t xml:space="preserve">TID </w:t>
      </w:r>
      <w:r w:rsidRPr="00725A54">
        <w:rPr>
          <w:sz w:val="24"/>
          <w:szCs w:val="24"/>
        </w:rPr>
        <w:t>na população calculada a partir da razão entre os casos de dengue</w:t>
      </w:r>
      <w:r w:rsidRPr="00725A54">
        <w:rPr>
          <w:sz w:val="24"/>
          <w:szCs w:val="24"/>
        </w:rPr>
        <w:t xml:space="preserve"> e a população total (PA), por 100 m</w:t>
      </w:r>
      <w:r w:rsidRPr="00725A54">
        <w:rPr>
          <w:sz w:val="24"/>
          <w:szCs w:val="24"/>
        </w:rPr>
        <w:t xml:space="preserve">il habitantes. Esta taxa revela a probabilidade de ocorrência de caso de dengue, em períodos endêmicos e epidêmicos, na população em determinado intervalo de tempo, além da população </w:t>
      </w:r>
      <w:r w:rsidRPr="00725A54">
        <w:rPr>
          <w:sz w:val="24"/>
          <w:szCs w:val="24"/>
        </w:rPr>
        <w:lastRenderedPageBreak/>
        <w:t>exposta ao risco de adquirir a doença (VIDIGAL, 2015). Também é identific</w:t>
      </w:r>
      <w:r w:rsidRPr="00725A54">
        <w:rPr>
          <w:sz w:val="24"/>
          <w:szCs w:val="24"/>
        </w:rPr>
        <w:t>ada a proporção da população atendida pelo SAA, SES e SCR.</w:t>
      </w:r>
    </w:p>
    <w:p w:rsidR="001A1612" w:rsidRPr="00725A54" w:rsidRDefault="001A1612">
      <w:pPr>
        <w:spacing w:line="360" w:lineRule="auto"/>
        <w:ind w:firstLine="720"/>
        <w:jc w:val="both"/>
        <w:rPr>
          <w:sz w:val="24"/>
          <w:szCs w:val="24"/>
        </w:rPr>
      </w:pPr>
    </w:p>
    <w:p w:rsidR="00DB5100" w:rsidRPr="001A1612" w:rsidRDefault="001E5A6A" w:rsidP="001A1612">
      <w:pPr>
        <w:spacing w:line="360" w:lineRule="auto"/>
        <w:jc w:val="center"/>
        <w:rPr>
          <w:b/>
          <w:sz w:val="22"/>
          <w:szCs w:val="22"/>
        </w:rPr>
      </w:pPr>
      <w:r w:rsidRPr="001A1612">
        <w:rPr>
          <w:sz w:val="22"/>
          <w:szCs w:val="22"/>
        </w:rPr>
        <w:t xml:space="preserve">Tabela </w:t>
      </w:r>
      <w:r w:rsidRPr="001A1612">
        <w:rPr>
          <w:sz w:val="22"/>
          <w:szCs w:val="22"/>
        </w:rPr>
        <w:t>1</w:t>
      </w:r>
      <w:r w:rsidR="001A1612" w:rsidRPr="001A1612">
        <w:rPr>
          <w:sz w:val="22"/>
          <w:szCs w:val="22"/>
        </w:rPr>
        <w:t xml:space="preserve"> - </w:t>
      </w:r>
      <w:r w:rsidRPr="001A1612">
        <w:rPr>
          <w:sz w:val="22"/>
          <w:szCs w:val="22"/>
        </w:rPr>
        <w:t>Dados referentes aos casos de</w:t>
      </w:r>
      <w:r w:rsidR="00C63553">
        <w:rPr>
          <w:sz w:val="22"/>
          <w:szCs w:val="22"/>
        </w:rPr>
        <w:t xml:space="preserve"> ocorrência de</w:t>
      </w:r>
      <w:r w:rsidRPr="001A1612">
        <w:rPr>
          <w:sz w:val="22"/>
          <w:szCs w:val="22"/>
        </w:rPr>
        <w:t xml:space="preserve"> dengue, população total </w:t>
      </w:r>
      <w:r w:rsidRPr="001A1612">
        <w:rPr>
          <w:sz w:val="22"/>
          <w:szCs w:val="22"/>
        </w:rPr>
        <w:t xml:space="preserve">(PA), </w:t>
      </w:r>
      <w:r w:rsidRPr="001A1612">
        <w:rPr>
          <w:sz w:val="22"/>
          <w:szCs w:val="22"/>
        </w:rPr>
        <w:t>TID</w:t>
      </w:r>
      <w:r w:rsidRPr="001A1612">
        <w:rPr>
          <w:sz w:val="22"/>
          <w:szCs w:val="22"/>
        </w:rPr>
        <w:t>, SAA, SES e SCR no Estado do Pará nos anos de 2003 a 2012.</w:t>
      </w:r>
    </w:p>
    <w:tbl>
      <w:tblPr>
        <w:tblStyle w:val="a"/>
        <w:tblW w:w="9450" w:type="dxa"/>
        <w:jc w:val="center"/>
        <w:tblInd w:w="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1200"/>
        <w:gridCol w:w="1395"/>
        <w:gridCol w:w="1455"/>
        <w:gridCol w:w="1440"/>
        <w:gridCol w:w="1350"/>
        <w:gridCol w:w="1365"/>
        <w:gridCol w:w="1245"/>
      </w:tblGrid>
      <w:tr w:rsidR="00DB5100" w:rsidRPr="001A1612" w:rsidTr="00C63553">
        <w:trPr>
          <w:trHeight w:val="340"/>
          <w:jc w:val="center"/>
        </w:trPr>
        <w:tc>
          <w:tcPr>
            <w:tcW w:w="1200" w:type="dxa"/>
            <w:shd w:val="clear" w:color="auto" w:fill="FFFFFF" w:themeFill="background1"/>
            <w:tcMar>
              <w:top w:w="0" w:type="dxa"/>
              <w:left w:w="0" w:type="dxa"/>
              <w:bottom w:w="0" w:type="dxa"/>
              <w:right w:w="0" w:type="dxa"/>
            </w:tcMar>
            <w:vAlign w:val="center"/>
          </w:tcPr>
          <w:p w:rsidR="00DB5100" w:rsidRPr="001A1612" w:rsidRDefault="001E5A6A">
            <w:pPr>
              <w:widowControl w:val="0"/>
              <w:spacing w:line="360" w:lineRule="auto"/>
              <w:jc w:val="center"/>
              <w:rPr>
                <w:b/>
                <w:sz w:val="22"/>
                <w:szCs w:val="22"/>
              </w:rPr>
            </w:pPr>
            <w:r w:rsidRPr="001A1612">
              <w:rPr>
                <w:b/>
                <w:sz w:val="22"/>
                <w:szCs w:val="22"/>
              </w:rPr>
              <w:t>Anos</w:t>
            </w:r>
          </w:p>
        </w:tc>
        <w:tc>
          <w:tcPr>
            <w:tcW w:w="1395" w:type="dxa"/>
            <w:shd w:val="clear" w:color="auto" w:fill="FFFFFF" w:themeFill="background1"/>
            <w:tcMar>
              <w:top w:w="0" w:type="dxa"/>
              <w:left w:w="0" w:type="dxa"/>
              <w:bottom w:w="0" w:type="dxa"/>
              <w:right w:w="0" w:type="dxa"/>
            </w:tcMar>
            <w:vAlign w:val="center"/>
          </w:tcPr>
          <w:p w:rsidR="00DB5100" w:rsidRPr="001A1612" w:rsidRDefault="001E5A6A">
            <w:pPr>
              <w:widowControl w:val="0"/>
              <w:jc w:val="center"/>
              <w:rPr>
                <w:b/>
                <w:sz w:val="22"/>
                <w:szCs w:val="22"/>
              </w:rPr>
            </w:pPr>
            <w:r w:rsidRPr="001A1612">
              <w:rPr>
                <w:b/>
                <w:sz w:val="22"/>
                <w:szCs w:val="22"/>
              </w:rPr>
              <w:t>Casos</w:t>
            </w:r>
          </w:p>
        </w:tc>
        <w:tc>
          <w:tcPr>
            <w:tcW w:w="1455" w:type="dxa"/>
            <w:shd w:val="clear" w:color="auto" w:fill="FFFFFF" w:themeFill="background1"/>
            <w:tcMar>
              <w:top w:w="0" w:type="dxa"/>
              <w:left w:w="0" w:type="dxa"/>
              <w:bottom w:w="0" w:type="dxa"/>
              <w:right w:w="0" w:type="dxa"/>
            </w:tcMar>
            <w:vAlign w:val="center"/>
          </w:tcPr>
          <w:p w:rsidR="00DB5100" w:rsidRPr="001A1612" w:rsidRDefault="001E5A6A">
            <w:pPr>
              <w:widowControl w:val="0"/>
              <w:jc w:val="center"/>
              <w:rPr>
                <w:b/>
                <w:sz w:val="22"/>
                <w:szCs w:val="22"/>
              </w:rPr>
            </w:pPr>
            <w:r w:rsidRPr="001A1612">
              <w:rPr>
                <w:b/>
                <w:sz w:val="22"/>
                <w:szCs w:val="22"/>
              </w:rPr>
              <w:t>População to</w:t>
            </w:r>
            <w:r w:rsidRPr="001A1612">
              <w:rPr>
                <w:b/>
                <w:sz w:val="22"/>
                <w:szCs w:val="22"/>
              </w:rPr>
              <w:t>tal (PA)</w:t>
            </w:r>
          </w:p>
        </w:tc>
        <w:tc>
          <w:tcPr>
            <w:tcW w:w="1440" w:type="dxa"/>
            <w:shd w:val="clear" w:color="auto" w:fill="FFFFFF" w:themeFill="background1"/>
            <w:tcMar>
              <w:top w:w="0" w:type="dxa"/>
              <w:left w:w="0" w:type="dxa"/>
              <w:bottom w:w="0" w:type="dxa"/>
              <w:right w:w="0" w:type="dxa"/>
            </w:tcMar>
            <w:vAlign w:val="center"/>
          </w:tcPr>
          <w:p w:rsidR="00DB5100" w:rsidRPr="001A1612" w:rsidRDefault="001E5A6A">
            <w:pPr>
              <w:widowControl w:val="0"/>
              <w:jc w:val="center"/>
              <w:rPr>
                <w:b/>
                <w:sz w:val="22"/>
                <w:szCs w:val="22"/>
              </w:rPr>
            </w:pPr>
            <w:r w:rsidRPr="001A1612">
              <w:rPr>
                <w:b/>
                <w:sz w:val="22"/>
                <w:szCs w:val="22"/>
              </w:rPr>
              <w:t xml:space="preserve">TID (por 100.000 </w:t>
            </w:r>
            <w:r w:rsidR="003D4140" w:rsidRPr="001A1612">
              <w:rPr>
                <w:b/>
                <w:sz w:val="22"/>
                <w:szCs w:val="22"/>
              </w:rPr>
              <w:t>hab.</w:t>
            </w:r>
            <w:r w:rsidRPr="001A1612">
              <w:rPr>
                <w:b/>
                <w:sz w:val="22"/>
                <w:szCs w:val="22"/>
              </w:rPr>
              <w:t>)</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widowControl w:val="0"/>
              <w:jc w:val="center"/>
              <w:rPr>
                <w:b/>
                <w:sz w:val="22"/>
                <w:szCs w:val="22"/>
              </w:rPr>
            </w:pPr>
            <w:r w:rsidRPr="001A1612">
              <w:rPr>
                <w:b/>
                <w:sz w:val="22"/>
                <w:szCs w:val="22"/>
              </w:rPr>
              <w:t>SAA %</w:t>
            </w:r>
          </w:p>
        </w:tc>
        <w:tc>
          <w:tcPr>
            <w:tcW w:w="1365" w:type="dxa"/>
            <w:shd w:val="clear" w:color="auto" w:fill="FFFFFF" w:themeFill="background1"/>
            <w:tcMar>
              <w:top w:w="0" w:type="dxa"/>
              <w:left w:w="0" w:type="dxa"/>
              <w:bottom w:w="0" w:type="dxa"/>
              <w:right w:w="0" w:type="dxa"/>
            </w:tcMar>
            <w:vAlign w:val="center"/>
          </w:tcPr>
          <w:p w:rsidR="00DB5100" w:rsidRPr="001A1612" w:rsidRDefault="001E5A6A">
            <w:pPr>
              <w:widowControl w:val="0"/>
              <w:jc w:val="center"/>
              <w:rPr>
                <w:b/>
                <w:sz w:val="22"/>
                <w:szCs w:val="22"/>
              </w:rPr>
            </w:pPr>
            <w:r w:rsidRPr="001A1612">
              <w:rPr>
                <w:b/>
                <w:sz w:val="22"/>
                <w:szCs w:val="22"/>
              </w:rPr>
              <w:t>SES %</w:t>
            </w:r>
          </w:p>
        </w:tc>
        <w:tc>
          <w:tcPr>
            <w:tcW w:w="1245" w:type="dxa"/>
            <w:shd w:val="clear" w:color="auto" w:fill="FFFFFF" w:themeFill="background1"/>
            <w:tcMar>
              <w:top w:w="0" w:type="dxa"/>
              <w:left w:w="0" w:type="dxa"/>
              <w:bottom w:w="0" w:type="dxa"/>
              <w:right w:w="0" w:type="dxa"/>
            </w:tcMar>
            <w:vAlign w:val="center"/>
          </w:tcPr>
          <w:p w:rsidR="00DB5100" w:rsidRPr="001A1612" w:rsidRDefault="001E5A6A">
            <w:pPr>
              <w:widowControl w:val="0"/>
              <w:jc w:val="center"/>
              <w:rPr>
                <w:b/>
                <w:sz w:val="22"/>
                <w:szCs w:val="22"/>
              </w:rPr>
            </w:pPr>
            <w:r w:rsidRPr="001A1612">
              <w:rPr>
                <w:b/>
                <w:sz w:val="22"/>
                <w:szCs w:val="22"/>
              </w:rPr>
              <w:t>SCR%</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2003</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9.754</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6.574.993</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148</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22%</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2004</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5.780</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6.850.181</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85</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22%</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2005</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8.250</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6.970.586</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118</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30%</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2006</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6.574</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7.110.465</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92</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5%</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28%</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2007</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14.462</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7.249.184</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199</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13%</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31%</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2008</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15.190</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7.321.493</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207</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16%</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35%</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2009</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7.040</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7.431.041</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95</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13%</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4%</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40%</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2010</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15.119</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7.581.051</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199</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13%</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5%</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37%</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2011</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16.648</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7.688.593</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217</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11%</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6%</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80%</w:t>
            </w:r>
          </w:p>
        </w:tc>
      </w:tr>
      <w:tr w:rsidR="00DB5100" w:rsidRPr="001A1612" w:rsidTr="00886B22">
        <w:trPr>
          <w:trHeight w:val="227"/>
          <w:jc w:val="center"/>
        </w:trPr>
        <w:tc>
          <w:tcPr>
            <w:tcW w:w="120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2012</w:t>
            </w:r>
          </w:p>
        </w:tc>
        <w:tc>
          <w:tcPr>
            <w:tcW w:w="139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16.075</w:t>
            </w:r>
          </w:p>
        </w:tc>
        <w:tc>
          <w:tcPr>
            <w:tcW w:w="145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7.822.205</w:t>
            </w:r>
          </w:p>
        </w:tc>
        <w:tc>
          <w:tcPr>
            <w:tcW w:w="144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206</w:t>
            </w:r>
          </w:p>
        </w:tc>
        <w:tc>
          <w:tcPr>
            <w:tcW w:w="1350"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13%</w:t>
            </w:r>
          </w:p>
        </w:tc>
        <w:tc>
          <w:tcPr>
            <w:tcW w:w="136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7%</w:t>
            </w:r>
          </w:p>
        </w:tc>
        <w:tc>
          <w:tcPr>
            <w:tcW w:w="1245" w:type="dxa"/>
            <w:shd w:val="clear" w:color="auto" w:fill="FFFFFF" w:themeFill="background1"/>
            <w:tcMar>
              <w:top w:w="56" w:type="dxa"/>
              <w:left w:w="56" w:type="dxa"/>
              <w:bottom w:w="56" w:type="dxa"/>
              <w:right w:w="56" w:type="dxa"/>
            </w:tcMar>
            <w:vAlign w:val="center"/>
          </w:tcPr>
          <w:p w:rsidR="00DB5100" w:rsidRPr="001A1612" w:rsidRDefault="001E5A6A">
            <w:pPr>
              <w:jc w:val="center"/>
              <w:rPr>
                <w:sz w:val="22"/>
                <w:szCs w:val="22"/>
              </w:rPr>
            </w:pPr>
            <w:r w:rsidRPr="001A1612">
              <w:rPr>
                <w:sz w:val="22"/>
                <w:szCs w:val="22"/>
              </w:rPr>
              <w:t>103%</w:t>
            </w:r>
          </w:p>
        </w:tc>
      </w:tr>
    </w:tbl>
    <w:p w:rsidR="00DB5100" w:rsidRPr="00725A54" w:rsidRDefault="001E5A6A">
      <w:pPr>
        <w:spacing w:line="360" w:lineRule="auto"/>
        <w:ind w:firstLine="720"/>
        <w:jc w:val="center"/>
        <w:rPr>
          <w:sz w:val="24"/>
          <w:szCs w:val="24"/>
        </w:rPr>
      </w:pPr>
      <w:r w:rsidRPr="001A1612">
        <w:rPr>
          <w:b/>
          <w:sz w:val="22"/>
          <w:szCs w:val="22"/>
        </w:rPr>
        <w:t>Fonte:</w:t>
      </w:r>
      <w:r w:rsidRPr="001A1612">
        <w:rPr>
          <w:sz w:val="22"/>
          <w:szCs w:val="22"/>
        </w:rPr>
        <w:t xml:space="preserve"> DATASUS (2018).</w:t>
      </w:r>
    </w:p>
    <w:p w:rsidR="00DB5100" w:rsidRPr="00725A54" w:rsidRDefault="00DB5100">
      <w:pPr>
        <w:spacing w:line="360" w:lineRule="auto"/>
        <w:ind w:firstLine="720"/>
        <w:jc w:val="center"/>
        <w:rPr>
          <w:sz w:val="24"/>
          <w:szCs w:val="24"/>
        </w:rPr>
      </w:pPr>
    </w:p>
    <w:p w:rsidR="00DB5100" w:rsidRPr="00725A54" w:rsidRDefault="001E5A6A" w:rsidP="00886B22">
      <w:pPr>
        <w:spacing w:line="360" w:lineRule="auto"/>
        <w:jc w:val="both"/>
        <w:rPr>
          <w:sz w:val="24"/>
          <w:szCs w:val="24"/>
        </w:rPr>
      </w:pPr>
      <w:r w:rsidRPr="00725A54">
        <w:rPr>
          <w:sz w:val="24"/>
          <w:szCs w:val="24"/>
        </w:rPr>
        <w:t>3.4 CORRELAÇÃO DA TID E A PROPORÇÃO DA POPULAÇÃO ATENDIDA PELO SAA</w:t>
      </w:r>
    </w:p>
    <w:p w:rsidR="00DB5100" w:rsidRDefault="001E5A6A">
      <w:pPr>
        <w:spacing w:line="360" w:lineRule="auto"/>
        <w:jc w:val="both"/>
        <w:rPr>
          <w:sz w:val="24"/>
          <w:szCs w:val="24"/>
        </w:rPr>
      </w:pPr>
      <w:r w:rsidRPr="00725A54">
        <w:rPr>
          <w:b/>
          <w:sz w:val="24"/>
          <w:szCs w:val="24"/>
        </w:rPr>
        <w:tab/>
      </w:r>
      <w:r w:rsidRPr="00725A54">
        <w:rPr>
          <w:sz w:val="24"/>
          <w:szCs w:val="24"/>
        </w:rPr>
        <w:t>A partir dos resultados obtidos verifica-se que</w:t>
      </w:r>
      <w:r w:rsidRPr="00725A54">
        <w:rPr>
          <w:sz w:val="24"/>
          <w:szCs w:val="24"/>
        </w:rPr>
        <w:t xml:space="preserve"> para o coeficiente de correlação </w:t>
      </w:r>
      <w:r w:rsidRPr="00725A54">
        <w:rPr>
          <w:i/>
          <w:sz w:val="24"/>
          <w:szCs w:val="24"/>
        </w:rPr>
        <w:t>r</w:t>
      </w:r>
      <w:r w:rsidRPr="00725A54">
        <w:rPr>
          <w:sz w:val="24"/>
          <w:szCs w:val="24"/>
        </w:rPr>
        <w:t>, foi encontrado o valor igual a 0,67723, ou seja, uma correlação média para forte, segundo Correa (2003)</w:t>
      </w:r>
      <w:r w:rsidRPr="00725A54">
        <w:rPr>
          <w:sz w:val="24"/>
          <w:szCs w:val="24"/>
        </w:rPr>
        <w:t xml:space="preserve">. </w:t>
      </w:r>
      <w:r w:rsidR="003D4140">
        <w:rPr>
          <w:sz w:val="24"/>
          <w:szCs w:val="24"/>
        </w:rPr>
        <w:t>De acordo com o Gráfico 1, o</w:t>
      </w:r>
      <w:r w:rsidRPr="00725A54">
        <w:rPr>
          <w:sz w:val="24"/>
          <w:szCs w:val="24"/>
        </w:rPr>
        <w:t xml:space="preserve"> coeficiente</w:t>
      </w:r>
      <w:r w:rsidR="003D4140">
        <w:rPr>
          <w:sz w:val="24"/>
          <w:szCs w:val="24"/>
        </w:rPr>
        <w:t xml:space="preserve"> de determinação</w:t>
      </w:r>
      <w:r w:rsidRPr="00725A54">
        <w:rPr>
          <w:sz w:val="24"/>
          <w:szCs w:val="24"/>
        </w:rPr>
        <w:t xml:space="preserve"> R² demonstrou</w:t>
      </w:r>
      <w:r w:rsidR="003D4140">
        <w:rPr>
          <w:sz w:val="24"/>
          <w:szCs w:val="24"/>
        </w:rPr>
        <w:t xml:space="preserve"> um valor de</w:t>
      </w:r>
      <w:r w:rsidRPr="00725A54">
        <w:rPr>
          <w:sz w:val="24"/>
          <w:szCs w:val="24"/>
        </w:rPr>
        <w:t xml:space="preserve"> 0,4587, ou seja, cerca de 45% da variável SAA explica a variável TID, o que pode ser considerado como baixa a influência entre as variáveis. Ademais, o p-valor de 0,03145, menor que o nível de confiança de 5%, confirma que a r</w:t>
      </w:r>
      <w:r w:rsidRPr="00725A54">
        <w:rPr>
          <w:sz w:val="24"/>
          <w:szCs w:val="24"/>
        </w:rPr>
        <w:t>egressão entre as variáveis existe e valida o modelo (MARTINS, 2011).</w:t>
      </w:r>
    </w:p>
    <w:p w:rsidR="003D4140" w:rsidRPr="00725A54" w:rsidRDefault="003D4140">
      <w:pPr>
        <w:spacing w:line="360" w:lineRule="auto"/>
        <w:jc w:val="both"/>
        <w:rPr>
          <w:sz w:val="24"/>
          <w:szCs w:val="24"/>
        </w:rPr>
      </w:pPr>
    </w:p>
    <w:p w:rsidR="00DB5100" w:rsidRPr="003D4140" w:rsidRDefault="001E5A6A">
      <w:pPr>
        <w:spacing w:line="360" w:lineRule="auto"/>
        <w:jc w:val="center"/>
        <w:rPr>
          <w:sz w:val="22"/>
          <w:szCs w:val="24"/>
        </w:rPr>
      </w:pPr>
      <w:r w:rsidRPr="003D4140">
        <w:rPr>
          <w:sz w:val="22"/>
          <w:szCs w:val="24"/>
        </w:rPr>
        <w:t xml:space="preserve">Gráfico </w:t>
      </w:r>
      <w:r w:rsidRPr="003D4140">
        <w:rPr>
          <w:sz w:val="22"/>
          <w:szCs w:val="24"/>
        </w:rPr>
        <w:t>1</w:t>
      </w:r>
      <w:r w:rsidR="003D4140">
        <w:rPr>
          <w:sz w:val="22"/>
          <w:szCs w:val="24"/>
        </w:rPr>
        <w:t xml:space="preserve"> -</w:t>
      </w:r>
      <w:r w:rsidRPr="003D4140">
        <w:rPr>
          <w:sz w:val="22"/>
          <w:szCs w:val="24"/>
        </w:rPr>
        <w:t xml:space="preserve"> Gráfico de regressão linear simples entre a TID e a proporção da população atendida pelo SAA.</w:t>
      </w:r>
    </w:p>
    <w:p w:rsidR="00DB5100" w:rsidRPr="003D4140" w:rsidRDefault="001E5A6A">
      <w:pPr>
        <w:spacing w:line="360" w:lineRule="auto"/>
        <w:jc w:val="center"/>
        <w:rPr>
          <w:b/>
          <w:sz w:val="22"/>
          <w:szCs w:val="24"/>
        </w:rPr>
      </w:pPr>
      <w:r w:rsidRPr="003D4140">
        <w:rPr>
          <w:b/>
          <w:noProof/>
          <w:sz w:val="22"/>
          <w:szCs w:val="24"/>
        </w:rPr>
        <w:lastRenderedPageBreak/>
        <w:drawing>
          <wp:inline distT="114300" distB="114300" distL="114300" distR="114300">
            <wp:extent cx="4320000" cy="2520000"/>
            <wp:effectExtent l="0" t="0" r="444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320000" cy="2520000"/>
                    </a:xfrm>
                    <a:prstGeom prst="rect">
                      <a:avLst/>
                    </a:prstGeom>
                    <a:ln/>
                  </pic:spPr>
                </pic:pic>
              </a:graphicData>
            </a:graphic>
          </wp:inline>
        </w:drawing>
      </w:r>
    </w:p>
    <w:p w:rsidR="00DB5100" w:rsidRDefault="001E5A6A">
      <w:pPr>
        <w:spacing w:line="360" w:lineRule="auto"/>
        <w:jc w:val="center"/>
        <w:rPr>
          <w:sz w:val="22"/>
          <w:szCs w:val="24"/>
        </w:rPr>
      </w:pPr>
      <w:r w:rsidRPr="003D4140">
        <w:rPr>
          <w:b/>
          <w:sz w:val="22"/>
          <w:szCs w:val="24"/>
        </w:rPr>
        <w:t>Fonte:</w:t>
      </w:r>
      <w:r w:rsidRPr="003D4140">
        <w:rPr>
          <w:sz w:val="22"/>
          <w:szCs w:val="24"/>
        </w:rPr>
        <w:t xml:space="preserve"> Autores (2018)</w:t>
      </w:r>
      <w:r w:rsidR="003D4140">
        <w:rPr>
          <w:sz w:val="22"/>
          <w:szCs w:val="24"/>
        </w:rPr>
        <w:t>.</w:t>
      </w:r>
    </w:p>
    <w:p w:rsidR="003D4140" w:rsidRPr="00725A54" w:rsidRDefault="003D4140" w:rsidP="003D4140">
      <w:pPr>
        <w:spacing w:line="360" w:lineRule="auto"/>
        <w:rPr>
          <w:sz w:val="24"/>
          <w:szCs w:val="24"/>
        </w:rPr>
      </w:pPr>
    </w:p>
    <w:p w:rsidR="00DB5100" w:rsidRPr="00725A54" w:rsidRDefault="001E5A6A" w:rsidP="00886B22">
      <w:pPr>
        <w:spacing w:line="360" w:lineRule="auto"/>
        <w:jc w:val="both"/>
        <w:rPr>
          <w:sz w:val="24"/>
          <w:szCs w:val="24"/>
        </w:rPr>
      </w:pPr>
      <w:r w:rsidRPr="00725A54">
        <w:rPr>
          <w:sz w:val="24"/>
          <w:szCs w:val="24"/>
        </w:rPr>
        <w:t>3.5 CORRELAÇÃO DA TID E A PROPORÇÃO DA POPULAÇÃO ATENDID</w:t>
      </w:r>
      <w:r w:rsidRPr="00725A54">
        <w:rPr>
          <w:sz w:val="24"/>
          <w:szCs w:val="24"/>
        </w:rPr>
        <w:t>A PELO SES</w:t>
      </w:r>
    </w:p>
    <w:p w:rsidR="00DB5100" w:rsidRDefault="001E5A6A">
      <w:pPr>
        <w:spacing w:line="360" w:lineRule="auto"/>
        <w:jc w:val="both"/>
        <w:rPr>
          <w:sz w:val="24"/>
          <w:szCs w:val="24"/>
        </w:rPr>
      </w:pPr>
      <w:r w:rsidRPr="00725A54">
        <w:rPr>
          <w:b/>
          <w:sz w:val="24"/>
          <w:szCs w:val="24"/>
        </w:rPr>
        <w:tab/>
      </w:r>
      <w:r w:rsidRPr="00725A54">
        <w:rPr>
          <w:sz w:val="24"/>
          <w:szCs w:val="24"/>
        </w:rPr>
        <w:t xml:space="preserve">O Gráfico </w:t>
      </w:r>
      <w:r w:rsidRPr="00725A54">
        <w:rPr>
          <w:sz w:val="24"/>
          <w:szCs w:val="24"/>
        </w:rPr>
        <w:t>2 apresenta a regressão com um coeficiente de determinação R² de 0,0009 e um coeficiente de correlação de 0,030619 entre a cobertura do SES e a TID no estado do Pará. Estes valores indicam a fraca correlação entre as variáveis. Adema</w:t>
      </w:r>
      <w:r w:rsidRPr="00725A54">
        <w:rPr>
          <w:sz w:val="24"/>
          <w:szCs w:val="24"/>
        </w:rPr>
        <w:t>is, o p-valor de 0,93308 (</w:t>
      </w:r>
      <m:oMath>
        <m:r>
          <w:rPr>
            <w:rFonts w:ascii="Cambria Math" w:hAnsi="Cambria Math"/>
            <w:sz w:val="24"/>
            <w:szCs w:val="24"/>
          </w:rPr>
          <m:t>&gt;</m:t>
        </m:r>
      </m:oMath>
      <w:r w:rsidRPr="00725A54">
        <w:rPr>
          <w:sz w:val="24"/>
          <w:szCs w:val="24"/>
        </w:rPr>
        <w:t>0,05) infere que não há regressão (MARTINS, 2011).</w:t>
      </w:r>
    </w:p>
    <w:p w:rsidR="003D4140" w:rsidRPr="00725A54" w:rsidRDefault="003D4140">
      <w:pPr>
        <w:spacing w:line="360" w:lineRule="auto"/>
        <w:jc w:val="both"/>
        <w:rPr>
          <w:b/>
          <w:sz w:val="24"/>
          <w:szCs w:val="24"/>
        </w:rPr>
      </w:pPr>
    </w:p>
    <w:p w:rsidR="00DB5100" w:rsidRPr="003D4140" w:rsidRDefault="001E5A6A" w:rsidP="003D4140">
      <w:pPr>
        <w:spacing w:line="360" w:lineRule="auto"/>
        <w:jc w:val="center"/>
        <w:rPr>
          <w:sz w:val="22"/>
          <w:szCs w:val="24"/>
        </w:rPr>
      </w:pPr>
      <w:r w:rsidRPr="003D4140">
        <w:rPr>
          <w:sz w:val="22"/>
          <w:szCs w:val="24"/>
        </w:rPr>
        <w:t xml:space="preserve">Gráfico </w:t>
      </w:r>
      <w:r w:rsidRPr="003D4140">
        <w:rPr>
          <w:sz w:val="22"/>
          <w:szCs w:val="24"/>
        </w:rPr>
        <w:t>2</w:t>
      </w:r>
      <w:r w:rsidR="003D4140">
        <w:rPr>
          <w:sz w:val="22"/>
          <w:szCs w:val="24"/>
        </w:rPr>
        <w:t xml:space="preserve"> - </w:t>
      </w:r>
      <w:r w:rsidRPr="003D4140">
        <w:rPr>
          <w:sz w:val="22"/>
          <w:szCs w:val="24"/>
        </w:rPr>
        <w:t>Gráfico de regressão linear simples entre a TID e a proporção da população atendida pelo (SES).</w:t>
      </w:r>
    </w:p>
    <w:p w:rsidR="00DB5100" w:rsidRPr="003D4140" w:rsidRDefault="001E5A6A">
      <w:pPr>
        <w:spacing w:line="360" w:lineRule="auto"/>
        <w:jc w:val="center"/>
        <w:rPr>
          <w:sz w:val="22"/>
          <w:szCs w:val="24"/>
        </w:rPr>
      </w:pPr>
      <w:r w:rsidRPr="003D4140">
        <w:rPr>
          <w:noProof/>
          <w:sz w:val="22"/>
          <w:szCs w:val="24"/>
        </w:rPr>
        <w:drawing>
          <wp:inline distT="114300" distB="114300" distL="114300" distR="114300">
            <wp:extent cx="4320000" cy="2520000"/>
            <wp:effectExtent l="0" t="0" r="444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20000" cy="2520000"/>
                    </a:xfrm>
                    <a:prstGeom prst="rect">
                      <a:avLst/>
                    </a:prstGeom>
                    <a:ln/>
                  </pic:spPr>
                </pic:pic>
              </a:graphicData>
            </a:graphic>
          </wp:inline>
        </w:drawing>
      </w:r>
    </w:p>
    <w:p w:rsidR="00DB5100" w:rsidRDefault="001E5A6A">
      <w:pPr>
        <w:spacing w:line="360" w:lineRule="auto"/>
        <w:jc w:val="center"/>
        <w:rPr>
          <w:sz w:val="22"/>
          <w:szCs w:val="24"/>
        </w:rPr>
      </w:pPr>
      <w:r w:rsidRPr="003D4140">
        <w:rPr>
          <w:sz w:val="22"/>
          <w:szCs w:val="24"/>
        </w:rPr>
        <w:t>Fonte:</w:t>
      </w:r>
      <w:r w:rsidRPr="003D4140">
        <w:rPr>
          <w:sz w:val="22"/>
          <w:szCs w:val="24"/>
        </w:rPr>
        <w:t xml:space="preserve"> Autores (2018)</w:t>
      </w:r>
      <w:r w:rsidR="003D4140">
        <w:rPr>
          <w:sz w:val="22"/>
          <w:szCs w:val="24"/>
        </w:rPr>
        <w:t>.</w:t>
      </w:r>
    </w:p>
    <w:p w:rsidR="003D4140" w:rsidRPr="003D4140" w:rsidRDefault="003D4140" w:rsidP="003D4140">
      <w:pPr>
        <w:spacing w:line="360" w:lineRule="auto"/>
        <w:rPr>
          <w:sz w:val="22"/>
          <w:szCs w:val="24"/>
        </w:rPr>
      </w:pPr>
    </w:p>
    <w:p w:rsidR="00DB5100" w:rsidRPr="00725A54" w:rsidRDefault="001E5A6A" w:rsidP="00886B22">
      <w:pPr>
        <w:spacing w:line="360" w:lineRule="auto"/>
        <w:jc w:val="both"/>
        <w:rPr>
          <w:sz w:val="24"/>
          <w:szCs w:val="24"/>
        </w:rPr>
      </w:pPr>
      <w:r w:rsidRPr="00725A54">
        <w:rPr>
          <w:sz w:val="24"/>
          <w:szCs w:val="24"/>
        </w:rPr>
        <w:t>3.6 CORRELAÇÃO DA TID E A PROPORÇÃO DA POPULAÇ</w:t>
      </w:r>
      <w:r w:rsidRPr="00725A54">
        <w:rPr>
          <w:sz w:val="24"/>
          <w:szCs w:val="24"/>
        </w:rPr>
        <w:t>ÃO ATENDIDA PELO SC</w:t>
      </w:r>
      <w:r w:rsidR="00886B22">
        <w:rPr>
          <w:sz w:val="24"/>
          <w:szCs w:val="24"/>
        </w:rPr>
        <w:t>R</w:t>
      </w:r>
    </w:p>
    <w:p w:rsidR="00DB5100" w:rsidRDefault="001E5A6A">
      <w:pPr>
        <w:spacing w:line="360" w:lineRule="auto"/>
        <w:jc w:val="both"/>
        <w:rPr>
          <w:sz w:val="24"/>
          <w:szCs w:val="24"/>
        </w:rPr>
      </w:pPr>
      <w:r w:rsidRPr="00725A54">
        <w:rPr>
          <w:b/>
          <w:sz w:val="24"/>
          <w:szCs w:val="24"/>
        </w:rPr>
        <w:tab/>
      </w:r>
      <w:r w:rsidRPr="00725A54">
        <w:rPr>
          <w:sz w:val="24"/>
          <w:szCs w:val="24"/>
        </w:rPr>
        <w:t xml:space="preserve">De acordo com o Gráfico </w:t>
      </w:r>
      <w:r w:rsidRPr="00725A54">
        <w:rPr>
          <w:sz w:val="24"/>
          <w:szCs w:val="24"/>
        </w:rPr>
        <w:t xml:space="preserve">3, quanto maior a proporção da população atendida pelo SCR, maior é a TID no Estado do Pará, pois o coeficiente de correlação </w:t>
      </w:r>
      <w:r w:rsidRPr="00725A54">
        <w:rPr>
          <w:i/>
          <w:sz w:val="24"/>
          <w:szCs w:val="24"/>
        </w:rPr>
        <w:t>r</w:t>
      </w:r>
      <w:r w:rsidRPr="00725A54">
        <w:rPr>
          <w:sz w:val="24"/>
          <w:szCs w:val="24"/>
        </w:rPr>
        <w:t xml:space="preserve"> foi de 0,55238, ou seja, apresentou uma correlação positiva (DANCEY &amp; REIDY, 2006). Além disso, o SCR n</w:t>
      </w:r>
      <w:r w:rsidRPr="00725A54">
        <w:rPr>
          <w:sz w:val="24"/>
          <w:szCs w:val="24"/>
        </w:rPr>
        <w:t xml:space="preserve">ão é suficientemente correlacionado para explicar aumentos e quedas na TID. Já a análise de regressão linear apresenta um R² de 0,30512 entre as variáveis TID e SCR, ou seja, o SCR explica 30% a </w:t>
      </w:r>
      <w:r w:rsidR="00C63553">
        <w:rPr>
          <w:sz w:val="24"/>
          <w:szCs w:val="24"/>
        </w:rPr>
        <w:t xml:space="preserve">TID </w:t>
      </w:r>
      <w:r w:rsidRPr="00725A54">
        <w:rPr>
          <w:sz w:val="24"/>
          <w:szCs w:val="24"/>
        </w:rPr>
        <w:t>no Pará. Segundo Martins (2011),</w:t>
      </w:r>
      <w:r w:rsidRPr="00725A54">
        <w:rPr>
          <w:sz w:val="24"/>
          <w:szCs w:val="24"/>
        </w:rPr>
        <w:t xml:space="preserve"> o p-valor maior que 0,05, indica uma relação estatisticamente pouco significativa entre as variáveis, </w:t>
      </w:r>
      <w:r w:rsidR="001A1612" w:rsidRPr="00725A54">
        <w:rPr>
          <w:sz w:val="24"/>
          <w:szCs w:val="24"/>
        </w:rPr>
        <w:t>e, portanto,</w:t>
      </w:r>
      <w:r w:rsidRPr="00725A54">
        <w:rPr>
          <w:sz w:val="24"/>
          <w:szCs w:val="24"/>
        </w:rPr>
        <w:t xml:space="preserve"> infere-se que não há regressão. Isso se confirma no teste de regressão entre a TID e o SCR, pois apresentou um valor p igual a 0,09776 (&gt; 0,05</w:t>
      </w:r>
      <w:r w:rsidRPr="00725A54">
        <w:rPr>
          <w:sz w:val="24"/>
          <w:szCs w:val="24"/>
        </w:rPr>
        <w:t>).</w:t>
      </w:r>
    </w:p>
    <w:p w:rsidR="00C63553" w:rsidRPr="00725A54" w:rsidRDefault="00C63553">
      <w:pPr>
        <w:spacing w:line="360" w:lineRule="auto"/>
        <w:jc w:val="both"/>
        <w:rPr>
          <w:b/>
          <w:sz w:val="24"/>
          <w:szCs w:val="24"/>
        </w:rPr>
      </w:pPr>
    </w:p>
    <w:p w:rsidR="00DB5100" w:rsidRPr="003D4140" w:rsidRDefault="001E5A6A" w:rsidP="003D4140">
      <w:pPr>
        <w:spacing w:line="360" w:lineRule="auto"/>
        <w:jc w:val="center"/>
        <w:rPr>
          <w:sz w:val="22"/>
          <w:szCs w:val="24"/>
        </w:rPr>
      </w:pPr>
      <w:r w:rsidRPr="003D4140">
        <w:rPr>
          <w:sz w:val="22"/>
          <w:szCs w:val="24"/>
        </w:rPr>
        <w:t xml:space="preserve">Gráfico </w:t>
      </w:r>
      <w:r w:rsidR="003D4140" w:rsidRPr="003D4140">
        <w:rPr>
          <w:sz w:val="22"/>
          <w:szCs w:val="24"/>
        </w:rPr>
        <w:t>3 -</w:t>
      </w:r>
      <w:r w:rsidRPr="003D4140">
        <w:rPr>
          <w:sz w:val="22"/>
          <w:szCs w:val="24"/>
        </w:rPr>
        <w:t xml:space="preserve"> Gráfico de regressão linear simples entre a TID e a proporção da população atendida pelo SCR.</w:t>
      </w:r>
    </w:p>
    <w:p w:rsidR="00DB5100" w:rsidRPr="003D4140" w:rsidRDefault="001E5A6A">
      <w:pPr>
        <w:spacing w:line="360" w:lineRule="auto"/>
        <w:jc w:val="center"/>
        <w:rPr>
          <w:b/>
          <w:sz w:val="22"/>
          <w:szCs w:val="24"/>
        </w:rPr>
      </w:pPr>
      <w:r w:rsidRPr="003D4140">
        <w:rPr>
          <w:b/>
          <w:noProof/>
          <w:sz w:val="22"/>
          <w:szCs w:val="24"/>
        </w:rPr>
        <w:drawing>
          <wp:inline distT="114300" distB="114300" distL="114300" distR="114300">
            <wp:extent cx="4320000" cy="2520000"/>
            <wp:effectExtent l="0" t="0" r="4445"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20000" cy="2520000"/>
                    </a:xfrm>
                    <a:prstGeom prst="rect">
                      <a:avLst/>
                    </a:prstGeom>
                    <a:ln/>
                  </pic:spPr>
                </pic:pic>
              </a:graphicData>
            </a:graphic>
          </wp:inline>
        </w:drawing>
      </w:r>
    </w:p>
    <w:p w:rsidR="00DB5100" w:rsidRDefault="001E5A6A">
      <w:pPr>
        <w:spacing w:line="360" w:lineRule="auto"/>
        <w:jc w:val="center"/>
        <w:rPr>
          <w:sz w:val="22"/>
          <w:szCs w:val="24"/>
        </w:rPr>
      </w:pPr>
      <w:r w:rsidRPr="003D4140">
        <w:rPr>
          <w:sz w:val="22"/>
          <w:szCs w:val="24"/>
        </w:rPr>
        <w:t>Fonte:</w:t>
      </w:r>
      <w:r w:rsidRPr="003D4140">
        <w:rPr>
          <w:sz w:val="22"/>
          <w:szCs w:val="24"/>
        </w:rPr>
        <w:t xml:space="preserve"> Autores (2018)</w:t>
      </w:r>
      <w:r w:rsidR="003D4140">
        <w:rPr>
          <w:sz w:val="22"/>
          <w:szCs w:val="24"/>
        </w:rPr>
        <w:t>.</w:t>
      </w:r>
    </w:p>
    <w:p w:rsidR="003D4140" w:rsidRPr="00725A54" w:rsidRDefault="003D4140">
      <w:pPr>
        <w:spacing w:line="360" w:lineRule="auto"/>
        <w:jc w:val="center"/>
        <w:rPr>
          <w:b/>
          <w:sz w:val="24"/>
          <w:szCs w:val="24"/>
        </w:rPr>
      </w:pPr>
    </w:p>
    <w:p w:rsidR="00DB5100" w:rsidRPr="00725A54" w:rsidRDefault="001A1612" w:rsidP="00886B22">
      <w:pPr>
        <w:spacing w:line="360" w:lineRule="auto"/>
        <w:rPr>
          <w:sz w:val="24"/>
          <w:szCs w:val="24"/>
        </w:rPr>
      </w:pPr>
      <w:r w:rsidRPr="00725A54">
        <w:rPr>
          <w:sz w:val="24"/>
          <w:szCs w:val="24"/>
        </w:rPr>
        <w:t>3.7 MATRIZ</w:t>
      </w:r>
      <w:r w:rsidR="001E5A6A" w:rsidRPr="00725A54">
        <w:rPr>
          <w:sz w:val="24"/>
          <w:szCs w:val="24"/>
        </w:rPr>
        <w:t xml:space="preserve"> DE CORRELAÇÃO </w:t>
      </w:r>
    </w:p>
    <w:p w:rsidR="00DB5100" w:rsidRDefault="001E5A6A">
      <w:pPr>
        <w:spacing w:line="360" w:lineRule="auto"/>
        <w:ind w:firstLine="720"/>
        <w:jc w:val="both"/>
        <w:rPr>
          <w:sz w:val="24"/>
          <w:szCs w:val="24"/>
        </w:rPr>
      </w:pPr>
      <w:r w:rsidRPr="00725A54">
        <w:rPr>
          <w:sz w:val="24"/>
          <w:szCs w:val="24"/>
        </w:rPr>
        <w:t xml:space="preserve">A Tabela </w:t>
      </w:r>
      <w:r w:rsidRPr="00725A54">
        <w:rPr>
          <w:sz w:val="24"/>
          <w:szCs w:val="24"/>
        </w:rPr>
        <w:t>4 resume os resultados encontrados entre a variável TID e as variáveis do saneamento b</w:t>
      </w:r>
      <w:r w:rsidRPr="00725A54">
        <w:rPr>
          <w:sz w:val="24"/>
          <w:szCs w:val="24"/>
        </w:rPr>
        <w:t xml:space="preserve">ásico no Estado do Pará. Nota-se que a relação entre as variáveis TID x SES e TID x SCR apresentaram pouca significância estatística (&gt; 0,05), pois o p-valor foi de 0,93308 e </w:t>
      </w:r>
      <w:r w:rsidRPr="00725A54">
        <w:rPr>
          <w:sz w:val="24"/>
          <w:szCs w:val="24"/>
        </w:rPr>
        <w:lastRenderedPageBreak/>
        <w:t>0,09776, respectivamente. No entanto, a relação entre as TID e a SAA no Estado do</w:t>
      </w:r>
      <w:r w:rsidRPr="00725A54">
        <w:rPr>
          <w:sz w:val="24"/>
          <w:szCs w:val="24"/>
        </w:rPr>
        <w:t xml:space="preserve"> Pará, apresentou significância estatística, pois o p-valor foi de 0,03145 (&lt; 0,05), </w:t>
      </w:r>
      <w:r w:rsidR="001A1612" w:rsidRPr="00725A54">
        <w:rPr>
          <w:sz w:val="24"/>
          <w:szCs w:val="24"/>
        </w:rPr>
        <w:t>e, portanto,</w:t>
      </w:r>
      <w:r w:rsidRPr="00725A54">
        <w:rPr>
          <w:sz w:val="24"/>
          <w:szCs w:val="24"/>
        </w:rPr>
        <w:t xml:space="preserve"> tornando válido o modela de regressão linear simples.</w:t>
      </w:r>
    </w:p>
    <w:p w:rsidR="003D4140" w:rsidRPr="00725A54" w:rsidRDefault="003D4140">
      <w:pPr>
        <w:spacing w:line="360" w:lineRule="auto"/>
        <w:ind w:firstLine="720"/>
        <w:jc w:val="both"/>
        <w:rPr>
          <w:sz w:val="24"/>
          <w:szCs w:val="24"/>
        </w:rPr>
      </w:pPr>
    </w:p>
    <w:p w:rsidR="00DB5100" w:rsidRPr="003D4140" w:rsidRDefault="001E5A6A">
      <w:pPr>
        <w:spacing w:line="360" w:lineRule="auto"/>
        <w:jc w:val="center"/>
        <w:rPr>
          <w:sz w:val="22"/>
          <w:szCs w:val="24"/>
        </w:rPr>
      </w:pPr>
      <w:r w:rsidRPr="003D4140">
        <w:rPr>
          <w:sz w:val="22"/>
          <w:szCs w:val="24"/>
        </w:rPr>
        <w:t xml:space="preserve">Tabela </w:t>
      </w:r>
      <w:r w:rsidR="003D4140" w:rsidRPr="003D4140">
        <w:rPr>
          <w:sz w:val="22"/>
          <w:szCs w:val="24"/>
        </w:rPr>
        <w:t>4 -</w:t>
      </w:r>
      <w:r w:rsidRPr="003D4140">
        <w:rPr>
          <w:sz w:val="22"/>
          <w:szCs w:val="24"/>
        </w:rPr>
        <w:t xml:space="preserve"> Matriz de Correlação entre a Taxa de Incidência de Dengue</w:t>
      </w:r>
      <w:r w:rsidR="00C63553">
        <w:rPr>
          <w:sz w:val="22"/>
          <w:szCs w:val="24"/>
        </w:rPr>
        <w:t xml:space="preserve"> (TID)</w:t>
      </w:r>
      <w:r w:rsidRPr="003D4140">
        <w:rPr>
          <w:sz w:val="22"/>
          <w:szCs w:val="24"/>
        </w:rPr>
        <w:t xml:space="preserve"> e as variáveis do Saneamento básico d</w:t>
      </w:r>
      <w:r w:rsidRPr="003D4140">
        <w:rPr>
          <w:sz w:val="22"/>
          <w:szCs w:val="24"/>
        </w:rPr>
        <w:t>o Estado do Pará.</w:t>
      </w:r>
    </w:p>
    <w:tbl>
      <w:tblPr>
        <w:tblStyle w:val="a0"/>
        <w:tblW w:w="9360" w:type="dxa"/>
        <w:tblInd w:w="10"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2340"/>
        <w:gridCol w:w="2340"/>
        <w:gridCol w:w="2340"/>
        <w:gridCol w:w="2340"/>
      </w:tblGrid>
      <w:tr w:rsidR="00DB5100" w:rsidRPr="003D4140" w:rsidTr="003D4140">
        <w:trPr>
          <w:trHeight w:val="560"/>
        </w:trPr>
        <w:tc>
          <w:tcPr>
            <w:tcW w:w="2340" w:type="dxa"/>
            <w:tcMar>
              <w:top w:w="0" w:type="dxa"/>
              <w:left w:w="0" w:type="dxa"/>
              <w:bottom w:w="0" w:type="dxa"/>
              <w:right w:w="0" w:type="dxa"/>
            </w:tcMar>
            <w:vAlign w:val="center"/>
          </w:tcPr>
          <w:p w:rsidR="00DB5100" w:rsidRPr="003D4140" w:rsidRDefault="001E5A6A">
            <w:pPr>
              <w:jc w:val="center"/>
              <w:rPr>
                <w:b/>
                <w:sz w:val="22"/>
                <w:szCs w:val="24"/>
              </w:rPr>
            </w:pPr>
            <w:r w:rsidRPr="003D4140">
              <w:rPr>
                <w:b/>
                <w:sz w:val="22"/>
                <w:szCs w:val="24"/>
              </w:rPr>
              <w:t xml:space="preserve"> Variáveis </w:t>
            </w:r>
          </w:p>
        </w:tc>
        <w:tc>
          <w:tcPr>
            <w:tcW w:w="2340" w:type="dxa"/>
            <w:tcMar>
              <w:top w:w="0" w:type="dxa"/>
              <w:left w:w="0" w:type="dxa"/>
              <w:bottom w:w="0" w:type="dxa"/>
              <w:right w:w="0" w:type="dxa"/>
            </w:tcMar>
            <w:vAlign w:val="center"/>
          </w:tcPr>
          <w:p w:rsidR="00DB5100" w:rsidRPr="003D4140" w:rsidRDefault="001E5A6A">
            <w:pPr>
              <w:jc w:val="center"/>
              <w:rPr>
                <w:b/>
                <w:sz w:val="22"/>
                <w:szCs w:val="24"/>
              </w:rPr>
            </w:pPr>
            <w:r w:rsidRPr="003D4140">
              <w:rPr>
                <w:b/>
                <w:sz w:val="22"/>
                <w:szCs w:val="24"/>
              </w:rPr>
              <w:t xml:space="preserve"> R² (coeficiente de determinação) </w:t>
            </w:r>
          </w:p>
        </w:tc>
        <w:tc>
          <w:tcPr>
            <w:tcW w:w="2340" w:type="dxa"/>
            <w:tcMar>
              <w:top w:w="0" w:type="dxa"/>
              <w:left w:w="0" w:type="dxa"/>
              <w:bottom w:w="0" w:type="dxa"/>
              <w:right w:w="0" w:type="dxa"/>
            </w:tcMar>
            <w:vAlign w:val="center"/>
          </w:tcPr>
          <w:p w:rsidR="00DB5100" w:rsidRPr="003D4140" w:rsidRDefault="001E5A6A">
            <w:pPr>
              <w:jc w:val="center"/>
              <w:rPr>
                <w:b/>
                <w:sz w:val="22"/>
                <w:szCs w:val="24"/>
              </w:rPr>
            </w:pPr>
            <w:r w:rsidRPr="003D4140">
              <w:rPr>
                <w:b/>
                <w:sz w:val="22"/>
                <w:szCs w:val="24"/>
              </w:rPr>
              <w:t xml:space="preserve"> r (coeficiente de correlação de Pearson </w:t>
            </w:r>
          </w:p>
        </w:tc>
        <w:tc>
          <w:tcPr>
            <w:tcW w:w="2340" w:type="dxa"/>
            <w:tcMar>
              <w:top w:w="0" w:type="dxa"/>
              <w:left w:w="0" w:type="dxa"/>
              <w:bottom w:w="0" w:type="dxa"/>
              <w:right w:w="0" w:type="dxa"/>
            </w:tcMar>
            <w:vAlign w:val="center"/>
          </w:tcPr>
          <w:p w:rsidR="00DB5100" w:rsidRPr="003D4140" w:rsidRDefault="001E5A6A">
            <w:pPr>
              <w:jc w:val="center"/>
              <w:rPr>
                <w:b/>
                <w:sz w:val="22"/>
                <w:szCs w:val="24"/>
              </w:rPr>
            </w:pPr>
            <w:r w:rsidRPr="003D4140">
              <w:rPr>
                <w:b/>
                <w:sz w:val="22"/>
                <w:szCs w:val="24"/>
              </w:rPr>
              <w:t xml:space="preserve"> </w:t>
            </w:r>
            <w:r w:rsidR="00B221D4">
              <w:rPr>
                <w:b/>
                <w:sz w:val="22"/>
                <w:szCs w:val="24"/>
              </w:rPr>
              <w:t>p-valor</w:t>
            </w:r>
            <w:r w:rsidRPr="003D4140">
              <w:rPr>
                <w:b/>
                <w:sz w:val="22"/>
                <w:szCs w:val="24"/>
              </w:rPr>
              <w:t xml:space="preserve"> (significância estatística) </w:t>
            </w:r>
          </w:p>
        </w:tc>
      </w:tr>
      <w:tr w:rsidR="00DB5100" w:rsidRPr="003D4140" w:rsidTr="00886B22">
        <w:trPr>
          <w:trHeight w:val="340"/>
        </w:trPr>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 xml:space="preserve"> TID x SAA </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0,45865</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0,67723</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0,03145</w:t>
            </w:r>
          </w:p>
        </w:tc>
      </w:tr>
      <w:tr w:rsidR="00DB5100" w:rsidRPr="003D4140" w:rsidTr="00886B22">
        <w:trPr>
          <w:trHeight w:val="340"/>
        </w:trPr>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 xml:space="preserve">TID x SES </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0,00093</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0,030619</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0,93308</w:t>
            </w:r>
          </w:p>
        </w:tc>
      </w:tr>
      <w:tr w:rsidR="00DB5100" w:rsidRPr="003D4140" w:rsidTr="00886B22">
        <w:trPr>
          <w:trHeight w:val="340"/>
        </w:trPr>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 xml:space="preserve"> TID x SCR </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0,30512</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0,55238</w:t>
            </w:r>
          </w:p>
        </w:tc>
        <w:tc>
          <w:tcPr>
            <w:tcW w:w="2340" w:type="dxa"/>
            <w:tcMar>
              <w:top w:w="0" w:type="dxa"/>
              <w:left w:w="0" w:type="dxa"/>
              <w:bottom w:w="0" w:type="dxa"/>
              <w:right w:w="0" w:type="dxa"/>
            </w:tcMar>
            <w:vAlign w:val="center"/>
          </w:tcPr>
          <w:p w:rsidR="00DB5100" w:rsidRPr="003D4140" w:rsidRDefault="001E5A6A">
            <w:pPr>
              <w:jc w:val="center"/>
              <w:rPr>
                <w:sz w:val="22"/>
                <w:szCs w:val="24"/>
              </w:rPr>
            </w:pPr>
            <w:r w:rsidRPr="003D4140">
              <w:rPr>
                <w:sz w:val="22"/>
                <w:szCs w:val="24"/>
              </w:rPr>
              <w:t>0,09776</w:t>
            </w:r>
          </w:p>
        </w:tc>
      </w:tr>
    </w:tbl>
    <w:p w:rsidR="00DB5100" w:rsidRDefault="001E5A6A">
      <w:pPr>
        <w:spacing w:line="360" w:lineRule="auto"/>
        <w:jc w:val="center"/>
        <w:rPr>
          <w:sz w:val="22"/>
          <w:szCs w:val="24"/>
        </w:rPr>
      </w:pPr>
      <w:r w:rsidRPr="003D4140">
        <w:rPr>
          <w:sz w:val="22"/>
          <w:szCs w:val="24"/>
        </w:rPr>
        <w:t>Fonte:</w:t>
      </w:r>
      <w:r w:rsidRPr="003D4140">
        <w:rPr>
          <w:sz w:val="22"/>
          <w:szCs w:val="24"/>
        </w:rPr>
        <w:t xml:space="preserve"> Autores (2018)</w:t>
      </w:r>
      <w:r w:rsidR="003D4140">
        <w:rPr>
          <w:sz w:val="22"/>
          <w:szCs w:val="24"/>
        </w:rPr>
        <w:t>.</w:t>
      </w:r>
    </w:p>
    <w:p w:rsidR="003D4140" w:rsidRPr="00725A54" w:rsidRDefault="003D4140" w:rsidP="003D4140">
      <w:pPr>
        <w:spacing w:line="360" w:lineRule="auto"/>
        <w:rPr>
          <w:sz w:val="24"/>
          <w:szCs w:val="24"/>
        </w:rPr>
      </w:pPr>
    </w:p>
    <w:p w:rsidR="00DB5100" w:rsidRPr="00725A54" w:rsidRDefault="001E5A6A">
      <w:pPr>
        <w:spacing w:line="360" w:lineRule="auto"/>
        <w:jc w:val="both"/>
        <w:rPr>
          <w:sz w:val="24"/>
          <w:szCs w:val="24"/>
        </w:rPr>
      </w:pPr>
      <w:r w:rsidRPr="00725A54">
        <w:rPr>
          <w:sz w:val="24"/>
          <w:szCs w:val="24"/>
        </w:rPr>
        <w:tab/>
        <w:t xml:space="preserve">De acordo com </w:t>
      </w:r>
      <w:proofErr w:type="spellStart"/>
      <w:r w:rsidRPr="00725A54">
        <w:rPr>
          <w:sz w:val="24"/>
          <w:szCs w:val="24"/>
        </w:rPr>
        <w:t>Dancey</w:t>
      </w:r>
      <w:proofErr w:type="spellEnd"/>
      <w:r w:rsidRPr="00725A54">
        <w:rPr>
          <w:sz w:val="24"/>
          <w:szCs w:val="24"/>
        </w:rPr>
        <w:t xml:space="preserve"> e </w:t>
      </w:r>
      <w:proofErr w:type="spellStart"/>
      <w:r w:rsidRPr="00725A54">
        <w:rPr>
          <w:sz w:val="24"/>
          <w:szCs w:val="24"/>
        </w:rPr>
        <w:t>Reidy</w:t>
      </w:r>
      <w:proofErr w:type="spellEnd"/>
      <w:r w:rsidRPr="00725A54">
        <w:rPr>
          <w:sz w:val="24"/>
          <w:szCs w:val="24"/>
        </w:rPr>
        <w:t xml:space="preserve"> (2006), os valores do coeficiente de correlação de Pearson são classificados entre </w:t>
      </w:r>
      <w:r w:rsidRPr="00725A54">
        <w:rPr>
          <w:i/>
          <w:sz w:val="24"/>
          <w:szCs w:val="24"/>
        </w:rPr>
        <w:t>r</w:t>
      </w:r>
      <w:r w:rsidRPr="00725A54">
        <w:rPr>
          <w:sz w:val="24"/>
          <w:szCs w:val="24"/>
        </w:rPr>
        <w:t xml:space="preserve"> = 0,10 até 0,30 (correlação fraca); </w:t>
      </w:r>
      <w:r w:rsidRPr="00725A54">
        <w:rPr>
          <w:i/>
          <w:sz w:val="24"/>
          <w:szCs w:val="24"/>
        </w:rPr>
        <w:t xml:space="preserve">r </w:t>
      </w:r>
      <w:r w:rsidRPr="00725A54">
        <w:rPr>
          <w:sz w:val="24"/>
          <w:szCs w:val="24"/>
        </w:rPr>
        <w:t xml:space="preserve">= 0,40 até 0,60 (correlação moderada) e, </w:t>
      </w:r>
      <w:r w:rsidRPr="00725A54">
        <w:rPr>
          <w:i/>
          <w:sz w:val="24"/>
          <w:szCs w:val="24"/>
        </w:rPr>
        <w:t>r</w:t>
      </w:r>
      <w:r w:rsidRPr="00725A54">
        <w:rPr>
          <w:sz w:val="24"/>
          <w:szCs w:val="24"/>
        </w:rPr>
        <w:t xml:space="preserve"> = 0,70 até 1 (correlação forte). Assim, quanto mais próximo de 1 (um), independente do sinal, maior o grau de dependência entre as variáveis, e quanto mais próximo de 0 (zero) </w:t>
      </w:r>
      <w:r w:rsidR="001A1612" w:rsidRPr="00725A54">
        <w:rPr>
          <w:sz w:val="24"/>
          <w:szCs w:val="24"/>
        </w:rPr>
        <w:t>menor o</w:t>
      </w:r>
      <w:r w:rsidRPr="00725A54">
        <w:rPr>
          <w:sz w:val="24"/>
          <w:szCs w:val="24"/>
        </w:rPr>
        <w:t xml:space="preserve"> grau de relação entre as variáveis.     </w:t>
      </w:r>
    </w:p>
    <w:p w:rsidR="00DB5100" w:rsidRPr="00725A54" w:rsidRDefault="00DB5100">
      <w:pPr>
        <w:spacing w:line="360" w:lineRule="auto"/>
        <w:jc w:val="both"/>
        <w:rPr>
          <w:sz w:val="24"/>
          <w:szCs w:val="24"/>
        </w:rPr>
      </w:pPr>
    </w:p>
    <w:p w:rsidR="00DB5100" w:rsidRPr="00725A54" w:rsidRDefault="001E5A6A" w:rsidP="00B221D4">
      <w:pPr>
        <w:spacing w:after="240" w:line="360" w:lineRule="auto"/>
        <w:rPr>
          <w:b/>
          <w:sz w:val="24"/>
          <w:szCs w:val="24"/>
        </w:rPr>
      </w:pPr>
      <w:r w:rsidRPr="00725A54">
        <w:rPr>
          <w:b/>
          <w:sz w:val="24"/>
          <w:szCs w:val="24"/>
        </w:rPr>
        <w:t>4</w:t>
      </w:r>
      <w:r w:rsidR="00B221D4">
        <w:rPr>
          <w:b/>
          <w:sz w:val="24"/>
          <w:szCs w:val="24"/>
        </w:rPr>
        <w:t>.</w:t>
      </w:r>
      <w:r w:rsidRPr="00725A54">
        <w:rPr>
          <w:b/>
          <w:sz w:val="24"/>
          <w:szCs w:val="24"/>
        </w:rPr>
        <w:t xml:space="preserve"> CONCLUSÃO</w:t>
      </w:r>
    </w:p>
    <w:p w:rsidR="00DB5100" w:rsidRPr="00725A54" w:rsidRDefault="001E5A6A">
      <w:pPr>
        <w:spacing w:line="360" w:lineRule="auto"/>
        <w:ind w:firstLine="720"/>
        <w:jc w:val="both"/>
        <w:rPr>
          <w:sz w:val="24"/>
          <w:szCs w:val="24"/>
        </w:rPr>
      </w:pPr>
      <w:r w:rsidRPr="00725A54">
        <w:rPr>
          <w:sz w:val="24"/>
          <w:szCs w:val="24"/>
        </w:rPr>
        <w:t>Diante do estudo realizado, a hipótese de que a demanda de acesso a serviços de saneamento básico</w:t>
      </w:r>
      <w:r w:rsidR="00C63553">
        <w:rPr>
          <w:sz w:val="24"/>
          <w:szCs w:val="24"/>
        </w:rPr>
        <w:t xml:space="preserve"> (SAA, SES e SCR) </w:t>
      </w:r>
      <w:r w:rsidRPr="00725A54">
        <w:rPr>
          <w:sz w:val="24"/>
          <w:szCs w:val="24"/>
        </w:rPr>
        <w:t xml:space="preserve">interfere de forma inversamente proporcional sobre a </w:t>
      </w:r>
      <w:r w:rsidR="00C63553">
        <w:rPr>
          <w:sz w:val="24"/>
          <w:szCs w:val="24"/>
        </w:rPr>
        <w:t xml:space="preserve">TID </w:t>
      </w:r>
      <w:r w:rsidRPr="00725A54">
        <w:rPr>
          <w:sz w:val="24"/>
          <w:szCs w:val="24"/>
        </w:rPr>
        <w:t>na população do P</w:t>
      </w:r>
      <w:r w:rsidRPr="00725A54">
        <w:rPr>
          <w:sz w:val="24"/>
          <w:szCs w:val="24"/>
        </w:rPr>
        <w:t>ará, no período 2003 a 2012, de forma geral, é rejeitada. No entanto, é importante observar a relação entre a TID e a proporção da população atendida pelo SAA, e a relação entre TID e a proporção da população atendida pelo SCR, as quais demonstraram correl</w:t>
      </w:r>
      <w:r w:rsidRPr="00725A54">
        <w:rPr>
          <w:sz w:val="24"/>
          <w:szCs w:val="24"/>
        </w:rPr>
        <w:t xml:space="preserve">ações diretamente proporcionais, devido ao coeficiente de correlação positivo entre 0,40 e 0,70. Tal resultado confirma que o </w:t>
      </w:r>
      <w:r w:rsidRPr="00725A54">
        <w:rPr>
          <w:i/>
          <w:sz w:val="24"/>
          <w:szCs w:val="24"/>
        </w:rPr>
        <w:t>Aedes aegypti</w:t>
      </w:r>
      <w:r w:rsidRPr="00725A54">
        <w:rPr>
          <w:sz w:val="24"/>
          <w:szCs w:val="24"/>
        </w:rPr>
        <w:t xml:space="preserve">, mosquito vetor da dengue, deposita seus ovos em águas de boa qualidade e </w:t>
      </w:r>
      <w:r w:rsidR="00C63553">
        <w:rPr>
          <w:sz w:val="24"/>
          <w:szCs w:val="24"/>
        </w:rPr>
        <w:t>com pouca</w:t>
      </w:r>
      <w:r w:rsidRPr="00725A54">
        <w:rPr>
          <w:sz w:val="24"/>
          <w:szCs w:val="24"/>
        </w:rPr>
        <w:t xml:space="preserve"> presença de resíduos sólidos, pois s</w:t>
      </w:r>
      <w:r w:rsidRPr="00725A54">
        <w:rPr>
          <w:sz w:val="24"/>
          <w:szCs w:val="24"/>
        </w:rPr>
        <w:t>uas larvas podem não conseguir sobreviver em um ambiente aquático poluído. Logo, quanto maior a canalização do esgoto sanitário, menor a contaminação da água e maior as chances de aumento na taxa de incidência da dengue.</w:t>
      </w:r>
    </w:p>
    <w:p w:rsidR="00DB5100" w:rsidRPr="00725A54" w:rsidRDefault="001E5A6A">
      <w:pPr>
        <w:spacing w:line="360" w:lineRule="auto"/>
        <w:jc w:val="both"/>
        <w:rPr>
          <w:b/>
          <w:sz w:val="24"/>
          <w:szCs w:val="24"/>
        </w:rPr>
      </w:pPr>
      <w:r w:rsidRPr="00725A54">
        <w:rPr>
          <w:sz w:val="24"/>
          <w:szCs w:val="24"/>
        </w:rPr>
        <w:lastRenderedPageBreak/>
        <w:tab/>
        <w:t>Portanto, a existência dos serviço</w:t>
      </w:r>
      <w:r w:rsidRPr="00725A54">
        <w:rPr>
          <w:sz w:val="24"/>
          <w:szCs w:val="24"/>
        </w:rPr>
        <w:t xml:space="preserve">s de saneamento básico não necessariamente reduz a </w:t>
      </w:r>
      <w:r w:rsidR="00C63553">
        <w:rPr>
          <w:sz w:val="24"/>
          <w:szCs w:val="24"/>
        </w:rPr>
        <w:t>T</w:t>
      </w:r>
      <w:r w:rsidRPr="00725A54">
        <w:rPr>
          <w:sz w:val="24"/>
          <w:szCs w:val="24"/>
        </w:rPr>
        <w:t xml:space="preserve">axa de </w:t>
      </w:r>
      <w:r w:rsidR="00C63553">
        <w:rPr>
          <w:sz w:val="24"/>
          <w:szCs w:val="24"/>
        </w:rPr>
        <w:t>I</w:t>
      </w:r>
      <w:r w:rsidRPr="00725A54">
        <w:rPr>
          <w:sz w:val="24"/>
          <w:szCs w:val="24"/>
        </w:rPr>
        <w:t xml:space="preserve">ncidência de </w:t>
      </w:r>
      <w:r w:rsidR="00C63553">
        <w:rPr>
          <w:sz w:val="24"/>
          <w:szCs w:val="24"/>
        </w:rPr>
        <w:t>D</w:t>
      </w:r>
      <w:r w:rsidRPr="00725A54">
        <w:rPr>
          <w:sz w:val="24"/>
          <w:szCs w:val="24"/>
        </w:rPr>
        <w:t>engue</w:t>
      </w:r>
      <w:r w:rsidR="00C63553">
        <w:rPr>
          <w:sz w:val="24"/>
          <w:szCs w:val="24"/>
        </w:rPr>
        <w:t xml:space="preserve"> no Estado</w:t>
      </w:r>
      <w:r w:rsidRPr="00725A54">
        <w:rPr>
          <w:sz w:val="24"/>
          <w:szCs w:val="24"/>
        </w:rPr>
        <w:t xml:space="preserve">. Logo, um conjunto de políticas públicas de caráter educacional e preventivo junto aos serviços de saneamento são essenciais para diminuir a proliferação do mosquito. </w:t>
      </w:r>
      <w:r w:rsidR="00C63553">
        <w:rPr>
          <w:sz w:val="24"/>
          <w:szCs w:val="24"/>
        </w:rPr>
        <w:t>R</w:t>
      </w:r>
      <w:r w:rsidRPr="00725A54">
        <w:rPr>
          <w:sz w:val="24"/>
          <w:szCs w:val="24"/>
        </w:rPr>
        <w:t>eco</w:t>
      </w:r>
      <w:r w:rsidRPr="00725A54">
        <w:rPr>
          <w:sz w:val="24"/>
          <w:szCs w:val="24"/>
        </w:rPr>
        <w:t>menda</w:t>
      </w:r>
      <w:r w:rsidR="00C63553">
        <w:rPr>
          <w:sz w:val="24"/>
          <w:szCs w:val="24"/>
        </w:rPr>
        <w:t>-se</w:t>
      </w:r>
      <w:r w:rsidRPr="00725A54">
        <w:rPr>
          <w:sz w:val="24"/>
          <w:szCs w:val="24"/>
        </w:rPr>
        <w:t xml:space="preserve"> a aplicação mais detalhada do estudo, em uma abordagem municipal</w:t>
      </w:r>
      <w:r w:rsidR="00C63553">
        <w:rPr>
          <w:sz w:val="24"/>
          <w:szCs w:val="24"/>
        </w:rPr>
        <w:t>, no</w:t>
      </w:r>
      <w:r w:rsidRPr="00725A54">
        <w:rPr>
          <w:sz w:val="24"/>
          <w:szCs w:val="24"/>
        </w:rPr>
        <w:t xml:space="preserve"> meio urbano e</w:t>
      </w:r>
      <w:r w:rsidRPr="00725A54">
        <w:rPr>
          <w:sz w:val="24"/>
          <w:szCs w:val="24"/>
        </w:rPr>
        <w:t xml:space="preserve"> rural</w:t>
      </w:r>
      <w:r w:rsidR="00C63553">
        <w:rPr>
          <w:sz w:val="24"/>
          <w:szCs w:val="24"/>
        </w:rPr>
        <w:t>, junto a</w:t>
      </w:r>
      <w:r w:rsidRPr="00725A54">
        <w:rPr>
          <w:sz w:val="24"/>
          <w:szCs w:val="24"/>
        </w:rPr>
        <w:t xml:space="preserve"> outros indicadores, de saneamento e socioeconômicos, para assim </w:t>
      </w:r>
      <w:r w:rsidR="00C63553">
        <w:rPr>
          <w:sz w:val="24"/>
          <w:szCs w:val="24"/>
        </w:rPr>
        <w:t>propor</w:t>
      </w:r>
      <w:r w:rsidRPr="00725A54">
        <w:rPr>
          <w:sz w:val="24"/>
          <w:szCs w:val="24"/>
        </w:rPr>
        <w:t xml:space="preserve"> ações que deixem as soluções mais próximas da realidade de cada município e </w:t>
      </w:r>
      <w:r w:rsidR="00C63553">
        <w:rPr>
          <w:sz w:val="24"/>
          <w:szCs w:val="24"/>
        </w:rPr>
        <w:t>evidentes</w:t>
      </w:r>
      <w:r w:rsidRPr="00725A54">
        <w:rPr>
          <w:sz w:val="24"/>
          <w:szCs w:val="24"/>
        </w:rPr>
        <w:t xml:space="preserve"> para o poder público poder adotá-las.</w:t>
      </w:r>
    </w:p>
    <w:p w:rsidR="00DB5100" w:rsidRPr="00725A54" w:rsidRDefault="00DB5100">
      <w:pPr>
        <w:spacing w:line="360" w:lineRule="auto"/>
        <w:rPr>
          <w:b/>
          <w:sz w:val="24"/>
          <w:szCs w:val="24"/>
        </w:rPr>
      </w:pPr>
    </w:p>
    <w:p w:rsidR="00DB5100" w:rsidRPr="00725A54" w:rsidRDefault="001E5A6A" w:rsidP="00E82DEC">
      <w:pPr>
        <w:spacing w:after="240" w:line="360" w:lineRule="auto"/>
        <w:jc w:val="both"/>
        <w:rPr>
          <w:sz w:val="24"/>
          <w:szCs w:val="24"/>
        </w:rPr>
      </w:pPr>
      <w:r w:rsidRPr="00725A54">
        <w:rPr>
          <w:b/>
          <w:sz w:val="24"/>
          <w:szCs w:val="24"/>
        </w:rPr>
        <w:t>REFERÊNCIAS</w:t>
      </w:r>
    </w:p>
    <w:p w:rsidR="00DB5100" w:rsidRPr="00725A54" w:rsidRDefault="001E5A6A" w:rsidP="00B221D4">
      <w:pPr>
        <w:spacing w:line="360" w:lineRule="auto"/>
        <w:jc w:val="both"/>
        <w:rPr>
          <w:sz w:val="24"/>
          <w:szCs w:val="24"/>
        </w:rPr>
      </w:pPr>
      <w:r w:rsidRPr="00725A54">
        <w:rPr>
          <w:sz w:val="24"/>
          <w:szCs w:val="24"/>
        </w:rPr>
        <w:t xml:space="preserve">CORREA, S. M. B. B. </w:t>
      </w:r>
      <w:r w:rsidRPr="00725A54">
        <w:rPr>
          <w:b/>
          <w:sz w:val="24"/>
          <w:szCs w:val="24"/>
        </w:rPr>
        <w:t xml:space="preserve">Probabilidade e Estatística. </w:t>
      </w:r>
      <w:r w:rsidRPr="00725A54">
        <w:rPr>
          <w:sz w:val="24"/>
          <w:szCs w:val="24"/>
        </w:rPr>
        <w:t>Pontifícia Universidade Católica de Minas Gerais. 2ª ed. Belo Horizonte, 2003.</w:t>
      </w:r>
    </w:p>
    <w:p w:rsidR="00DB5100" w:rsidRPr="00725A54" w:rsidRDefault="00DB5100" w:rsidP="00B221D4">
      <w:pPr>
        <w:spacing w:line="360" w:lineRule="auto"/>
        <w:jc w:val="both"/>
        <w:rPr>
          <w:sz w:val="24"/>
          <w:szCs w:val="24"/>
        </w:rPr>
      </w:pPr>
    </w:p>
    <w:p w:rsidR="00DB5100" w:rsidRPr="00725A54" w:rsidRDefault="001E5A6A" w:rsidP="00B221D4">
      <w:pPr>
        <w:spacing w:line="360" w:lineRule="auto"/>
        <w:jc w:val="both"/>
        <w:rPr>
          <w:sz w:val="24"/>
          <w:szCs w:val="24"/>
        </w:rPr>
      </w:pPr>
      <w:r w:rsidRPr="00725A54">
        <w:rPr>
          <w:sz w:val="24"/>
          <w:szCs w:val="24"/>
        </w:rPr>
        <w:t xml:space="preserve">COSTA, T. P. </w:t>
      </w:r>
      <w:r w:rsidRPr="00725A54">
        <w:rPr>
          <w:b/>
          <w:sz w:val="24"/>
          <w:szCs w:val="24"/>
        </w:rPr>
        <w:t xml:space="preserve">Associação Entre Incidência de Dengue e o </w:t>
      </w:r>
      <w:r w:rsidRPr="00725A54">
        <w:rPr>
          <w:b/>
          <w:sz w:val="24"/>
          <w:szCs w:val="24"/>
        </w:rPr>
        <w:t>Estatuto Socioeconômico do Lugar de Residência – Um Estudo Ecológico no Estado do Paraná, Brasil de 2011 a 2013</w:t>
      </w:r>
      <w:r w:rsidRPr="00725A54">
        <w:rPr>
          <w:sz w:val="24"/>
          <w:szCs w:val="24"/>
        </w:rPr>
        <w:t>. Dissertação de Mestrado - Universidade do Porto. Porto, 2014.</w:t>
      </w:r>
    </w:p>
    <w:p w:rsidR="00DB5100" w:rsidRPr="00725A54" w:rsidRDefault="00DB5100" w:rsidP="00B221D4">
      <w:pPr>
        <w:spacing w:line="360" w:lineRule="auto"/>
        <w:jc w:val="both"/>
        <w:rPr>
          <w:sz w:val="24"/>
          <w:szCs w:val="24"/>
        </w:rPr>
      </w:pPr>
    </w:p>
    <w:p w:rsidR="00DB5100" w:rsidRDefault="001E5A6A" w:rsidP="00B221D4">
      <w:pPr>
        <w:spacing w:line="360" w:lineRule="auto"/>
        <w:jc w:val="both"/>
        <w:rPr>
          <w:sz w:val="24"/>
          <w:szCs w:val="24"/>
          <w:highlight w:val="white"/>
        </w:rPr>
      </w:pPr>
      <w:r w:rsidRPr="00725A54">
        <w:rPr>
          <w:sz w:val="24"/>
          <w:szCs w:val="24"/>
          <w:highlight w:val="white"/>
        </w:rPr>
        <w:t>DANCEY, C.P. REIDY, J.</w:t>
      </w:r>
      <w:r w:rsidRPr="00725A54">
        <w:rPr>
          <w:i/>
          <w:sz w:val="24"/>
          <w:szCs w:val="24"/>
          <w:highlight w:val="white"/>
        </w:rPr>
        <w:t xml:space="preserve"> </w:t>
      </w:r>
      <w:r w:rsidRPr="00725A54">
        <w:rPr>
          <w:b/>
          <w:sz w:val="24"/>
          <w:szCs w:val="24"/>
          <w:highlight w:val="white"/>
        </w:rPr>
        <w:t>Estatística sem matemática para psicologia usando SPSS pa</w:t>
      </w:r>
      <w:r w:rsidRPr="00725A54">
        <w:rPr>
          <w:b/>
          <w:sz w:val="24"/>
          <w:szCs w:val="24"/>
          <w:highlight w:val="white"/>
        </w:rPr>
        <w:t>ra Windows</w:t>
      </w:r>
      <w:r w:rsidRPr="00725A54">
        <w:rPr>
          <w:sz w:val="24"/>
          <w:szCs w:val="24"/>
          <w:highlight w:val="white"/>
        </w:rPr>
        <w:t>. Porto Alegre: Artes Médicas. 2006.</w:t>
      </w:r>
    </w:p>
    <w:p w:rsidR="00877567" w:rsidRDefault="00877567" w:rsidP="00B221D4">
      <w:pPr>
        <w:spacing w:line="360" w:lineRule="auto"/>
        <w:jc w:val="both"/>
        <w:rPr>
          <w:sz w:val="24"/>
          <w:szCs w:val="24"/>
          <w:highlight w:val="white"/>
        </w:rPr>
      </w:pPr>
    </w:p>
    <w:p w:rsidR="00877567" w:rsidRDefault="00877567" w:rsidP="00B221D4">
      <w:pPr>
        <w:spacing w:line="360" w:lineRule="auto"/>
        <w:jc w:val="both"/>
        <w:rPr>
          <w:sz w:val="24"/>
          <w:szCs w:val="24"/>
          <w:highlight w:val="white"/>
        </w:rPr>
      </w:pPr>
      <w:r w:rsidRPr="00877567">
        <w:rPr>
          <w:sz w:val="24"/>
          <w:szCs w:val="24"/>
        </w:rPr>
        <w:t>DATASUS - DEPARTAMENTO DE INFORMÁTICA DO SUS.</w:t>
      </w:r>
      <w:r w:rsidR="001A1612">
        <w:rPr>
          <w:sz w:val="24"/>
          <w:szCs w:val="24"/>
        </w:rPr>
        <w:t xml:space="preserve"> </w:t>
      </w:r>
      <w:r w:rsidR="001A1612" w:rsidRPr="001A1612">
        <w:rPr>
          <w:b/>
          <w:sz w:val="24"/>
          <w:szCs w:val="24"/>
        </w:rPr>
        <w:t>Ministério da Saúde</w:t>
      </w:r>
      <w:r w:rsidR="001A1612" w:rsidRPr="001A1612">
        <w:rPr>
          <w:b/>
          <w:sz w:val="24"/>
          <w:szCs w:val="24"/>
        </w:rPr>
        <w:t xml:space="preserve"> - Secretaria</w:t>
      </w:r>
      <w:r w:rsidR="001A1612" w:rsidRPr="001A1612">
        <w:rPr>
          <w:b/>
          <w:sz w:val="24"/>
          <w:szCs w:val="24"/>
        </w:rPr>
        <w:t xml:space="preserve"> de Vigilância em Saúde (SVS)</w:t>
      </w:r>
      <w:r w:rsidR="001A1612">
        <w:rPr>
          <w:sz w:val="24"/>
          <w:szCs w:val="24"/>
        </w:rPr>
        <w:t>.</w:t>
      </w:r>
      <w:r w:rsidRPr="00877567">
        <w:rPr>
          <w:sz w:val="24"/>
          <w:szCs w:val="24"/>
        </w:rPr>
        <w:t xml:space="preserve"> Brasília, 2010.</w:t>
      </w:r>
      <w:r>
        <w:rPr>
          <w:sz w:val="24"/>
          <w:szCs w:val="24"/>
        </w:rPr>
        <w:t xml:space="preserve"> </w:t>
      </w:r>
      <w:r w:rsidRPr="00877567">
        <w:rPr>
          <w:sz w:val="24"/>
          <w:szCs w:val="24"/>
        </w:rPr>
        <w:t>Disponível em: &lt;</w:t>
      </w:r>
      <w:r w:rsidR="001A1612" w:rsidRPr="001A1612">
        <w:rPr>
          <w:sz w:val="24"/>
          <w:szCs w:val="24"/>
        </w:rPr>
        <w:t>http://tabnet.datasus.gov.br/cgi/deftohtm.exe?idb2012/d0203.def</w:t>
      </w:r>
      <w:r w:rsidRPr="00877567">
        <w:rPr>
          <w:sz w:val="24"/>
          <w:szCs w:val="24"/>
        </w:rPr>
        <w:t xml:space="preserve">&gt;. Acesso em </w:t>
      </w:r>
      <w:r w:rsidR="001A1612">
        <w:rPr>
          <w:sz w:val="24"/>
          <w:szCs w:val="24"/>
        </w:rPr>
        <w:t>29</w:t>
      </w:r>
      <w:r w:rsidRPr="00877567">
        <w:rPr>
          <w:sz w:val="24"/>
          <w:szCs w:val="24"/>
        </w:rPr>
        <w:t xml:space="preserve"> </w:t>
      </w:r>
      <w:r w:rsidR="001A1612">
        <w:rPr>
          <w:sz w:val="24"/>
          <w:szCs w:val="24"/>
        </w:rPr>
        <w:t>out</w:t>
      </w:r>
      <w:r w:rsidRPr="00877567">
        <w:rPr>
          <w:sz w:val="24"/>
          <w:szCs w:val="24"/>
        </w:rPr>
        <w:t>. 201</w:t>
      </w:r>
      <w:r w:rsidR="001A1612">
        <w:rPr>
          <w:sz w:val="24"/>
          <w:szCs w:val="24"/>
        </w:rPr>
        <w:t>8</w:t>
      </w:r>
      <w:r w:rsidRPr="00877567">
        <w:rPr>
          <w:sz w:val="24"/>
          <w:szCs w:val="24"/>
        </w:rPr>
        <w:t>.</w:t>
      </w:r>
    </w:p>
    <w:p w:rsidR="00877567" w:rsidRDefault="00877567" w:rsidP="00B221D4">
      <w:pPr>
        <w:spacing w:line="360" w:lineRule="auto"/>
        <w:jc w:val="both"/>
        <w:rPr>
          <w:sz w:val="24"/>
          <w:szCs w:val="24"/>
          <w:highlight w:val="white"/>
        </w:rPr>
      </w:pPr>
    </w:p>
    <w:p w:rsidR="001A1612" w:rsidRPr="001A1612" w:rsidRDefault="00877567" w:rsidP="00B221D4">
      <w:pPr>
        <w:spacing w:line="360" w:lineRule="auto"/>
        <w:jc w:val="both"/>
        <w:rPr>
          <w:sz w:val="24"/>
          <w:szCs w:val="24"/>
        </w:rPr>
      </w:pPr>
      <w:r w:rsidRPr="00877567">
        <w:rPr>
          <w:sz w:val="24"/>
          <w:szCs w:val="24"/>
        </w:rPr>
        <w:t xml:space="preserve">IBGE – INSTITUTO BRASILEIRO DE GEOGRAGIA E ESTATÍSTICA. </w:t>
      </w:r>
      <w:r w:rsidRPr="00877567">
        <w:rPr>
          <w:b/>
          <w:sz w:val="24"/>
          <w:szCs w:val="24"/>
        </w:rPr>
        <w:t>Estimativa populacional 201</w:t>
      </w:r>
      <w:r>
        <w:rPr>
          <w:b/>
          <w:sz w:val="24"/>
          <w:szCs w:val="24"/>
        </w:rPr>
        <w:t>7</w:t>
      </w:r>
      <w:r w:rsidRPr="00877567">
        <w:rPr>
          <w:sz w:val="24"/>
          <w:szCs w:val="24"/>
        </w:rPr>
        <w:t>. Rio de Janeiro: 201</w:t>
      </w:r>
      <w:r>
        <w:rPr>
          <w:sz w:val="24"/>
          <w:szCs w:val="24"/>
        </w:rPr>
        <w:t>7</w:t>
      </w:r>
      <w:r w:rsidRPr="00877567">
        <w:rPr>
          <w:sz w:val="24"/>
          <w:szCs w:val="24"/>
        </w:rPr>
        <w:t>. Disponível em: &lt; http://www.ibge.gov.br/apps/populacao/projecao/&gt;. Acesso em</w:t>
      </w:r>
      <w:r>
        <w:rPr>
          <w:sz w:val="24"/>
          <w:szCs w:val="24"/>
        </w:rPr>
        <w:t>:</w:t>
      </w:r>
      <w:r w:rsidRPr="00877567">
        <w:rPr>
          <w:sz w:val="24"/>
          <w:szCs w:val="24"/>
        </w:rPr>
        <w:t xml:space="preserve"> </w:t>
      </w:r>
      <w:r>
        <w:rPr>
          <w:sz w:val="24"/>
          <w:szCs w:val="24"/>
        </w:rPr>
        <w:t>29 de</w:t>
      </w:r>
      <w:r w:rsidRPr="00877567">
        <w:rPr>
          <w:sz w:val="24"/>
          <w:szCs w:val="24"/>
        </w:rPr>
        <w:t xml:space="preserve"> </w:t>
      </w:r>
      <w:r>
        <w:rPr>
          <w:sz w:val="24"/>
          <w:szCs w:val="24"/>
        </w:rPr>
        <w:t>out</w:t>
      </w:r>
      <w:r w:rsidRPr="00877567">
        <w:rPr>
          <w:sz w:val="24"/>
          <w:szCs w:val="24"/>
        </w:rPr>
        <w:t>. 201</w:t>
      </w:r>
      <w:r>
        <w:rPr>
          <w:sz w:val="24"/>
          <w:szCs w:val="24"/>
        </w:rPr>
        <w:t>8</w:t>
      </w:r>
      <w:r w:rsidRPr="00877567">
        <w:rPr>
          <w:sz w:val="24"/>
          <w:szCs w:val="24"/>
        </w:rPr>
        <w:t>.</w:t>
      </w:r>
    </w:p>
    <w:p w:rsidR="00DB5100" w:rsidRPr="00725A54" w:rsidRDefault="00DB5100" w:rsidP="00B221D4">
      <w:pPr>
        <w:spacing w:line="360" w:lineRule="auto"/>
        <w:jc w:val="both"/>
        <w:rPr>
          <w:sz w:val="24"/>
          <w:szCs w:val="24"/>
          <w:highlight w:val="white"/>
        </w:rPr>
      </w:pPr>
    </w:p>
    <w:p w:rsidR="00DB5100" w:rsidRPr="00725A54" w:rsidRDefault="001E5A6A" w:rsidP="00B221D4">
      <w:pPr>
        <w:spacing w:line="360" w:lineRule="auto"/>
        <w:jc w:val="both"/>
        <w:rPr>
          <w:sz w:val="24"/>
          <w:szCs w:val="24"/>
          <w:highlight w:val="white"/>
        </w:rPr>
      </w:pPr>
      <w:r w:rsidRPr="00725A54">
        <w:rPr>
          <w:sz w:val="24"/>
          <w:szCs w:val="24"/>
          <w:highlight w:val="white"/>
        </w:rPr>
        <w:t>MARTINS, Gilbert</w:t>
      </w:r>
      <w:bookmarkStart w:id="2" w:name="_GoBack"/>
      <w:bookmarkEnd w:id="2"/>
      <w:r w:rsidRPr="00725A54">
        <w:rPr>
          <w:sz w:val="24"/>
          <w:szCs w:val="24"/>
          <w:highlight w:val="white"/>
        </w:rPr>
        <w:t xml:space="preserve">o de Andrade. DOMINGUES, Osmar. </w:t>
      </w:r>
      <w:r w:rsidRPr="00725A54">
        <w:rPr>
          <w:b/>
          <w:sz w:val="24"/>
          <w:szCs w:val="24"/>
          <w:highlight w:val="white"/>
        </w:rPr>
        <w:t>Estatística geral e aplicada</w:t>
      </w:r>
      <w:r w:rsidRPr="00725A54">
        <w:rPr>
          <w:sz w:val="24"/>
          <w:szCs w:val="24"/>
          <w:highlight w:val="white"/>
        </w:rPr>
        <w:t xml:space="preserve">. 4º ed. </w:t>
      </w:r>
      <w:r w:rsidRPr="00725A54">
        <w:rPr>
          <w:sz w:val="24"/>
          <w:szCs w:val="24"/>
          <w:highlight w:val="white"/>
        </w:rPr>
        <w:t>rev</w:t>
      </w:r>
      <w:r w:rsidR="001A38DA">
        <w:rPr>
          <w:sz w:val="24"/>
          <w:szCs w:val="24"/>
          <w:highlight w:val="white"/>
        </w:rPr>
        <w:t>isada</w:t>
      </w:r>
      <w:r w:rsidRPr="00725A54">
        <w:rPr>
          <w:sz w:val="24"/>
          <w:szCs w:val="24"/>
          <w:highlight w:val="white"/>
        </w:rPr>
        <w:t xml:space="preserve"> e ampl</w:t>
      </w:r>
      <w:r w:rsidR="001A38DA">
        <w:rPr>
          <w:sz w:val="24"/>
          <w:szCs w:val="24"/>
          <w:highlight w:val="white"/>
        </w:rPr>
        <w:t>iada.</w:t>
      </w:r>
      <w:r w:rsidRPr="00725A54">
        <w:rPr>
          <w:sz w:val="24"/>
          <w:szCs w:val="24"/>
          <w:highlight w:val="white"/>
        </w:rPr>
        <w:t xml:space="preserve"> - São Paulo: Atlas, 2011.</w:t>
      </w:r>
    </w:p>
    <w:p w:rsidR="00DB5100" w:rsidRPr="00725A54" w:rsidRDefault="00DB5100" w:rsidP="00B221D4">
      <w:pPr>
        <w:spacing w:line="360" w:lineRule="auto"/>
        <w:jc w:val="both"/>
        <w:rPr>
          <w:sz w:val="24"/>
          <w:szCs w:val="24"/>
        </w:rPr>
      </w:pPr>
    </w:p>
    <w:p w:rsidR="00DB5100" w:rsidRDefault="001E5A6A" w:rsidP="00B221D4">
      <w:pPr>
        <w:spacing w:line="360" w:lineRule="auto"/>
        <w:jc w:val="both"/>
        <w:rPr>
          <w:sz w:val="24"/>
          <w:szCs w:val="24"/>
        </w:rPr>
      </w:pPr>
      <w:r w:rsidRPr="00725A54">
        <w:rPr>
          <w:sz w:val="24"/>
          <w:szCs w:val="24"/>
        </w:rPr>
        <w:t xml:space="preserve">SECRETARIA DE SAÚDE PÚBLICA. </w:t>
      </w:r>
      <w:proofErr w:type="spellStart"/>
      <w:r w:rsidRPr="00725A54">
        <w:rPr>
          <w:b/>
          <w:sz w:val="24"/>
          <w:szCs w:val="24"/>
        </w:rPr>
        <w:t>Sespa</w:t>
      </w:r>
      <w:proofErr w:type="spellEnd"/>
      <w:r w:rsidRPr="00725A54">
        <w:rPr>
          <w:b/>
          <w:sz w:val="24"/>
          <w:szCs w:val="24"/>
        </w:rPr>
        <w:t xml:space="preserve"> Divulga Novos Números Sobre Dengue, Chikungunya </w:t>
      </w:r>
      <w:r w:rsidRPr="00725A54">
        <w:rPr>
          <w:b/>
          <w:sz w:val="24"/>
          <w:szCs w:val="24"/>
        </w:rPr>
        <w:t>e Zika</w:t>
      </w:r>
      <w:r w:rsidRPr="00725A54">
        <w:rPr>
          <w:sz w:val="24"/>
          <w:szCs w:val="24"/>
        </w:rPr>
        <w:t>. Disponível em: &lt;</w:t>
      </w:r>
      <w:hyperlink r:id="rId11">
        <w:r w:rsidRPr="00725A54">
          <w:rPr>
            <w:sz w:val="24"/>
            <w:szCs w:val="24"/>
          </w:rPr>
          <w:t>http://www.saude.pa.gov.br/2016/02/04/sespa-divulga-novos-numeros-sobre-dengue-chikungunya-e-zika/</w:t>
        </w:r>
      </w:hyperlink>
      <w:r w:rsidRPr="00725A54">
        <w:rPr>
          <w:sz w:val="24"/>
          <w:szCs w:val="24"/>
        </w:rPr>
        <w:t>&gt;. Acesso em: 15</w:t>
      </w:r>
      <w:r w:rsidRPr="00725A54">
        <w:rPr>
          <w:sz w:val="24"/>
          <w:szCs w:val="24"/>
        </w:rPr>
        <w:t xml:space="preserve"> de dez</w:t>
      </w:r>
      <w:r w:rsidR="00877567">
        <w:rPr>
          <w:sz w:val="24"/>
          <w:szCs w:val="24"/>
        </w:rPr>
        <w:t>.</w:t>
      </w:r>
      <w:r w:rsidRPr="00725A54">
        <w:rPr>
          <w:sz w:val="24"/>
          <w:szCs w:val="24"/>
        </w:rPr>
        <w:t xml:space="preserve"> 2017.</w:t>
      </w:r>
    </w:p>
    <w:p w:rsidR="000B2AB0" w:rsidRDefault="000B2AB0" w:rsidP="00B221D4">
      <w:pPr>
        <w:spacing w:line="360" w:lineRule="auto"/>
        <w:jc w:val="both"/>
        <w:rPr>
          <w:sz w:val="24"/>
          <w:szCs w:val="24"/>
        </w:rPr>
      </w:pPr>
    </w:p>
    <w:p w:rsidR="000B2AB0" w:rsidRPr="00725A54" w:rsidRDefault="000B2AB0" w:rsidP="00B221D4">
      <w:pPr>
        <w:spacing w:line="360" w:lineRule="auto"/>
        <w:jc w:val="both"/>
        <w:rPr>
          <w:sz w:val="24"/>
          <w:szCs w:val="24"/>
        </w:rPr>
      </w:pPr>
      <w:r w:rsidRPr="000B2AB0">
        <w:rPr>
          <w:sz w:val="24"/>
          <w:szCs w:val="24"/>
        </w:rPr>
        <w:t xml:space="preserve">SISTEMA NACIONAL DE INFORMAÇÃO EM SANEAMENTO - SNIS. </w:t>
      </w:r>
      <w:r w:rsidRPr="000B2AB0">
        <w:rPr>
          <w:b/>
          <w:bCs/>
          <w:sz w:val="24"/>
          <w:szCs w:val="24"/>
        </w:rPr>
        <w:t>Diagnóstico 2003 a 2012</w:t>
      </w:r>
      <w:r w:rsidRPr="000B2AB0">
        <w:rPr>
          <w:sz w:val="24"/>
          <w:szCs w:val="24"/>
        </w:rPr>
        <w:t>. Disponível em: &lt;www.snis.gov.br&gt;. Acesso em: 29 de out. 2018.</w:t>
      </w:r>
    </w:p>
    <w:p w:rsidR="00DB5100" w:rsidRPr="00725A54" w:rsidRDefault="00DB5100" w:rsidP="00B221D4">
      <w:pPr>
        <w:spacing w:line="360" w:lineRule="auto"/>
        <w:jc w:val="both"/>
        <w:rPr>
          <w:sz w:val="24"/>
          <w:szCs w:val="24"/>
        </w:rPr>
      </w:pPr>
    </w:p>
    <w:p w:rsidR="00DB5100" w:rsidRPr="00725A54" w:rsidRDefault="001E5A6A" w:rsidP="00B221D4">
      <w:pPr>
        <w:spacing w:line="360" w:lineRule="auto"/>
        <w:jc w:val="both"/>
        <w:rPr>
          <w:sz w:val="24"/>
          <w:szCs w:val="24"/>
        </w:rPr>
      </w:pPr>
      <w:r w:rsidRPr="00725A54">
        <w:rPr>
          <w:sz w:val="24"/>
          <w:szCs w:val="24"/>
        </w:rPr>
        <w:t xml:space="preserve">VIDIGAL, Carlos Henrique M. </w:t>
      </w:r>
      <w:r w:rsidRPr="00725A54">
        <w:rPr>
          <w:b/>
          <w:sz w:val="24"/>
          <w:szCs w:val="24"/>
        </w:rPr>
        <w:t xml:space="preserve">Análise da Influência do Saneamento Básico na Saúde da População do município de Barbacena - MG. </w:t>
      </w:r>
      <w:r w:rsidRPr="00725A54">
        <w:rPr>
          <w:sz w:val="24"/>
          <w:szCs w:val="24"/>
        </w:rPr>
        <w:t>Trabalho final de conclusão de curso - Universidade Federal de Juiz de Fora. Juiz de Fora - MG, 2015.</w:t>
      </w:r>
    </w:p>
    <w:p w:rsidR="00DB5100" w:rsidRPr="00725A54" w:rsidRDefault="00DB5100" w:rsidP="00B221D4">
      <w:pPr>
        <w:spacing w:line="360" w:lineRule="auto"/>
        <w:jc w:val="both"/>
        <w:rPr>
          <w:sz w:val="24"/>
          <w:szCs w:val="24"/>
        </w:rPr>
      </w:pPr>
    </w:p>
    <w:p w:rsidR="00DB5100" w:rsidRPr="00725A54" w:rsidRDefault="001E5A6A" w:rsidP="00B221D4">
      <w:pPr>
        <w:spacing w:line="360" w:lineRule="auto"/>
        <w:jc w:val="both"/>
        <w:rPr>
          <w:sz w:val="24"/>
          <w:szCs w:val="24"/>
        </w:rPr>
      </w:pPr>
      <w:r w:rsidRPr="00725A54">
        <w:rPr>
          <w:sz w:val="24"/>
          <w:szCs w:val="24"/>
        </w:rPr>
        <w:t>TEIXEIRA, J.C.</w:t>
      </w:r>
      <w:r w:rsidRPr="00725A54">
        <w:rPr>
          <w:sz w:val="24"/>
          <w:szCs w:val="24"/>
        </w:rPr>
        <w:t xml:space="preserve">; GUILHERMINO, R.L. </w:t>
      </w:r>
      <w:r w:rsidRPr="00725A54">
        <w:rPr>
          <w:b/>
          <w:sz w:val="24"/>
          <w:szCs w:val="24"/>
        </w:rPr>
        <w:t>Análise da associação entre saneamento e saúde nos estados brasileiros, empregando dados secundários do banco de dados Indicadores e Dados Básicos para a Saúde – IDB 2003</w:t>
      </w:r>
      <w:r w:rsidRPr="00725A54">
        <w:rPr>
          <w:sz w:val="24"/>
          <w:szCs w:val="24"/>
        </w:rPr>
        <w:t>. Revista de Engenharia Sanitária e Ambiental, v. 11, n. 3, p. 277</w:t>
      </w:r>
      <w:r w:rsidRPr="00725A54">
        <w:rPr>
          <w:sz w:val="24"/>
          <w:szCs w:val="24"/>
        </w:rPr>
        <w:t>-282, 2006.</w:t>
      </w:r>
    </w:p>
    <w:sectPr w:rsidR="00DB5100" w:rsidRPr="00725A54">
      <w:headerReference w:type="default" r:id="rId12"/>
      <w:footerReference w:type="default" r:id="rId13"/>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A6A" w:rsidRDefault="001E5A6A">
      <w:r>
        <w:separator/>
      </w:r>
    </w:p>
  </w:endnote>
  <w:endnote w:type="continuationSeparator" w:id="0">
    <w:p w:rsidR="001E5A6A" w:rsidRDefault="001E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00" w:rsidRDefault="001E5A6A">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5867400" cy="5810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67400" cy="5810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A6A" w:rsidRDefault="001E5A6A">
      <w:r>
        <w:separator/>
      </w:r>
    </w:p>
  </w:footnote>
  <w:footnote w:type="continuationSeparator" w:id="0">
    <w:p w:rsidR="001E5A6A" w:rsidRDefault="001E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100" w:rsidRDefault="00725A54">
    <w:pPr>
      <w:pBdr>
        <w:top w:val="nil"/>
        <w:left w:val="nil"/>
        <w:bottom w:val="single" w:sz="4" w:space="1" w:color="000000"/>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2958465</wp:posOffset>
              </wp:positionH>
              <wp:positionV relativeFrom="paragraph">
                <wp:posOffset>-180340</wp:posOffset>
              </wp:positionV>
              <wp:extent cx="3030220" cy="609600"/>
              <wp:effectExtent l="0" t="0" r="0" b="0"/>
              <wp:wrapNone/>
              <wp:docPr id="1" name="Retângulo 1"/>
              <wp:cNvGraphicFramePr/>
              <a:graphic xmlns:a="http://schemas.openxmlformats.org/drawingml/2006/main">
                <a:graphicData uri="http://schemas.microsoft.com/office/word/2010/wordprocessingShape">
                  <wps:wsp>
                    <wps:cNvSpPr/>
                    <wps:spPr>
                      <a:xfrm>
                        <a:off x="0" y="0"/>
                        <a:ext cx="3030220" cy="609600"/>
                      </a:xfrm>
                      <a:prstGeom prst="rect">
                        <a:avLst/>
                      </a:prstGeom>
                      <a:noFill/>
                      <a:ln>
                        <a:noFill/>
                      </a:ln>
                    </wps:spPr>
                    <wps:txbx>
                      <w:txbxContent>
                        <w:p w:rsidR="00725A54" w:rsidRPr="00725A54" w:rsidRDefault="001E5A6A" w:rsidP="00725A54">
                          <w:pPr>
                            <w:spacing w:line="275" w:lineRule="auto"/>
                            <w:jc w:val="right"/>
                            <w:textDirection w:val="btLr"/>
                            <w:rPr>
                              <w:color w:val="000000"/>
                            </w:rPr>
                          </w:pPr>
                          <w:r w:rsidRPr="00725A54">
                            <w:rPr>
                              <w:color w:val="000000"/>
                            </w:rPr>
                            <w:t>Belém (</w:t>
                          </w:r>
                          <w:r w:rsidRPr="00725A54">
                            <w:rPr>
                              <w:color w:val="000000"/>
                            </w:rPr>
                            <w:t>PA</w:t>
                          </w:r>
                          <w:r w:rsidRPr="00725A54">
                            <w:rPr>
                              <w:color w:val="000000"/>
                            </w:rPr>
                            <w:t>), 28 a 30 de novembro de 2018</w:t>
                          </w:r>
                        </w:p>
                        <w:p w:rsidR="00DB5100" w:rsidRPr="00725A54" w:rsidRDefault="001E5A6A">
                          <w:pPr>
                            <w:spacing w:line="275" w:lineRule="auto"/>
                            <w:jc w:val="right"/>
                            <w:textDirection w:val="btLr"/>
                            <w:rPr>
                              <w:sz w:val="14"/>
                            </w:rPr>
                          </w:pPr>
                          <w:r w:rsidRPr="00725A54">
                            <w:rPr>
                              <w:color w:val="000000"/>
                            </w:rPr>
                            <w:t>ISSN 2316-7637</w:t>
                          </w:r>
                        </w:p>
                        <w:p w:rsidR="00DB5100" w:rsidRPr="00725A54" w:rsidRDefault="00DB5100">
                          <w:pPr>
                            <w:spacing w:line="275" w:lineRule="auto"/>
                            <w:jc w:val="right"/>
                            <w:textDirection w:val="btLr"/>
                            <w:rPr>
                              <w:sz w:val="1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ângulo 1" o:spid="_x0000_s1026" style="position:absolute;margin-left:232.95pt;margin-top:-14.2pt;width:238.6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" filled="f" stroked="f">
              <v:textbox inset="2.53958mm,1.2694mm,2.53958mm,1.2694mm">
                <w:txbxContent>
                  <w:p w:rsidR="00725A54" w:rsidRPr="00725A54" w:rsidRDefault="001E5A6A" w:rsidP="00725A54">
                    <w:pPr>
                      <w:spacing w:line="275" w:lineRule="auto"/>
                      <w:jc w:val="right"/>
                      <w:textDirection w:val="btLr"/>
                      <w:rPr>
                        <w:color w:val="000000"/>
                      </w:rPr>
                    </w:pPr>
                    <w:r w:rsidRPr="00725A54">
                      <w:rPr>
                        <w:color w:val="000000"/>
                      </w:rPr>
                      <w:t>Belém (</w:t>
                    </w:r>
                    <w:r w:rsidRPr="00725A54">
                      <w:rPr>
                        <w:color w:val="000000"/>
                      </w:rPr>
                      <w:t>PA</w:t>
                    </w:r>
                    <w:r w:rsidRPr="00725A54">
                      <w:rPr>
                        <w:color w:val="000000"/>
                      </w:rPr>
                      <w:t>), 28 a 30 de novembro de 2018</w:t>
                    </w:r>
                  </w:p>
                  <w:p w:rsidR="00DB5100" w:rsidRPr="00725A54" w:rsidRDefault="001E5A6A">
                    <w:pPr>
                      <w:spacing w:line="275" w:lineRule="auto"/>
                      <w:jc w:val="right"/>
                      <w:textDirection w:val="btLr"/>
                      <w:rPr>
                        <w:sz w:val="14"/>
                      </w:rPr>
                    </w:pPr>
                    <w:r w:rsidRPr="00725A54">
                      <w:rPr>
                        <w:color w:val="000000"/>
                      </w:rPr>
                      <w:t>ISSN 2316-7637</w:t>
                    </w:r>
                  </w:p>
                  <w:p w:rsidR="00DB5100" w:rsidRPr="00725A54" w:rsidRDefault="00DB5100">
                    <w:pPr>
                      <w:spacing w:line="275" w:lineRule="auto"/>
                      <w:jc w:val="right"/>
                      <w:textDirection w:val="btLr"/>
                      <w:rPr>
                        <w:sz w:val="14"/>
                      </w:rPr>
                    </w:pPr>
                  </w:p>
                </w:txbxContent>
              </v:textbox>
              <w10:wrap anchorx="margin"/>
            </v:rect>
          </w:pict>
        </mc:Fallback>
      </mc:AlternateContent>
    </w:r>
    <w:r w:rsidR="001E5A6A">
      <w:rPr>
        <w:color w:val="000000"/>
      </w:rPr>
      <w:t xml:space="preserve"> </w:t>
    </w:r>
    <w:r w:rsidR="001E5A6A">
      <w:rPr>
        <w:noProof/>
      </w:rPr>
      <w:drawing>
        <wp:anchor distT="0" distB="0" distL="0" distR="0" simplePos="0" relativeHeight="251657216" behindDoc="0" locked="0" layoutInCell="1" hidden="0" allowOverlap="1">
          <wp:simplePos x="0" y="0"/>
          <wp:positionH relativeFrom="margin">
            <wp:posOffset>-329564</wp:posOffset>
          </wp:positionH>
          <wp:positionV relativeFrom="paragraph">
            <wp:posOffset>-258444</wp:posOffset>
          </wp:positionV>
          <wp:extent cx="2384425" cy="656590"/>
          <wp:effectExtent l="0" t="0" r="0" b="0"/>
          <wp:wrapSquare wrapText="bothSides" distT="0" distB="0" distL="0" distR="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384425" cy="656590"/>
                  </a:xfrm>
                  <a:prstGeom prst="rect">
                    <a:avLst/>
                  </a:prstGeom>
                  <a:ln/>
                </pic:spPr>
              </pic:pic>
            </a:graphicData>
          </a:graphic>
        </wp:anchor>
      </w:drawing>
    </w:r>
  </w:p>
  <w:p w:rsidR="00DB5100" w:rsidRDefault="00DB5100">
    <w:pPr>
      <w:pBdr>
        <w:top w:val="nil"/>
        <w:left w:val="nil"/>
        <w:bottom w:val="single" w:sz="4" w:space="1" w:color="000000"/>
        <w:right w:val="nil"/>
        <w:between w:val="nil"/>
      </w:pBdr>
      <w:tabs>
        <w:tab w:val="center" w:pos="4252"/>
        <w:tab w:val="right" w:pos="8504"/>
      </w:tabs>
      <w:rPr>
        <w:color w:val="000000"/>
      </w:rPr>
    </w:pPr>
  </w:p>
  <w:p w:rsidR="00DB5100" w:rsidRDefault="00DB5100">
    <w:pPr>
      <w:pBdr>
        <w:top w:val="nil"/>
        <w:left w:val="nil"/>
        <w:bottom w:val="single" w:sz="4" w:space="1" w:color="000000"/>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76523"/>
    <w:multiLevelType w:val="multilevel"/>
    <w:tmpl w:val="8228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B5100"/>
    <w:rsid w:val="000B2AB0"/>
    <w:rsid w:val="000D6952"/>
    <w:rsid w:val="001A1612"/>
    <w:rsid w:val="001A38DA"/>
    <w:rsid w:val="001E5A6A"/>
    <w:rsid w:val="003D4140"/>
    <w:rsid w:val="004B18C2"/>
    <w:rsid w:val="00725A54"/>
    <w:rsid w:val="00877567"/>
    <w:rsid w:val="00886B22"/>
    <w:rsid w:val="009D327C"/>
    <w:rsid w:val="00B221D4"/>
    <w:rsid w:val="00C63553"/>
    <w:rsid w:val="00DB5100"/>
    <w:rsid w:val="00E82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4612C"/>
  <w15:docId w15:val="{8C0426A1-B022-41CC-8CAE-FFA50398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725A54"/>
    <w:pPr>
      <w:tabs>
        <w:tab w:val="center" w:pos="4252"/>
        <w:tab w:val="right" w:pos="8504"/>
      </w:tabs>
    </w:pPr>
  </w:style>
  <w:style w:type="character" w:customStyle="1" w:styleId="CabealhoChar">
    <w:name w:val="Cabeçalho Char"/>
    <w:basedOn w:val="Fontepargpadro"/>
    <w:link w:val="Cabealho"/>
    <w:uiPriority w:val="99"/>
    <w:rsid w:val="00725A54"/>
  </w:style>
  <w:style w:type="paragraph" w:styleId="Rodap">
    <w:name w:val="footer"/>
    <w:basedOn w:val="Normal"/>
    <w:link w:val="RodapChar"/>
    <w:uiPriority w:val="99"/>
    <w:unhideWhenUsed/>
    <w:rsid w:val="00725A54"/>
    <w:pPr>
      <w:tabs>
        <w:tab w:val="center" w:pos="4252"/>
        <w:tab w:val="right" w:pos="8504"/>
      </w:tabs>
    </w:pPr>
  </w:style>
  <w:style w:type="character" w:customStyle="1" w:styleId="RodapChar">
    <w:name w:val="Rodapé Char"/>
    <w:basedOn w:val="Fontepargpadro"/>
    <w:link w:val="Rodap"/>
    <w:uiPriority w:val="99"/>
    <w:rsid w:val="00725A54"/>
  </w:style>
  <w:style w:type="character" w:styleId="Hyperlink">
    <w:name w:val="Hyperlink"/>
    <w:basedOn w:val="Fontepargpadro"/>
    <w:uiPriority w:val="99"/>
    <w:unhideWhenUsed/>
    <w:rsid w:val="00725A54"/>
    <w:rPr>
      <w:color w:val="0000FF" w:themeColor="hyperlink"/>
      <w:u w:val="single"/>
    </w:rPr>
  </w:style>
  <w:style w:type="character" w:styleId="MenoPendente">
    <w:name w:val="Unresolved Mention"/>
    <w:basedOn w:val="Fontepargpadro"/>
    <w:uiPriority w:val="99"/>
    <w:semiHidden/>
    <w:unhideWhenUsed/>
    <w:rsid w:val="0072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ude.pa.gov.br/2016/02/04/sespa-divulga-novos-numeros-sobre-dengue-chikungunya-e-zik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2415</Words>
  <Characters>13043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Ermeson</cp:lastModifiedBy>
  <cp:revision>4</cp:revision>
  <dcterms:created xsi:type="dcterms:W3CDTF">2018-11-04T13:42:00Z</dcterms:created>
  <dcterms:modified xsi:type="dcterms:W3CDTF">2018-11-04T15:33:00Z</dcterms:modified>
</cp:coreProperties>
</file>