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A29A3" w14:textId="77777777" w:rsidR="005A65BC" w:rsidRDefault="00000000">
      <w:pPr>
        <w:spacing w:after="160" w:line="240" w:lineRule="auto"/>
        <w:rPr>
          <w:b/>
        </w:rPr>
      </w:pPr>
      <w:r>
        <w:rPr>
          <w:b/>
        </w:rPr>
        <w:t>AVANÇOS NO DIAGNÓSTICO E TRATAMENTO DA ESCLEROSE LATERAL AMIOTRÓFICA:</w:t>
      </w:r>
      <w:r>
        <w:t xml:space="preserve"> </w:t>
      </w:r>
      <w:r>
        <w:rPr>
          <w:b/>
        </w:rPr>
        <w:t>DESAFIOS E OPORTUNIDADES</w:t>
      </w:r>
    </w:p>
    <w:p w14:paraId="339C3559" w14:textId="77777777" w:rsidR="005A65BC" w:rsidRDefault="00000000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HERMANN FERNANDES MOTTA CÂMARA</w:t>
      </w:r>
      <w:r>
        <w:rPr>
          <w:sz w:val="20"/>
          <w:szCs w:val="20"/>
          <w:vertAlign w:val="superscript"/>
        </w:rPr>
        <w:t>1</w:t>
      </w:r>
      <w:r>
        <w:rPr>
          <w:b/>
          <w:sz w:val="20"/>
          <w:szCs w:val="20"/>
        </w:rPr>
        <w:t xml:space="preserve">; </w:t>
      </w:r>
      <w:r>
        <w:rPr>
          <w:sz w:val="20"/>
          <w:szCs w:val="20"/>
        </w:rPr>
        <w:t>ARTHUR CASTRO GUIMARÃES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; ARTHUR PEIXOTO QUEIROGA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; JOÃO VITOR BARBOSA FERRO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; PEDRO HENRIQUE LAURINDO TENÓRIO SILVEIRA; AXEL HELMUT RULF COFRÉ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; THIAGO JOSÉ MATOS ROCHA</w:t>
      </w:r>
      <w:r>
        <w:rPr>
          <w:sz w:val="20"/>
          <w:szCs w:val="20"/>
          <w:vertAlign w:val="superscript"/>
        </w:rPr>
        <w:t>1-2</w:t>
      </w:r>
      <w:r>
        <w:rPr>
          <w:sz w:val="20"/>
          <w:szCs w:val="20"/>
        </w:rPr>
        <w:t>.</w:t>
      </w:r>
    </w:p>
    <w:p w14:paraId="0AB756BA" w14:textId="77777777" w:rsidR="005A65BC" w:rsidRDefault="005A65BC">
      <w:pPr>
        <w:spacing w:line="240" w:lineRule="auto"/>
        <w:rPr>
          <w:sz w:val="4"/>
          <w:szCs w:val="4"/>
        </w:rPr>
      </w:pPr>
    </w:p>
    <w:p w14:paraId="3686C44F" w14:textId="6030E6DF" w:rsidR="005A65BC" w:rsidRDefault="00000000">
      <w:pPr>
        <w:spacing w:line="240" w:lineRule="auto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>Centro Universitário Cesmac</w:t>
      </w:r>
      <w:r w:rsidR="00FA51C5">
        <w:rPr>
          <w:rStyle w:val="normaltextrun"/>
          <w:rFonts w:eastAsia="Calibri"/>
          <w:color w:val="000000"/>
          <w:sz w:val="18"/>
          <w:szCs w:val="18"/>
          <w:shd w:val="clear" w:color="auto" w:fill="FFFFFF"/>
        </w:rPr>
        <w:t>, Maceió, AL, Brasil.</w:t>
      </w:r>
    </w:p>
    <w:p w14:paraId="6B25E104" w14:textId="4F15EC07" w:rsidR="005A65BC" w:rsidRDefault="00000000">
      <w:pPr>
        <w:spacing w:line="240" w:lineRule="auto"/>
        <w:rPr>
          <w:color w:val="000000"/>
          <w:sz w:val="18"/>
          <w:szCs w:val="18"/>
          <w:highlight w:val="white"/>
        </w:rPr>
      </w:pP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Universidade Estadual de Ciências da Saúde de Alagoas - UNCISAL</w:t>
      </w:r>
      <w:r w:rsidR="00FA51C5">
        <w:rPr>
          <w:rStyle w:val="normaltextrun"/>
          <w:rFonts w:eastAsia="Calibri"/>
          <w:color w:val="000000"/>
          <w:sz w:val="18"/>
          <w:szCs w:val="18"/>
          <w:shd w:val="clear" w:color="auto" w:fill="FFFFFF"/>
        </w:rPr>
        <w:t>, Maceió, AL, Brasil.</w:t>
      </w:r>
    </w:p>
    <w:p w14:paraId="273639E3" w14:textId="0ABD8ED1" w:rsidR="005A65BC" w:rsidRDefault="0000000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*Email do primeiro autor: </w:t>
      </w:r>
      <w:hyperlink r:id="rId8" w:history="1">
        <w:r w:rsidR="00095062" w:rsidRPr="0070225D">
          <w:rPr>
            <w:rStyle w:val="Hyperlink"/>
            <w:sz w:val="18"/>
            <w:szCs w:val="18"/>
          </w:rPr>
          <w:t>hermannfernandes9@gmail.com</w:t>
        </w:r>
      </w:hyperlink>
      <w:r w:rsidR="00095062">
        <w:rPr>
          <w:sz w:val="18"/>
          <w:szCs w:val="18"/>
        </w:rPr>
        <w:t xml:space="preserve"> </w:t>
      </w:r>
    </w:p>
    <w:p w14:paraId="66576E70" w14:textId="3A484069" w:rsidR="005A65BC" w:rsidRDefault="0000000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*E-mail</w:t>
      </w:r>
      <w:r w:rsidR="0009506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do orientador: </w:t>
      </w:r>
      <w:hyperlink r:id="rId9">
        <w:r>
          <w:rPr>
            <w:color w:val="0563C1"/>
            <w:sz w:val="18"/>
            <w:szCs w:val="18"/>
            <w:u w:val="single"/>
          </w:rPr>
          <w:t>tmatosrocha@cesmac.edu.br / thiago.matos@uncisal.edu.br</w:t>
        </w:r>
      </w:hyperlink>
      <w:r>
        <w:rPr>
          <w:sz w:val="18"/>
          <w:szCs w:val="18"/>
        </w:rPr>
        <w:t xml:space="preserve">  </w:t>
      </w:r>
    </w:p>
    <w:p w14:paraId="4334A8A3" w14:textId="77777777" w:rsidR="005A65BC" w:rsidRDefault="005A65BC">
      <w:pPr>
        <w:spacing w:line="240" w:lineRule="auto"/>
        <w:rPr>
          <w:sz w:val="8"/>
          <w:szCs w:val="8"/>
        </w:rPr>
      </w:pPr>
    </w:p>
    <w:p w14:paraId="563648E9" w14:textId="77777777" w:rsidR="005A65BC" w:rsidRDefault="0000000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t>Introdução: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A esclerose lateral amiotrófica (ELA) é uma doença neurodegenerativa caracterizada por disfunção progressiva dos neurônios motores, resultando em perda de controle muscular. O diagnóstico, apesar de avanços genéticos, ainda é principalmente clínico, baseado em sinais de comprometimento neuronal e exclusão de outras condições. </w:t>
      </w:r>
      <w:r>
        <w:rPr>
          <w:b/>
          <w:sz w:val="22"/>
          <w:szCs w:val="22"/>
          <w:u w:val="single"/>
        </w:rPr>
        <w:t>Objetivos:</w:t>
      </w:r>
      <w:r>
        <w:rPr>
          <w:sz w:val="22"/>
          <w:szCs w:val="22"/>
        </w:rPr>
        <w:t xml:space="preserve"> Este estudo teve como objetivo revisar os avanços recentes no diagnóstico e tratamento da ELA. </w:t>
      </w:r>
      <w:r>
        <w:rPr>
          <w:b/>
          <w:sz w:val="22"/>
          <w:szCs w:val="22"/>
          <w:u w:val="single"/>
        </w:rPr>
        <w:t xml:space="preserve">Métodos: </w:t>
      </w:r>
      <w:r>
        <w:rPr>
          <w:sz w:val="22"/>
          <w:szCs w:val="22"/>
        </w:rPr>
        <w:t>Realizou-se uma revisão integrativa na base de dados PubMed, utilizando os termos “amyotrophic lateral sclerosis AND diagnosis AND treatment”, foram filtrados artigos publicados nos últimos cinco anos.</w:t>
      </w: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  <w:u w:val="single"/>
        </w:rPr>
        <w:t xml:space="preserve">Resultados: </w:t>
      </w:r>
      <w:r>
        <w:rPr>
          <w:sz w:val="22"/>
          <w:szCs w:val="22"/>
        </w:rPr>
        <w:t xml:space="preserve">O diagnóstico da ELA continua sendo um desafio, devido à ausência de um teste específico. Os exames de imagem, como a ressonância magnética, e a eletroneuromiografia são fundamentais para descartar outras causas. A descoberta da proteína TDP-43, envolvida no processo patológico da doença, tem sido um marco importante, com estudos sugerindo seu uso no diagnóstico e como alvo terapêutico. Além disso, os genes </w:t>
      </w:r>
      <w:r>
        <w:rPr>
          <w:i/>
          <w:sz w:val="22"/>
          <w:szCs w:val="22"/>
        </w:rPr>
        <w:t>SOD1</w:t>
      </w:r>
      <w:r>
        <w:rPr>
          <w:sz w:val="22"/>
          <w:szCs w:val="22"/>
        </w:rPr>
        <w:t xml:space="preserve"> e </w:t>
      </w:r>
      <w:r>
        <w:rPr>
          <w:i/>
          <w:sz w:val="22"/>
          <w:szCs w:val="22"/>
        </w:rPr>
        <w:t>C9ORF72</w:t>
      </w:r>
      <w:r>
        <w:rPr>
          <w:sz w:val="22"/>
          <w:szCs w:val="22"/>
        </w:rPr>
        <w:t xml:space="preserve"> são os mais reconhecidos na etiologia da ELA. Atualmente, apenas duas drogas são aprovadas para tratamento no Brasil: riluzol, que retarda o progresso da doença, e edaravona, que reduz o estresse oxidativo. Estudos clínicos estão explorando terapias direcionadas a genes específicos, com o potencial de modificar o curso da doença. </w:t>
      </w:r>
      <w:r>
        <w:rPr>
          <w:b/>
          <w:sz w:val="22"/>
          <w:szCs w:val="22"/>
          <w:u w:val="single"/>
        </w:rPr>
        <w:t>Conclusões: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 ELA é uma doença de difícil manejo e prognóstico desfavorável. No entanto, o avanço na compreensão dos genes e proteínas associados à doença abre caminho para o desenvolvimento de novas terapias que possam melhorar a sobrevida e a qualidade de vida.</w:t>
      </w:r>
    </w:p>
    <w:p w14:paraId="7B97E85C" w14:textId="77777777" w:rsidR="005A65BC" w:rsidRDefault="005A65BC">
      <w:pPr>
        <w:spacing w:line="240" w:lineRule="auto"/>
        <w:rPr>
          <w:sz w:val="10"/>
          <w:szCs w:val="10"/>
        </w:rPr>
      </w:pPr>
    </w:p>
    <w:p w14:paraId="0DBA09D6" w14:textId="77777777" w:rsidR="005A65BC" w:rsidRDefault="00000000">
      <w:pPr>
        <w:spacing w:after="160" w:line="24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Palavras-chave: </w:t>
      </w:r>
      <w:r>
        <w:rPr>
          <w:sz w:val="22"/>
          <w:szCs w:val="22"/>
        </w:rPr>
        <w:t>ELA. TDP-43. Genes.</w:t>
      </w:r>
    </w:p>
    <w:p w14:paraId="0816D8FB" w14:textId="77777777" w:rsidR="00095062" w:rsidRDefault="00095062">
      <w:pPr>
        <w:spacing w:after="160" w:line="240" w:lineRule="auto"/>
      </w:pPr>
    </w:p>
    <w:p w14:paraId="35180653" w14:textId="77777777" w:rsidR="005A65BC" w:rsidRDefault="00000000">
      <w:pPr>
        <w:spacing w:line="276" w:lineRule="auto"/>
        <w:rPr>
          <w:b/>
        </w:rPr>
      </w:pPr>
      <w:r>
        <w:rPr>
          <w:b/>
        </w:rPr>
        <w:lastRenderedPageBreak/>
        <w:t>REFERÊNCIAS BIBLIOGRÁFICAS</w:t>
      </w:r>
    </w:p>
    <w:p w14:paraId="75B75EBD" w14:textId="77777777" w:rsidR="005A65BC" w:rsidRDefault="005A65BC">
      <w:pPr>
        <w:spacing w:line="240" w:lineRule="auto"/>
        <w:rPr>
          <w:sz w:val="20"/>
          <w:szCs w:val="20"/>
        </w:rPr>
      </w:pPr>
    </w:p>
    <w:p w14:paraId="16BA6888" w14:textId="77777777" w:rsidR="005A65BC" w:rsidRDefault="00000000">
      <w:p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ANDERSEN, P. M.; HARDIMAN, O. Amyotrophic lateral sclerosis: an update. </w:t>
      </w:r>
      <w:r>
        <w:rPr>
          <w:b/>
          <w:sz w:val="20"/>
          <w:szCs w:val="20"/>
        </w:rPr>
        <w:t>Current Opinion in Neurology</w:t>
      </w:r>
      <w:r>
        <w:rPr>
          <w:sz w:val="20"/>
          <w:szCs w:val="20"/>
        </w:rPr>
        <w:t xml:space="preserve">, v. 33, n. 5, p. 641-647, 2020. </w:t>
      </w:r>
    </w:p>
    <w:p w14:paraId="0848E43B" w14:textId="77777777" w:rsidR="005A65BC" w:rsidRDefault="005A65BC">
      <w:pPr>
        <w:spacing w:line="240" w:lineRule="auto"/>
        <w:jc w:val="left"/>
        <w:rPr>
          <w:sz w:val="20"/>
          <w:szCs w:val="20"/>
        </w:rPr>
      </w:pPr>
    </w:p>
    <w:p w14:paraId="6F684F19" w14:textId="4CA6A27A" w:rsidR="005A65BC" w:rsidRDefault="00000000">
      <w:p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HARDIMAN, O.; AL-CHALABI, A.; CHIO, A.; CORCIA, P.; ROBBINS, E.; SHAW, P. J. Amyotrophic lateral sclerosis. </w:t>
      </w:r>
      <w:r>
        <w:rPr>
          <w:b/>
          <w:sz w:val="20"/>
          <w:szCs w:val="20"/>
        </w:rPr>
        <w:t>Nature Reviews Disease Primers</w:t>
      </w:r>
      <w:r>
        <w:rPr>
          <w:sz w:val="20"/>
          <w:szCs w:val="20"/>
        </w:rPr>
        <w:t>, v. 3, n. 1, p. 17085, 2021. Disponível em: https://doi.org/10.1038/nrdp.2017.85..</w:t>
      </w:r>
    </w:p>
    <w:p w14:paraId="0FAF5D9B" w14:textId="77777777" w:rsidR="005A65BC" w:rsidRDefault="005A65BC">
      <w:pPr>
        <w:spacing w:line="240" w:lineRule="auto"/>
        <w:jc w:val="left"/>
        <w:rPr>
          <w:sz w:val="20"/>
          <w:szCs w:val="20"/>
        </w:rPr>
      </w:pPr>
    </w:p>
    <w:p w14:paraId="55A6CFF6" w14:textId="77777777" w:rsidR="005A65BC" w:rsidRDefault="00000000">
      <w:p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MORRIS, K. Advances in the genetics of amyotrophic lateral sclerosis. </w:t>
      </w:r>
      <w:r>
        <w:rPr>
          <w:b/>
          <w:sz w:val="20"/>
          <w:szCs w:val="20"/>
        </w:rPr>
        <w:t>Current Opinion in Genetics &amp; Development</w:t>
      </w:r>
      <w:r>
        <w:rPr>
          <w:sz w:val="20"/>
          <w:szCs w:val="20"/>
        </w:rPr>
        <w:t xml:space="preserve">, v. 65, p. 112-119, 2022. </w:t>
      </w:r>
    </w:p>
    <w:p w14:paraId="7B84E33C" w14:textId="77777777" w:rsidR="005A65BC" w:rsidRDefault="005A65BC">
      <w:pPr>
        <w:spacing w:line="240" w:lineRule="auto"/>
        <w:jc w:val="left"/>
        <w:rPr>
          <w:sz w:val="20"/>
          <w:szCs w:val="20"/>
        </w:rPr>
      </w:pPr>
    </w:p>
    <w:p w14:paraId="340E70F4" w14:textId="77777777" w:rsidR="005A65BC" w:rsidRDefault="00000000">
      <w:p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MILLER, R. G.; JACKSON, C. E.; KASARSKIS, E. J. et al. Practice parameter update: The care of the patient with amyotrophic lateral sclerosis: Drug, nutritional, and respiratory therapies (an evidence-based review). </w:t>
      </w:r>
      <w:r>
        <w:rPr>
          <w:b/>
          <w:sz w:val="20"/>
          <w:szCs w:val="20"/>
        </w:rPr>
        <w:t>Neurology</w:t>
      </w:r>
      <w:r>
        <w:rPr>
          <w:sz w:val="20"/>
          <w:szCs w:val="20"/>
        </w:rPr>
        <w:t xml:space="preserve">, v. 73, n. 15, p. 1218-1226, 2023. </w:t>
      </w:r>
    </w:p>
    <w:p w14:paraId="291019BB" w14:textId="77777777" w:rsidR="005A65BC" w:rsidRDefault="005A65BC">
      <w:pPr>
        <w:spacing w:line="240" w:lineRule="auto"/>
        <w:jc w:val="left"/>
        <w:rPr>
          <w:sz w:val="20"/>
          <w:szCs w:val="20"/>
        </w:rPr>
      </w:pPr>
    </w:p>
    <w:p w14:paraId="69B7F3A5" w14:textId="77777777" w:rsidR="005A65BC" w:rsidRDefault="00000000">
      <w:p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PETERS, O. M.; GITOYENKO, A.; JONES, R. A.; HINDLE, S. J. Amyotrophic lateral sclerosis: Molecular mechanisms and therapeutic strategies. </w:t>
      </w:r>
      <w:r>
        <w:rPr>
          <w:b/>
          <w:sz w:val="20"/>
          <w:szCs w:val="20"/>
        </w:rPr>
        <w:t>Journal of Neuroscience Research</w:t>
      </w:r>
      <w:r>
        <w:rPr>
          <w:sz w:val="20"/>
          <w:szCs w:val="20"/>
        </w:rPr>
        <w:t xml:space="preserve">, v. 98, n. 5, p. 967-980, 2020. </w:t>
      </w:r>
    </w:p>
    <w:p w14:paraId="510B038A" w14:textId="77777777" w:rsidR="005A65BC" w:rsidRDefault="005A65BC">
      <w:pPr>
        <w:spacing w:line="240" w:lineRule="auto"/>
        <w:jc w:val="left"/>
        <w:rPr>
          <w:sz w:val="20"/>
          <w:szCs w:val="20"/>
        </w:rPr>
      </w:pPr>
    </w:p>
    <w:p w14:paraId="2E93B5FA" w14:textId="77777777" w:rsidR="005A65BC" w:rsidRDefault="005A65BC">
      <w:pPr>
        <w:spacing w:line="240" w:lineRule="auto"/>
        <w:jc w:val="left"/>
        <w:rPr>
          <w:sz w:val="20"/>
          <w:szCs w:val="20"/>
        </w:rPr>
      </w:pPr>
    </w:p>
    <w:p w14:paraId="73B9006C" w14:textId="77777777" w:rsidR="005A65BC" w:rsidRDefault="005A65BC"/>
    <w:sectPr w:rsidR="005A65BC">
      <w:headerReference w:type="default" r:id="rId10"/>
      <w:footerReference w:type="default" r:id="rId11"/>
      <w:headerReference w:type="first" r:id="rId12"/>
      <w:footerReference w:type="first" r:id="rId13"/>
      <w:pgSz w:w="8419" w:h="11906"/>
      <w:pgMar w:top="0" w:right="170" w:bottom="0" w:left="170" w:header="709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432A1" w14:textId="77777777" w:rsidR="004B10C2" w:rsidRDefault="004B10C2">
      <w:pPr>
        <w:spacing w:line="240" w:lineRule="auto"/>
      </w:pPr>
      <w:r>
        <w:separator/>
      </w:r>
    </w:p>
  </w:endnote>
  <w:endnote w:type="continuationSeparator" w:id="0">
    <w:p w14:paraId="7E4AC5D0" w14:textId="77777777" w:rsidR="004B10C2" w:rsidRDefault="004B1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default"/>
  </w:font>
  <w:font w:name="BookmanITC Lt BT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Rotis SemiSans St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WGL4 BT">
    <w:panose1 w:val="00000000000000000000"/>
    <w:charset w:val="00"/>
    <w:family w:val="roman"/>
    <w:notTrueType/>
    <w:pitch w:val="default"/>
  </w:font>
  <w:font w:name="News Gothic Std">
    <w:altName w:val="News Gothic Std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roman"/>
    <w:notTrueType/>
    <w:pitch w:val="default"/>
  </w:font>
  <w:font w:name="Garamond BookCondensed">
    <w:altName w:val="Garamond BookCondensed"/>
    <w:panose1 w:val="00000000000000000000"/>
    <w:charset w:val="00"/>
    <w:family w:val="roman"/>
    <w:notTrueType/>
    <w:pitch w:val="default"/>
  </w:font>
  <w:font w:name="Palatin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936C2" w14:textId="77777777" w:rsidR="005A65B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eastAsia="Arial"/>
        <w:color w:val="000000"/>
      </w:rPr>
    </w:pPr>
    <w:r>
      <w:rPr>
        <w:rFonts w:eastAsia="Arial"/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rFonts w:eastAsia="Arial"/>
        <w:color w:val="000000"/>
      </w:rPr>
      <w:fldChar w:fldCharType="separate"/>
    </w:r>
    <w:r w:rsidR="00095062">
      <w:rPr>
        <w:rFonts w:eastAsia="Arial"/>
        <w:noProof/>
        <w:color w:val="000000"/>
      </w:rPr>
      <w:t>1</w:t>
    </w:r>
    <w:r>
      <w:rPr>
        <w:rFonts w:eastAsia="Arial"/>
        <w:color w:val="000000"/>
      </w:rPr>
      <w:fldChar w:fldCharType="end"/>
    </w:r>
  </w:p>
  <w:p w14:paraId="3FF68AFE" w14:textId="77777777" w:rsidR="005A65BC" w:rsidRDefault="005A65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F23E3" w14:textId="77777777" w:rsidR="005A65B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eastAsia="Arial"/>
        <w:color w:val="000000"/>
      </w:rPr>
    </w:pPr>
    <w:r>
      <w:rPr>
        <w:rFonts w:eastAsia="Arial"/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rFonts w:eastAsia="Arial"/>
        <w:color w:val="000000"/>
      </w:rPr>
      <w:fldChar w:fldCharType="separate"/>
    </w:r>
    <w:r>
      <w:rPr>
        <w:rFonts w:eastAsia="Arial"/>
        <w:color w:val="000000"/>
      </w:rPr>
      <w:fldChar w:fldCharType="end"/>
    </w:r>
  </w:p>
  <w:p w14:paraId="1E60ABEF" w14:textId="77777777" w:rsidR="005A65BC" w:rsidRDefault="005A65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84054" w14:textId="77777777" w:rsidR="004B10C2" w:rsidRDefault="004B10C2">
      <w:pPr>
        <w:spacing w:line="240" w:lineRule="auto"/>
      </w:pPr>
      <w:r>
        <w:separator/>
      </w:r>
    </w:p>
  </w:footnote>
  <w:footnote w:type="continuationSeparator" w:id="0">
    <w:p w14:paraId="1EFA83B7" w14:textId="77777777" w:rsidR="004B10C2" w:rsidRDefault="004B10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4FCBE" w14:textId="77777777" w:rsidR="005A65BC" w:rsidRDefault="00000000">
    <w:pPr>
      <w:tabs>
        <w:tab w:val="center" w:pos="4252"/>
        <w:tab w:val="right" w:pos="8504"/>
      </w:tabs>
      <w:spacing w:line="240" w:lineRule="auto"/>
      <w:jc w:val="center"/>
    </w:pPr>
    <w:r>
      <w:rPr>
        <w:noProof/>
      </w:rPr>
      <w:drawing>
        <wp:inline distT="0" distB="0" distL="0" distR="0" wp14:anchorId="7E05B36E" wp14:editId="3BC186B0">
          <wp:extent cx="761811" cy="53498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811" cy="534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tbl>
    <w:tblPr>
      <w:tblStyle w:val="a"/>
      <w:tblW w:w="6705" w:type="dxa"/>
      <w:tblInd w:w="0" w:type="dxa"/>
      <w:tblLayout w:type="fixed"/>
      <w:tblLook w:val="0600" w:firstRow="0" w:lastRow="0" w:firstColumn="0" w:lastColumn="0" w:noHBand="1" w:noVBand="1"/>
    </w:tblPr>
    <w:tblGrid>
      <w:gridCol w:w="2235"/>
      <w:gridCol w:w="2235"/>
      <w:gridCol w:w="2235"/>
    </w:tblGrid>
    <w:tr w:rsidR="005A65BC" w14:paraId="574A0D40" w14:textId="77777777">
      <w:tc>
        <w:tcPr>
          <w:tcW w:w="2235" w:type="dxa"/>
        </w:tcPr>
        <w:p w14:paraId="12E0CCE2" w14:textId="77777777" w:rsidR="005A65BC" w:rsidRDefault="005A65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-115"/>
            <w:jc w:val="left"/>
            <w:rPr>
              <w:rFonts w:eastAsia="Arial"/>
              <w:color w:val="000000"/>
            </w:rPr>
          </w:pPr>
        </w:p>
      </w:tc>
      <w:tc>
        <w:tcPr>
          <w:tcW w:w="2235" w:type="dxa"/>
        </w:tcPr>
        <w:p w14:paraId="5520B4FF" w14:textId="77777777" w:rsidR="005A65BC" w:rsidRDefault="005A65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eastAsia="Arial"/>
              <w:color w:val="000000"/>
            </w:rPr>
          </w:pPr>
        </w:p>
      </w:tc>
      <w:tc>
        <w:tcPr>
          <w:tcW w:w="2235" w:type="dxa"/>
        </w:tcPr>
        <w:p w14:paraId="62CC6BA2" w14:textId="77777777" w:rsidR="005A65BC" w:rsidRDefault="005A65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right="-115"/>
            <w:jc w:val="right"/>
            <w:rPr>
              <w:rFonts w:eastAsia="Arial"/>
              <w:color w:val="000000"/>
            </w:rPr>
          </w:pPr>
        </w:p>
      </w:tc>
    </w:tr>
  </w:tbl>
  <w:p w14:paraId="4EEB4390" w14:textId="77777777" w:rsidR="005A65BC" w:rsidRDefault="005A65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DAC7D" w14:textId="77777777" w:rsidR="005A65BC" w:rsidRDefault="00000000">
    <w:pPr>
      <w:spacing w:line="276" w:lineRule="auto"/>
      <w:jc w:val="center"/>
      <w:rPr>
        <w:sz w:val="12"/>
        <w:szCs w:val="12"/>
      </w:rPr>
    </w:pPr>
    <w:r>
      <w:rPr>
        <w:sz w:val="12"/>
        <w:szCs w:val="12"/>
      </w:rPr>
      <w:t>Educação em Saúde: Percepção de Profissionais atuantes na Atenção Básica à Saúde de um município paraibano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600AC4"/>
    <w:multiLevelType w:val="multilevel"/>
    <w:tmpl w:val="72CE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06612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5BC"/>
    <w:rsid w:val="00095062"/>
    <w:rsid w:val="004B10C2"/>
    <w:rsid w:val="00520C77"/>
    <w:rsid w:val="005A65BC"/>
    <w:rsid w:val="00845630"/>
    <w:rsid w:val="00E729D3"/>
    <w:rsid w:val="00FA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E2E2"/>
  <w15:docId w15:val="{5346C374-DE84-42D6-99D6-11942C43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rPr>
      <w:rFonts w:eastAsia="Times New Roman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eastAsia="Times New Roman"/>
      <w:b/>
      <w:bCs/>
      <w:color w:val="000000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/>
      <w:textAlignment w:val="baseline"/>
    </w:pPr>
    <w:rPr>
      <w:rFonts w:ascii="Times New Roman" w:eastAsia="Droid Sans" w:hAnsi="Times New Roman"/>
      <w:kern w:val="3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lang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60" w:line="240" w:lineRule="auto"/>
      <w:jc w:val="center"/>
    </w:pPr>
    <w:rPr>
      <w:rFonts w:ascii="Calibri" w:eastAsia="Calibri" w:hAnsi="Calibri" w:cs="Calibri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/>
      <w:lang w:eastAsia="zh-CN" w:bidi="hi-IN"/>
    </w:rPr>
  </w:style>
  <w:style w:type="numbering" w:customStyle="1" w:styleId="WW8Num5">
    <w:name w:val="WW8Num5"/>
    <w:basedOn w:val="Semlista"/>
    <w:rsid w:val="00CC233A"/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color w:val="000000"/>
      <w:kern w:val="1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eastAsia="Times New Roman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FA1D7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mannfernandes9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zi7gxyIfZaEjQy/MwIfXYRCT0w==">CgMxLjA4AHIhMXBSYVp0cDdBX1E0NDZPRHRMdHZzVEloZFE2T0Q4Sk8x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Gisa</dc:creator>
  <cp:lastModifiedBy>Thiago Jose Matos Rocha</cp:lastModifiedBy>
  <cp:revision>3</cp:revision>
  <dcterms:created xsi:type="dcterms:W3CDTF">2024-10-23T22:50:00Z</dcterms:created>
  <dcterms:modified xsi:type="dcterms:W3CDTF">2024-10-23T22:51:00Z</dcterms:modified>
</cp:coreProperties>
</file>