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DETECÇÃO PRECOCE EM CASOS DE TRANSPOSIÇÃO DAS GRANDES ARTÉRIAS: UMA REVISÃO INTEGRATIVA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Beatriz de Macedo Oliveira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¹,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Alice Gabriella da Silva Monteiro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²,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Kethylen Heloisa Nascimento de Lima²,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Larissa da Silva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França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²,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Joceline Cássia Ferezini de Sá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³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Departamento de Fisioterapia, Universidade Federal do Rio Grande do Norte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Departamento de Fisioterapia, Universidade Federal do Rio Grande do Norte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Departamento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Fisioterapia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Universidade Federal do Rio Grande do Norte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Autor correspondente: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oliveira.mariabeatriz842@gmail.com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As Cardiopatias Congênitas (CCs) são as anomalias graves mais frequentes em recém-nascidos e geralmente demandam rápida intervenção cirúrgica.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Dentre elas,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Transposição das Grandes Artérias (TGA) representa cerca de 3% das CCs cianóticas, e pode apresentar-se em sua forma simples ou associada a outras alterações da anatomia cardíaca.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TGA cursa com uma fisiopatologia que envolve circulação cruzada e oxigenação insuficiente dos tecidos. Mas, apesar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bem tolerada pelo feto, complicações cianóticas graves ocorrem logo após o nascimento. O tratamento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cirúrgico atua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corr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eção 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anatomia cardíaca e restaura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da circulação normal.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Embora haja sucesso cirúrgico na sobrevida,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taxa de mortalidade pré-operatória ainda é significativa.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Nesse contexto,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visamos avaliar se a detecção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precoce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uma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ferramenta 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álida e eficaz 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redução da morbidade, mortalidade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prevenção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outras complicações pós-natais em neonatos com TGA.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nalisar os desfechos clínicos em casos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TGA por meio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métodos diagnóstico precoces e intervenções cirúrgicas.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O estudo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consiste 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uma revisão integrativa realizada por meio da análise de artigos disponíveis na base de dados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PubMed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Science Direct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tendo o inglês e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português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como os idiomas de leitura estabelecidos. Os artigos examinados foram publicados no período indexado de 2014 a 2023, sendo selecionados conforme critérios de busca específicos. Como resultado, foram incluídos seis artigos que abordam a temática proposta.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detecção pr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ecoce de alterações anatômicas correspondentes a TGA possui forte correlação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 uma redução significativa no risco de mortalidade e outras complicações em neonatos.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 demonstrado que o diagnóstico prenatal encurtou os intervalos de tempo desde o nascimento até os cuidados neonatais e permitiu o acesso antecipado a um centro especializado de cirurgia. Formas de rastreio precoce por oximetria em neonatos também propiciam um atendimento corretivo imediato, antecipadamente à alta hospitalar. Desse modo, houve associação desses fatores a redução de óbitos neonatais e danos neurocognitivos ou de múltiplos órgãos nos casos pré-cirúrgicos de TGA.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Evidencia-se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impacto positivo da detecção precoce de TGA na sobrevida de neonatos. A identificação antecipada da TGA é um fator importante que contribui para a sobrevivência da criança, evitando problemas logísticos ou atrasos, o que leva a redução de mortes desnecessárias. Deve-se ressaltar que os indicadores de morbidade estão mais presentes em neonatos sem diagnóstico prenatal. A análise demonstra a importância da implementação de bons programas de rastreio pré-natal ou pós natal imediato, uma vez que a detecção precoce é uma ferramenta eficaz e contribui para desfechos clínicos positivos de neonatos com TGA.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Transposição das grandes artérias;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Detecção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precoce;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ortalidade;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orbidade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4F7F1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F7F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vW3w5PET5GR78dMgmq6E1FBaQ==">CgMxLjA4AHIhMWlNcVg4NUJ5b013SDVNZWhPN2d5VDZOMi0wbjJnUDhi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2023-10-30T19:12:00Z</dcterms:created>
</cp:coreProperties>
</file>