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45499" w14:textId="34DE6298" w:rsidR="00F900E9" w:rsidRDefault="00F900E9" w:rsidP="00D22A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D</w:t>
      </w:r>
      <w:r w:rsidR="008E373E">
        <w:rPr>
          <w:rFonts w:ascii="Times New Roman" w:hAnsi="Times New Roman" w:cs="Times New Roman"/>
          <w:b/>
          <w:sz w:val="28"/>
          <w:szCs w:val="24"/>
          <w:lang w:val="en-US"/>
        </w:rPr>
        <w:t>YNAMICS OF ROCK COLONIZATION BY LICHENS IN POLAR GLACIER FOREFIELDS</w:t>
      </w:r>
    </w:p>
    <w:p w14:paraId="2EE6A3BD" w14:textId="061A3417" w:rsidR="00D22A2A" w:rsidRPr="002E37F1" w:rsidRDefault="000C6653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s-ES"/>
        </w:rPr>
      </w:pPr>
      <w:r w:rsidRPr="002E37F1">
        <w:rPr>
          <w:rFonts w:ascii="Times" w:hAnsi="Times"/>
          <w:sz w:val="24"/>
          <w:szCs w:val="24"/>
          <w:lang w:val="es-ES"/>
        </w:rPr>
        <w:t xml:space="preserve">Isaac </w:t>
      </w:r>
      <w:r w:rsidR="002E37F1" w:rsidRPr="002E37F1">
        <w:rPr>
          <w:rFonts w:ascii="Times" w:hAnsi="Times"/>
          <w:sz w:val="24"/>
          <w:szCs w:val="24"/>
          <w:lang w:val="es-ES"/>
        </w:rPr>
        <w:t>Garrido-Benavent</w:t>
      </w:r>
      <w:r w:rsidR="0062477E" w:rsidRPr="002E37F1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41562C" w:rsidRPr="002E37F1">
        <w:rPr>
          <w:rFonts w:ascii="Times" w:hAnsi="Times"/>
          <w:sz w:val="24"/>
          <w:szCs w:val="24"/>
          <w:vertAlign w:val="superscript"/>
          <w:lang w:val="es-ES"/>
        </w:rPr>
        <w:t>*</w:t>
      </w:r>
      <w:r w:rsidR="0062477E" w:rsidRPr="002E37F1">
        <w:rPr>
          <w:rFonts w:ascii="Times" w:hAnsi="Times"/>
          <w:sz w:val="24"/>
          <w:szCs w:val="24"/>
          <w:lang w:val="es-ES"/>
        </w:rPr>
        <w:t xml:space="preserve">; </w:t>
      </w:r>
      <w:r w:rsidRPr="002E37F1">
        <w:rPr>
          <w:rFonts w:ascii="Times" w:hAnsi="Times"/>
          <w:sz w:val="24"/>
          <w:szCs w:val="24"/>
          <w:lang w:val="es-ES"/>
        </w:rPr>
        <w:t xml:space="preserve">Sergio </w:t>
      </w:r>
      <w:r w:rsidR="002E37F1" w:rsidRPr="002E37F1">
        <w:rPr>
          <w:rFonts w:ascii="Times" w:hAnsi="Times"/>
          <w:sz w:val="24"/>
          <w:szCs w:val="24"/>
          <w:lang w:val="es-ES"/>
        </w:rPr>
        <w:t>Pérez-Ortega</w:t>
      </w:r>
      <w:r w:rsidR="0062477E" w:rsidRPr="002E37F1">
        <w:rPr>
          <w:rFonts w:ascii="Times" w:hAnsi="Times"/>
          <w:sz w:val="24"/>
          <w:szCs w:val="24"/>
          <w:vertAlign w:val="superscript"/>
          <w:lang w:val="es-ES"/>
        </w:rPr>
        <w:t>2</w:t>
      </w:r>
      <w:r w:rsidR="0041562C" w:rsidRPr="002E37F1">
        <w:rPr>
          <w:rFonts w:ascii="Times" w:hAnsi="Times"/>
          <w:sz w:val="24"/>
          <w:szCs w:val="24"/>
          <w:lang w:val="es-ES"/>
        </w:rPr>
        <w:t xml:space="preserve">; </w:t>
      </w:r>
      <w:proofErr w:type="spellStart"/>
      <w:r w:rsidRPr="00DB4A77">
        <w:rPr>
          <w:rFonts w:ascii="Times" w:hAnsi="Times"/>
          <w:sz w:val="24"/>
          <w:szCs w:val="24"/>
          <w:lang w:val="es-ES"/>
        </w:rPr>
        <w:t>Starri</w:t>
      </w:r>
      <w:proofErr w:type="spellEnd"/>
      <w:r w:rsidRPr="00DB4A77">
        <w:rPr>
          <w:rFonts w:ascii="Times" w:hAnsi="Times"/>
          <w:sz w:val="24"/>
          <w:szCs w:val="24"/>
          <w:lang w:val="es-ES"/>
        </w:rPr>
        <w:t xml:space="preserve"> </w:t>
      </w:r>
      <w:r w:rsidR="00711734" w:rsidRPr="00DB4A77">
        <w:rPr>
          <w:rFonts w:ascii="Times" w:hAnsi="Times"/>
          <w:sz w:val="24"/>
          <w:szCs w:val="24"/>
          <w:lang w:val="es-ES"/>
        </w:rPr>
        <w:t>Heiðmarsson</w:t>
      </w:r>
      <w:r w:rsidR="00711734" w:rsidRPr="00DB4A77">
        <w:rPr>
          <w:rFonts w:ascii="Times" w:hAnsi="Times"/>
          <w:sz w:val="24"/>
          <w:szCs w:val="24"/>
          <w:vertAlign w:val="superscript"/>
          <w:lang w:val="es-ES"/>
        </w:rPr>
        <w:t>3</w:t>
      </w:r>
      <w:r w:rsidR="00711734" w:rsidRPr="00DB4A77">
        <w:rPr>
          <w:rFonts w:ascii="Times" w:hAnsi="Times"/>
          <w:sz w:val="24"/>
          <w:szCs w:val="24"/>
          <w:lang w:val="es-ES"/>
        </w:rPr>
        <w:t xml:space="preserve">; </w:t>
      </w:r>
      <w:r w:rsidRPr="002E37F1">
        <w:rPr>
          <w:rFonts w:ascii="Times" w:hAnsi="Times"/>
          <w:sz w:val="24"/>
          <w:szCs w:val="24"/>
          <w:lang w:val="es-ES"/>
        </w:rPr>
        <w:t xml:space="preserve">Asunción </w:t>
      </w:r>
      <w:r w:rsidR="002E37F1" w:rsidRPr="002E37F1">
        <w:rPr>
          <w:rFonts w:ascii="Times" w:hAnsi="Times"/>
          <w:sz w:val="24"/>
          <w:szCs w:val="24"/>
          <w:lang w:val="es-ES"/>
        </w:rPr>
        <w:t>de los Ríos</w:t>
      </w:r>
      <w:r w:rsidR="0041562C" w:rsidRPr="002E37F1">
        <w:rPr>
          <w:rFonts w:ascii="Times" w:hAnsi="Times"/>
          <w:sz w:val="24"/>
          <w:szCs w:val="24"/>
          <w:vertAlign w:val="superscript"/>
          <w:lang w:val="es-ES"/>
        </w:rPr>
        <w:t>1</w:t>
      </w:r>
    </w:p>
    <w:p w14:paraId="612446E0" w14:textId="42BBD697" w:rsidR="00D22A2A" w:rsidRPr="002E37F1" w:rsidRDefault="00D22A2A" w:rsidP="00D22A2A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2E37F1">
        <w:rPr>
          <w:rFonts w:ascii="Times" w:hAnsi="Times"/>
          <w:sz w:val="24"/>
          <w:szCs w:val="24"/>
          <w:vertAlign w:val="superscript"/>
          <w:lang w:val="en-US"/>
        </w:rPr>
        <w:t>1</w:t>
      </w:r>
      <w:proofErr w:type="spellStart"/>
      <w:r w:rsidR="002E37F1" w:rsidRPr="002E37F1">
        <w:rPr>
          <w:rFonts w:ascii="Times New Roman" w:hAnsi="Times New Roman" w:cs="Times New Roman"/>
        </w:rPr>
        <w:t>Dept</w:t>
      </w:r>
      <w:proofErr w:type="spellEnd"/>
      <w:r w:rsidR="002E37F1" w:rsidRPr="002E37F1">
        <w:rPr>
          <w:rFonts w:ascii="Times New Roman" w:hAnsi="Times New Roman" w:cs="Times New Roman"/>
        </w:rPr>
        <w:t xml:space="preserve">. </w:t>
      </w:r>
      <w:r w:rsidR="002E37F1" w:rsidRPr="002E37F1">
        <w:rPr>
          <w:rFonts w:ascii="Times New Roman" w:hAnsi="Times New Roman" w:cs="Times New Roman"/>
          <w:lang w:val="en-US"/>
        </w:rPr>
        <w:t xml:space="preserve">Biogeochemistry and Microbial Ecology, National Museum of Natural Sciences (CSIC), </w:t>
      </w:r>
      <w:r w:rsidR="002E37F1" w:rsidRPr="002E37F1">
        <w:rPr>
          <w:rFonts w:ascii="Times New Roman" w:hAnsi="Times New Roman" w:cs="Times New Roman"/>
        </w:rPr>
        <w:t>28002 Madrid,</w:t>
      </w:r>
      <w:r w:rsidR="002E37F1" w:rsidRPr="002E37F1">
        <w:rPr>
          <w:rFonts w:ascii="Times New Roman" w:hAnsi="Times New Roman" w:cs="Times New Roman"/>
          <w:lang w:val="en-US"/>
        </w:rPr>
        <w:t xml:space="preserve"> </w:t>
      </w:r>
      <w:r w:rsidR="002E37F1" w:rsidRPr="002E37F1">
        <w:rPr>
          <w:rFonts w:ascii="Times New Roman" w:hAnsi="Times New Roman" w:cs="Times New Roman"/>
        </w:rPr>
        <w:t>Spain</w:t>
      </w:r>
      <w:r w:rsidRPr="002E37F1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2E37F1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proofErr w:type="spellStart"/>
      <w:r w:rsidR="002E37F1" w:rsidRPr="002E37F1">
        <w:rPr>
          <w:rFonts w:ascii="Times New Roman" w:hAnsi="Times New Roman" w:cs="Times New Roman"/>
        </w:rPr>
        <w:t>Dept</w:t>
      </w:r>
      <w:proofErr w:type="spellEnd"/>
      <w:r w:rsidR="002E37F1" w:rsidRPr="002E37F1">
        <w:rPr>
          <w:rFonts w:ascii="Times New Roman" w:hAnsi="Times New Roman" w:cs="Times New Roman"/>
        </w:rPr>
        <w:t xml:space="preserve">. </w:t>
      </w:r>
      <w:r w:rsidR="002E37F1" w:rsidRPr="002E37F1">
        <w:rPr>
          <w:rFonts w:ascii="Times New Roman" w:hAnsi="Times New Roman" w:cs="Times New Roman"/>
          <w:lang w:val="en-US"/>
        </w:rPr>
        <w:t xml:space="preserve">Mycology, </w:t>
      </w:r>
      <w:r w:rsidR="002E37F1" w:rsidRPr="002E37F1">
        <w:rPr>
          <w:rFonts w:ascii="Times New Roman" w:hAnsi="Times New Roman" w:cs="Times New Roman"/>
        </w:rPr>
        <w:t xml:space="preserve">Real </w:t>
      </w:r>
      <w:proofErr w:type="spellStart"/>
      <w:r w:rsidR="002E37F1" w:rsidRPr="002E37F1">
        <w:rPr>
          <w:rFonts w:ascii="Times New Roman" w:hAnsi="Times New Roman" w:cs="Times New Roman"/>
        </w:rPr>
        <w:t>Jardín</w:t>
      </w:r>
      <w:proofErr w:type="spellEnd"/>
      <w:r w:rsidR="002E37F1" w:rsidRPr="002E37F1">
        <w:rPr>
          <w:rFonts w:ascii="Times New Roman" w:hAnsi="Times New Roman" w:cs="Times New Roman"/>
        </w:rPr>
        <w:t xml:space="preserve"> </w:t>
      </w:r>
      <w:proofErr w:type="spellStart"/>
      <w:r w:rsidR="002E37F1" w:rsidRPr="002E37F1">
        <w:rPr>
          <w:rFonts w:ascii="Times New Roman" w:hAnsi="Times New Roman" w:cs="Times New Roman"/>
        </w:rPr>
        <w:t>Botánico</w:t>
      </w:r>
      <w:proofErr w:type="spellEnd"/>
      <w:r w:rsidR="002E37F1" w:rsidRPr="002E37F1">
        <w:rPr>
          <w:rFonts w:ascii="Times New Roman" w:hAnsi="Times New Roman" w:cs="Times New Roman"/>
        </w:rPr>
        <w:t xml:space="preserve"> (CSIC), 28014 Madrid, Spain</w:t>
      </w:r>
      <w:r w:rsidR="0041562C" w:rsidRPr="002E37F1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711734" w:rsidRPr="00711734">
        <w:rPr>
          <w:rFonts w:eastAsiaTheme="minorEastAsia"/>
          <w:sz w:val="24"/>
          <w:szCs w:val="18"/>
          <w:lang w:val="en-US" w:eastAsia="es-ES"/>
        </w:rPr>
        <w:t xml:space="preserve"> </w:t>
      </w:r>
      <w:r w:rsidR="00711734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711734" w:rsidRPr="00711734">
        <w:rPr>
          <w:rFonts w:ascii="Times New Roman" w:hAnsi="Times New Roman" w:cs="Times New Roman"/>
          <w:lang w:val="en-US"/>
        </w:rPr>
        <w:t xml:space="preserve">Icelandic Institute of Natural History, </w:t>
      </w:r>
      <w:proofErr w:type="spellStart"/>
      <w:r w:rsidR="00711734" w:rsidRPr="00711734">
        <w:rPr>
          <w:rFonts w:ascii="Times New Roman" w:hAnsi="Times New Roman" w:cs="Times New Roman"/>
          <w:lang w:val="en-US"/>
        </w:rPr>
        <w:t>Borgir</w:t>
      </w:r>
      <w:proofErr w:type="spellEnd"/>
      <w:r w:rsidR="00711734" w:rsidRPr="00711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1734" w:rsidRPr="00711734">
        <w:rPr>
          <w:rFonts w:ascii="Times New Roman" w:hAnsi="Times New Roman" w:cs="Times New Roman"/>
          <w:lang w:val="en-US"/>
        </w:rPr>
        <w:t>Norðurslóð</w:t>
      </w:r>
      <w:proofErr w:type="spellEnd"/>
      <w:r w:rsidR="00711734" w:rsidRPr="00711734">
        <w:rPr>
          <w:rFonts w:ascii="Times New Roman" w:hAnsi="Times New Roman" w:cs="Times New Roman"/>
          <w:lang w:val="en-US"/>
        </w:rPr>
        <w:t xml:space="preserve">, IS-600 </w:t>
      </w:r>
      <w:proofErr w:type="spellStart"/>
      <w:r w:rsidR="00711734" w:rsidRPr="00711734">
        <w:rPr>
          <w:rFonts w:ascii="Times New Roman" w:hAnsi="Times New Roman" w:cs="Times New Roman"/>
          <w:lang w:val="en-US"/>
        </w:rPr>
        <w:t>Akureyri</w:t>
      </w:r>
      <w:proofErr w:type="spellEnd"/>
      <w:r w:rsidR="00711734" w:rsidRPr="00711734">
        <w:rPr>
          <w:rFonts w:ascii="Times New Roman" w:hAnsi="Times New Roman" w:cs="Times New Roman"/>
          <w:lang w:val="en-US"/>
        </w:rPr>
        <w:t>, Iceland;</w:t>
      </w:r>
      <w:r w:rsidR="0041562C" w:rsidRPr="002E37F1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2E37F1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2E37F1">
        <w:rPr>
          <w:rFonts w:ascii="Times" w:hAnsi="Times"/>
          <w:color w:val="000000" w:themeColor="text1"/>
          <w:sz w:val="24"/>
          <w:szCs w:val="24"/>
          <w:lang w:val="en-US"/>
        </w:rPr>
        <w:t xml:space="preserve">E-mail: </w:t>
      </w:r>
      <w:r w:rsidR="002E37F1" w:rsidRPr="002E37F1">
        <w:rPr>
          <w:rFonts w:ascii="Times" w:hAnsi="Times"/>
          <w:color w:val="000000" w:themeColor="text1"/>
          <w:sz w:val="24"/>
          <w:szCs w:val="24"/>
          <w:lang w:val="en-US"/>
        </w:rPr>
        <w:t>igbenavent@mncn.csic.es</w:t>
      </w:r>
    </w:p>
    <w:p w14:paraId="47BFE893" w14:textId="77777777" w:rsidR="00D22A2A" w:rsidRPr="002E37F1" w:rsidRDefault="00D22A2A" w:rsidP="00D22A2A">
      <w:pPr>
        <w:rPr>
          <w:rStyle w:val="Hipervnculo"/>
          <w:rFonts w:ascii="Times" w:hAnsi="Times"/>
          <w:sz w:val="24"/>
          <w:szCs w:val="24"/>
          <w:lang w:val="en-US"/>
        </w:rPr>
      </w:pPr>
    </w:p>
    <w:p w14:paraId="60906D28" w14:textId="0C586CA6" w:rsidR="000C6653" w:rsidRDefault="004C5B03" w:rsidP="009867C3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important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consequence of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glacier retreat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is that </w:t>
      </w:r>
      <w:r w:rsidR="008D2F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new </w:t>
      </w:r>
      <w:r w:rsidR="002F2F4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land</w:t>
      </w:r>
      <w:r w:rsidR="00E82EF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F2F4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is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gradually</w:t>
      </w:r>
      <w:r w:rsidR="00E82EF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exposed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and, therefore, </w:t>
      </w:r>
      <w:r w:rsidR="00E82EF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different lithic habitats are 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susceptible to biological colonization. Microorganisms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including fungi,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are the first colonizers </w:t>
      </w:r>
      <w:r w:rsidR="00E82EF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 starting point of primary succession processes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05415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Lichens become conspicuous i</w:t>
      </w:r>
      <w:r w:rsidR="0086559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 subsequent successional states. </w:t>
      </w:r>
      <w:r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 this study, </w:t>
      </w:r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 examined colonization and succession patterns in pioneering fungal and algal communities developing on moraine rocks at the Hurd Glacier </w:t>
      </w:r>
      <w:proofErr w:type="spellStart"/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forefield</w:t>
      </w:r>
      <w:proofErr w:type="spellEnd"/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(Livingston Island, Antarctica). Rock samples were collected along a three-stage </w:t>
      </w:r>
      <w:proofErr w:type="spellStart"/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chronosequence</w:t>
      </w:r>
      <w:proofErr w:type="spellEnd"/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representing &lt;1, ca. 13 and 23 years since ice retreat. Illumina </w:t>
      </w:r>
      <w:proofErr w:type="spellStart"/>
      <w:r w:rsidR="004903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MySeq</w:t>
      </w:r>
      <w:proofErr w:type="spellEnd"/>
      <w:r w:rsidR="004903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amplicon sequencing </w:t>
      </w:r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scanning electron microscopy (SEM-BSE)</w:t>
      </w:r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were combined to </w:t>
      </w:r>
      <w:r w:rsidR="00DD616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examine the presence of</w:t>
      </w:r>
      <w:r w:rsidR="00DD616D"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 associations</w:t>
      </w:r>
      <w:r w:rsidR="00DD616D"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at different successional stages and </w:t>
      </w:r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to assess </w:t>
      </w:r>
      <w:r w:rsidR="00DD616D"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specific </w:t>
      </w:r>
      <w:r w:rsidR="008E080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rock </w:t>
      </w:r>
      <w:r w:rsidR="00DD616D"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colonization features of polar </w:t>
      </w:r>
      <w:proofErr w:type="spellStart"/>
      <w:r w:rsidR="00DD616D"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deglaciated</w:t>
      </w:r>
      <w:proofErr w:type="spellEnd"/>
      <w:r w:rsidR="00DD616D" w:rsidRPr="004C5B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areas</w:t>
      </w:r>
      <w:r w:rsidR="0005415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EE029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lithobiontic fungal amplicon sequence dataset clustered into 586 OTUs</w:t>
      </w:r>
      <w:r w:rsidR="00DB606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(and</w:t>
      </w:r>
      <w:r w:rsidR="00EE029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563 Amplicon Sequence Variants</w:t>
      </w:r>
      <w:r w:rsidR="00DB606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EE029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ASVs). T</w:t>
      </w:r>
      <w:r w:rsidR="00B072F8" w:rsidRPr="00B072F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he most abundant </w:t>
      </w:r>
      <w:r w:rsidR="00DB606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lineage</w:t>
      </w:r>
      <w:r w:rsidR="00B072F8" w:rsidRPr="00B072F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was the </w:t>
      </w:r>
      <w:r w:rsid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Ascomycota</w:t>
      </w:r>
      <w:r w:rsidR="00B072F8" w:rsidRPr="00B072F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with </w:t>
      </w:r>
      <w:proofErr w:type="spellStart"/>
      <w:r w:rsidR="00B072F8" w:rsidRPr="00B072F8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Lecanoromycetes</w:t>
      </w:r>
      <w:proofErr w:type="spellEnd"/>
      <w:r w:rsidR="00B072F8" w:rsidRPr="00B072F8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072F8" w:rsidRPr="00B072F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(</w:t>
      </w:r>
      <w:proofErr w:type="spellStart"/>
      <w:r w:rsidR="00B072F8" w:rsidRPr="00B072F8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Caliciaceae</w:t>
      </w:r>
      <w:proofErr w:type="spellEnd"/>
      <w:r w:rsidR="00B072F8" w:rsidRPr="00B072F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B072F8" w:rsidRPr="00B072F8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Umbilicariaceae</w:t>
      </w:r>
      <w:proofErr w:type="spellEnd"/>
      <w:r w:rsidR="00B072F8" w:rsidRPr="00B072F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and </w:t>
      </w:r>
      <w:proofErr w:type="spellStart"/>
      <w:r w:rsidR="00B072F8" w:rsidRPr="00B072F8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Lecanoraceae</w:t>
      </w:r>
      <w:proofErr w:type="spellEnd"/>
      <w:r w:rsidR="00B072F8" w:rsidRPr="00B072F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) </w:t>
      </w:r>
      <w:r w:rsidR="00B072F8" w:rsidRPr="00B072F8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as dominant classes and families. </w:t>
      </w:r>
      <w:r w:rsidR="002043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Along the </w:t>
      </w:r>
      <w:proofErr w:type="spellStart"/>
      <w:r w:rsidR="002043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chronosequence</w:t>
      </w:r>
      <w:proofErr w:type="spellEnd"/>
      <w:r w:rsidR="002043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an increase in relative abundance with time was found for </w:t>
      </w:r>
      <w:proofErr w:type="spellStart"/>
      <w:r w:rsidR="00204369" w:rsidRP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Eurotiomycetes</w:t>
      </w:r>
      <w:proofErr w:type="spellEnd"/>
      <w:r w:rsidR="002043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proofErr w:type="spellStart"/>
      <w:r w:rsidR="00204369" w:rsidRP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Lecanoromycetes</w:t>
      </w:r>
      <w:proofErr w:type="spellEnd"/>
      <w:r w:rsidR="00DB60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, including several lichen-forming fungal genera (</w:t>
      </w:r>
      <w:proofErr w:type="spellStart"/>
      <w:r w:rsidR="00DB6069" w:rsidRP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Austroplaca</w:t>
      </w:r>
      <w:proofErr w:type="spellEnd"/>
      <w:r w:rsidR="00DB6069" w:rsidRPr="00B072F8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DB6069" w:rsidRP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Buellia</w:t>
      </w:r>
      <w:proofErr w:type="spellEnd"/>
      <w:r w:rsidR="00DB6069" w:rsidRPr="00B072F8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DB6069" w:rsidRP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Mastodia</w:t>
      </w:r>
      <w:proofErr w:type="spellEnd"/>
      <w:r w:rsidR="00DB6069" w:rsidRPr="00B072F8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DB6069" w:rsidRP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Umbilicaria</w:t>
      </w:r>
      <w:proofErr w:type="spellEnd"/>
      <w:r w:rsidR="00DB6069" w:rsidRPr="00B072F8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="00DB6069" w:rsidRPr="00DB606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Verrucaria</w:t>
      </w:r>
      <w:r w:rsidR="00DB60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).</w:t>
      </w:r>
      <w:r w:rsidR="00DB6069" w:rsidRPr="00B072F8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043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This agreed with our SEM-BSE observations, which revealed intimate fungal-algal </w:t>
      </w:r>
      <w:r w:rsidR="006640D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interactions</w:t>
      </w:r>
      <w:r w:rsidR="002043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in some cavities and fissures in rocks from areas being ice-free for 23 years</w:t>
      </w:r>
      <w:r w:rsidR="00DB60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, although thalli were not observed on the rock surface</w:t>
      </w:r>
      <w:r w:rsidR="0020436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BF567D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054153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develop</w:t>
      </w:r>
      <w:r w:rsidR="00BF567D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ment of lichen thalli</w:t>
      </w:r>
      <w:r w:rsidR="00054153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which occurred only at the latest successional state, </w:t>
      </w:r>
      <w:r w:rsidR="00BF567D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induce</w:t>
      </w:r>
      <w:r w:rsidR="0086559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d</w:t>
      </w:r>
      <w:r w:rsidR="00BF567D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the higher impacts on the c</w:t>
      </w:r>
      <w:r w:rsidR="00865599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BF567D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lonized rock surface.</w:t>
      </w:r>
      <w:r w:rsidR="006640D9" w:rsidRP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Finally, we compare</w:t>
      </w:r>
      <w:r w:rsidR="00B7175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</w:t>
      </w:r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our results with data from glacier </w:t>
      </w:r>
      <w:proofErr w:type="spellStart"/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forefields</w:t>
      </w:r>
      <w:proofErr w:type="spellEnd"/>
      <w:r w:rsidR="006640D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other polar regions in th</w:t>
      </w:r>
      <w:r w:rsidR="00B7175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 Northern Hemis</w:t>
      </w:r>
      <w:r w:rsidR="000C665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</w:t>
      </w:r>
      <w:r w:rsidR="00B7175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here with a higher development of </w:t>
      </w:r>
      <w:r w:rsidR="007B6A9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 communities</w:t>
      </w:r>
      <w:r w:rsidR="00B7175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All in all, although thalli often remain invisible to the naked eye, lithobiontic lichen associations do occur and change over time in </w:t>
      </w:r>
      <w:proofErr w:type="spellStart"/>
      <w:r w:rsidR="00B7175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forefields</w:t>
      </w:r>
      <w:proofErr w:type="spellEnd"/>
      <w:r w:rsidR="00B7175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retreating glaciers, thus contributing to successional processes.</w:t>
      </w:r>
      <w:bookmarkStart w:id="0" w:name="_GoBack"/>
      <w:bookmarkEnd w:id="0"/>
      <w:r w:rsidR="00175BD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C6653" w:rsidRPr="000C6653">
        <w:rPr>
          <w:rFonts w:ascii="Times" w:hAnsi="Times"/>
          <w:color w:val="000000"/>
          <w:sz w:val="24"/>
          <w:szCs w:val="24"/>
          <w:bdr w:val="none" w:sz="0" w:space="0" w:color="auto" w:frame="1"/>
          <w:lang w:val="en-GB"/>
        </w:rPr>
        <w:t xml:space="preserve">Funding: (MINECO, </w:t>
      </w:r>
      <w:r w:rsidR="000C6653" w:rsidRPr="000C6653">
        <w:rPr>
          <w:rFonts w:ascii="Times" w:hAnsi="Times"/>
          <w:color w:val="000000"/>
          <w:sz w:val="24"/>
          <w:szCs w:val="24"/>
          <w:bdr w:val="none" w:sz="0" w:space="0" w:color="auto" w:frame="1"/>
        </w:rPr>
        <w:t>CTM2015-64728-C2-2-R)</w:t>
      </w:r>
    </w:p>
    <w:sectPr w:rsidR="000C6653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54153"/>
    <w:rsid w:val="000C0216"/>
    <w:rsid w:val="000C6653"/>
    <w:rsid w:val="000E504D"/>
    <w:rsid w:val="000F146E"/>
    <w:rsid w:val="00175BDB"/>
    <w:rsid w:val="00200EAE"/>
    <w:rsid w:val="00204369"/>
    <w:rsid w:val="00215F6C"/>
    <w:rsid w:val="00226CB5"/>
    <w:rsid w:val="002416A1"/>
    <w:rsid w:val="00260A60"/>
    <w:rsid w:val="002E37F1"/>
    <w:rsid w:val="002F2F4B"/>
    <w:rsid w:val="002F4395"/>
    <w:rsid w:val="0041562C"/>
    <w:rsid w:val="004903CC"/>
    <w:rsid w:val="004B6A8B"/>
    <w:rsid w:val="004C5B03"/>
    <w:rsid w:val="005F6722"/>
    <w:rsid w:val="0062477E"/>
    <w:rsid w:val="00641F0A"/>
    <w:rsid w:val="006640D9"/>
    <w:rsid w:val="006C6BAE"/>
    <w:rsid w:val="00711734"/>
    <w:rsid w:val="007B6A9A"/>
    <w:rsid w:val="008319A6"/>
    <w:rsid w:val="00865599"/>
    <w:rsid w:val="00894CF2"/>
    <w:rsid w:val="008D2FE9"/>
    <w:rsid w:val="008E080A"/>
    <w:rsid w:val="008E373E"/>
    <w:rsid w:val="00952F87"/>
    <w:rsid w:val="009867C3"/>
    <w:rsid w:val="00997E95"/>
    <w:rsid w:val="00A513F6"/>
    <w:rsid w:val="00AF404B"/>
    <w:rsid w:val="00B072F8"/>
    <w:rsid w:val="00B63FA9"/>
    <w:rsid w:val="00B71756"/>
    <w:rsid w:val="00BD2764"/>
    <w:rsid w:val="00BF567D"/>
    <w:rsid w:val="00D16A58"/>
    <w:rsid w:val="00D22A2A"/>
    <w:rsid w:val="00D33B09"/>
    <w:rsid w:val="00DB4A77"/>
    <w:rsid w:val="00DB6069"/>
    <w:rsid w:val="00DD616D"/>
    <w:rsid w:val="00E74D8F"/>
    <w:rsid w:val="00E7764D"/>
    <w:rsid w:val="00E82EFD"/>
    <w:rsid w:val="00EE0295"/>
    <w:rsid w:val="00F44110"/>
    <w:rsid w:val="00F900E9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E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FD"/>
    <w:rPr>
      <w:rFonts w:ascii="Lucida Grande" w:eastAsiaTheme="minorHAnsi" w:hAnsi="Lucida Grande" w:cs="Lucida Grande"/>
      <w:sz w:val="18"/>
      <w:szCs w:val="18"/>
      <w:lang w:val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E82EF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2EF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2EFD"/>
    <w:rPr>
      <w:rFonts w:eastAsiaTheme="minorHAnsi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EF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EFD"/>
    <w:rPr>
      <w:rFonts w:eastAsiaTheme="minorHAnsi"/>
      <w:b/>
      <w:bCs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E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FD"/>
    <w:rPr>
      <w:rFonts w:ascii="Lucida Grande" w:eastAsiaTheme="minorHAnsi" w:hAnsi="Lucida Grande" w:cs="Lucida Grande"/>
      <w:sz w:val="18"/>
      <w:szCs w:val="18"/>
      <w:lang w:val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E82EF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2EF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2EFD"/>
    <w:rPr>
      <w:rFonts w:eastAsiaTheme="minorHAnsi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EF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EFD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I</cp:lastModifiedBy>
  <cp:revision>6</cp:revision>
  <dcterms:created xsi:type="dcterms:W3CDTF">2019-12-18T16:16:00Z</dcterms:created>
  <dcterms:modified xsi:type="dcterms:W3CDTF">2019-12-20T12:34:00Z</dcterms:modified>
</cp:coreProperties>
</file>