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1FDE" w14:textId="32A08F8D" w:rsidR="00266ADD" w:rsidRDefault="00000000">
      <w:pPr>
        <w:spacing w:line="240" w:lineRule="auto"/>
        <w:jc w:val="both"/>
        <w:rPr>
          <w:rFonts w:ascii="Arial" w:eastAsia="Arial" w:hAnsi="Arial" w:cs="Arial"/>
          <w:sz w:val="24"/>
          <w:szCs w:val="24"/>
        </w:rPr>
      </w:pPr>
      <w:r>
        <w:rPr>
          <w:rFonts w:ascii="Arial" w:eastAsia="Arial" w:hAnsi="Arial" w:cs="Arial"/>
          <w:b/>
          <w:sz w:val="24"/>
          <w:szCs w:val="24"/>
        </w:rPr>
        <w:t>O MANEJO DA SÍNDROME D</w:t>
      </w:r>
      <w:r w:rsidR="00C51332">
        <w:rPr>
          <w:rFonts w:ascii="Arial" w:eastAsia="Arial" w:hAnsi="Arial" w:cs="Arial"/>
          <w:b/>
          <w:sz w:val="24"/>
          <w:szCs w:val="24"/>
        </w:rPr>
        <w:t>E</w:t>
      </w:r>
      <w:r>
        <w:rPr>
          <w:rFonts w:ascii="Arial" w:eastAsia="Arial" w:hAnsi="Arial" w:cs="Arial"/>
          <w:b/>
          <w:sz w:val="24"/>
          <w:szCs w:val="24"/>
        </w:rPr>
        <w:t xml:space="preserve"> HIPERESTIMULAÇÃO OVARIANA NA PRÁTICA DA FERTILIZAÇÃO IN VITRO PARA TRATAMENTO DA INFERTILIDADE.</w:t>
      </w:r>
    </w:p>
    <w:p w14:paraId="18A066C4" w14:textId="6A7E967C" w:rsidR="00834509" w:rsidRDefault="00000000">
      <w:pPr>
        <w:spacing w:line="240" w:lineRule="auto"/>
        <w:jc w:val="both"/>
        <w:rPr>
          <w:rFonts w:ascii="Arial" w:eastAsia="Arial" w:hAnsi="Arial" w:cs="Arial"/>
          <w:sz w:val="24"/>
          <w:szCs w:val="24"/>
          <w:vertAlign w:val="superscript"/>
        </w:rPr>
      </w:pPr>
      <w:r>
        <w:rPr>
          <w:rFonts w:ascii="Arial" w:eastAsia="Arial" w:hAnsi="Arial" w:cs="Arial"/>
          <w:b/>
          <w:sz w:val="24"/>
          <w:szCs w:val="24"/>
          <w:u w:val="single"/>
        </w:rPr>
        <w:t>PEDRO HENRIQUE LINS DE ALMEIDA</w:t>
      </w:r>
      <w:r>
        <w:rPr>
          <w:rFonts w:ascii="Arial" w:eastAsia="Arial" w:hAnsi="Arial" w:cs="Arial"/>
          <w:sz w:val="24"/>
          <w:szCs w:val="24"/>
          <w:vertAlign w:val="superscript"/>
        </w:rPr>
        <w:t>1</w:t>
      </w:r>
      <w:r>
        <w:rPr>
          <w:rFonts w:ascii="Arial" w:eastAsia="Arial" w:hAnsi="Arial" w:cs="Arial"/>
          <w:b/>
          <w:sz w:val="24"/>
          <w:szCs w:val="24"/>
        </w:rPr>
        <w:t xml:space="preserve">; </w:t>
      </w:r>
      <w:r>
        <w:rPr>
          <w:rFonts w:ascii="Arial" w:eastAsia="Arial" w:hAnsi="Arial" w:cs="Arial"/>
          <w:sz w:val="24"/>
          <w:szCs w:val="24"/>
        </w:rPr>
        <w:t>MARIA LUIZA LIMA CORDEIRO DE CASTRO</w:t>
      </w:r>
      <w:r w:rsidR="00F12462">
        <w:rPr>
          <w:rFonts w:ascii="Arial" w:eastAsia="Arial" w:hAnsi="Arial" w:cs="Arial"/>
          <w:sz w:val="24"/>
          <w:szCs w:val="24"/>
          <w:vertAlign w:val="superscript"/>
        </w:rPr>
        <w:t>2</w:t>
      </w:r>
      <w:r>
        <w:rPr>
          <w:rFonts w:ascii="Arial" w:eastAsia="Arial" w:hAnsi="Arial" w:cs="Arial"/>
          <w:sz w:val="24"/>
          <w:szCs w:val="24"/>
        </w:rPr>
        <w:t xml:space="preserve">; </w:t>
      </w:r>
      <w:r w:rsidR="00F12462">
        <w:rPr>
          <w:rFonts w:ascii="Arial" w:eastAsia="Arial" w:hAnsi="Arial" w:cs="Arial"/>
          <w:sz w:val="24"/>
          <w:szCs w:val="24"/>
        </w:rPr>
        <w:t>MURILO LOBO CEZAROTTI FILHO</w:t>
      </w:r>
      <w:r w:rsidR="00F12462">
        <w:rPr>
          <w:rFonts w:ascii="Arial" w:eastAsia="Arial" w:hAnsi="Arial" w:cs="Arial"/>
          <w:sz w:val="24"/>
          <w:szCs w:val="24"/>
          <w:vertAlign w:val="superscript"/>
        </w:rPr>
        <w:t>2</w:t>
      </w:r>
      <w:r w:rsidR="00F12462">
        <w:rPr>
          <w:rFonts w:ascii="Arial" w:eastAsia="Arial" w:hAnsi="Arial" w:cs="Arial"/>
          <w:sz w:val="24"/>
          <w:szCs w:val="24"/>
        </w:rPr>
        <w:t xml:space="preserve">; </w:t>
      </w:r>
      <w:r w:rsidR="00834509">
        <w:rPr>
          <w:rFonts w:ascii="Arial" w:eastAsia="Arial" w:hAnsi="Arial" w:cs="Arial"/>
          <w:sz w:val="24"/>
          <w:szCs w:val="24"/>
        </w:rPr>
        <w:t>LAÉRCIO POL FACHIN</w:t>
      </w:r>
      <w:r w:rsidR="00834509">
        <w:rPr>
          <w:rFonts w:ascii="Arial" w:eastAsia="Arial" w:hAnsi="Arial" w:cs="Arial"/>
          <w:sz w:val="24"/>
          <w:szCs w:val="24"/>
          <w:vertAlign w:val="superscript"/>
        </w:rPr>
        <w:t>3</w:t>
      </w:r>
      <w:r w:rsidR="00834509">
        <w:rPr>
          <w:rFonts w:ascii="Arial" w:eastAsia="Arial" w:hAnsi="Arial" w:cs="Arial"/>
          <w:sz w:val="24"/>
          <w:szCs w:val="24"/>
        </w:rPr>
        <w:t>; JULIANA COTRIM AMARAL FRANÇA</w:t>
      </w:r>
      <w:r w:rsidR="0006151F">
        <w:rPr>
          <w:rFonts w:ascii="Arial" w:eastAsia="Arial" w:hAnsi="Arial" w:cs="Arial"/>
          <w:sz w:val="24"/>
          <w:szCs w:val="24"/>
          <w:vertAlign w:val="superscript"/>
        </w:rPr>
        <w:t>4</w:t>
      </w:r>
      <w:r w:rsidR="00834509">
        <w:rPr>
          <w:rFonts w:ascii="Arial" w:eastAsia="Arial" w:hAnsi="Arial" w:cs="Arial"/>
          <w:sz w:val="24"/>
          <w:szCs w:val="24"/>
        </w:rPr>
        <w:t>.</w:t>
      </w:r>
    </w:p>
    <w:p w14:paraId="4426D8BC" w14:textId="7BA81980" w:rsidR="00266ADD" w:rsidRDefault="00F12462">
      <w:pPr>
        <w:spacing w:line="240" w:lineRule="auto"/>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 xml:space="preserve">Centro Universitário CESMAC; </w:t>
      </w:r>
      <w:r>
        <w:rPr>
          <w:rFonts w:ascii="Arial" w:eastAsia="Arial" w:hAnsi="Arial" w:cs="Arial"/>
          <w:sz w:val="24"/>
          <w:szCs w:val="24"/>
          <w:vertAlign w:val="superscript"/>
        </w:rPr>
        <w:t xml:space="preserve">2 </w:t>
      </w:r>
      <w:r>
        <w:rPr>
          <w:rFonts w:ascii="Arial" w:eastAsia="Arial" w:hAnsi="Arial" w:cs="Arial"/>
          <w:sz w:val="24"/>
          <w:szCs w:val="24"/>
        </w:rPr>
        <w:t>Centro Universitário CESMAC;</w:t>
      </w:r>
      <w:r w:rsidR="0006151F">
        <w:rPr>
          <w:rFonts w:ascii="Arial" w:eastAsia="Arial" w:hAnsi="Arial" w:cs="Arial"/>
          <w:sz w:val="24"/>
          <w:szCs w:val="24"/>
        </w:rPr>
        <w:t xml:space="preserve"> </w:t>
      </w:r>
      <w:r w:rsidR="0006151F">
        <w:rPr>
          <w:rFonts w:ascii="Arial" w:eastAsia="Arial" w:hAnsi="Arial" w:cs="Arial"/>
          <w:sz w:val="24"/>
          <w:szCs w:val="24"/>
          <w:vertAlign w:val="superscript"/>
        </w:rPr>
        <w:t xml:space="preserve">3 </w:t>
      </w:r>
      <w:r w:rsidR="0006151F">
        <w:rPr>
          <w:rFonts w:ascii="Arial" w:eastAsia="Arial" w:hAnsi="Arial" w:cs="Arial"/>
          <w:sz w:val="24"/>
          <w:szCs w:val="24"/>
        </w:rPr>
        <w:t xml:space="preserve">Centro Universitário CESMAC; </w:t>
      </w:r>
      <w:r w:rsidR="00C31AE6">
        <w:rPr>
          <w:rFonts w:ascii="Arial" w:eastAsia="Arial" w:hAnsi="Arial" w:cs="Arial"/>
          <w:sz w:val="24"/>
          <w:szCs w:val="24"/>
          <w:vertAlign w:val="superscript"/>
        </w:rPr>
        <w:t>4</w:t>
      </w:r>
      <w:r w:rsidR="0006151F">
        <w:rPr>
          <w:rFonts w:ascii="Arial" w:eastAsia="Arial" w:hAnsi="Arial" w:cs="Arial"/>
          <w:sz w:val="24"/>
          <w:szCs w:val="24"/>
          <w:vertAlign w:val="superscript"/>
        </w:rPr>
        <w:t xml:space="preserve"> </w:t>
      </w:r>
      <w:r w:rsidR="0006151F">
        <w:rPr>
          <w:rFonts w:ascii="Arial" w:eastAsia="Arial" w:hAnsi="Arial" w:cs="Arial"/>
          <w:sz w:val="24"/>
          <w:szCs w:val="24"/>
        </w:rPr>
        <w:t xml:space="preserve">Hospital Universitário </w:t>
      </w:r>
      <w:r w:rsidR="00C31AE6">
        <w:rPr>
          <w:rFonts w:ascii="Arial" w:eastAsia="Arial" w:hAnsi="Arial" w:cs="Arial"/>
          <w:sz w:val="24"/>
          <w:szCs w:val="24"/>
        </w:rPr>
        <w:t>Professor Alberto Antunes.</w:t>
      </w:r>
    </w:p>
    <w:p w14:paraId="21558E3F" w14:textId="5BE69BAD" w:rsidR="00266ADD" w:rsidRDefault="00000000">
      <w:pPr>
        <w:spacing w:after="0" w:line="240" w:lineRule="auto"/>
        <w:jc w:val="both"/>
        <w:rPr>
          <w:rFonts w:ascii="Arial" w:eastAsia="Arial" w:hAnsi="Arial" w:cs="Arial"/>
          <w:sz w:val="20"/>
          <w:szCs w:val="20"/>
        </w:rPr>
      </w:pPr>
      <w:r>
        <w:rPr>
          <w:rFonts w:ascii="Arial" w:eastAsia="Arial" w:hAnsi="Arial" w:cs="Arial"/>
          <w:sz w:val="20"/>
          <w:szCs w:val="20"/>
        </w:rPr>
        <w:t>*henriquephla@hotmail.com; *</w:t>
      </w:r>
      <w:r w:rsidR="00DC693E">
        <w:rPr>
          <w:rFonts w:ascii="Arial" w:eastAsia="Arial" w:hAnsi="Arial" w:cs="Arial"/>
          <w:sz w:val="20"/>
          <w:szCs w:val="20"/>
        </w:rPr>
        <w:t>cotrimju@yahoo.com.br</w:t>
      </w:r>
    </w:p>
    <w:p w14:paraId="6A3EDA94" w14:textId="77777777" w:rsidR="00266ADD" w:rsidRDefault="00266ADD">
      <w:pPr>
        <w:spacing w:after="0" w:line="240" w:lineRule="auto"/>
        <w:jc w:val="both"/>
        <w:rPr>
          <w:rFonts w:ascii="Arial" w:eastAsia="Arial" w:hAnsi="Arial" w:cs="Arial"/>
          <w:sz w:val="20"/>
          <w:szCs w:val="20"/>
        </w:rPr>
      </w:pPr>
    </w:p>
    <w:p w14:paraId="5B648237" w14:textId="621F2452" w:rsidR="00C04998" w:rsidRDefault="00000000" w:rsidP="000C3466">
      <w:pPr>
        <w:jc w:val="both"/>
      </w:pPr>
      <w:r>
        <w:rPr>
          <w:rFonts w:ascii="Arial" w:eastAsia="Arial" w:hAnsi="Arial" w:cs="Arial"/>
          <w:b/>
          <w:sz w:val="24"/>
          <w:szCs w:val="24"/>
          <w:u w:val="single"/>
        </w:rPr>
        <w:t>Introdução:</w:t>
      </w:r>
      <w:r>
        <w:rPr>
          <w:rFonts w:ascii="Arial" w:eastAsia="Arial" w:hAnsi="Arial" w:cs="Arial"/>
          <w:sz w:val="24"/>
          <w:szCs w:val="24"/>
        </w:rPr>
        <w:t xml:space="preserve"> </w:t>
      </w:r>
      <w:r w:rsidR="000C3466" w:rsidRPr="000C3466">
        <w:rPr>
          <w:rFonts w:ascii="Arial" w:hAnsi="Arial" w:cs="Arial"/>
          <w:sz w:val="24"/>
          <w:szCs w:val="24"/>
        </w:rPr>
        <w:t xml:space="preserve">A Síndrome da Hiperestimulação Ovariana (SHO) é a complicação mais grave decorrente do estímulo ovariano através das técnicas de reprodução assistida. Sabe-se que sua fisiopatologia está relacionada ao aumento da permeabilidade vascular, com passagem de fluidos do espaço intravascular para o terceiro espaço, com acúmulo de líquidos neste. Com a reação exagerada dos ovários, necessária à estimulação hormonal para realização da fertilização in vitro (FIV), acredita-se que a ação da </w:t>
      </w:r>
      <w:r w:rsidR="000C3466">
        <w:rPr>
          <w:rFonts w:ascii="Arial" w:hAnsi="Arial" w:cs="Arial"/>
          <w:sz w:val="24"/>
          <w:szCs w:val="24"/>
        </w:rPr>
        <w:t>G</w:t>
      </w:r>
      <w:r w:rsidR="000C3466" w:rsidRPr="000C3466">
        <w:rPr>
          <w:rFonts w:ascii="Arial" w:hAnsi="Arial" w:cs="Arial"/>
          <w:sz w:val="24"/>
          <w:szCs w:val="24"/>
        </w:rPr>
        <w:t xml:space="preserve">onadotrofina </w:t>
      </w:r>
      <w:r w:rsidR="000C3466">
        <w:rPr>
          <w:rFonts w:ascii="Arial" w:hAnsi="Arial" w:cs="Arial"/>
          <w:sz w:val="24"/>
          <w:szCs w:val="24"/>
        </w:rPr>
        <w:t>C</w:t>
      </w:r>
      <w:r w:rsidR="000C3466" w:rsidRPr="000C3466">
        <w:rPr>
          <w:rFonts w:ascii="Arial" w:hAnsi="Arial" w:cs="Arial"/>
          <w:sz w:val="24"/>
          <w:szCs w:val="24"/>
        </w:rPr>
        <w:t xml:space="preserve">oriônica </w:t>
      </w:r>
      <w:r w:rsidR="000C3466">
        <w:rPr>
          <w:rFonts w:ascii="Arial" w:hAnsi="Arial" w:cs="Arial"/>
          <w:sz w:val="24"/>
          <w:szCs w:val="24"/>
        </w:rPr>
        <w:t>H</w:t>
      </w:r>
      <w:r w:rsidR="000C3466" w:rsidRPr="000C3466">
        <w:rPr>
          <w:rFonts w:ascii="Arial" w:hAnsi="Arial" w:cs="Arial"/>
          <w:sz w:val="24"/>
          <w:szCs w:val="24"/>
        </w:rPr>
        <w:t>umana</w:t>
      </w:r>
      <w:r w:rsidR="00745BA9">
        <w:rPr>
          <w:rFonts w:ascii="Arial" w:hAnsi="Arial" w:cs="Arial"/>
          <w:sz w:val="24"/>
          <w:szCs w:val="24"/>
        </w:rPr>
        <w:t xml:space="preserve"> (hCG)</w:t>
      </w:r>
      <w:r w:rsidR="000C3466">
        <w:rPr>
          <w:rFonts w:ascii="Arial" w:hAnsi="Arial" w:cs="Arial"/>
          <w:sz w:val="24"/>
          <w:szCs w:val="24"/>
        </w:rPr>
        <w:t xml:space="preserve"> </w:t>
      </w:r>
      <w:r w:rsidR="000C3466" w:rsidRPr="000C3466">
        <w:rPr>
          <w:rFonts w:ascii="Arial" w:hAnsi="Arial" w:cs="Arial"/>
          <w:sz w:val="24"/>
          <w:szCs w:val="24"/>
        </w:rPr>
        <w:t>estimula a liberação d</w:t>
      </w:r>
      <w:r w:rsidR="00745BA9">
        <w:rPr>
          <w:rFonts w:ascii="Arial" w:hAnsi="Arial" w:cs="Arial"/>
          <w:sz w:val="24"/>
          <w:szCs w:val="24"/>
        </w:rPr>
        <w:t>e VEGF</w:t>
      </w:r>
      <w:r w:rsidR="000C3466" w:rsidRPr="000C3466">
        <w:rPr>
          <w:rFonts w:ascii="Arial" w:hAnsi="Arial" w:cs="Arial"/>
          <w:sz w:val="24"/>
          <w:szCs w:val="24"/>
        </w:rPr>
        <w:t xml:space="preserve"> </w:t>
      </w:r>
      <w:r w:rsidR="00745BA9">
        <w:rPr>
          <w:rFonts w:ascii="Arial" w:hAnsi="Arial" w:cs="Arial"/>
          <w:sz w:val="24"/>
          <w:szCs w:val="24"/>
        </w:rPr>
        <w:t>(</w:t>
      </w:r>
      <w:r w:rsidR="000C3466" w:rsidRPr="000C3466">
        <w:rPr>
          <w:rFonts w:ascii="Arial" w:hAnsi="Arial" w:cs="Arial"/>
          <w:sz w:val="24"/>
          <w:szCs w:val="24"/>
        </w:rPr>
        <w:t>Fator de Crescimento Endotelial</w:t>
      </w:r>
      <w:r w:rsidR="00745BA9">
        <w:rPr>
          <w:rFonts w:ascii="Arial" w:hAnsi="Arial" w:cs="Arial"/>
          <w:sz w:val="24"/>
          <w:szCs w:val="24"/>
        </w:rPr>
        <w:t>)</w:t>
      </w:r>
      <w:r w:rsidR="000C3466" w:rsidRPr="000C3466">
        <w:rPr>
          <w:rFonts w:ascii="Arial" w:hAnsi="Arial" w:cs="Arial"/>
          <w:sz w:val="24"/>
          <w:szCs w:val="24"/>
        </w:rPr>
        <w:t xml:space="preserve"> que aumenta essa permeabilidade vascular resulta</w:t>
      </w:r>
      <w:r w:rsidR="000C3466">
        <w:rPr>
          <w:rFonts w:ascii="Arial" w:hAnsi="Arial" w:cs="Arial"/>
          <w:sz w:val="24"/>
          <w:szCs w:val="24"/>
        </w:rPr>
        <w:t>ndo</w:t>
      </w:r>
      <w:r w:rsidR="000C3466" w:rsidRPr="000C3466">
        <w:rPr>
          <w:rFonts w:ascii="Arial" w:hAnsi="Arial" w:cs="Arial"/>
          <w:sz w:val="24"/>
          <w:szCs w:val="24"/>
        </w:rPr>
        <w:t xml:space="preserve"> na síndrome.</w:t>
      </w:r>
      <w:r w:rsidR="00155096">
        <w:rPr>
          <w:rFonts w:ascii="Arial" w:hAnsi="Arial" w:cs="Arial"/>
          <w:sz w:val="24"/>
          <w:szCs w:val="24"/>
        </w:rPr>
        <w:t xml:space="preserve"> </w:t>
      </w:r>
      <w:r w:rsidR="000C3466" w:rsidRPr="000C3466">
        <w:rPr>
          <w:rFonts w:ascii="Arial" w:hAnsi="Arial" w:cs="Arial"/>
          <w:sz w:val="24"/>
          <w:szCs w:val="24"/>
        </w:rPr>
        <w:t>Nos casos leves, os ovários ficam aumentados e ocorre desconforto abdominal. Em casos</w:t>
      </w:r>
      <w:r w:rsidR="00155096">
        <w:rPr>
          <w:rFonts w:ascii="Arial" w:hAnsi="Arial" w:cs="Arial"/>
          <w:sz w:val="24"/>
          <w:szCs w:val="24"/>
        </w:rPr>
        <w:t xml:space="preserve"> </w:t>
      </w:r>
      <w:r w:rsidR="000C3466" w:rsidRPr="000C3466">
        <w:rPr>
          <w:rFonts w:ascii="Arial" w:hAnsi="Arial" w:cs="Arial"/>
          <w:sz w:val="24"/>
          <w:szCs w:val="24"/>
        </w:rPr>
        <w:t>graves, pode haver complicações tromboembólicas, torção ovariana, ascite, derrame pleural, dentre outras. Sabendo disso, é necessário que os médicos tenham conhecimento dos fatores de risco preditores da SHO, bem como do manejo específico para cada paciente a fim de obter a melhor e mais ética forma de tratamento.</w:t>
      </w:r>
      <w:r w:rsidR="000C3466">
        <w:t xml:space="preserve"> </w:t>
      </w:r>
      <w:r>
        <w:rPr>
          <w:rFonts w:ascii="Arial" w:eastAsia="Arial" w:hAnsi="Arial" w:cs="Arial"/>
          <w:b/>
          <w:sz w:val="24"/>
          <w:szCs w:val="24"/>
          <w:u w:val="single"/>
        </w:rPr>
        <w:t>Objetivos:</w:t>
      </w:r>
      <w:r>
        <w:rPr>
          <w:rFonts w:ascii="Arial" w:eastAsia="Arial" w:hAnsi="Arial" w:cs="Arial"/>
          <w:sz w:val="24"/>
          <w:szCs w:val="24"/>
        </w:rPr>
        <w:t xml:space="preserve"> Verificar os fatores de risco no desenvolvimento da SHO e o manejo individualizado das pacientes afetadas pela síndrome. </w:t>
      </w:r>
      <w:r>
        <w:rPr>
          <w:rFonts w:ascii="Arial" w:eastAsia="Arial" w:hAnsi="Arial" w:cs="Arial"/>
          <w:b/>
          <w:sz w:val="24"/>
          <w:szCs w:val="24"/>
          <w:u w:val="single"/>
        </w:rPr>
        <w:t>Métodos:</w:t>
      </w:r>
      <w:r>
        <w:rPr>
          <w:rFonts w:ascii="Arial" w:eastAsia="Arial" w:hAnsi="Arial" w:cs="Arial"/>
          <w:sz w:val="24"/>
          <w:szCs w:val="24"/>
        </w:rPr>
        <w:t xml:space="preserve"> O presente trabalho é uma revisão de literatura escrita com base na leitura de artigos na plataforma PUBMED via MEDLINE. Os critérios de busca utilizados foram “Ovarian Hyperstimulation Syndrome” AND “In Vitro Fertilization” entre os anos de 2012</w:t>
      </w:r>
      <w:r w:rsidR="00745BA9">
        <w:rPr>
          <w:rFonts w:ascii="Arial" w:eastAsia="Arial" w:hAnsi="Arial" w:cs="Arial"/>
          <w:sz w:val="24"/>
          <w:szCs w:val="24"/>
        </w:rPr>
        <w:t>-</w:t>
      </w:r>
      <w:r>
        <w:rPr>
          <w:rFonts w:ascii="Arial" w:eastAsia="Arial" w:hAnsi="Arial" w:cs="Arial"/>
          <w:sz w:val="24"/>
          <w:szCs w:val="24"/>
        </w:rPr>
        <w:t xml:space="preserve">2022. </w:t>
      </w:r>
      <w:r>
        <w:rPr>
          <w:rFonts w:ascii="Arial" w:eastAsia="Arial" w:hAnsi="Arial" w:cs="Arial"/>
          <w:b/>
          <w:sz w:val="24"/>
          <w:szCs w:val="24"/>
          <w:u w:val="single"/>
        </w:rPr>
        <w:t>Resultados:</w:t>
      </w:r>
      <w:r>
        <w:rPr>
          <w:rFonts w:ascii="Arial" w:eastAsia="Arial" w:hAnsi="Arial" w:cs="Arial"/>
          <w:sz w:val="24"/>
          <w:szCs w:val="24"/>
        </w:rPr>
        <w:t xml:space="preserve"> </w:t>
      </w:r>
      <w:r w:rsidR="00C04998" w:rsidRPr="00C04998">
        <w:rPr>
          <w:rFonts w:ascii="Arial" w:hAnsi="Arial" w:cs="Arial"/>
          <w:sz w:val="24"/>
          <w:szCs w:val="24"/>
        </w:rPr>
        <w:t xml:space="preserve">Foram encontrados 987 artigos dos quais </w:t>
      </w:r>
      <w:r w:rsidR="00155096">
        <w:rPr>
          <w:rFonts w:ascii="Arial" w:hAnsi="Arial" w:cs="Arial"/>
          <w:sz w:val="24"/>
          <w:szCs w:val="24"/>
        </w:rPr>
        <w:t>15</w:t>
      </w:r>
      <w:r w:rsidR="00C04998" w:rsidRPr="00C04998">
        <w:rPr>
          <w:rFonts w:ascii="Arial" w:hAnsi="Arial" w:cs="Arial"/>
          <w:sz w:val="24"/>
          <w:szCs w:val="24"/>
        </w:rPr>
        <w:t xml:space="preserve"> foram selecionados</w:t>
      </w:r>
      <w:r w:rsidR="00155096">
        <w:rPr>
          <w:rFonts w:ascii="Arial" w:hAnsi="Arial" w:cs="Arial"/>
          <w:sz w:val="24"/>
          <w:szCs w:val="24"/>
        </w:rPr>
        <w:t xml:space="preserve"> para o resumo final</w:t>
      </w:r>
      <w:r w:rsidR="00C04998" w:rsidRPr="00C04998">
        <w:rPr>
          <w:rFonts w:ascii="Arial" w:hAnsi="Arial" w:cs="Arial"/>
          <w:sz w:val="24"/>
          <w:szCs w:val="24"/>
        </w:rPr>
        <w:t xml:space="preserve"> </w:t>
      </w:r>
      <w:r w:rsidR="00155096">
        <w:rPr>
          <w:rFonts w:ascii="Arial" w:hAnsi="Arial" w:cs="Arial"/>
          <w:sz w:val="24"/>
          <w:szCs w:val="24"/>
        </w:rPr>
        <w:t xml:space="preserve">após </w:t>
      </w:r>
      <w:r w:rsidR="00C04998" w:rsidRPr="00C04998">
        <w:rPr>
          <w:rFonts w:ascii="Arial" w:hAnsi="Arial" w:cs="Arial"/>
          <w:sz w:val="24"/>
          <w:szCs w:val="24"/>
        </w:rPr>
        <w:t xml:space="preserve">leitura </w:t>
      </w:r>
      <w:r w:rsidR="00155096">
        <w:rPr>
          <w:rFonts w:ascii="Arial" w:hAnsi="Arial" w:cs="Arial"/>
          <w:sz w:val="24"/>
          <w:szCs w:val="24"/>
        </w:rPr>
        <w:t xml:space="preserve">dos </w:t>
      </w:r>
      <w:r w:rsidR="00C04998" w:rsidRPr="00C04998">
        <w:rPr>
          <w:rFonts w:ascii="Arial" w:hAnsi="Arial" w:cs="Arial"/>
          <w:sz w:val="24"/>
          <w:szCs w:val="24"/>
        </w:rPr>
        <w:t xml:space="preserve">títulos e </w:t>
      </w:r>
      <w:r w:rsidR="00155096">
        <w:rPr>
          <w:rFonts w:ascii="Arial" w:hAnsi="Arial" w:cs="Arial"/>
          <w:sz w:val="24"/>
          <w:szCs w:val="24"/>
        </w:rPr>
        <w:t>texto completo</w:t>
      </w:r>
      <w:r w:rsidR="00C04998" w:rsidRPr="00C04998">
        <w:rPr>
          <w:rFonts w:ascii="Arial" w:hAnsi="Arial" w:cs="Arial"/>
          <w:sz w:val="24"/>
          <w:szCs w:val="24"/>
        </w:rPr>
        <w:t>. Com base nos resultados, nota-se que a FIV é cada vez mais utilizada para tratamento da infertilidade, sendo a forma mais eficaz para diversos casais. Contudo, devem ser avaliados fatores de riscos preditores de algumas consequências desse tratamento, como a SHO que traz alguns sinais e sintomas que podem até mesmo comprometer a vida da paciente se não for bem conduzido por um profissional capacitado.</w:t>
      </w:r>
      <w:r w:rsidR="00C04998">
        <w:t xml:space="preserve"> </w:t>
      </w:r>
      <w:r>
        <w:rPr>
          <w:rFonts w:ascii="Arial" w:eastAsia="Arial" w:hAnsi="Arial" w:cs="Arial"/>
          <w:b/>
          <w:sz w:val="24"/>
          <w:szCs w:val="24"/>
          <w:u w:val="single"/>
        </w:rPr>
        <w:t>Conclusões:</w:t>
      </w:r>
      <w:r>
        <w:rPr>
          <w:rFonts w:ascii="Arial" w:eastAsia="Arial" w:hAnsi="Arial" w:cs="Arial"/>
          <w:sz w:val="24"/>
          <w:szCs w:val="24"/>
        </w:rPr>
        <w:t xml:space="preserve"> </w:t>
      </w:r>
      <w:r w:rsidR="00C04998" w:rsidRPr="00C04998">
        <w:rPr>
          <w:rFonts w:ascii="Arial" w:hAnsi="Arial" w:cs="Arial"/>
          <w:sz w:val="24"/>
          <w:szCs w:val="24"/>
        </w:rPr>
        <w:t>Conclui-se que, atualmente, existem diversos meios de prevenir a SHO, antes mesmo de iniciar a estimulação ovariana. Com métodos preventivos a chance de ocorrência da SHO é mínima, mas, na eventualidade de acontecer, o médico deve estar preparado para conduzir adequadamente o quadro e reduzir o máximo possível as complicações.</w:t>
      </w:r>
    </w:p>
    <w:p w14:paraId="275465E1" w14:textId="17B969AD" w:rsidR="00266ADD" w:rsidRDefault="00000000">
      <w:pPr>
        <w:spacing w:line="240" w:lineRule="auto"/>
        <w:jc w:val="both"/>
        <w:rPr>
          <w:rFonts w:ascii="Arial" w:eastAsia="Arial" w:hAnsi="Arial" w:cs="Arial"/>
          <w:sz w:val="24"/>
          <w:szCs w:val="24"/>
        </w:rPr>
      </w:pPr>
      <w:r>
        <w:rPr>
          <w:rFonts w:ascii="Arial" w:eastAsia="Arial" w:hAnsi="Arial" w:cs="Arial"/>
          <w:b/>
          <w:sz w:val="24"/>
          <w:szCs w:val="24"/>
        </w:rPr>
        <w:t xml:space="preserve">Palavras-chave: </w:t>
      </w:r>
      <w:r>
        <w:rPr>
          <w:rFonts w:ascii="Arial" w:eastAsia="Arial" w:hAnsi="Arial" w:cs="Arial"/>
          <w:sz w:val="24"/>
          <w:szCs w:val="24"/>
        </w:rPr>
        <w:t>Síndrome d</w:t>
      </w:r>
      <w:r w:rsidR="00C51332">
        <w:rPr>
          <w:rFonts w:ascii="Arial" w:eastAsia="Arial" w:hAnsi="Arial" w:cs="Arial"/>
          <w:sz w:val="24"/>
          <w:szCs w:val="24"/>
        </w:rPr>
        <w:t>e</w:t>
      </w:r>
      <w:r>
        <w:rPr>
          <w:rFonts w:ascii="Arial" w:eastAsia="Arial" w:hAnsi="Arial" w:cs="Arial"/>
          <w:sz w:val="24"/>
          <w:szCs w:val="24"/>
        </w:rPr>
        <w:t xml:space="preserve"> hiperestimulação ovariana. Fertilização in vitro.</w:t>
      </w:r>
      <w:r w:rsidR="00C51332">
        <w:rPr>
          <w:rFonts w:ascii="Arial" w:eastAsia="Arial" w:hAnsi="Arial" w:cs="Arial"/>
          <w:sz w:val="24"/>
          <w:szCs w:val="24"/>
        </w:rPr>
        <w:t xml:space="preserve"> </w:t>
      </w:r>
      <w:r>
        <w:rPr>
          <w:rFonts w:ascii="Arial" w:eastAsia="Arial" w:hAnsi="Arial" w:cs="Arial"/>
          <w:sz w:val="24"/>
          <w:szCs w:val="24"/>
        </w:rPr>
        <w:t>Fatores de risco.</w:t>
      </w:r>
    </w:p>
    <w:p w14:paraId="6BD53E9B" w14:textId="77777777" w:rsidR="00266ADD" w:rsidRDefault="00000000">
      <w:pPr>
        <w:spacing w:after="0" w:line="240" w:lineRule="auto"/>
        <w:rPr>
          <w:rFonts w:ascii="Arial" w:eastAsia="Arial" w:hAnsi="Arial" w:cs="Arial"/>
          <w:sz w:val="24"/>
          <w:szCs w:val="24"/>
        </w:rPr>
      </w:pPr>
      <w:r>
        <w:rPr>
          <w:rFonts w:ascii="Arial" w:eastAsia="Arial" w:hAnsi="Arial" w:cs="Arial"/>
          <w:sz w:val="24"/>
          <w:szCs w:val="24"/>
        </w:rPr>
        <w:t xml:space="preserve"> </w:t>
      </w:r>
    </w:p>
    <w:p w14:paraId="6ECFA04A" w14:textId="77777777" w:rsidR="00266ADD" w:rsidRDefault="00266ADD">
      <w:pPr>
        <w:spacing w:after="0" w:line="240" w:lineRule="auto"/>
        <w:rPr>
          <w:rFonts w:ascii="Arial" w:eastAsia="Arial" w:hAnsi="Arial" w:cs="Arial"/>
          <w:b/>
          <w:sz w:val="24"/>
          <w:szCs w:val="24"/>
        </w:rPr>
      </w:pPr>
    </w:p>
    <w:p w14:paraId="2E452AF3" w14:textId="77777777" w:rsidR="00266ADD" w:rsidRDefault="00266ADD">
      <w:pPr>
        <w:spacing w:after="0" w:line="240" w:lineRule="auto"/>
        <w:rPr>
          <w:rFonts w:ascii="Arial" w:eastAsia="Arial" w:hAnsi="Arial" w:cs="Arial"/>
          <w:b/>
          <w:sz w:val="24"/>
          <w:szCs w:val="24"/>
        </w:rPr>
      </w:pPr>
    </w:p>
    <w:p w14:paraId="2E8D6DB1" w14:textId="77777777" w:rsidR="00266ADD" w:rsidRDefault="00266ADD">
      <w:pPr>
        <w:spacing w:after="0" w:line="240" w:lineRule="auto"/>
        <w:rPr>
          <w:rFonts w:ascii="Arial" w:eastAsia="Arial" w:hAnsi="Arial" w:cs="Arial"/>
          <w:b/>
          <w:sz w:val="24"/>
          <w:szCs w:val="24"/>
        </w:rPr>
      </w:pPr>
    </w:p>
    <w:p w14:paraId="44C2B3E7" w14:textId="77777777" w:rsidR="00266ADD" w:rsidRDefault="00266ADD">
      <w:pPr>
        <w:spacing w:after="0" w:line="240" w:lineRule="auto"/>
        <w:rPr>
          <w:rFonts w:ascii="Arial" w:eastAsia="Arial" w:hAnsi="Arial" w:cs="Arial"/>
          <w:b/>
          <w:sz w:val="24"/>
          <w:szCs w:val="24"/>
        </w:rPr>
      </w:pPr>
    </w:p>
    <w:p w14:paraId="7C7C6B92" w14:textId="77777777" w:rsidR="00266ADD" w:rsidRDefault="00000000">
      <w:pPr>
        <w:spacing w:after="0" w:line="240" w:lineRule="auto"/>
        <w:rPr>
          <w:rFonts w:ascii="Arial" w:eastAsia="Arial" w:hAnsi="Arial" w:cs="Arial"/>
          <w:b/>
          <w:sz w:val="24"/>
          <w:szCs w:val="24"/>
        </w:rPr>
      </w:pPr>
      <w:r>
        <w:rPr>
          <w:rFonts w:ascii="Arial" w:eastAsia="Arial" w:hAnsi="Arial" w:cs="Arial"/>
          <w:b/>
          <w:sz w:val="24"/>
          <w:szCs w:val="24"/>
        </w:rPr>
        <w:lastRenderedPageBreak/>
        <w:t>REFERÊNCIAS BIBLIOGRÁFICAS</w:t>
      </w:r>
    </w:p>
    <w:p w14:paraId="4C37CB41" w14:textId="77777777" w:rsidR="00266ADD" w:rsidRDefault="00266ADD">
      <w:pPr>
        <w:spacing w:after="0" w:line="240" w:lineRule="auto"/>
        <w:jc w:val="both"/>
        <w:rPr>
          <w:rFonts w:ascii="Arial" w:eastAsia="Arial" w:hAnsi="Arial" w:cs="Arial"/>
          <w:sz w:val="20"/>
          <w:szCs w:val="20"/>
        </w:rPr>
      </w:pPr>
    </w:p>
    <w:p w14:paraId="137D6956"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Pr>
          <w:rFonts w:ascii="Arial" w:eastAsia="Arial" w:hAnsi="Arial" w:cs="Arial"/>
          <w:color w:val="212121"/>
          <w:sz w:val="24"/>
          <w:szCs w:val="24"/>
          <w:highlight w:val="white"/>
        </w:rPr>
        <w:t xml:space="preserve">PAKHOMOV, S. P., ORLOVA, V. S., VERZILINA, I. N., et. al. </w:t>
      </w:r>
      <w:r w:rsidRPr="005A7A63">
        <w:rPr>
          <w:rFonts w:ascii="Arial" w:eastAsia="Arial" w:hAnsi="Arial" w:cs="Arial"/>
          <w:color w:val="212121"/>
          <w:sz w:val="24"/>
          <w:szCs w:val="24"/>
          <w:highlight w:val="white"/>
          <w:lang w:val="en-US"/>
        </w:rPr>
        <w:t xml:space="preserve">Risk Factors and Methods for Predicting Ovarian Hyperstimulation Syndrome (OHSS) in the in vitro Fertilization. </w:t>
      </w:r>
      <w:r w:rsidRPr="005A7A63">
        <w:rPr>
          <w:rFonts w:ascii="Arial" w:eastAsia="Arial" w:hAnsi="Arial" w:cs="Arial"/>
          <w:b/>
          <w:color w:val="212121"/>
          <w:sz w:val="24"/>
          <w:szCs w:val="24"/>
          <w:highlight w:val="white"/>
          <w:lang w:val="en-US"/>
        </w:rPr>
        <w:t xml:space="preserve">Archives of Razi Institute, </w:t>
      </w:r>
      <w:r w:rsidRPr="005A7A63">
        <w:rPr>
          <w:rFonts w:ascii="Arial" w:eastAsia="Arial" w:hAnsi="Arial" w:cs="Arial"/>
          <w:color w:val="212121"/>
          <w:sz w:val="24"/>
          <w:szCs w:val="24"/>
          <w:highlight w:val="white"/>
          <w:lang w:val="en-US"/>
        </w:rPr>
        <w:t>v. 76, n.5, p.1461-1468, Nov. 2021.</w:t>
      </w:r>
    </w:p>
    <w:p w14:paraId="4D3ED139"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SCHIRMER D.A. III., KULKARNI A.D., ZHANG Y., et. al. Ovarian hyperstimulation syndrome after assisted reproductive Technologies: trends, predictors, and pregnancy outcomes. </w:t>
      </w:r>
      <w:r w:rsidRPr="005A7A63">
        <w:rPr>
          <w:rFonts w:ascii="Arial" w:eastAsia="Arial" w:hAnsi="Arial" w:cs="Arial"/>
          <w:b/>
          <w:color w:val="212121"/>
          <w:sz w:val="24"/>
          <w:szCs w:val="24"/>
          <w:highlight w:val="white"/>
          <w:lang w:val="en-US"/>
        </w:rPr>
        <w:t xml:space="preserve">Fertility and Sterility, </w:t>
      </w:r>
      <w:r w:rsidRPr="005A7A63">
        <w:rPr>
          <w:rFonts w:ascii="Arial" w:eastAsia="Arial" w:hAnsi="Arial" w:cs="Arial"/>
          <w:color w:val="212121"/>
          <w:sz w:val="24"/>
          <w:szCs w:val="24"/>
          <w:highlight w:val="white"/>
          <w:lang w:val="en-US"/>
        </w:rPr>
        <w:t>v. 114, n.3, p. 567-578, Sep. 2020.</w:t>
      </w:r>
    </w:p>
    <w:p w14:paraId="7DED4E65"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SUN B., MA Y., LI L., et. al. Factors Associated with Ovarian Hyperstimulation Syndrome (OHSS) Severity in Women With Polycystic Ovary Syndrome Undergoing IVF/ICSI. </w:t>
      </w:r>
      <w:r w:rsidRPr="005A7A63">
        <w:rPr>
          <w:rFonts w:ascii="Arial" w:eastAsia="Arial" w:hAnsi="Arial" w:cs="Arial"/>
          <w:b/>
          <w:color w:val="212121"/>
          <w:sz w:val="24"/>
          <w:szCs w:val="24"/>
          <w:highlight w:val="white"/>
          <w:lang w:val="en-US"/>
        </w:rPr>
        <w:t xml:space="preserve">Front Endocrinol (Lausanne). </w:t>
      </w:r>
      <w:r w:rsidRPr="005A7A63">
        <w:rPr>
          <w:rFonts w:ascii="Arial" w:eastAsia="Arial" w:hAnsi="Arial" w:cs="Arial"/>
          <w:color w:val="212121"/>
          <w:sz w:val="24"/>
          <w:szCs w:val="24"/>
          <w:highlight w:val="white"/>
          <w:lang w:val="en-US"/>
        </w:rPr>
        <w:t>Jan. 2021.</w:t>
      </w:r>
    </w:p>
    <w:p w14:paraId="13E57EF7" w14:textId="77777777" w:rsidR="00266ADD" w:rsidRPr="00C51332"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CARSON S.A., KALLEN A.N. Diagnosis and Management of Infertility: A Review. </w:t>
      </w:r>
      <w:r w:rsidRPr="00C51332">
        <w:rPr>
          <w:rFonts w:ascii="Arial" w:eastAsia="Arial" w:hAnsi="Arial" w:cs="Arial"/>
          <w:b/>
          <w:color w:val="212121"/>
          <w:sz w:val="24"/>
          <w:szCs w:val="24"/>
          <w:highlight w:val="white"/>
          <w:lang w:val="en-US"/>
        </w:rPr>
        <w:t xml:space="preserve">JAMA. </w:t>
      </w:r>
      <w:r w:rsidRPr="00C51332">
        <w:rPr>
          <w:rFonts w:ascii="Arial" w:eastAsia="Arial" w:hAnsi="Arial" w:cs="Arial"/>
          <w:color w:val="212121"/>
          <w:sz w:val="24"/>
          <w:szCs w:val="24"/>
          <w:highlight w:val="white"/>
          <w:lang w:val="en-US"/>
        </w:rPr>
        <w:t>v. 326, n.1, p. 65-76. Jul. 2021.</w:t>
      </w:r>
    </w:p>
    <w:p w14:paraId="66449063"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AL-INANY H.G., YOUSSEF M.A., AYELEKE R.O., et. al. Gonadotrophin-releasing hormone antagonists for assisted reproductive technology. </w:t>
      </w:r>
      <w:r w:rsidRPr="005A7A63">
        <w:rPr>
          <w:rFonts w:ascii="Arial" w:eastAsia="Arial" w:hAnsi="Arial" w:cs="Arial"/>
          <w:b/>
          <w:color w:val="212121"/>
          <w:sz w:val="24"/>
          <w:szCs w:val="24"/>
          <w:highlight w:val="white"/>
          <w:lang w:val="en-US"/>
        </w:rPr>
        <w:t xml:space="preserve">Cochrane Database Syst Rev. </w:t>
      </w:r>
      <w:r w:rsidRPr="005A7A63">
        <w:rPr>
          <w:rFonts w:ascii="Arial" w:eastAsia="Arial" w:hAnsi="Arial" w:cs="Arial"/>
          <w:color w:val="212121"/>
          <w:sz w:val="24"/>
          <w:szCs w:val="24"/>
          <w:highlight w:val="white"/>
          <w:lang w:val="en-US"/>
        </w:rPr>
        <w:t>Apr. 2016.</w:t>
      </w:r>
    </w:p>
    <w:p w14:paraId="6F640AD1"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WONG K.M., VAN WELY M., MOL F., et. al. Fresh versus frozen embryo transfers in assisted reproduction. </w:t>
      </w:r>
      <w:r w:rsidRPr="005A7A63">
        <w:rPr>
          <w:rFonts w:ascii="Arial" w:eastAsia="Arial" w:hAnsi="Arial" w:cs="Arial"/>
          <w:b/>
          <w:color w:val="212121"/>
          <w:sz w:val="24"/>
          <w:szCs w:val="24"/>
          <w:highlight w:val="white"/>
          <w:lang w:val="en-US"/>
        </w:rPr>
        <w:t xml:space="preserve">Cochrane Database Syst Rev. </w:t>
      </w:r>
      <w:r w:rsidRPr="005A7A63">
        <w:rPr>
          <w:rFonts w:ascii="Arial" w:eastAsia="Arial" w:hAnsi="Arial" w:cs="Arial"/>
          <w:color w:val="212121"/>
          <w:sz w:val="24"/>
          <w:szCs w:val="24"/>
          <w:highlight w:val="white"/>
          <w:lang w:val="en-US"/>
        </w:rPr>
        <w:t>Mar. 2017.</w:t>
      </w:r>
    </w:p>
    <w:p w14:paraId="6BFFE07F"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SENNSTRÖM M., ROVA K., HELLGREN M., et. al. Thromboembolism and in vitro fertilization - a systematic review. </w:t>
      </w:r>
      <w:r w:rsidRPr="005A7A63">
        <w:rPr>
          <w:rFonts w:ascii="Arial" w:eastAsia="Arial" w:hAnsi="Arial" w:cs="Arial"/>
          <w:b/>
          <w:color w:val="212121"/>
          <w:sz w:val="24"/>
          <w:szCs w:val="24"/>
          <w:highlight w:val="white"/>
          <w:lang w:val="en-US"/>
        </w:rPr>
        <w:t xml:space="preserve">Acta Obstet Gynecol Scand. </w:t>
      </w:r>
      <w:r w:rsidRPr="005A7A63">
        <w:rPr>
          <w:rFonts w:ascii="Arial" w:eastAsia="Arial" w:hAnsi="Arial" w:cs="Arial"/>
          <w:color w:val="212121"/>
          <w:sz w:val="24"/>
          <w:szCs w:val="24"/>
          <w:highlight w:val="white"/>
          <w:lang w:val="en-US"/>
        </w:rPr>
        <w:t>v. 96, n. 9, p. 1045-1052. Sep. 2017.</w:t>
      </w:r>
    </w:p>
    <w:p w14:paraId="5254499E" w14:textId="77777777" w:rsidR="00266ADD" w:rsidRPr="00C51332"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DU X., ZHANG W., WANG X., et. al. Follicle-Stimulating Hormone-Secreting Pituitary Adenoma Inducing Spontaneous Ovarian Hyperstimulation Syndrome, Treatment Using </w:t>
      </w:r>
      <w:r w:rsidRPr="005A7A63">
        <w:rPr>
          <w:rFonts w:ascii="Arial" w:eastAsia="Arial" w:hAnsi="Arial" w:cs="Arial"/>
          <w:i/>
          <w:color w:val="212121"/>
          <w:sz w:val="24"/>
          <w:szCs w:val="24"/>
          <w:highlight w:val="white"/>
          <w:lang w:val="en-US"/>
        </w:rPr>
        <w:t>In Vitro</w:t>
      </w:r>
      <w:r w:rsidRPr="005A7A63">
        <w:rPr>
          <w:rFonts w:ascii="Arial" w:eastAsia="Arial" w:hAnsi="Arial" w:cs="Arial"/>
          <w:color w:val="212121"/>
          <w:sz w:val="24"/>
          <w:szCs w:val="24"/>
          <w:highlight w:val="white"/>
          <w:lang w:val="en-US"/>
        </w:rPr>
        <w:t xml:space="preserve"> Fertilization and Embryo Transfer: A Case Report. </w:t>
      </w:r>
      <w:r w:rsidRPr="00C51332">
        <w:rPr>
          <w:rFonts w:ascii="Arial" w:eastAsia="Arial" w:hAnsi="Arial" w:cs="Arial"/>
          <w:b/>
          <w:color w:val="212121"/>
          <w:sz w:val="24"/>
          <w:szCs w:val="24"/>
          <w:highlight w:val="white"/>
          <w:lang w:val="en-US"/>
        </w:rPr>
        <w:t xml:space="preserve">Front Endocrinol (Lausanne). </w:t>
      </w:r>
      <w:r w:rsidRPr="00C51332">
        <w:rPr>
          <w:rFonts w:ascii="Arial" w:eastAsia="Arial" w:hAnsi="Arial" w:cs="Arial"/>
          <w:color w:val="212121"/>
          <w:sz w:val="24"/>
          <w:szCs w:val="24"/>
          <w:highlight w:val="white"/>
          <w:lang w:val="en-US"/>
        </w:rPr>
        <w:t>Jun. 2021.</w:t>
      </w:r>
    </w:p>
    <w:p w14:paraId="06991861"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C51332">
        <w:rPr>
          <w:rFonts w:ascii="Arial" w:eastAsia="Arial" w:hAnsi="Arial" w:cs="Arial"/>
          <w:color w:val="212121"/>
          <w:sz w:val="24"/>
          <w:szCs w:val="24"/>
          <w:highlight w:val="white"/>
          <w:lang w:val="en-US"/>
        </w:rPr>
        <w:t xml:space="preserve">MADRAZO I., VÉLEZ M.F., HIDALGO J.J., et. al. </w:t>
      </w:r>
      <w:r w:rsidRPr="005A7A63">
        <w:rPr>
          <w:rFonts w:ascii="Arial" w:eastAsia="Arial" w:hAnsi="Arial" w:cs="Arial"/>
          <w:color w:val="212121"/>
          <w:sz w:val="24"/>
          <w:szCs w:val="24"/>
          <w:highlight w:val="white"/>
          <w:lang w:val="en-US"/>
        </w:rPr>
        <w:t>Prediction of severe ovarian hyperstimulation syndrome in women undergoing </w:t>
      </w:r>
      <w:r w:rsidRPr="005A7A63">
        <w:rPr>
          <w:rFonts w:ascii="Arial" w:eastAsia="Arial" w:hAnsi="Arial" w:cs="Arial"/>
          <w:i/>
          <w:color w:val="212121"/>
          <w:sz w:val="24"/>
          <w:szCs w:val="24"/>
          <w:highlight w:val="white"/>
          <w:lang w:val="en-US"/>
        </w:rPr>
        <w:t>in vitro</w:t>
      </w:r>
      <w:r w:rsidRPr="005A7A63">
        <w:rPr>
          <w:rFonts w:ascii="Arial" w:eastAsia="Arial" w:hAnsi="Arial" w:cs="Arial"/>
          <w:color w:val="212121"/>
          <w:sz w:val="24"/>
          <w:szCs w:val="24"/>
          <w:highlight w:val="white"/>
          <w:lang w:val="en-US"/>
        </w:rPr>
        <w:t> fertilization using estradiol levels, collected ova, and number of follicles.</w:t>
      </w:r>
      <w:r w:rsidRPr="005A7A63">
        <w:rPr>
          <w:rFonts w:ascii="Quattrocento Sans" w:eastAsia="Quattrocento Sans" w:hAnsi="Quattrocento Sans" w:cs="Quattrocento Sans"/>
          <w:color w:val="212121"/>
          <w:highlight w:val="white"/>
          <w:lang w:val="en-US"/>
        </w:rPr>
        <w:t xml:space="preserve"> </w:t>
      </w:r>
      <w:r w:rsidRPr="005A7A63">
        <w:rPr>
          <w:rFonts w:ascii="Arial" w:eastAsia="Arial" w:hAnsi="Arial" w:cs="Arial"/>
          <w:b/>
          <w:color w:val="212121"/>
          <w:sz w:val="24"/>
          <w:szCs w:val="24"/>
          <w:highlight w:val="white"/>
          <w:lang w:val="en-US"/>
        </w:rPr>
        <w:t xml:space="preserve">J Int Med Res. </w:t>
      </w:r>
      <w:r w:rsidRPr="005A7A63">
        <w:rPr>
          <w:rFonts w:ascii="Arial" w:eastAsia="Arial" w:hAnsi="Arial" w:cs="Arial"/>
          <w:color w:val="212121"/>
          <w:sz w:val="24"/>
          <w:szCs w:val="24"/>
          <w:highlight w:val="white"/>
          <w:lang w:val="en-US"/>
        </w:rPr>
        <w:t>Aug. 2020.</w:t>
      </w:r>
    </w:p>
    <w:p w14:paraId="3A48FCE2"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HUBKA P., VIŠŇOVÁ H., SEHNAL B., et. al. Current possibilities in the prevention and therapy of ovarian hyperstimulation syndrome. </w:t>
      </w:r>
      <w:r w:rsidRPr="005A7A63">
        <w:rPr>
          <w:rFonts w:ascii="Quattrocento Sans" w:eastAsia="Quattrocento Sans" w:hAnsi="Quattrocento Sans" w:cs="Quattrocento Sans"/>
          <w:b/>
          <w:color w:val="212121"/>
          <w:highlight w:val="white"/>
          <w:lang w:val="en-US"/>
        </w:rPr>
        <w:t xml:space="preserve">Ceska Gynekol. </w:t>
      </w:r>
      <w:r w:rsidRPr="005A7A63">
        <w:rPr>
          <w:rFonts w:ascii="Quattrocento Sans" w:eastAsia="Quattrocento Sans" w:hAnsi="Quattrocento Sans" w:cs="Quattrocento Sans"/>
          <w:color w:val="212121"/>
          <w:highlight w:val="white"/>
          <w:lang w:val="en-US"/>
        </w:rPr>
        <w:t>v. 86, n. 2, p. 124-127. 2021.</w:t>
      </w:r>
    </w:p>
    <w:p w14:paraId="1D1A340F"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VAINER-ROTBART S., SHEINER E., HARLEV A., et. al. The Association between Ovarian Hyperstimulation Syndrome and Pregnancy Complications following Fertility Treatments. </w:t>
      </w:r>
      <w:r w:rsidRPr="005A7A63">
        <w:rPr>
          <w:rFonts w:ascii="Arial" w:eastAsia="Arial" w:hAnsi="Arial" w:cs="Arial"/>
          <w:b/>
          <w:color w:val="212121"/>
          <w:sz w:val="24"/>
          <w:szCs w:val="24"/>
          <w:highlight w:val="white"/>
          <w:lang w:val="en-US"/>
        </w:rPr>
        <w:t xml:space="preserve">Am J Perinatol. </w:t>
      </w:r>
      <w:r w:rsidRPr="005A7A63">
        <w:rPr>
          <w:rFonts w:ascii="Arial" w:eastAsia="Arial" w:hAnsi="Arial" w:cs="Arial"/>
          <w:color w:val="212121"/>
          <w:sz w:val="24"/>
          <w:szCs w:val="24"/>
          <w:highlight w:val="white"/>
          <w:lang w:val="en-US"/>
        </w:rPr>
        <w:t>Jul. 2021.</w:t>
      </w:r>
    </w:p>
    <w:p w14:paraId="114BE1A5"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GÓMEZ G.G., CAMPANARIO O.G., SERRA N.P., et. al. Immunoglobulin Treatment in Severe Ovarian Hyperstimulation Syndrome. </w:t>
      </w:r>
      <w:r w:rsidRPr="005A7A63">
        <w:rPr>
          <w:rFonts w:ascii="Arial" w:eastAsia="Arial" w:hAnsi="Arial" w:cs="Arial"/>
          <w:b/>
          <w:color w:val="212121"/>
          <w:sz w:val="24"/>
          <w:szCs w:val="24"/>
          <w:highlight w:val="white"/>
          <w:lang w:val="en-US"/>
        </w:rPr>
        <w:t xml:space="preserve">Eur J Case Rep Intern Med. </w:t>
      </w:r>
      <w:r w:rsidRPr="005A7A63">
        <w:rPr>
          <w:rFonts w:ascii="Arial" w:eastAsia="Arial" w:hAnsi="Arial" w:cs="Arial"/>
          <w:color w:val="212121"/>
          <w:sz w:val="24"/>
          <w:szCs w:val="24"/>
          <w:highlight w:val="white"/>
          <w:lang w:val="en-US"/>
        </w:rPr>
        <w:t>Oct. 2019.</w:t>
      </w:r>
    </w:p>
    <w:p w14:paraId="271C2147"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NAMAVAR JAHROMI B., PARSANEZHAD M.E., SHOMALI Z., et. al. Ovarian Hyperstimulation Syndrome: A Narrative Review of Its Pathophysiology, Risk Factors, Prevention, Classification, and Management. </w:t>
      </w:r>
      <w:r w:rsidRPr="005A7A63">
        <w:rPr>
          <w:rFonts w:ascii="Arial" w:eastAsia="Arial" w:hAnsi="Arial" w:cs="Arial"/>
          <w:b/>
          <w:color w:val="212121"/>
          <w:sz w:val="24"/>
          <w:szCs w:val="24"/>
          <w:highlight w:val="white"/>
          <w:lang w:val="en-US"/>
        </w:rPr>
        <w:t xml:space="preserve">Iranian Journal Of Medical Sciences. </w:t>
      </w:r>
      <w:r w:rsidRPr="005A7A63">
        <w:rPr>
          <w:rFonts w:ascii="Arial" w:eastAsia="Arial" w:hAnsi="Arial" w:cs="Arial"/>
          <w:color w:val="212121"/>
          <w:sz w:val="24"/>
          <w:szCs w:val="24"/>
          <w:highlight w:val="white"/>
          <w:lang w:val="en-US"/>
        </w:rPr>
        <w:t>v. 43, n. 3, p. 248-260. May 2018.</w:t>
      </w:r>
    </w:p>
    <w:p w14:paraId="7D356C51" w14:textId="77777777" w:rsidR="00266ADD" w:rsidRPr="00C51332"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DOBROSAVLJEVIC A., RAKIC S., MIHAJLOVIC S. Risk of spontaneous preterm labor in pregnancies achieved by in vitro fertilization and complicated with severe form of ovarian hyperstimulation syndrome: A case control study. </w:t>
      </w:r>
      <w:r w:rsidRPr="005A7A63">
        <w:rPr>
          <w:rFonts w:ascii="Arial" w:eastAsia="Arial" w:hAnsi="Arial" w:cs="Arial"/>
          <w:b/>
          <w:color w:val="212121"/>
          <w:sz w:val="24"/>
          <w:szCs w:val="24"/>
          <w:highlight w:val="white"/>
          <w:lang w:val="en-US"/>
        </w:rPr>
        <w:t xml:space="preserve">Pakistan Journal Of Medical Sciences. </w:t>
      </w:r>
      <w:r w:rsidRPr="005A7A63">
        <w:rPr>
          <w:rFonts w:ascii="Arial" w:eastAsia="Arial" w:hAnsi="Arial" w:cs="Arial"/>
          <w:color w:val="212121"/>
          <w:sz w:val="24"/>
          <w:szCs w:val="24"/>
          <w:highlight w:val="white"/>
          <w:lang w:val="en-US"/>
        </w:rPr>
        <w:t xml:space="preserve">v. 35, n. 4, p. 923-928. Jul-Aug. </w:t>
      </w:r>
      <w:r w:rsidRPr="00C51332">
        <w:rPr>
          <w:rFonts w:ascii="Arial" w:eastAsia="Arial" w:hAnsi="Arial" w:cs="Arial"/>
          <w:color w:val="212121"/>
          <w:sz w:val="24"/>
          <w:szCs w:val="24"/>
          <w:highlight w:val="white"/>
          <w:lang w:val="en-US"/>
        </w:rPr>
        <w:t>2019.</w:t>
      </w:r>
    </w:p>
    <w:p w14:paraId="0589633B" w14:textId="77777777" w:rsidR="00266ADD" w:rsidRPr="005A7A63" w:rsidRDefault="00000000">
      <w:pPr>
        <w:spacing w:after="0" w:line="240" w:lineRule="auto"/>
        <w:jc w:val="both"/>
        <w:rPr>
          <w:rFonts w:ascii="Arial" w:eastAsia="Arial" w:hAnsi="Arial" w:cs="Arial"/>
          <w:color w:val="212121"/>
          <w:sz w:val="24"/>
          <w:szCs w:val="24"/>
          <w:highlight w:val="white"/>
          <w:lang w:val="en-US"/>
        </w:rPr>
      </w:pPr>
      <w:r w:rsidRPr="005A7A63">
        <w:rPr>
          <w:rFonts w:ascii="Arial" w:eastAsia="Arial" w:hAnsi="Arial" w:cs="Arial"/>
          <w:color w:val="212121"/>
          <w:sz w:val="24"/>
          <w:szCs w:val="24"/>
          <w:highlight w:val="white"/>
          <w:lang w:val="en-US"/>
        </w:rPr>
        <w:t xml:space="preserve">ROTSHENKER-OLSHINKA K., BADEGHIESH A., VOLODARSKY-PEREL A., et. al. Trends in ovarian hyperstimulation syndrome hospitalization rates in the USA: an ongoing concern. </w:t>
      </w:r>
      <w:r w:rsidRPr="005A7A63">
        <w:rPr>
          <w:rFonts w:ascii="Arial" w:eastAsia="Arial" w:hAnsi="Arial" w:cs="Arial"/>
          <w:b/>
          <w:color w:val="212121"/>
          <w:sz w:val="24"/>
          <w:szCs w:val="24"/>
          <w:highlight w:val="white"/>
          <w:lang w:val="en-US"/>
        </w:rPr>
        <w:t xml:space="preserve">Reprod Biomed Online. </w:t>
      </w:r>
      <w:r w:rsidRPr="005A7A63">
        <w:rPr>
          <w:rFonts w:ascii="Arial" w:eastAsia="Arial" w:hAnsi="Arial" w:cs="Arial"/>
          <w:color w:val="212121"/>
          <w:sz w:val="24"/>
          <w:szCs w:val="24"/>
          <w:highlight w:val="white"/>
          <w:lang w:val="en-US"/>
        </w:rPr>
        <w:t>v. 41, n. 3, p. 357-360. Sep. 2020.</w:t>
      </w:r>
    </w:p>
    <w:p w14:paraId="02B06F08" w14:textId="77777777" w:rsidR="00266ADD" w:rsidRPr="005A7A63" w:rsidRDefault="00266ADD">
      <w:pPr>
        <w:spacing w:after="0" w:line="240" w:lineRule="auto"/>
        <w:jc w:val="both"/>
        <w:rPr>
          <w:rFonts w:ascii="Arial" w:eastAsia="Arial" w:hAnsi="Arial" w:cs="Arial"/>
          <w:sz w:val="24"/>
          <w:szCs w:val="24"/>
          <w:lang w:val="en-US"/>
        </w:rPr>
      </w:pPr>
    </w:p>
    <w:sectPr w:rsidR="00266ADD" w:rsidRPr="005A7A63">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4977" w14:textId="77777777" w:rsidR="00B0312C" w:rsidRDefault="00B0312C">
      <w:pPr>
        <w:spacing w:after="0" w:line="240" w:lineRule="auto"/>
      </w:pPr>
      <w:r>
        <w:separator/>
      </w:r>
    </w:p>
  </w:endnote>
  <w:endnote w:type="continuationSeparator" w:id="0">
    <w:p w14:paraId="3778759B" w14:textId="77777777" w:rsidR="00B0312C" w:rsidRDefault="00B0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DD02" w14:textId="77777777" w:rsidR="00266ADD"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A380AAB" wp14:editId="12FE190A">
          <wp:extent cx="5760085" cy="625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85" cy="62597"/>
                  </a:xfrm>
                  <a:prstGeom prst="rect">
                    <a:avLst/>
                  </a:prstGeom>
                  <a:ln/>
                </pic:spPr>
              </pic:pic>
            </a:graphicData>
          </a:graphic>
        </wp:inline>
      </w:drawing>
    </w:r>
    <w:r>
      <w:pict w14:anchorId="39136315">
        <v:rect id="Retângulo 2" o:spid="_x0000_s1025" style="position:absolute;margin-left:2.25pt;margin-top:566.95pt;width:487.8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7c02e" stroked="f" strokeweight="1pt">
          <w10:wrap anchorx="margin"/>
        </v:rect>
      </w:pict>
    </w:r>
    <w:r>
      <w:pict w14:anchorId="37CCFD4A">
        <v:rect id="_x0000_s1026" style="position:absolute;margin-left:2.25pt;margin-top:566.95pt;width:487.8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7c02e" stroked="f" strokeweight="1pt">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CF4F" w14:textId="77777777" w:rsidR="00B0312C" w:rsidRDefault="00B0312C">
      <w:pPr>
        <w:spacing w:after="0" w:line="240" w:lineRule="auto"/>
      </w:pPr>
      <w:r>
        <w:separator/>
      </w:r>
    </w:p>
  </w:footnote>
  <w:footnote w:type="continuationSeparator" w:id="0">
    <w:p w14:paraId="75D717E9" w14:textId="77777777" w:rsidR="00B0312C" w:rsidRDefault="00B0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430F" w14:textId="77777777" w:rsidR="00266ADD"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BB7B286" wp14:editId="6148A03C">
          <wp:extent cx="852616" cy="5772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2616" cy="5772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DD"/>
    <w:rsid w:val="0006151F"/>
    <w:rsid w:val="000C3466"/>
    <w:rsid w:val="00155096"/>
    <w:rsid w:val="002305EB"/>
    <w:rsid w:val="00266ADD"/>
    <w:rsid w:val="003C676A"/>
    <w:rsid w:val="00514461"/>
    <w:rsid w:val="005A7A63"/>
    <w:rsid w:val="00604888"/>
    <w:rsid w:val="00745BA9"/>
    <w:rsid w:val="00834509"/>
    <w:rsid w:val="00AE4E0C"/>
    <w:rsid w:val="00B0312C"/>
    <w:rsid w:val="00C04998"/>
    <w:rsid w:val="00C31AE6"/>
    <w:rsid w:val="00C51332"/>
    <w:rsid w:val="00DC606B"/>
    <w:rsid w:val="00DC693E"/>
    <w:rsid w:val="00F12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4D24"/>
  <w15:docId w15:val="{AE658F7E-6F2D-4041-A5B8-73A907A6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6D80-E57D-4F49-B8DF-C1DE408D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942</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Luiza lima</cp:lastModifiedBy>
  <cp:revision>12</cp:revision>
  <dcterms:created xsi:type="dcterms:W3CDTF">2022-10-20T11:24:00Z</dcterms:created>
  <dcterms:modified xsi:type="dcterms:W3CDTF">2022-10-20T12:55:00Z</dcterms:modified>
</cp:coreProperties>
</file>