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F013D" w14:textId="77777777" w:rsidR="00812E39" w:rsidRDefault="00812E39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9F5647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>DESENVOLVIMENTO DE TECNOLOGIA EDUCATIVA PARA O CUIDADO</w:t>
      </w:r>
      <w:r>
        <w:rPr>
          <w:b/>
          <w:bCs/>
          <w:color w:val="000000"/>
        </w:rPr>
        <w:br/>
        <w:t>COM O EQUILÍBRIO HIDROELETROLÍTICO NA ENFERMAGEM</w:t>
      </w:r>
      <w:r>
        <w:rPr>
          <w:b/>
          <w:bCs/>
          <w:color w:val="000000"/>
        </w:rPr>
        <w:br/>
        <w:t>PEDIÁTRICA</w:t>
      </w:r>
    </w:p>
    <w:p w14:paraId="3ABDC8D2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LOBATO, Cíntia Eduarda Marques Lobato – </w:t>
      </w:r>
      <w:hyperlink r:id="rId7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https://orcid.org/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0009-0007-3437-7761 (AUTOR)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</w:p>
    <w:p w14:paraId="1DCDF0C4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PINTO, Girlainne Cristiny Alvez – </w:t>
      </w:r>
      <w:hyperlink r:id="rId8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https://orcid.org/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0009-0001-1766-7472</w:t>
      </w:r>
    </w:p>
    <w:p w14:paraId="009A45D4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(AUTOR)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39759974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COSTA, Jamile Cristyne Ribeiro da – </w:t>
      </w:r>
      <w:hyperlink r:id="rId9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https://orcid.org/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0009-0004-2982-086X: (AUTOR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)3</w:t>
      </w:r>
    </w:p>
    <w:p w14:paraId="6F8CBCE6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OLIVEIRA, Pedro Monteiro –  </w:t>
      </w:r>
      <w:hyperlink r:id="rId10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https://orcid.org/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0009-0003-4064-218X (AUTOR)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</w:p>
    <w:p w14:paraId="0537ACFC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NETO, Walter Lopes –  </w:t>
      </w:r>
      <w:hyperlink r:id="rId11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https://orcid.org/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0009-0000-1395-0943 (AUTOR)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</w:p>
    <w:p w14:paraId="43F3E28A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SALES, Lara da Silva– </w:t>
      </w:r>
      <w:hyperlink r:id="rId12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https://orcid.org/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0000-0003-3445-5364 (ORIENTADOR)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</w:p>
    <w:p w14:paraId="7E469B4D" w14:textId="77777777" w:rsidR="00812E39" w:rsidRDefault="00812E3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C0CAA3" w14:textId="77777777" w:rsidR="00812E39" w:rsidRDefault="004E2CB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O equilíbrio hidroeletrolítico é um componente fundamental para a manutenção da homeostase do organismo, sendo regulado por mecanismos fisiológicos complexos que envolvem sistemas neuroendócrinos, renais e cardiovasculares. Esse equilíbrio garante o funcionamento adequado das células, tecidos e órgãos, influenciando diretamente processos vitais como a regulação da temperatura corporal, a condução de impulsos nervosos e a contração muscular. Alterações nesse sistema podem desencadear complicações clínicas </w:t>
      </w:r>
      <w:r>
        <w:rPr>
          <w:rFonts w:ascii="Times New Roman" w:eastAsia="Times New Roman" w:hAnsi="Times New Roman" w:cs="Times New Roman"/>
          <w:sz w:val="24"/>
          <w:szCs w:val="24"/>
        </w:rPr>
        <w:t>significativas, como distúrbios ácido-base, desidratação, sobrecarga hídrica e alterações eletrolíticas potencialmente graves. Tais complicações tornam-se ainda mais relevantes quando se trata de populações vulneráveis, como crianças, especialmente recém-nascidos e lactentes, que apresentam particularidades fisiológicas importantes, como maior percentual de água corporal, imaturidade renal e maior taxa metabólica. Essas características os tornam mais suscetíveis a variações no equilíbrio hídrico, exigindo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onitoramento rigoroso e cuidado especializado. No contexto da enfermagem pediátrica, o manejo adequado do equilíbrio hidroeletrolítico constitui uma das principais responsabilidades da equipe, demandando conhecimento técnico-científico, habilidades práticas e tomada de decisão baseada em evidências. Nesse cenário, o balanço hídrico destaca-se como uma ferramenta essencial para o acompanhamento clínico, permitindo o registro sistemático de todas as entradas e saídas de líquidos do paciente. Esse instrumento </w:t>
      </w:r>
      <w:r>
        <w:rPr>
          <w:rFonts w:ascii="Times New Roman" w:eastAsia="Times New Roman" w:hAnsi="Times New Roman" w:cs="Times New Roman"/>
          <w:sz w:val="24"/>
          <w:szCs w:val="24"/>
        </w:rPr>
        <w:t>possibilita a avaliação contínua do estado hídrico, subsidiando intervenções precoces e contribuindo para a prevenção de complicações. No entanto, apesar de sua relevância, a literatura evidencia fragilidades na prática assistencial relacionadas ao uso do balanço hídrico, como registros incompletos, inconsistentes, erros de cálculo e ausência de padronização nos métodos de registro e interpretação. Tais limitações comprometem a qualidade da assistência e podem impactar negativamente a segurança do paciente.</w:t>
      </w:r>
    </w:p>
    <w:p w14:paraId="002ABE30" w14:textId="77777777" w:rsidR="00812E39" w:rsidRDefault="004E2CB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Diante desse contexto, torna-se necessário investir em estratégias que qualifiquem a prática profissional e promovam a padronização dos cuidados. O desenvolvimento de tecnologias educativas em saúde surge como uma alternativa inovadora e eficaz para enfrentar esses desafios, contribuindo para a educação permanente dos profissionais e para a incorporação de evidências científicas na prática clínica. Entre essas tecnologias, destacam-se as cartilhas educativas, que se configuram como instrumentos didáticos 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essíveis, de fácil compreensão e ampla aplicabilidade. Essas ferramentas favorecem a disseminação do conhecimento, estimulam a reflexão crítica e auxiliam na organização do cuidado, tornando-se especialmente úteis no contexto da enfermagem pediátrica, onde a precisão e a segurança das ações são essenciais.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</w:t>
      </w:r>
      <w:r>
        <w:rPr>
          <w:rFonts w:ascii="Times New Roman" w:eastAsia="Times New Roman" w:hAnsi="Times New Roman" w:cs="Times New Roman"/>
          <w:sz w:val="24"/>
          <w:szCs w:val="24"/>
        </w:rPr>
        <w:t>: Desenvolver uma tecnologia educativa, no formato de cartilha, voltada à educação em enfermagem, com o propósito de qualificar o cuidado relacionado ao equilíbrio hidroeletrolítico por meio do 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adequado do balanço hídrico na prática da enfermagem pediátrica, promovendo a padronização das condutas e o fortalecimento da prática baseada em evidências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MÉTODO: </w:t>
      </w:r>
      <w:r>
        <w:rPr>
          <w:rFonts w:ascii="Times New Roman" w:eastAsia="Times New Roman" w:hAnsi="Times New Roman" w:cs="Times New Roman"/>
          <w:sz w:val="24"/>
          <w:szCs w:val="24"/>
        </w:rPr>
        <w:t>Trata-se de um estudo metodológico, com abordagem voltada para o desenvolvimento de tecnologia educativa em saúde, direcionada à prática da enfermagem pediátrica. A construção da cartilha seguiu o modelo proposto por Echer (2005), que compreende etapas sistematizadas para elaboração de materiais educativos. Inicialmente, realizou-se o levantame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 do conteúdo por meio de uma revisão de escopo da literatura, conduzida conforme as recomendações metodológicas do Joanna Briggs Institute e orientada pelo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checklist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PRISMA-ScR, garantindo rigor científico e transparência no processo de seleção dos estudos. A questão de pesquisa foi estruturada com base no acrônimo PCC, considerando como população os profissionais de enfermagem, como conceito o equilíbrio hidroeletrolítico e como contexto a assistência pediátrica. A busca foi realizada em bases de dados </w:t>
      </w:r>
      <w:r>
        <w:rPr>
          <w:rFonts w:ascii="Times New Roman" w:eastAsia="Times New Roman" w:hAnsi="Times New Roman" w:cs="Times New Roman"/>
          <w:sz w:val="24"/>
          <w:szCs w:val="24"/>
        </w:rPr>
        <w:t>relevantes da área da saúde, incluindo MEDLINE, CINAHL, Scopus, Web of Science e LILACS, além da inclusão de literatura cinzenta, ampliando o alcance das evidências disponíveis. Foram selecionados estudos que abordassem o cuidado de enfermagem relacionado ao balanço hídrico em pediatria, sem restrição de idioma ou período de publicação, desde que atendessem aos critérios de elegibilidade. Os dados extraídos foram organizados e analisados de forma descritiva, permitindo a identificação de categorias temática</w:t>
      </w:r>
      <w:r>
        <w:rPr>
          <w:rFonts w:ascii="Times New Roman" w:eastAsia="Times New Roman" w:hAnsi="Times New Roman" w:cs="Times New Roman"/>
          <w:sz w:val="24"/>
          <w:szCs w:val="24"/>
        </w:rPr>
        <w:t>s relevantes para a construção do conteúdo da cartilha. Na etapa seguinte, procedeu-se à elaboração do material educativo, priorizando uma linguagem clara, acessível e adequada ao público-alvo, bem como a organização lógica das informações. Foram incorporados recursos visuais, como tabelas, esquemas e exemplos práticos, com o objetivo de facilitar o processo de ensino-aprendizagem e promover maior aplicabilidade no contexto assistencial.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RESULTADOS E DISCUSSÃO</w:t>
      </w:r>
      <w:r>
        <w:rPr>
          <w:rFonts w:ascii="Times New Roman" w:eastAsia="Times New Roman" w:hAnsi="Times New Roman" w:cs="Times New Roman"/>
          <w:sz w:val="24"/>
          <w:szCs w:val="24"/>
        </w:rPr>
        <w:t>: A revisão de escopo resultou na inclusão de 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estudos, que evidenciaram a importância do monitoramento contínuo do equilíbrio hidroeletrolítico na população pediátrica. Os achados reforçam que o balanço hídrico é uma ferramenta indispensável para a prática clínica, contribuindo para a detecção precoce de alterações e para a tomada de decisões seguras. Entre as principais complicações associadas ao manejo inadequado do equilíbrio hídrico destacam-se a desidratação, a hipovolemia e a sobrecarga hídrica, condições que podem evoluir rapidamente e comprome</w:t>
      </w:r>
      <w:r>
        <w:rPr>
          <w:rFonts w:ascii="Times New Roman" w:eastAsia="Times New Roman" w:hAnsi="Times New Roman" w:cs="Times New Roman"/>
          <w:sz w:val="24"/>
          <w:szCs w:val="24"/>
        </w:rPr>
        <w:t>ter o estado clínico da criança.</w:t>
      </w:r>
    </w:p>
    <w:p w14:paraId="02CEEB5E" w14:textId="77777777" w:rsidR="00812E39" w:rsidRDefault="004E2CB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Entretanto, os estudos também apontam fragilidades significativas na execução do balanço hídrico na prática assistencial. Observam-se inconsistências nos registros, ausência de padronização, dificuldades no cálculo e interpretação dos dados, além de lacunas no conhecimento dos profissionais. Esses fatores contribuem para erros assistenciais e comprometem a segurança do paciente, evidenciando a necessidade de intervenções educativas que promovam a qualificação do cuidado. Nesse sentido, a cartilha desenvolvi</w:t>
      </w:r>
      <w:r>
        <w:rPr>
          <w:rFonts w:ascii="Times New Roman" w:eastAsia="Times New Roman" w:hAnsi="Times New Roman" w:cs="Times New Roman"/>
          <w:sz w:val="24"/>
          <w:szCs w:val="24"/>
        </w:rPr>
        <w:t>da apresenta-se como uma estratégia relevante para o enfrentamento dessas lacunas. O material possui 21 páginas e foi estruturado de forma didática, contemplando conceitos fundamentais sobre equilíbrio hidroeletrolítico, orientações detalhadas sobre o cálculo e a interpretação do balanço hídrico, além de destacar as atribuições da equipe de enfermagem nesse processo. A utilização de linguagem simples, aliada a recursos visuais e exemplos práticos, favorece a compreensão do conteúdo e sua aplicação no cotidi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ano assistencial. Como produto tecnológico, a cartilha demonstra potencial para promover a padronização dos registros, reduzir erros e fortalecer a prática baseada em evidências. Além disso, contribui para a educação permanente dos profissionais, estimulando a atualização do conhecimento e a melhoria contínua da qualidade do cuidado. A incorporação dessa tecnologia no contexto assistencial pode impactar positivamente os desfechos clínicos, aumentando a segurança do paciente pediátrico.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construção da tecnologia educativa mostrou-se uma estratégia eficaz e relevante para a qualificação do cuidado relacionado ao equilíbrio hidroeletrolítico na enfermagem pediátrica. O desenvolvimento da cartilha possibilitou a organização sistematizada do conhecimento, facilitando sua aplicação na prática clínica. O material apresenta potencial para melhorar a qualidade dos registros do balanço hídrico, favorecer a tomada de decisões clínicas mais seguras e promover maior segurança do paciente. Além disso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destaca-se a importância da utilização de tecnologias educativas como ferramentas de apoio à prática assistencial, contribuindo para o fortalecimento da educação em enfermagem e da prática baseada em evidências. A adoção de estratégias inovadoras como essa pode auxiliar na superação de desafios cotidianos e na promoção de uma assistência mais qualificada e segura.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CONTRIBUIÇÕES E IMPLICAÇÕES PARA A ENFERMAGEM: </w:t>
      </w:r>
      <w:r>
        <w:rPr>
          <w:rFonts w:ascii="Times New Roman" w:eastAsia="Times New Roman" w:hAnsi="Times New Roman" w:cs="Times New Roman"/>
          <w:sz w:val="24"/>
          <w:szCs w:val="24"/>
        </w:rPr>
        <w:t>A tecnologia educativa desenvolvida contribui significativamente para o fortalecimento da prátic</w:t>
      </w:r>
      <w:r>
        <w:rPr>
          <w:rFonts w:ascii="Times New Roman" w:eastAsia="Times New Roman" w:hAnsi="Times New Roman" w:cs="Times New Roman"/>
          <w:sz w:val="24"/>
          <w:szCs w:val="24"/>
        </w:rPr>
        <w:t>a de enfermagem, promovendo a padronização dos cuidados e a qualificação profissional. Sua aplicação pode resultar na redução de erros assistenciais, na melhoria da qualidade dos registros e no aumento da segurança do paciente pediátrico. Além disso, a cartilha pode ser utilizada como instrumento de apoio em processos de educação permanente, capacitação de equipes e formação acadêmica, ampliando o acesso ao conhecimento e incentivando a incorporação de tecnologias no cuidado em saúde. Dessa forma, reforça-s</w:t>
      </w:r>
      <w:r>
        <w:rPr>
          <w:rFonts w:ascii="Times New Roman" w:eastAsia="Times New Roman" w:hAnsi="Times New Roman" w:cs="Times New Roman"/>
          <w:sz w:val="24"/>
          <w:szCs w:val="24"/>
        </w:rPr>
        <w:t>e o papel da inovação como elemento essencial para a evolução da prática de enfermagem e para a melhoria contínua da assistência.</w:t>
      </w:r>
    </w:p>
    <w:p w14:paraId="572823E7" w14:textId="77777777" w:rsidR="00812E39" w:rsidRDefault="00812E39">
      <w:pPr>
        <w:spacing w:before="0"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64A52" w14:textId="77777777" w:rsidR="00812E39" w:rsidRDefault="00812E39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8DF78B" w14:textId="77777777" w:rsidR="00812E39" w:rsidRDefault="00812E3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5E5B79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Descritores (DeCS – ID):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Equilíbrio Hidroeletrolítico- </w:t>
      </w:r>
      <w:r>
        <w:rPr>
          <w:rFonts w:ascii="Roboto" w:eastAsia="Roboto" w:hAnsi="Roboto" w:cs="Roboto"/>
          <w:color w:val="212529"/>
          <w:sz w:val="18"/>
          <w:szCs w:val="18"/>
          <w:highlight w:val="white"/>
        </w:rPr>
        <w:t>D014882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color w:val="000000"/>
        </w:rPr>
        <w:t xml:space="preserve">Enfermagem Pediátrica- </w:t>
      </w:r>
      <w:r>
        <w:rPr>
          <w:rFonts w:ascii="Roboto" w:eastAsia="Roboto" w:hAnsi="Roboto" w:cs="Roboto"/>
          <w:color w:val="212529"/>
          <w:sz w:val="18"/>
          <w:szCs w:val="18"/>
          <w:highlight w:val="white"/>
        </w:rPr>
        <w:t>D064701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Educação em Enfermagem- </w:t>
      </w:r>
      <w:r>
        <w:rPr>
          <w:rFonts w:ascii="Roboto" w:eastAsia="Roboto" w:hAnsi="Roboto" w:cs="Roboto"/>
          <w:color w:val="212529"/>
          <w:sz w:val="18"/>
          <w:szCs w:val="18"/>
          <w:highlight w:val="white"/>
        </w:rPr>
        <w:t>D004506</w:t>
      </w:r>
    </w:p>
    <w:p w14:paraId="73E811D6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Modalidade: estudo original ( x ) relato de experiência (  ) revisão da literatura (  )</w:t>
      </w:r>
    </w:p>
    <w:p w14:paraId="290139A0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Eixo Temático</w:t>
      </w:r>
      <w:r>
        <w:rPr>
          <w:color w:val="000000"/>
        </w:rPr>
        <w:t>: 8 – Desenvolvimento de Tecnologias para o cuidado em saúde e</w:t>
      </w:r>
      <w:r>
        <w:rPr>
          <w:color w:val="000000"/>
        </w:rPr>
        <w:br/>
        <w:t>enfermagem</w:t>
      </w:r>
    </w:p>
    <w:p w14:paraId="2F0C84C5" w14:textId="77777777" w:rsidR="00812E39" w:rsidRDefault="00812E3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4E44A6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REFERÊNCIAS: </w:t>
      </w:r>
    </w:p>
    <w:p w14:paraId="6BAC47EE" w14:textId="77777777" w:rsidR="00812E39" w:rsidRDefault="004E2CB1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>
        <w:rPr>
          <w:color w:val="000000"/>
        </w:rPr>
        <w:t>Feld LG, Neuspiel DR, Foster BA, Leu MG, Garber MD, Austin K, et al. Clinical</w:t>
      </w:r>
      <w:r>
        <w:rPr>
          <w:color w:val="000000"/>
        </w:rPr>
        <w:br/>
        <w:t>practice guideline: maintenance intravenous fluids in children. Pediatrics.</w:t>
      </w:r>
      <w:r>
        <w:rPr>
          <w:color w:val="000000"/>
        </w:rPr>
        <w:br/>
        <w:t>2018;142(6):e20183083.</w:t>
      </w:r>
      <w:r>
        <w:rPr>
          <w:color w:val="000000"/>
        </w:rPr>
        <w:br/>
        <w:t>2- Gomes PPS, et al. Water balance in pediatric nephrology: construction of a standard</w:t>
      </w:r>
      <w:r>
        <w:rPr>
          <w:color w:val="000000"/>
        </w:rPr>
        <w:br/>
        <w:t>operating procedure. Rev Bras Enferm. 2018;71(suppl 3):1404-11.</w:t>
      </w:r>
      <w:r>
        <w:rPr>
          <w:color w:val="000000"/>
        </w:rPr>
        <w:br/>
        <w:t>3- Silva MA, Almeida FR. Tecnologias educativas na capacitação de profissionais de</w:t>
      </w:r>
      <w:r>
        <w:rPr>
          <w:color w:val="000000"/>
        </w:rPr>
        <w:br/>
        <w:t>enfermagem: uma revisão integrativa. Rev Bras Enferm. 2022;75:e20211042.</w:t>
      </w:r>
    </w:p>
    <w:p w14:paraId="4B505512" w14:textId="77777777" w:rsidR="00812E39" w:rsidRDefault="00812E3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DC64AF" w14:textId="77777777" w:rsidR="00812E39" w:rsidRDefault="004E2CB1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Acadêmico de Enfermagem. Universidade da Amazônia (UNAMA). </w:t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lobatocintia11@gmail.com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0F82EA" w14:textId="77777777" w:rsidR="00812E39" w:rsidRDefault="004E2CB1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Acadêmico de Enfermagem. Universidade da Amazônia (UNAMA). </w:t>
      </w:r>
    </w:p>
    <w:p w14:paraId="031E0FB9" w14:textId="77777777" w:rsidR="00812E39" w:rsidRDefault="004E2CB1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Acadêmico de Enfermagem. Universidade da Amazônia (UNAMA). </w:t>
      </w:r>
    </w:p>
    <w:p w14:paraId="334DCEFA" w14:textId="77777777" w:rsidR="00812E39" w:rsidRDefault="004E2CB1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Acadêmico de Enfermagem. Universidade da Amazônia (UNAMA). </w:t>
      </w:r>
    </w:p>
    <w:p w14:paraId="4B0A0B16" w14:textId="77777777" w:rsidR="00812E39" w:rsidRDefault="004E2CB1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Especialista. Enfermeiro. Coordenador de Enfermagem. Universidade da Amazônia (UNAMA).</w:t>
      </w:r>
    </w:p>
    <w:p w14:paraId="5B5839A9" w14:textId="77777777" w:rsidR="00812E39" w:rsidRDefault="004E2CB1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Mestre. Enfermeira. Docente de Enfermagem. Universidade da Amazônia (UNAMA).</w:t>
      </w:r>
    </w:p>
    <w:p w14:paraId="62A8ED19" w14:textId="77777777" w:rsidR="00812E39" w:rsidRDefault="00812E3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CB6B8" w14:textId="77777777" w:rsidR="00812E39" w:rsidRDefault="00812E39"/>
    <w:sectPr w:rsidR="00812E39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D4D8" w14:textId="77777777" w:rsidR="004E2CB1" w:rsidRDefault="004E2CB1">
      <w:pPr>
        <w:spacing w:before="0" w:after="0" w:line="240" w:lineRule="auto"/>
      </w:pPr>
      <w:r>
        <w:separator/>
      </w:r>
    </w:p>
  </w:endnote>
  <w:endnote w:type="continuationSeparator" w:id="0">
    <w:p w14:paraId="0E5C7357" w14:textId="77777777" w:rsidR="004E2CB1" w:rsidRDefault="004E2C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  <w:embedRegular r:id="rId1" w:fontKey="{3C7B2B06-20F5-8945-A64D-36B47DA08D7C}"/>
    <w:embedBold r:id="rId2" w:fontKey="{03A8E3E7-EB52-7C4E-8DFE-53ABE6D585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  <w:embedRegular r:id="rId3" w:fontKey="{00000000-0000-0000-0000-000000000000}"/>
    <w:embedBold r:id="rId4" w:fontKey="{00000000-0000-0000-0000-000000000000}"/>
    <w:embedItalic r:id="rId5" w:fontKey="{00000000-0000-0000-0000-000000000000}"/>
    <w:embedBoldItalic r:id="rId6" w:fontKey="{00000000-0000-0000-0000-000000000000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E564" w14:textId="77777777" w:rsidR="00812E39" w:rsidRDefault="004E2C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0FAD9AE" wp14:editId="327D9BC3">
          <wp:extent cx="5424788" cy="79349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00D1D32" w14:textId="77777777" w:rsidR="00812E39" w:rsidRDefault="00812E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222F" w14:textId="77777777" w:rsidR="004E2CB1" w:rsidRDefault="004E2CB1">
      <w:pPr>
        <w:spacing w:before="0" w:after="0" w:line="240" w:lineRule="auto"/>
      </w:pPr>
      <w:r>
        <w:separator/>
      </w:r>
    </w:p>
  </w:footnote>
  <w:footnote w:type="continuationSeparator" w:id="0">
    <w:p w14:paraId="160EB681" w14:textId="77777777" w:rsidR="004E2CB1" w:rsidRDefault="004E2C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A2C5" w14:textId="77777777" w:rsidR="00812E39" w:rsidRDefault="004E2C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8637CF2" wp14:editId="5BBD1C7D">
          <wp:extent cx="5439886" cy="90617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39"/>
    <w:rsid w:val="004E2CB1"/>
    <w:rsid w:val="00660C17"/>
    <w:rsid w:val="0081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5D8F02"/>
  <w15:docId w15:val="{52AEC015-7AC1-4347-B721-C7C7083D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 /><Relationship Id="rId13" Type="http://schemas.openxmlformats.org/officeDocument/2006/relationships/hyperlink" Target="mailto:lobatocintia11@gmail.com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orcid.org/" TargetMode="External" /><Relationship Id="rId12" Type="http://schemas.openxmlformats.org/officeDocument/2006/relationships/hyperlink" Target="https://orcid.org/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yperlink" Target="https://orcid.org/" TargetMode="External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10" Type="http://schemas.openxmlformats.org/officeDocument/2006/relationships/hyperlink" Target="https://orcid.org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orcid.org/" TargetMode="External" /><Relationship Id="rId14" Type="http://schemas.openxmlformats.org/officeDocument/2006/relationships/header" Target="header1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Roboto-regular.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Roboto-boldItalic.ttf" /><Relationship Id="rId5" Type="http://schemas.openxmlformats.org/officeDocument/2006/relationships/font" Target="fonts/Roboto-italic.ttf" /><Relationship Id="rId4" Type="http://schemas.openxmlformats.org/officeDocument/2006/relationships/font" Target="fonts/Roboto-bold.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OUhOxTTuIBaVEAYAlVQS6DP2IQ==">CgMxLjA4AHIhMUJuM2cwOVBBcTVVRFdpdEdBbFB1LTV2YkNyZHJFYWdo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1717</Words>
  <Characters>9277</Characters>
  <Application>Microsoft Office Word</Application>
  <DocSecurity>0</DocSecurity>
  <Lines>77</Lines>
  <Paragraphs>21</Paragraphs>
  <ScaleCrop>false</ScaleCrop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cintialobato27@outlook.com</cp:lastModifiedBy>
  <cp:revision>2</cp:revision>
  <dcterms:created xsi:type="dcterms:W3CDTF">2026-05-06T01:56:00Z</dcterms:created>
  <dcterms:modified xsi:type="dcterms:W3CDTF">2026-05-06T01:56:00Z</dcterms:modified>
</cp:coreProperties>
</file>