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CBDF3" w14:textId="3789793E" w:rsidR="005A3E35" w:rsidRPr="001220E6" w:rsidRDefault="00FD1919" w:rsidP="00122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1220E6">
        <w:rPr>
          <w:rFonts w:ascii="Times New Roman" w:hAnsi="Times New Roman" w:cs="Times New Roman"/>
          <w:sz w:val="28"/>
          <w:szCs w:val="28"/>
          <w:lang w:val="es-ES_tradnl"/>
        </w:rPr>
        <w:t>ENTRE EL 'VOY A HACER' Y EL 'HARÉ': UN VIAJE POR LA VARIACIÓN DEL FUTURO EN EL ESPAÑOL ORAL DE GUADALAJARA</w:t>
      </w:r>
    </w:p>
    <w:p w14:paraId="7B5016B3" w14:textId="5880B56E" w:rsidR="005A3E35" w:rsidRDefault="00551C05" w:rsidP="00551C05">
      <w:pPr>
        <w:jc w:val="right"/>
        <w:rPr>
          <w:rFonts w:ascii="Times New Roman" w:hAnsi="Times New Roman" w:cs="Times New Roman"/>
          <w:sz w:val="24"/>
          <w:szCs w:val="24"/>
        </w:rPr>
      </w:pPr>
      <w:r w:rsidRPr="00551C05">
        <w:rPr>
          <w:rFonts w:ascii="Times New Roman" w:hAnsi="Times New Roman" w:cs="Times New Roman"/>
          <w:sz w:val="24"/>
          <w:szCs w:val="24"/>
        </w:rPr>
        <w:t>Vitória Stefanny de Freitas S</w:t>
      </w:r>
      <w:r>
        <w:rPr>
          <w:rFonts w:ascii="Times New Roman" w:hAnsi="Times New Roman" w:cs="Times New Roman"/>
          <w:sz w:val="24"/>
          <w:szCs w:val="24"/>
        </w:rPr>
        <w:t>ilva (UFC)</w:t>
      </w:r>
    </w:p>
    <w:p w14:paraId="7457E745" w14:textId="77777777" w:rsidR="00306872" w:rsidRDefault="00306872" w:rsidP="00551C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D227DA" w14:textId="77777777" w:rsidR="00306872" w:rsidRPr="00551C05" w:rsidRDefault="00306872" w:rsidP="00306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D864B3" w14:textId="7E27C9D4" w:rsidR="00306872" w:rsidRDefault="005A3E35" w:rsidP="003068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6E610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RESUMEN</w:t>
      </w:r>
    </w:p>
    <w:p w14:paraId="2693617C" w14:textId="77777777" w:rsidR="000645A6" w:rsidRDefault="000645A6" w:rsidP="003068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1314A540" w14:textId="77777777" w:rsidR="000645A6" w:rsidRDefault="000645A6" w:rsidP="003068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A2666A7" w14:textId="024FCF82" w:rsidR="005A3E35" w:rsidRPr="000645A6" w:rsidRDefault="006E6103" w:rsidP="000645A6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645A6">
        <w:rPr>
          <w:rFonts w:ascii="Times New Roman" w:hAnsi="Times New Roman" w:cs="Times New Roman"/>
          <w:lang w:val="es-ES_tradnl"/>
        </w:rPr>
        <w:t xml:space="preserve">El presente </w:t>
      </w:r>
      <w:r w:rsidR="00CC2338" w:rsidRPr="000645A6">
        <w:rPr>
          <w:rFonts w:ascii="Times New Roman" w:hAnsi="Times New Roman" w:cs="Times New Roman"/>
          <w:lang w:val="es-ES_tradnl"/>
        </w:rPr>
        <w:t>trabajo</w:t>
      </w:r>
      <w:r w:rsidRPr="000645A6">
        <w:rPr>
          <w:rFonts w:ascii="Times New Roman" w:hAnsi="Times New Roman" w:cs="Times New Roman"/>
          <w:lang w:val="es-ES_tradnl"/>
        </w:rPr>
        <w:t xml:space="preserve"> tiene como objetivo analizar, a la luz de los supuestos teóricos de</w:t>
      </w:r>
      <w:r w:rsidR="00B10AB1" w:rsidRPr="000645A6">
        <w:rPr>
          <w:rFonts w:ascii="Times New Roman" w:hAnsi="Times New Roman" w:cs="Times New Roman"/>
          <w:lang w:val="es-ES_tradnl"/>
        </w:rPr>
        <w:t xml:space="preserve"> </w:t>
      </w:r>
      <w:r w:rsidRPr="000645A6">
        <w:rPr>
          <w:rFonts w:ascii="Times New Roman" w:hAnsi="Times New Roman" w:cs="Times New Roman"/>
          <w:lang w:val="es-ES_tradnl"/>
        </w:rPr>
        <w:t>l</w:t>
      </w:r>
      <w:r w:rsidR="00B10AB1" w:rsidRPr="000645A6">
        <w:rPr>
          <w:rFonts w:ascii="Times New Roman" w:hAnsi="Times New Roman" w:cs="Times New Roman"/>
          <w:lang w:val="es-ES_tradnl"/>
        </w:rPr>
        <w:t>a</w:t>
      </w:r>
      <w:r w:rsidRPr="000645A6">
        <w:rPr>
          <w:rFonts w:ascii="Times New Roman" w:hAnsi="Times New Roman" w:cs="Times New Roman"/>
          <w:lang w:val="es-ES_tradnl"/>
        </w:rPr>
        <w:t xml:space="preserve"> </w:t>
      </w:r>
      <w:r w:rsidR="00C57473" w:rsidRPr="000645A6">
        <w:rPr>
          <w:rFonts w:ascii="Times New Roman" w:hAnsi="Times New Roman" w:cs="Times New Roman"/>
          <w:lang w:val="es-ES_tradnl"/>
        </w:rPr>
        <w:t>sociolingüística</w:t>
      </w:r>
      <w:r w:rsidR="00B10AB1" w:rsidRPr="000645A6">
        <w:rPr>
          <w:rFonts w:ascii="Times New Roman" w:hAnsi="Times New Roman" w:cs="Times New Roman"/>
          <w:lang w:val="es-ES_tradnl"/>
        </w:rPr>
        <w:t xml:space="preserve"> variacionista</w:t>
      </w:r>
      <w:r w:rsidRPr="000645A6">
        <w:rPr>
          <w:rFonts w:ascii="Times New Roman" w:hAnsi="Times New Roman" w:cs="Times New Roman"/>
          <w:lang w:val="es-ES_tradnl"/>
        </w:rPr>
        <w:t xml:space="preserve"> y por medio de las narrativas de la base de datos PRESEEA -</w:t>
      </w:r>
      <w:r w:rsidR="00142C70" w:rsidRPr="000645A6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0645A6">
        <w:rPr>
          <w:rFonts w:ascii="Times New Roman" w:hAnsi="Times New Roman" w:cs="Times New Roman"/>
          <w:lang w:val="es-ES_tradnl"/>
        </w:rPr>
        <w:t>Guadajara</w:t>
      </w:r>
      <w:proofErr w:type="spellEnd"/>
      <w:r w:rsidRPr="000645A6">
        <w:rPr>
          <w:rFonts w:ascii="Times New Roman" w:hAnsi="Times New Roman" w:cs="Times New Roman"/>
          <w:lang w:val="es-ES_tradnl"/>
        </w:rPr>
        <w:t xml:space="preserve"> (Proyecto para el Estudio Sociolingüístico del Español de España y de América), el fenómeno de variación en la expresión de futuridad en esta comunidad de habla, a partir de las variantes: futuro sintético (cantaré) y futuro perifrástico (</w:t>
      </w:r>
      <w:r w:rsidR="00CC2338" w:rsidRPr="000645A6">
        <w:rPr>
          <w:rFonts w:ascii="Times New Roman" w:hAnsi="Times New Roman" w:cs="Times New Roman"/>
          <w:lang w:val="es-ES_tradnl"/>
        </w:rPr>
        <w:t>voy a cantar</w:t>
      </w:r>
      <w:r w:rsidRPr="000645A6">
        <w:rPr>
          <w:rFonts w:ascii="Times New Roman" w:hAnsi="Times New Roman" w:cs="Times New Roman"/>
          <w:lang w:val="es-ES_tradnl"/>
        </w:rPr>
        <w:t xml:space="preserve">), considerando las motivaciones lingüísticas y </w:t>
      </w:r>
      <w:r w:rsidR="00C57473" w:rsidRPr="000645A6">
        <w:rPr>
          <w:rFonts w:ascii="Times New Roman" w:hAnsi="Times New Roman" w:cs="Times New Roman"/>
          <w:lang w:val="es-ES_tradnl"/>
        </w:rPr>
        <w:t>extralingüísticas</w:t>
      </w:r>
      <w:r w:rsidRPr="000645A6">
        <w:rPr>
          <w:rFonts w:ascii="Times New Roman" w:hAnsi="Times New Roman" w:cs="Times New Roman"/>
          <w:lang w:val="es-ES_tradnl"/>
        </w:rPr>
        <w:t xml:space="preserve">. Los objetivos que guían la investigación son: </w:t>
      </w:r>
      <w:r w:rsidR="00066FDC" w:rsidRPr="000645A6">
        <w:rPr>
          <w:rFonts w:ascii="Times New Roman" w:hAnsi="Times New Roman" w:cs="Times New Roman"/>
          <w:lang w:val="es-ES_tradnl"/>
        </w:rPr>
        <w:t>a) i</w:t>
      </w:r>
      <w:r w:rsidRPr="000645A6">
        <w:rPr>
          <w:rFonts w:ascii="Times New Roman" w:hAnsi="Times New Roman" w:cs="Times New Roman"/>
          <w:lang w:val="es-ES_tradnl"/>
        </w:rPr>
        <w:t xml:space="preserve">nvestigar de qué manera las secuencias discursivas (exposición, narración, descripción y diálogo) actúan en el uso de una variante frente a otra; </w:t>
      </w:r>
      <w:r w:rsidR="0090080B" w:rsidRPr="000645A6">
        <w:rPr>
          <w:rFonts w:ascii="Times New Roman" w:hAnsi="Times New Roman" w:cs="Times New Roman"/>
          <w:lang w:val="es-ES_tradnl"/>
        </w:rPr>
        <w:t>b)</w:t>
      </w:r>
      <w:r w:rsidRPr="000645A6">
        <w:rPr>
          <w:rFonts w:ascii="Times New Roman" w:hAnsi="Times New Roman" w:cs="Times New Roman"/>
          <w:lang w:val="es-ES_tradnl"/>
        </w:rPr>
        <w:t xml:space="preserve"> examinar cómo los tipos de frase (afirmativa, negativa, interrogativa y exclamativa) influyen en el uso de una variante frente a otra; </w:t>
      </w:r>
      <w:r w:rsidR="0090080B" w:rsidRPr="000645A6">
        <w:rPr>
          <w:rFonts w:ascii="Times New Roman" w:hAnsi="Times New Roman" w:cs="Times New Roman"/>
          <w:lang w:val="es-ES_tradnl"/>
        </w:rPr>
        <w:t>c)</w:t>
      </w:r>
      <w:r w:rsidRPr="000645A6">
        <w:rPr>
          <w:rFonts w:ascii="Times New Roman" w:hAnsi="Times New Roman" w:cs="Times New Roman"/>
          <w:lang w:val="es-ES_tradnl"/>
        </w:rPr>
        <w:t xml:space="preserve">. analizar cómo el sexo del hablante influye en el uso de una variante frente a la otra; </w:t>
      </w:r>
      <w:r w:rsidR="0090080B" w:rsidRPr="000645A6">
        <w:rPr>
          <w:rFonts w:ascii="Times New Roman" w:hAnsi="Times New Roman" w:cs="Times New Roman"/>
          <w:lang w:val="es-ES_tradnl"/>
        </w:rPr>
        <w:t xml:space="preserve">d) </w:t>
      </w:r>
      <w:r w:rsidRPr="000645A6">
        <w:rPr>
          <w:rFonts w:ascii="Times New Roman" w:hAnsi="Times New Roman" w:cs="Times New Roman"/>
          <w:lang w:val="es-ES_tradnl"/>
        </w:rPr>
        <w:t xml:space="preserve">identificar cómo el grupo de edad de los hablantes influye en el uso de una variante frente a otra; </w:t>
      </w:r>
      <w:r w:rsidR="0090080B" w:rsidRPr="000645A6">
        <w:rPr>
          <w:rFonts w:ascii="Times New Roman" w:hAnsi="Times New Roman" w:cs="Times New Roman"/>
          <w:lang w:val="es-ES_tradnl"/>
        </w:rPr>
        <w:t>e)</w:t>
      </w:r>
      <w:r w:rsidRPr="000645A6">
        <w:rPr>
          <w:rFonts w:ascii="Times New Roman" w:hAnsi="Times New Roman" w:cs="Times New Roman"/>
          <w:lang w:val="es-ES_tradnl"/>
        </w:rPr>
        <w:t xml:space="preserve"> analizar cómo el nivel de escolaridad relativo a los hablantes interfiere en la variación de la expresión de futuridad. De nuestro estudio, esperamos constatar que: </w:t>
      </w:r>
      <w:r w:rsidR="00362888" w:rsidRPr="000645A6">
        <w:rPr>
          <w:rFonts w:ascii="Times New Roman" w:hAnsi="Times New Roman" w:cs="Times New Roman"/>
          <w:lang w:val="es-ES_tradnl"/>
        </w:rPr>
        <w:t>a)</w:t>
      </w:r>
      <w:r w:rsidRPr="000645A6">
        <w:rPr>
          <w:rFonts w:ascii="Times New Roman" w:hAnsi="Times New Roman" w:cs="Times New Roman"/>
          <w:lang w:val="es-ES_tradnl"/>
        </w:rPr>
        <w:t xml:space="preserve"> las secuencias discursivas descripción y diálogos tienden a favorecer el uso del futuro perifrástico, mientras que la exposición y narración favorecen el futuro sencillo; </w:t>
      </w:r>
      <w:r w:rsidR="00362888" w:rsidRPr="000645A6">
        <w:rPr>
          <w:rFonts w:ascii="Times New Roman" w:hAnsi="Times New Roman" w:cs="Times New Roman"/>
          <w:lang w:val="es-ES_tradnl"/>
        </w:rPr>
        <w:t>b)</w:t>
      </w:r>
      <w:r w:rsidRPr="000645A6">
        <w:rPr>
          <w:rFonts w:ascii="Times New Roman" w:hAnsi="Times New Roman" w:cs="Times New Roman"/>
          <w:lang w:val="es-ES_tradnl"/>
        </w:rPr>
        <w:t xml:space="preserve"> frases afirmativas, negativas </w:t>
      </w:r>
      <w:proofErr w:type="spellStart"/>
      <w:r w:rsidRPr="000645A6">
        <w:rPr>
          <w:rFonts w:ascii="Times New Roman" w:hAnsi="Times New Roman" w:cs="Times New Roman"/>
          <w:lang w:val="es-ES_tradnl"/>
        </w:rPr>
        <w:t>y</w:t>
      </w:r>
      <w:proofErr w:type="spellEnd"/>
      <w:r w:rsidRPr="000645A6">
        <w:rPr>
          <w:rFonts w:ascii="Times New Roman" w:hAnsi="Times New Roman" w:cs="Times New Roman"/>
          <w:lang w:val="es-ES_tradnl"/>
        </w:rPr>
        <w:t xml:space="preserve"> interrogativas favorecen el uso del futuro perifrástico, mientras que las frases exclamativas favorecen el uso del futuro simple; </w:t>
      </w:r>
      <w:r w:rsidR="00362888" w:rsidRPr="000645A6">
        <w:rPr>
          <w:rFonts w:ascii="Times New Roman" w:hAnsi="Times New Roman" w:cs="Times New Roman"/>
          <w:lang w:val="es-ES_tradnl"/>
        </w:rPr>
        <w:t>c)</w:t>
      </w:r>
      <w:r w:rsidRPr="000645A6">
        <w:rPr>
          <w:rFonts w:ascii="Times New Roman" w:hAnsi="Times New Roman" w:cs="Times New Roman"/>
          <w:lang w:val="es-ES_tradnl"/>
        </w:rPr>
        <w:t xml:space="preserve"> </w:t>
      </w:r>
      <w:r w:rsidR="00362888" w:rsidRPr="000645A6">
        <w:rPr>
          <w:rFonts w:ascii="Times New Roman" w:hAnsi="Times New Roman" w:cs="Times New Roman"/>
          <w:lang w:val="es-ES_tradnl"/>
        </w:rPr>
        <w:t>h</w:t>
      </w:r>
      <w:r w:rsidRPr="000645A6">
        <w:rPr>
          <w:rFonts w:ascii="Times New Roman" w:hAnsi="Times New Roman" w:cs="Times New Roman"/>
          <w:lang w:val="es-ES_tradnl"/>
        </w:rPr>
        <w:t xml:space="preserve">ablantes masculinos favorecen el uso del futuro perifrástico y hablantes femeninos favorecen el uso del futuro sencillo; </w:t>
      </w:r>
      <w:r w:rsidR="00362888" w:rsidRPr="000645A6">
        <w:rPr>
          <w:rFonts w:ascii="Times New Roman" w:hAnsi="Times New Roman" w:cs="Times New Roman"/>
          <w:lang w:val="es-ES_tradnl"/>
        </w:rPr>
        <w:t xml:space="preserve">d) </w:t>
      </w:r>
      <w:r w:rsidRPr="000645A6">
        <w:rPr>
          <w:rFonts w:ascii="Times New Roman" w:hAnsi="Times New Roman" w:cs="Times New Roman"/>
          <w:lang w:val="es-ES_tradnl"/>
        </w:rPr>
        <w:t xml:space="preserve">los hablantes más jóvenes tienden a favorecer el uso del futuro perifrástico, mientras que los mayores favorecen el futuro sencillo; </w:t>
      </w:r>
      <w:r w:rsidR="00EC112B" w:rsidRPr="000645A6">
        <w:rPr>
          <w:rFonts w:ascii="Times New Roman" w:hAnsi="Times New Roman" w:cs="Times New Roman"/>
          <w:lang w:val="es-ES_tradnl"/>
        </w:rPr>
        <w:t>e)</w:t>
      </w:r>
      <w:r w:rsidRPr="000645A6">
        <w:rPr>
          <w:rFonts w:ascii="Times New Roman" w:hAnsi="Times New Roman" w:cs="Times New Roman"/>
          <w:lang w:val="es-ES_tradnl"/>
        </w:rPr>
        <w:t xml:space="preserve"> los informantes que tienen un grado de escolaridad más bajo tienden a favorecer el uso del futuro perifrástico, mientras que los hablantes con mayor nivel de escolaridad favorecen el uso del futuro sencillo. Nuestra investigación tiene naturaleza quali-cuantitativa y cuenta con el aporte teórico </w:t>
      </w:r>
      <w:r w:rsidR="005A3E35" w:rsidRPr="000645A6">
        <w:rPr>
          <w:rFonts w:ascii="Times New Roman" w:hAnsi="Times New Roman" w:cs="Times New Roman"/>
          <w:lang w:val="es-ES_tradnl"/>
        </w:rPr>
        <w:t xml:space="preserve">de Labov (1972, 1978, 1994, 2001, 2003 </w:t>
      </w:r>
      <w:r w:rsidR="0013271D" w:rsidRPr="000645A6">
        <w:rPr>
          <w:rFonts w:ascii="Times New Roman" w:hAnsi="Times New Roman" w:cs="Times New Roman"/>
          <w:lang w:val="es-ES_tradnl"/>
        </w:rPr>
        <w:t>y</w:t>
      </w:r>
      <w:r w:rsidR="005A3E35" w:rsidRPr="000645A6">
        <w:rPr>
          <w:rFonts w:ascii="Times New Roman" w:hAnsi="Times New Roman" w:cs="Times New Roman"/>
          <w:lang w:val="es-ES_tradnl"/>
        </w:rPr>
        <w:t xml:space="preserve"> 2010), Lavandera (1978), Silva-Corvalán (2001), Moreno Fernández (2004 </w:t>
      </w:r>
      <w:r w:rsidR="00AA4842" w:rsidRPr="000645A6">
        <w:rPr>
          <w:rFonts w:ascii="Times New Roman" w:hAnsi="Times New Roman" w:cs="Times New Roman"/>
          <w:lang w:val="es-ES_tradnl"/>
        </w:rPr>
        <w:t>y</w:t>
      </w:r>
      <w:r w:rsidR="005A3E35" w:rsidRPr="000645A6">
        <w:rPr>
          <w:rFonts w:ascii="Times New Roman" w:hAnsi="Times New Roman" w:cs="Times New Roman"/>
          <w:lang w:val="es-ES_tradnl"/>
        </w:rPr>
        <w:t xml:space="preserve"> 2010), </w:t>
      </w:r>
      <w:proofErr w:type="spellStart"/>
      <w:r w:rsidR="005A3E35" w:rsidRPr="000645A6">
        <w:rPr>
          <w:rFonts w:ascii="Times New Roman" w:hAnsi="Times New Roman" w:cs="Times New Roman"/>
          <w:lang w:val="es-ES_tradnl"/>
        </w:rPr>
        <w:t>Tarallo</w:t>
      </w:r>
      <w:proofErr w:type="spellEnd"/>
      <w:r w:rsidR="005A3E35" w:rsidRPr="000645A6">
        <w:rPr>
          <w:rFonts w:ascii="Times New Roman" w:hAnsi="Times New Roman" w:cs="Times New Roman"/>
          <w:lang w:val="es-ES_tradnl"/>
        </w:rPr>
        <w:t xml:space="preserve"> (2005), Andión Herrero (2008),</w:t>
      </w:r>
      <w:r w:rsidR="00AA4842" w:rsidRPr="000645A6">
        <w:rPr>
          <w:rFonts w:ascii="Times New Roman" w:hAnsi="Times New Roman" w:cs="Times New Roman"/>
          <w:lang w:val="es-ES_tradnl"/>
        </w:rPr>
        <w:t xml:space="preserve"> </w:t>
      </w:r>
      <w:r w:rsidR="005A3E35" w:rsidRPr="000645A6">
        <w:rPr>
          <w:rFonts w:ascii="Times New Roman" w:hAnsi="Times New Roman" w:cs="Times New Roman"/>
          <w:lang w:val="es-ES_tradnl"/>
        </w:rPr>
        <w:t>Díaz-Campos de (2014).</w:t>
      </w:r>
    </w:p>
    <w:p w14:paraId="7EF4A3F3" w14:textId="77777777" w:rsidR="006E6103" w:rsidRPr="00B27A40" w:rsidRDefault="006E6103" w:rsidP="006E6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61D8154" w14:textId="677E6D87" w:rsidR="006E6103" w:rsidRDefault="006E6103" w:rsidP="006E6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10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Palabras-Clave</w:t>
      </w:r>
      <w:r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523FF9">
        <w:rPr>
          <w:rFonts w:ascii="Times New Roman" w:hAnsi="Times New Roman" w:cs="Times New Roman"/>
          <w:sz w:val="24"/>
          <w:szCs w:val="24"/>
          <w:lang w:val="es-ES_tradnl"/>
        </w:rPr>
        <w:t>Sociolingüística</w:t>
      </w:r>
      <w:r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. Expresión de futuridad. </w:t>
      </w:r>
      <w:proofErr w:type="spellStart"/>
      <w:r w:rsidRPr="006E6103">
        <w:rPr>
          <w:rFonts w:ascii="Times New Roman" w:hAnsi="Times New Roman" w:cs="Times New Roman"/>
          <w:sz w:val="24"/>
          <w:szCs w:val="24"/>
        </w:rPr>
        <w:t>Variación</w:t>
      </w:r>
      <w:proofErr w:type="spellEnd"/>
      <w:r w:rsidRPr="006E6103">
        <w:rPr>
          <w:rFonts w:ascii="Times New Roman" w:hAnsi="Times New Roman" w:cs="Times New Roman"/>
          <w:sz w:val="24"/>
          <w:szCs w:val="24"/>
        </w:rPr>
        <w:t xml:space="preserve"> lingüística.</w:t>
      </w:r>
    </w:p>
    <w:p w14:paraId="6D90B969" w14:textId="750442D2" w:rsidR="008961B6" w:rsidRPr="005A3E35" w:rsidRDefault="008961B6" w:rsidP="006E6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1B6" w:rsidRPr="005A3E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04"/>
    <w:rsid w:val="000645A6"/>
    <w:rsid w:val="00066FDC"/>
    <w:rsid w:val="000A7056"/>
    <w:rsid w:val="001061A3"/>
    <w:rsid w:val="001220E6"/>
    <w:rsid w:val="0013271D"/>
    <w:rsid w:val="00142C70"/>
    <w:rsid w:val="00147A04"/>
    <w:rsid w:val="00187C73"/>
    <w:rsid w:val="00306872"/>
    <w:rsid w:val="00362888"/>
    <w:rsid w:val="004B56F1"/>
    <w:rsid w:val="00523FF9"/>
    <w:rsid w:val="00543F99"/>
    <w:rsid w:val="00551C05"/>
    <w:rsid w:val="00580340"/>
    <w:rsid w:val="00591D24"/>
    <w:rsid w:val="005A3E35"/>
    <w:rsid w:val="006E6103"/>
    <w:rsid w:val="007D54AE"/>
    <w:rsid w:val="007E6E6F"/>
    <w:rsid w:val="008961B6"/>
    <w:rsid w:val="0090080B"/>
    <w:rsid w:val="00AA4842"/>
    <w:rsid w:val="00B10AB1"/>
    <w:rsid w:val="00B27A40"/>
    <w:rsid w:val="00B31E25"/>
    <w:rsid w:val="00C57473"/>
    <w:rsid w:val="00C951CF"/>
    <w:rsid w:val="00CC2338"/>
    <w:rsid w:val="00EC112B"/>
    <w:rsid w:val="00FD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C01F"/>
  <w15:chartTrackingRefBased/>
  <w15:docId w15:val="{20FC4F27-1A80-4493-82C5-26E9421C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Freitas</dc:creator>
  <cp:keywords/>
  <dc:description/>
  <cp:lastModifiedBy>Vitória Freitas</cp:lastModifiedBy>
  <cp:revision>2</cp:revision>
  <dcterms:created xsi:type="dcterms:W3CDTF">2024-10-01T01:28:00Z</dcterms:created>
  <dcterms:modified xsi:type="dcterms:W3CDTF">2024-10-01T01:28:00Z</dcterms:modified>
</cp:coreProperties>
</file>