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CDE3" w14:textId="77777777" w:rsidR="0092416B" w:rsidRPr="00E707E5" w:rsidRDefault="00000000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707E5">
        <w:rPr>
          <w:rFonts w:asciiTheme="majorBidi" w:hAnsiTheme="majorBidi" w:cstheme="majorBidi"/>
          <w:sz w:val="24"/>
          <w:szCs w:val="24"/>
        </w:rPr>
        <w:t>CORPO ESTRANHO ESOFÁGICO CERVICAL EM FELINO:</w:t>
      </w:r>
    </w:p>
    <w:p w14:paraId="32F03AFB" w14:textId="77777777" w:rsidR="0092416B" w:rsidRPr="00E707E5" w:rsidRDefault="00000000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707E5">
        <w:rPr>
          <w:rFonts w:asciiTheme="majorBidi" w:hAnsiTheme="majorBidi" w:cstheme="majorBidi"/>
          <w:sz w:val="24"/>
          <w:szCs w:val="24"/>
        </w:rPr>
        <w:t>RELATO DE CASO</w:t>
      </w:r>
    </w:p>
    <w:p w14:paraId="45138DE5" w14:textId="77777777" w:rsidR="0092416B" w:rsidRPr="00E707E5" w:rsidRDefault="00000000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</w:pPr>
      <w:r w:rsidRPr="00E707E5">
        <w:rPr>
          <w:rFonts w:asciiTheme="majorBidi" w:hAnsiTheme="majorBidi" w:cstheme="majorBidi"/>
          <w:sz w:val="24"/>
          <w:szCs w:val="24"/>
        </w:rPr>
        <w:t xml:space="preserve">Yohanna de O. </w:t>
      </w:r>
      <w:r w:rsidRPr="00E707E5">
        <w:rPr>
          <w:rFonts w:asciiTheme="majorBidi" w:hAnsiTheme="majorBidi" w:cstheme="majorBidi"/>
          <w:b/>
          <w:sz w:val="24"/>
          <w:szCs w:val="24"/>
        </w:rPr>
        <w:t xml:space="preserve">BATISTA¹, </w:t>
      </w:r>
      <w:proofErr w:type="spellStart"/>
      <w:r w:rsidRPr="00E707E5">
        <w:rPr>
          <w:rFonts w:asciiTheme="majorBidi" w:hAnsiTheme="majorBidi" w:cstheme="majorBidi"/>
          <w:sz w:val="24"/>
          <w:szCs w:val="24"/>
        </w:rPr>
        <w:t>Emérson</w:t>
      </w:r>
      <w:proofErr w:type="spellEnd"/>
      <w:r w:rsidRPr="00E707E5">
        <w:rPr>
          <w:rFonts w:asciiTheme="majorBidi" w:hAnsiTheme="majorBidi" w:cstheme="majorBidi"/>
          <w:sz w:val="24"/>
          <w:szCs w:val="24"/>
        </w:rPr>
        <w:t xml:space="preserve"> T. de</w:t>
      </w:r>
      <w:r w:rsidRPr="00E707E5">
        <w:rPr>
          <w:rFonts w:asciiTheme="majorBidi" w:hAnsiTheme="majorBidi" w:cstheme="majorBidi"/>
          <w:b/>
          <w:sz w:val="24"/>
          <w:szCs w:val="24"/>
        </w:rPr>
        <w:t xml:space="preserve"> ALCÂNTARA</w:t>
      </w:r>
      <w:r w:rsidRPr="00E707E5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E707E5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E707E5">
        <w:rPr>
          <w:rFonts w:asciiTheme="majorBidi" w:hAnsiTheme="majorBidi" w:cstheme="majorBidi"/>
          <w:sz w:val="24"/>
          <w:szCs w:val="24"/>
        </w:rPr>
        <w:t>Katarine</w:t>
      </w:r>
      <w:proofErr w:type="spellEnd"/>
      <w:r w:rsidRPr="00E707E5">
        <w:rPr>
          <w:rFonts w:asciiTheme="majorBidi" w:hAnsiTheme="majorBidi" w:cstheme="majorBidi"/>
          <w:sz w:val="24"/>
          <w:szCs w:val="24"/>
        </w:rPr>
        <w:t xml:space="preserve"> de S.</w:t>
      </w:r>
      <w:r w:rsidRPr="00E707E5">
        <w:rPr>
          <w:rFonts w:asciiTheme="majorBidi" w:hAnsiTheme="majorBidi" w:cstheme="majorBidi"/>
          <w:b/>
          <w:sz w:val="24"/>
          <w:szCs w:val="24"/>
        </w:rPr>
        <w:t xml:space="preserve"> ROCHA</w:t>
      </w:r>
      <w:r w:rsidRPr="00E707E5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E707E5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E707E5">
        <w:rPr>
          <w:rFonts w:asciiTheme="majorBidi" w:hAnsiTheme="majorBidi" w:cstheme="majorBidi"/>
          <w:sz w:val="24"/>
          <w:szCs w:val="24"/>
        </w:rPr>
        <w:t>Kiára</w:t>
      </w:r>
      <w:proofErr w:type="spellEnd"/>
      <w:r w:rsidRPr="00E707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07E5">
        <w:rPr>
          <w:rFonts w:asciiTheme="majorBidi" w:hAnsiTheme="majorBidi" w:cstheme="majorBidi"/>
          <w:sz w:val="24"/>
          <w:szCs w:val="24"/>
        </w:rPr>
        <w:t>Jéssika</w:t>
      </w:r>
      <w:proofErr w:type="spellEnd"/>
      <w:r w:rsidRPr="00E707E5">
        <w:rPr>
          <w:rFonts w:asciiTheme="majorBidi" w:hAnsiTheme="majorBidi" w:cstheme="majorBidi"/>
          <w:sz w:val="24"/>
          <w:szCs w:val="24"/>
        </w:rPr>
        <w:t xml:space="preserve"> M. de</w:t>
      </w:r>
      <w:r w:rsidRPr="00E707E5">
        <w:rPr>
          <w:rFonts w:asciiTheme="majorBidi" w:hAnsiTheme="majorBidi" w:cstheme="majorBidi"/>
          <w:b/>
          <w:sz w:val="24"/>
          <w:szCs w:val="24"/>
        </w:rPr>
        <w:t xml:space="preserve"> OLIVEIRA</w:t>
      </w:r>
      <w:r w:rsidRPr="00E707E5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E707E5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E707E5">
        <w:rPr>
          <w:rFonts w:asciiTheme="majorBidi" w:hAnsiTheme="majorBidi" w:cstheme="majorBidi"/>
          <w:color w:val="000000"/>
          <w:sz w:val="24"/>
          <w:szCs w:val="24"/>
          <w:highlight w:val="white"/>
        </w:rPr>
        <w:t>Kenikywaynne</w:t>
      </w:r>
      <w:proofErr w:type="spellEnd"/>
      <w:r w:rsidRPr="00E707E5">
        <w:rPr>
          <w:rFonts w:asciiTheme="majorBidi" w:hAnsiTheme="majorBidi" w:cstheme="majorBidi"/>
          <w:color w:val="000000"/>
          <w:sz w:val="24"/>
          <w:szCs w:val="24"/>
          <w:highlight w:val="white"/>
        </w:rPr>
        <w:t xml:space="preserve"> K. Félix do</w:t>
      </w:r>
      <w:r w:rsidRPr="00E707E5"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  <w:t xml:space="preserve"> NASCIMENTO</w:t>
      </w:r>
      <w:r w:rsidRPr="00E707E5">
        <w:rPr>
          <w:rFonts w:asciiTheme="majorBidi" w:hAnsiTheme="majorBidi" w:cstheme="majorBidi"/>
          <w:color w:val="000000"/>
          <w:sz w:val="24"/>
          <w:szCs w:val="24"/>
          <w:highlight w:val="white"/>
          <w:vertAlign w:val="superscript"/>
        </w:rPr>
        <w:t>2</w:t>
      </w:r>
      <w:r w:rsidRPr="00E707E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707E5">
        <w:rPr>
          <w:rFonts w:asciiTheme="majorBidi" w:hAnsiTheme="majorBidi" w:cstheme="majorBidi"/>
          <w:sz w:val="24"/>
          <w:szCs w:val="24"/>
        </w:rPr>
        <w:t>Iandeyara</w:t>
      </w:r>
      <w:proofErr w:type="spellEnd"/>
      <w:r w:rsidRPr="00E707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07E5">
        <w:rPr>
          <w:rFonts w:asciiTheme="majorBidi" w:hAnsiTheme="majorBidi" w:cstheme="majorBidi"/>
          <w:sz w:val="24"/>
          <w:szCs w:val="24"/>
        </w:rPr>
        <w:t>Jhulyenne</w:t>
      </w:r>
      <w:proofErr w:type="spellEnd"/>
      <w:r w:rsidRPr="00E707E5">
        <w:rPr>
          <w:rFonts w:asciiTheme="majorBidi" w:hAnsiTheme="majorBidi" w:cstheme="majorBidi"/>
          <w:sz w:val="24"/>
          <w:szCs w:val="24"/>
        </w:rPr>
        <w:t xml:space="preserve"> S. </w:t>
      </w:r>
      <w:r w:rsidRPr="00E707E5">
        <w:rPr>
          <w:rFonts w:asciiTheme="majorBidi" w:hAnsiTheme="majorBidi" w:cstheme="majorBidi"/>
          <w:b/>
          <w:sz w:val="24"/>
          <w:szCs w:val="24"/>
        </w:rPr>
        <w:t>MARTINS</w:t>
      </w:r>
      <w:r w:rsidRPr="00E707E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E707E5">
        <w:rPr>
          <w:rFonts w:asciiTheme="majorBidi" w:hAnsiTheme="majorBidi" w:cstheme="majorBidi"/>
          <w:color w:val="000000"/>
          <w:sz w:val="24"/>
          <w:szCs w:val="24"/>
          <w:highlight w:val="white"/>
        </w:rPr>
        <w:t xml:space="preserve">, </w:t>
      </w:r>
      <w:proofErr w:type="spellStart"/>
      <w:r w:rsidRPr="00E707E5">
        <w:rPr>
          <w:rFonts w:asciiTheme="majorBidi" w:hAnsiTheme="majorBidi" w:cstheme="majorBidi"/>
          <w:color w:val="000000"/>
          <w:sz w:val="24"/>
          <w:szCs w:val="24"/>
          <w:highlight w:val="white"/>
        </w:rPr>
        <w:t>Fabrícia</w:t>
      </w:r>
      <w:proofErr w:type="spellEnd"/>
      <w:r w:rsidRPr="00E707E5">
        <w:rPr>
          <w:rFonts w:asciiTheme="majorBidi" w:hAnsiTheme="majorBidi" w:cstheme="majorBidi"/>
          <w:color w:val="000000"/>
          <w:sz w:val="24"/>
          <w:szCs w:val="24"/>
          <w:highlight w:val="white"/>
        </w:rPr>
        <w:t xml:space="preserve"> </w:t>
      </w:r>
      <w:proofErr w:type="spellStart"/>
      <w:r w:rsidRPr="00E707E5">
        <w:rPr>
          <w:rFonts w:asciiTheme="majorBidi" w:hAnsiTheme="majorBidi" w:cstheme="majorBidi"/>
          <w:color w:val="000000"/>
          <w:sz w:val="24"/>
          <w:szCs w:val="24"/>
          <w:highlight w:val="white"/>
        </w:rPr>
        <w:t>Geovânia</w:t>
      </w:r>
      <w:proofErr w:type="spellEnd"/>
      <w:r w:rsidRPr="00E707E5">
        <w:rPr>
          <w:rFonts w:asciiTheme="majorBidi" w:hAnsiTheme="majorBidi" w:cstheme="majorBidi"/>
          <w:color w:val="000000"/>
          <w:sz w:val="24"/>
          <w:szCs w:val="24"/>
          <w:highlight w:val="white"/>
        </w:rPr>
        <w:t xml:space="preserve"> F. </w:t>
      </w:r>
      <w:r w:rsidRPr="00E707E5"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  <w:t>FILGUEIRA</w:t>
      </w:r>
      <w:r w:rsidRPr="00E707E5">
        <w:rPr>
          <w:rFonts w:asciiTheme="majorBidi" w:hAnsiTheme="majorBidi" w:cstheme="majorBidi"/>
          <w:color w:val="000000"/>
          <w:sz w:val="24"/>
          <w:szCs w:val="24"/>
          <w:highlight w:val="white"/>
          <w:vertAlign w:val="superscript"/>
        </w:rPr>
        <w:t>3</w:t>
      </w:r>
      <w:r w:rsidRPr="00E707E5"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  <w:t xml:space="preserve">, </w:t>
      </w:r>
      <w:r w:rsidRPr="00E707E5">
        <w:rPr>
          <w:rFonts w:asciiTheme="majorBidi" w:hAnsiTheme="majorBidi" w:cstheme="majorBidi"/>
          <w:color w:val="000000"/>
          <w:sz w:val="24"/>
          <w:szCs w:val="24"/>
          <w:highlight w:val="white"/>
        </w:rPr>
        <w:t xml:space="preserve">Ana Lucélia de </w:t>
      </w:r>
      <w:r w:rsidRPr="00E707E5">
        <w:rPr>
          <w:rFonts w:asciiTheme="majorBidi" w:hAnsiTheme="majorBidi" w:cstheme="majorBidi"/>
          <w:b/>
          <w:color w:val="000000"/>
          <w:sz w:val="24"/>
          <w:szCs w:val="24"/>
          <w:highlight w:val="white"/>
        </w:rPr>
        <w:t>ARAÚJO</w:t>
      </w:r>
      <w:r w:rsidRPr="00E707E5">
        <w:rPr>
          <w:rFonts w:asciiTheme="majorBidi" w:hAnsiTheme="majorBidi" w:cstheme="majorBidi"/>
          <w:color w:val="000000"/>
          <w:sz w:val="24"/>
          <w:szCs w:val="24"/>
          <w:highlight w:val="white"/>
          <w:vertAlign w:val="superscript"/>
        </w:rPr>
        <w:t>4</w:t>
      </w:r>
    </w:p>
    <w:p w14:paraId="1A375473" w14:textId="49DE6010" w:rsidR="0092416B" w:rsidRPr="005F6E71" w:rsidRDefault="00000000">
      <w:pPr>
        <w:spacing w:after="0" w:line="240" w:lineRule="auto"/>
        <w:rPr>
          <w:rFonts w:ascii="Times New Roman" w:hAnsi="Times New Roman" w:cs="Times New Roman"/>
          <w:color w:val="0563C1"/>
          <w:sz w:val="20"/>
          <w:szCs w:val="20"/>
          <w:u w:val="single"/>
        </w:rPr>
      </w:pPr>
      <w:r w:rsidRPr="005F6E71">
        <w:rPr>
          <w:rFonts w:ascii="Times New Roman" w:hAnsi="Times New Roman" w:cs="Times New Roman"/>
          <w:sz w:val="20"/>
          <w:szCs w:val="20"/>
        </w:rPr>
        <w:t xml:space="preserve">1 Discente de graduação em Medicina Veterinária pelo Instituto Federal de Educação, Ciência e Tecnologia da </w:t>
      </w:r>
      <w:proofErr w:type="spellStart"/>
      <w:r w:rsidRPr="005F6E71">
        <w:rPr>
          <w:rFonts w:ascii="Times New Roman" w:hAnsi="Times New Roman" w:cs="Times New Roman"/>
          <w:sz w:val="20"/>
          <w:szCs w:val="20"/>
        </w:rPr>
        <w:t>Paraíba,Campus</w:t>
      </w:r>
      <w:proofErr w:type="spellEnd"/>
      <w:r w:rsidRPr="005F6E71">
        <w:rPr>
          <w:rFonts w:ascii="Times New Roman" w:hAnsi="Times New Roman" w:cs="Times New Roman"/>
          <w:sz w:val="20"/>
          <w:szCs w:val="20"/>
        </w:rPr>
        <w:t xml:space="preserve"> Sousa, </w:t>
      </w:r>
      <w:hyperlink r:id="rId6">
        <w:r w:rsidRPr="005F6E71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batistayohanna8@gmail.com</w:t>
        </w:r>
      </w:hyperlink>
      <w:r w:rsidRPr="005F6E7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</w:p>
    <w:p w14:paraId="57AF737A" w14:textId="77777777" w:rsidR="0092416B" w:rsidRPr="005F6E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 w:rsidRPr="005F6E71">
        <w:rPr>
          <w:rFonts w:ascii="Times New Roman" w:eastAsia="Times New Roman" w:hAnsi="Times New Roman" w:cs="Times New Roman"/>
          <w:color w:val="000000"/>
          <w:sz w:val="20"/>
          <w:szCs w:val="20"/>
        </w:rPr>
        <w:t>2 Discente do Programa especialização em medicina veterinária do HV-ASA do Instituto Federal de Educação, Ciência e Tecnologia da Paraíba, Campus Sousa</w:t>
      </w:r>
    </w:p>
    <w:p w14:paraId="00EDF5E7" w14:textId="77777777" w:rsidR="0092416B" w:rsidRPr="005F6E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6E71">
        <w:rPr>
          <w:rFonts w:ascii="Times New Roman" w:eastAsia="Times New Roman" w:hAnsi="Times New Roman" w:cs="Times New Roman"/>
          <w:color w:val="000000"/>
          <w:sz w:val="20"/>
          <w:szCs w:val="20"/>
        </w:rPr>
        <w:t>3 Médica Veterinária TAE do HV-ASA do Instituto Federal de Educação, Ciência e Tecnologia da Paraíba, Campus Sousa</w:t>
      </w:r>
    </w:p>
    <w:p w14:paraId="43FF4595" w14:textId="77777777" w:rsidR="0092416B" w:rsidRPr="005F6E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6E71">
        <w:rPr>
          <w:rFonts w:ascii="Times New Roman" w:eastAsia="Times New Roman" w:hAnsi="Times New Roman" w:cs="Times New Roman"/>
          <w:color w:val="000000"/>
          <w:sz w:val="20"/>
          <w:szCs w:val="20"/>
        </w:rPr>
        <w:t>4 Professora, Doutora, Médica Veterinária, Docente do curso de Medicina Veterinária do Instituto Federal de Educação, Ciência e Tecnologia da Paraíba, Campus Sousa</w:t>
      </w:r>
    </w:p>
    <w:p w14:paraId="331D347B" w14:textId="77777777" w:rsidR="0092416B" w:rsidRPr="00E707E5" w:rsidRDefault="0092416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2731F57" w14:textId="77777777" w:rsidR="0092416B" w:rsidRPr="00E707E5" w:rsidRDefault="0000000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707E5">
        <w:rPr>
          <w:rFonts w:asciiTheme="majorBidi" w:hAnsiTheme="majorBidi" w:cstheme="majorBidi"/>
          <w:b/>
          <w:sz w:val="24"/>
          <w:szCs w:val="24"/>
        </w:rPr>
        <w:t>RESUMO</w:t>
      </w:r>
    </w:p>
    <w:p w14:paraId="1585F91E" w14:textId="77777777" w:rsidR="0092416B" w:rsidRPr="00E707E5" w:rsidRDefault="0000000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07E5">
        <w:rPr>
          <w:rFonts w:asciiTheme="majorBidi" w:hAnsiTheme="majorBidi" w:cstheme="majorBidi"/>
          <w:sz w:val="24"/>
          <w:szCs w:val="24"/>
        </w:rPr>
        <w:t>Objetiva-se descrever um caso de corpo estranho perfurante esofágico em um felino, com quadro clínico de engolir uma agulha de costura e posteriormente apresentar hiporexia, apatia, fezes pastosas sem sangue, parâmetros fisiológicos sem alterações e ausência de corpo estranho na cavidade oral. Ao exame radiográfico simples cefálico e cervical, observou-se presença de corpo estranho radiopaco no esôfago cervical, recomendada cirurgia para retirada do corpo estranho perfurante. A presença de material estranho perfurante no trato digestório rapidamente pode migrar para tecidos adjacentes e que a celeridade em sua retirada evitará suas complicações.</w:t>
      </w:r>
    </w:p>
    <w:p w14:paraId="4FB2A354" w14:textId="0A242C3B" w:rsidR="0092416B" w:rsidRPr="00E707E5" w:rsidRDefault="0000000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07E5">
        <w:rPr>
          <w:rFonts w:asciiTheme="majorBidi" w:hAnsiTheme="majorBidi" w:cstheme="majorBidi"/>
          <w:b/>
          <w:sz w:val="24"/>
          <w:szCs w:val="24"/>
        </w:rPr>
        <w:t>Palavras-chave:</w:t>
      </w:r>
      <w:r w:rsidRPr="00E707E5">
        <w:rPr>
          <w:rFonts w:asciiTheme="majorBidi" w:hAnsiTheme="majorBidi" w:cstheme="majorBidi"/>
          <w:sz w:val="24"/>
          <w:szCs w:val="24"/>
        </w:rPr>
        <w:t xml:space="preserve"> Esôfago. </w:t>
      </w:r>
      <w:r w:rsidR="00E0244E">
        <w:rPr>
          <w:rFonts w:asciiTheme="majorBidi" w:hAnsiTheme="majorBidi" w:cstheme="majorBidi"/>
          <w:sz w:val="24"/>
          <w:szCs w:val="24"/>
        </w:rPr>
        <w:t>Felino</w:t>
      </w:r>
      <w:r w:rsidRPr="00E707E5">
        <w:rPr>
          <w:rFonts w:asciiTheme="majorBidi" w:hAnsiTheme="majorBidi" w:cstheme="majorBidi"/>
          <w:sz w:val="24"/>
          <w:szCs w:val="24"/>
        </w:rPr>
        <w:t>. Agulha.</w:t>
      </w:r>
    </w:p>
    <w:p w14:paraId="1330BD89" w14:textId="77777777" w:rsidR="0092416B" w:rsidRPr="00E707E5" w:rsidRDefault="00000000">
      <w:p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E707E5">
        <w:rPr>
          <w:rFonts w:asciiTheme="majorBidi" w:hAnsiTheme="majorBidi" w:cstheme="majorBidi"/>
          <w:b/>
          <w:sz w:val="24"/>
          <w:szCs w:val="24"/>
        </w:rPr>
        <w:t>REVISÃO DE LITERATURA</w:t>
      </w:r>
    </w:p>
    <w:p w14:paraId="4FE3F973" w14:textId="2FF4DEAA" w:rsidR="0092416B" w:rsidRPr="00E707E5" w:rsidRDefault="0000000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07E5">
        <w:rPr>
          <w:rFonts w:asciiTheme="majorBidi" w:hAnsiTheme="majorBidi" w:cstheme="majorBidi"/>
          <w:sz w:val="24"/>
          <w:szCs w:val="24"/>
        </w:rPr>
        <w:t>Corpo estranho (CE) é qualquer material ingerido que não possa ser digerido, podendo em alguns casos causar obstrução intraluminal total ou parcial (</w:t>
      </w:r>
      <w:r w:rsidR="00D0506A">
        <w:rPr>
          <w:rFonts w:asciiTheme="majorBidi" w:hAnsiTheme="majorBidi" w:cstheme="majorBidi"/>
          <w:sz w:val="24"/>
          <w:szCs w:val="24"/>
        </w:rPr>
        <w:t xml:space="preserve">CAMELO </w:t>
      </w:r>
      <w:r w:rsidRPr="00E707E5">
        <w:rPr>
          <w:rFonts w:asciiTheme="majorBidi" w:hAnsiTheme="majorBidi" w:cstheme="majorBidi"/>
          <w:sz w:val="24"/>
          <w:szCs w:val="24"/>
        </w:rPr>
        <w:t>JÚNIOR et al., 2019), fixar na parede do órgão ou migrar para fora do trato digestório (FOSSUM, 2021). Felinos têm uma particular predileção por corpos estranhos lineares como barbantes (</w:t>
      </w:r>
      <w:r w:rsidR="008F2948" w:rsidRPr="000D49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HOWARD</w:t>
      </w:r>
      <w:r w:rsidRPr="00E707E5">
        <w:rPr>
          <w:rFonts w:asciiTheme="majorBidi" w:hAnsiTheme="majorBidi" w:cstheme="majorBidi"/>
          <w:sz w:val="24"/>
          <w:szCs w:val="24"/>
        </w:rPr>
        <w:t>, 2013), e há quatro áreas de estreitamento anatômico do esôfago: esfíncter cricofaríngeo, entrada torácica, base do coração e hiato esofágico</w:t>
      </w:r>
      <w:r w:rsidRPr="00E707E5">
        <w:rPr>
          <w:rFonts w:asciiTheme="majorBidi" w:hAnsiTheme="majorBidi" w:cstheme="majorBidi"/>
          <w:sz w:val="24"/>
          <w:szCs w:val="24"/>
          <w:highlight w:val="white"/>
        </w:rPr>
        <w:t xml:space="preserve"> (</w:t>
      </w:r>
      <w:r w:rsidR="008F2948" w:rsidRPr="004120D1">
        <w:rPr>
          <w:rFonts w:asciiTheme="majorBidi" w:eastAsia="Times New Roman" w:hAnsiTheme="majorBidi" w:cstheme="majorBidi"/>
          <w:color w:val="222222"/>
          <w:sz w:val="24"/>
          <w:szCs w:val="24"/>
        </w:rPr>
        <w:t>PINHEIRO</w:t>
      </w:r>
      <w:r w:rsidRPr="00E707E5">
        <w:rPr>
          <w:rFonts w:asciiTheme="majorBidi" w:hAnsiTheme="majorBidi" w:cstheme="majorBidi"/>
          <w:sz w:val="24"/>
          <w:szCs w:val="24"/>
          <w:highlight w:val="white"/>
        </w:rPr>
        <w:t> </w:t>
      </w:r>
      <w:r w:rsidRPr="007E7173">
        <w:rPr>
          <w:rFonts w:asciiTheme="majorBidi" w:hAnsiTheme="majorBidi" w:cstheme="majorBidi"/>
          <w:iCs/>
          <w:sz w:val="24"/>
          <w:szCs w:val="24"/>
          <w:highlight w:val="white"/>
        </w:rPr>
        <w:t>et al.,</w:t>
      </w:r>
      <w:r w:rsidRPr="00E707E5">
        <w:rPr>
          <w:rFonts w:asciiTheme="majorBidi" w:hAnsiTheme="majorBidi" w:cstheme="majorBidi"/>
          <w:sz w:val="24"/>
          <w:szCs w:val="24"/>
          <w:highlight w:val="white"/>
        </w:rPr>
        <w:t xml:space="preserve"> 2012).</w:t>
      </w:r>
      <w:r w:rsidRPr="00E707E5">
        <w:rPr>
          <w:rFonts w:asciiTheme="majorBidi" w:hAnsiTheme="majorBidi" w:cstheme="majorBidi"/>
          <w:sz w:val="24"/>
          <w:szCs w:val="24"/>
        </w:rPr>
        <w:t xml:space="preserve"> Os achados anamnésicos mais comuns incluem tentativas de vomitar, engasgo, letargia, anorexia, ptialismo, regurgitação, inquietação, disfagia e tentativa persistente de deglutição (TILLEY e SMITH JR., 2008). O exame radiográfico é útil e difundido nas versões simples e contrastadas detectando a maioria dos corpos estranhos esofágicos (FORD; MAZZAFERRO, 2012).</w:t>
      </w:r>
      <w:r w:rsidRPr="00E707E5">
        <w:rPr>
          <w:rFonts w:asciiTheme="majorBidi" w:eastAsia="Times New Roman" w:hAnsiTheme="majorBidi" w:cstheme="majorBidi"/>
          <w:sz w:val="24"/>
          <w:szCs w:val="24"/>
        </w:rPr>
        <w:t xml:space="preserve"> A </w:t>
      </w:r>
      <w:r w:rsidRPr="00E707E5">
        <w:rPr>
          <w:rFonts w:asciiTheme="majorBidi" w:hAnsiTheme="majorBidi" w:cstheme="majorBidi"/>
          <w:sz w:val="24"/>
          <w:szCs w:val="24"/>
        </w:rPr>
        <w:t>remoção cirúrgica do corpo estranho é recomendada quando não há possibilidade do emprego do endoscópio</w:t>
      </w:r>
      <w:r w:rsidRPr="00E707E5">
        <w:rPr>
          <w:rFonts w:asciiTheme="majorBidi" w:eastAsia="Helvetica Neue" w:hAnsiTheme="majorBidi" w:cstheme="majorBidi"/>
          <w:color w:val="222222"/>
          <w:sz w:val="24"/>
          <w:szCs w:val="24"/>
          <w:highlight w:val="white"/>
        </w:rPr>
        <w:t xml:space="preserve"> </w:t>
      </w:r>
      <w:r w:rsidRPr="00E707E5">
        <w:rPr>
          <w:rFonts w:asciiTheme="majorBidi" w:hAnsiTheme="majorBidi" w:cstheme="majorBidi"/>
          <w:sz w:val="24"/>
          <w:szCs w:val="24"/>
          <w:highlight w:val="white"/>
        </w:rPr>
        <w:t>(ASSUNÇÃO, 2017).</w:t>
      </w:r>
    </w:p>
    <w:p w14:paraId="77E591F5" w14:textId="77777777" w:rsidR="0092416B" w:rsidRPr="00E707E5" w:rsidRDefault="00000000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E707E5">
        <w:rPr>
          <w:rFonts w:asciiTheme="majorBidi" w:hAnsiTheme="majorBidi" w:cstheme="majorBidi"/>
          <w:b/>
          <w:sz w:val="24"/>
          <w:szCs w:val="24"/>
        </w:rPr>
        <w:lastRenderedPageBreak/>
        <w:t>RELATO DO CASO</w:t>
      </w:r>
    </w:p>
    <w:p w14:paraId="3D1D5466" w14:textId="6F008932" w:rsidR="0092416B" w:rsidRPr="00E707E5" w:rsidRDefault="0000000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07E5">
        <w:rPr>
          <w:rFonts w:asciiTheme="majorBidi" w:eastAsia="Times New Roman" w:hAnsiTheme="majorBidi" w:cstheme="majorBidi"/>
          <w:color w:val="000000"/>
          <w:sz w:val="24"/>
          <w:szCs w:val="24"/>
        </w:rPr>
        <w:t>Foi atendido, no HV-ASA/IFPB,</w:t>
      </w:r>
      <w:r w:rsidRPr="00E707E5">
        <w:rPr>
          <w:rFonts w:asciiTheme="majorBidi" w:hAnsiTheme="majorBidi" w:cstheme="majorBidi"/>
          <w:sz w:val="24"/>
          <w:szCs w:val="24"/>
        </w:rPr>
        <w:t xml:space="preserve"> um felino macho, sem raça definida, dois anos de idade, castrado, pesando 4,06 kg, com histórico de deglutir uma agulha de costura com linha há 3 dias. Após episódio animal apresentou hiporexia, apatia, fezes pastosas (ausência de sangue), não apresentou </w:t>
      </w:r>
      <w:proofErr w:type="spellStart"/>
      <w:r w:rsidRPr="00E707E5">
        <w:rPr>
          <w:rFonts w:asciiTheme="majorBidi" w:hAnsiTheme="majorBidi" w:cstheme="majorBidi"/>
          <w:sz w:val="24"/>
          <w:szCs w:val="24"/>
        </w:rPr>
        <w:t>êmese</w:t>
      </w:r>
      <w:proofErr w:type="spellEnd"/>
      <w:r w:rsidRPr="00E707E5">
        <w:rPr>
          <w:rFonts w:asciiTheme="majorBidi" w:hAnsiTheme="majorBidi" w:cstheme="majorBidi"/>
          <w:sz w:val="24"/>
          <w:szCs w:val="24"/>
        </w:rPr>
        <w:t xml:space="preserve">, </w:t>
      </w:r>
      <w:r w:rsidR="007E7173" w:rsidRPr="00E707E5">
        <w:rPr>
          <w:rFonts w:asciiTheme="majorBidi" w:hAnsiTheme="majorBidi" w:cstheme="majorBidi"/>
          <w:sz w:val="24"/>
          <w:szCs w:val="24"/>
        </w:rPr>
        <w:t>parâmetros fisiológicos</w:t>
      </w:r>
      <w:r w:rsidRPr="00E707E5">
        <w:rPr>
          <w:rFonts w:asciiTheme="majorBidi" w:hAnsiTheme="majorBidi" w:cstheme="majorBidi"/>
          <w:sz w:val="24"/>
          <w:szCs w:val="24"/>
        </w:rPr>
        <w:t xml:space="preserve"> sem alterações e ausência de corpo estranho na cavidade oral. No exame radiográfico simples cefálico e cervical, nas projeções LL e VD, foi observado presença de corpo estranho radiopaco no 1/3 proximal do esôfago cervical (Figura 1.). </w:t>
      </w:r>
      <w:r w:rsidRPr="00E707E5">
        <w:rPr>
          <w:rFonts w:asciiTheme="majorBidi" w:hAnsiTheme="majorBidi" w:cstheme="majorBidi"/>
          <w:sz w:val="24"/>
          <w:szCs w:val="24"/>
          <w:highlight w:val="white"/>
        </w:rPr>
        <w:t>Identificada a inviabilidade de remoção do CE via oral, optou-se pela abordagem cirúrgica via cervical</w:t>
      </w:r>
      <w:r w:rsidR="005F6E71">
        <w:rPr>
          <w:rFonts w:asciiTheme="majorBidi" w:hAnsiTheme="majorBidi" w:cstheme="majorBidi"/>
          <w:sz w:val="24"/>
          <w:szCs w:val="24"/>
          <w:highlight w:val="white"/>
        </w:rPr>
        <w:t xml:space="preserve"> onde a</w:t>
      </w:r>
      <w:r w:rsidRPr="00E707E5">
        <w:rPr>
          <w:rFonts w:asciiTheme="majorBidi" w:hAnsiTheme="majorBidi" w:cstheme="majorBidi"/>
          <w:sz w:val="24"/>
          <w:szCs w:val="24"/>
        </w:rPr>
        <w:t xml:space="preserve">nimal </w:t>
      </w:r>
      <w:r w:rsidR="005F6E71">
        <w:rPr>
          <w:rFonts w:asciiTheme="majorBidi" w:hAnsiTheme="majorBidi" w:cstheme="majorBidi"/>
          <w:sz w:val="24"/>
          <w:szCs w:val="24"/>
        </w:rPr>
        <w:t xml:space="preserve">foi </w:t>
      </w:r>
      <w:r w:rsidRPr="00E707E5">
        <w:rPr>
          <w:rFonts w:asciiTheme="majorBidi" w:hAnsiTheme="majorBidi" w:cstheme="majorBidi"/>
          <w:sz w:val="24"/>
          <w:szCs w:val="24"/>
        </w:rPr>
        <w:t>submetido à anestesia</w:t>
      </w:r>
      <w:r w:rsidR="005F6E71">
        <w:rPr>
          <w:rFonts w:asciiTheme="majorBidi" w:hAnsiTheme="majorBidi" w:cstheme="majorBidi"/>
          <w:sz w:val="24"/>
          <w:szCs w:val="24"/>
        </w:rPr>
        <w:t xml:space="preserve"> dissociativa e local</w:t>
      </w:r>
      <w:r w:rsidRPr="00E707E5">
        <w:rPr>
          <w:rFonts w:asciiTheme="majorBidi" w:hAnsiTheme="majorBidi" w:cstheme="majorBidi"/>
          <w:sz w:val="24"/>
          <w:szCs w:val="24"/>
        </w:rPr>
        <w:t xml:space="preserve">. Em decúbito lateral direito iniciou-se a cirurgia com incisão cutânea na região cervical esquerda, lateral a faringe; </w:t>
      </w:r>
      <w:proofErr w:type="spellStart"/>
      <w:r w:rsidRPr="00E707E5">
        <w:rPr>
          <w:rFonts w:asciiTheme="majorBidi" w:hAnsiTheme="majorBidi" w:cstheme="majorBidi"/>
          <w:sz w:val="24"/>
          <w:szCs w:val="24"/>
        </w:rPr>
        <w:t>divulsão</w:t>
      </w:r>
      <w:proofErr w:type="spellEnd"/>
      <w:r w:rsidRPr="00E707E5">
        <w:rPr>
          <w:rFonts w:asciiTheme="majorBidi" w:hAnsiTheme="majorBidi" w:cstheme="majorBidi"/>
          <w:sz w:val="24"/>
          <w:szCs w:val="24"/>
        </w:rPr>
        <w:t xml:space="preserve"> dos tecidos até o esôfago e localização do corpo estranho transpassando verticalmente sua parede (Figura 2.). Promoveu-se a remoção cuidadosa por tração </w:t>
      </w:r>
      <w:proofErr w:type="spellStart"/>
      <w:r w:rsidRPr="00E707E5">
        <w:rPr>
          <w:rFonts w:asciiTheme="majorBidi" w:hAnsiTheme="majorBidi" w:cstheme="majorBidi"/>
          <w:sz w:val="24"/>
          <w:szCs w:val="24"/>
        </w:rPr>
        <w:t>ventrocaudal</w:t>
      </w:r>
      <w:proofErr w:type="spellEnd"/>
      <w:r w:rsidRPr="00E707E5">
        <w:rPr>
          <w:rFonts w:asciiTheme="majorBidi" w:hAnsiTheme="majorBidi" w:cstheme="majorBidi"/>
          <w:sz w:val="24"/>
          <w:szCs w:val="24"/>
        </w:rPr>
        <w:t xml:space="preserve">; miorrafia com fio poliglactina-910 3-0, em duas camadas (padrão X e simples contínuo), redução de espaço subcutâneo com mesmo fio, em padrão vai e vem e </w:t>
      </w:r>
      <w:proofErr w:type="spellStart"/>
      <w:r w:rsidRPr="00E707E5">
        <w:rPr>
          <w:rFonts w:asciiTheme="majorBidi" w:hAnsiTheme="majorBidi" w:cstheme="majorBidi"/>
          <w:sz w:val="24"/>
          <w:szCs w:val="24"/>
        </w:rPr>
        <w:t>dermorrafia</w:t>
      </w:r>
      <w:proofErr w:type="spellEnd"/>
      <w:r w:rsidRPr="00E707E5">
        <w:rPr>
          <w:rFonts w:asciiTheme="majorBidi" w:hAnsiTheme="majorBidi" w:cstheme="majorBidi"/>
          <w:sz w:val="24"/>
          <w:szCs w:val="24"/>
        </w:rPr>
        <w:t xml:space="preserve"> com fio nylon 3-0, em pontos “Wolf”. No pós-operatório prescrito: antibioticoterapia, analgésico e </w:t>
      </w:r>
      <w:proofErr w:type="spellStart"/>
      <w:r w:rsidRPr="00E707E5">
        <w:rPr>
          <w:rFonts w:asciiTheme="majorBidi" w:hAnsiTheme="majorBidi" w:cstheme="majorBidi"/>
          <w:sz w:val="24"/>
          <w:szCs w:val="24"/>
        </w:rPr>
        <w:t>antiinflamatório</w:t>
      </w:r>
      <w:proofErr w:type="spellEnd"/>
      <w:r w:rsidRPr="00E707E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E707E5">
        <w:rPr>
          <w:rFonts w:asciiTheme="majorBidi" w:hAnsiTheme="majorBidi" w:cstheme="majorBidi"/>
          <w:sz w:val="24"/>
          <w:szCs w:val="24"/>
        </w:rPr>
        <w:t>acompanhados  da</w:t>
      </w:r>
      <w:proofErr w:type="gramEnd"/>
      <w:r w:rsidRPr="00E707E5">
        <w:rPr>
          <w:rFonts w:asciiTheme="majorBidi" w:hAnsiTheme="majorBidi" w:cstheme="majorBidi"/>
          <w:sz w:val="24"/>
          <w:szCs w:val="24"/>
        </w:rPr>
        <w:t xml:space="preserve"> higienização e aplicação de pomada cicatrizante, SID. Após dez dias animal retornou para retirada de pontos e apresentava-se bem, com ferida cicatrizada, alimentando-se normalmente. </w:t>
      </w:r>
    </w:p>
    <w:p w14:paraId="293B9237" w14:textId="77777777" w:rsidR="0092416B" w:rsidRPr="00E707E5" w:rsidRDefault="00000000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E707E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E2EBFE0" wp14:editId="0283C467">
            <wp:extent cx="2166964" cy="1630647"/>
            <wp:effectExtent l="0" t="0" r="0" b="0"/>
            <wp:docPr id="22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964" cy="1630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707E5">
        <w:rPr>
          <w:rFonts w:asciiTheme="majorBidi" w:hAnsiTheme="majorBidi" w:cstheme="majorBidi"/>
          <w:b/>
          <w:sz w:val="24"/>
          <w:szCs w:val="24"/>
        </w:rPr>
        <w:tab/>
      </w:r>
      <w:r w:rsidRPr="00E707E5">
        <w:rPr>
          <w:rFonts w:asciiTheme="majorBidi" w:hAnsiTheme="majorBidi" w:cstheme="majorBidi"/>
          <w:b/>
          <w:sz w:val="24"/>
          <w:szCs w:val="24"/>
        </w:rPr>
        <w:tab/>
      </w:r>
      <w:r w:rsidRPr="00E707E5">
        <w:rPr>
          <w:rFonts w:asciiTheme="majorBidi" w:hAnsiTheme="majorBidi" w:cstheme="majorBidi"/>
          <w:b/>
          <w:sz w:val="24"/>
          <w:szCs w:val="24"/>
        </w:rPr>
        <w:tab/>
      </w:r>
      <w:r w:rsidRPr="00E707E5">
        <w:rPr>
          <w:rFonts w:asciiTheme="majorBidi" w:hAnsiTheme="majorBidi" w:cstheme="majorBidi"/>
          <w:b/>
          <w:sz w:val="24"/>
          <w:szCs w:val="24"/>
        </w:rPr>
        <w:tab/>
      </w:r>
      <w:r w:rsidRPr="00E707E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4125699" wp14:editId="1E90E163">
            <wp:extent cx="1981200" cy="1628775"/>
            <wp:effectExtent l="0" t="0" r="0" b="0"/>
            <wp:docPr id="22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707E5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723471E" wp14:editId="5F6C0D8F">
                <wp:simplePos x="0" y="0"/>
                <wp:positionH relativeFrom="column">
                  <wp:posOffset>3568700</wp:posOffset>
                </wp:positionH>
                <wp:positionV relativeFrom="paragraph">
                  <wp:posOffset>1549400</wp:posOffset>
                </wp:positionV>
                <wp:extent cx="1986280" cy="533400"/>
                <wp:effectExtent l="0" t="0" r="0" b="0"/>
                <wp:wrapNone/>
                <wp:docPr id="220" name="Retâ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7623" y="3518063"/>
                          <a:ext cx="19767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F07AAC" w14:textId="77777777" w:rsidR="0092416B" w:rsidRDefault="00000000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Figura 2. Visualização da agulha (seta verde) em esôfago de um felino. Fonte: HV-ASA.</w:t>
                            </w:r>
                          </w:p>
                          <w:p w14:paraId="379EE822" w14:textId="77777777" w:rsidR="0092416B" w:rsidRDefault="0092416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3471E" id="Retângulo 220" o:spid="_x0000_s1026" style="position:absolute;left:0;text-align:left;margin-left:281pt;margin-top:122pt;width:156.4pt;height:4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2FF07AAC" w14:textId="77777777" w:rsidR="0092416B" w:rsidRDefault="00000000">
                      <w:pPr>
                        <w:spacing w:line="240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Figura 2. Visualização da agulha (seta verde) em esôfago de um felino. Fonte: HV-ASA.</w:t>
                      </w:r>
                    </w:p>
                    <w:p w14:paraId="379EE822" w14:textId="77777777" w:rsidR="0092416B" w:rsidRDefault="0092416B">
                      <w:pPr>
                        <w:spacing w:line="258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E707E5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F51019D" wp14:editId="71B7B5A1">
                <wp:simplePos x="0" y="0"/>
                <wp:positionH relativeFrom="column">
                  <wp:posOffset>-12699</wp:posOffset>
                </wp:positionH>
                <wp:positionV relativeFrom="paragraph">
                  <wp:posOffset>1574800</wp:posOffset>
                </wp:positionV>
                <wp:extent cx="2200275" cy="676275"/>
                <wp:effectExtent l="0" t="0" r="0" b="0"/>
                <wp:wrapNone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0625" y="3446625"/>
                          <a:ext cx="2190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0CD5EA" w14:textId="77777777" w:rsidR="0092416B" w:rsidRDefault="00000000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Figura 1. Projeção LL direita. Estrutura radiopaca localizadas em porção de esôfago cervical de um felino. Fonte: HV-ASA.</w:t>
                            </w:r>
                          </w:p>
                          <w:p w14:paraId="777733A4" w14:textId="77777777" w:rsidR="0092416B" w:rsidRDefault="0092416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1019D" id="Retângulo 218" o:spid="_x0000_s1027" style="position:absolute;left:0;text-align:left;margin-left:-1pt;margin-top:124pt;width:173.25pt;height:53.2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" stroked="f">
                <v:textbox inset="2.53958mm,1.2694mm,2.53958mm,1.2694mm">
                  <w:txbxContent>
                    <w:p w14:paraId="300CD5EA" w14:textId="77777777" w:rsidR="0092416B" w:rsidRDefault="00000000">
                      <w:pPr>
                        <w:spacing w:line="240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Figura 1. Projeção LL direita. Estrutura radiopaca localizadas em porção de esôfago cervical de um felino. Fonte: HV-ASA.</w:t>
                      </w:r>
                    </w:p>
                    <w:p w14:paraId="777733A4" w14:textId="77777777" w:rsidR="0092416B" w:rsidRDefault="0092416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E707E5"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FBFDA46" wp14:editId="6E2581C6">
                <wp:simplePos x="0" y="0"/>
                <wp:positionH relativeFrom="column">
                  <wp:posOffset>4292600</wp:posOffset>
                </wp:positionH>
                <wp:positionV relativeFrom="paragraph">
                  <wp:posOffset>482600</wp:posOffset>
                </wp:positionV>
                <wp:extent cx="238125" cy="304800"/>
                <wp:effectExtent l="0" t="0" r="0" b="0"/>
                <wp:wrapNone/>
                <wp:docPr id="219" name="Conector de Seta Reta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646650"/>
                          <a:ext cx="200025" cy="2667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FF00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482600</wp:posOffset>
                </wp:positionV>
                <wp:extent cx="238125" cy="304800"/>
                <wp:effectExtent b="0" l="0" r="0" t="0"/>
                <wp:wrapNone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65148E" w14:textId="77777777" w:rsidR="0092416B" w:rsidRPr="00E707E5" w:rsidRDefault="00000000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E707E5">
        <w:rPr>
          <w:rFonts w:asciiTheme="majorBidi" w:hAnsiTheme="majorBidi" w:cstheme="majorBidi"/>
          <w:b/>
          <w:sz w:val="24"/>
          <w:szCs w:val="24"/>
        </w:rPr>
        <w:tab/>
      </w:r>
      <w:r w:rsidRPr="00E707E5">
        <w:rPr>
          <w:rFonts w:asciiTheme="majorBidi" w:hAnsiTheme="majorBidi" w:cstheme="majorBidi"/>
          <w:b/>
          <w:sz w:val="24"/>
          <w:szCs w:val="24"/>
        </w:rPr>
        <w:tab/>
      </w:r>
      <w:r w:rsidRPr="00E707E5">
        <w:rPr>
          <w:rFonts w:asciiTheme="majorBidi" w:hAnsiTheme="majorBidi" w:cstheme="majorBidi"/>
          <w:b/>
          <w:sz w:val="24"/>
          <w:szCs w:val="24"/>
        </w:rPr>
        <w:tab/>
      </w:r>
      <w:r w:rsidRPr="00E707E5">
        <w:rPr>
          <w:rFonts w:asciiTheme="majorBidi" w:hAnsiTheme="majorBidi" w:cstheme="majorBidi"/>
          <w:b/>
          <w:sz w:val="24"/>
          <w:szCs w:val="24"/>
        </w:rPr>
        <w:tab/>
      </w:r>
    </w:p>
    <w:p w14:paraId="59D27DDA" w14:textId="77777777" w:rsidR="0092416B" w:rsidRPr="00E707E5" w:rsidRDefault="00000000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E707E5">
        <w:rPr>
          <w:rFonts w:asciiTheme="majorBidi" w:hAnsiTheme="majorBidi" w:cstheme="majorBidi"/>
          <w:b/>
          <w:sz w:val="24"/>
          <w:szCs w:val="24"/>
        </w:rPr>
        <w:tab/>
      </w:r>
      <w:r w:rsidRPr="00E707E5">
        <w:rPr>
          <w:rFonts w:asciiTheme="majorBidi" w:hAnsiTheme="majorBidi" w:cstheme="majorBidi"/>
          <w:b/>
          <w:sz w:val="24"/>
          <w:szCs w:val="24"/>
        </w:rPr>
        <w:tab/>
      </w:r>
      <w:r w:rsidRPr="00E707E5">
        <w:rPr>
          <w:rFonts w:asciiTheme="majorBidi" w:hAnsiTheme="majorBidi" w:cstheme="majorBidi"/>
          <w:b/>
          <w:sz w:val="24"/>
          <w:szCs w:val="24"/>
        </w:rPr>
        <w:tab/>
      </w:r>
      <w:r w:rsidRPr="00E707E5">
        <w:rPr>
          <w:rFonts w:asciiTheme="majorBidi" w:hAnsiTheme="majorBidi" w:cstheme="majorBidi"/>
          <w:b/>
          <w:sz w:val="24"/>
          <w:szCs w:val="24"/>
        </w:rPr>
        <w:tab/>
      </w:r>
      <w:r w:rsidRPr="00E707E5">
        <w:rPr>
          <w:rFonts w:asciiTheme="majorBidi" w:hAnsiTheme="majorBidi" w:cstheme="majorBidi"/>
          <w:b/>
          <w:sz w:val="24"/>
          <w:szCs w:val="24"/>
        </w:rPr>
        <w:tab/>
      </w:r>
      <w:r w:rsidRPr="00E707E5">
        <w:rPr>
          <w:rFonts w:asciiTheme="majorBidi" w:hAnsiTheme="majorBidi" w:cstheme="majorBidi"/>
          <w:b/>
          <w:sz w:val="24"/>
          <w:szCs w:val="24"/>
        </w:rPr>
        <w:tab/>
      </w:r>
      <w:r w:rsidRPr="00E707E5">
        <w:rPr>
          <w:rFonts w:asciiTheme="majorBidi" w:hAnsiTheme="majorBidi" w:cstheme="majorBidi"/>
          <w:b/>
          <w:sz w:val="24"/>
          <w:szCs w:val="24"/>
        </w:rPr>
        <w:tab/>
      </w:r>
      <w:r w:rsidRPr="00E707E5">
        <w:rPr>
          <w:rFonts w:asciiTheme="majorBidi" w:hAnsiTheme="majorBidi" w:cstheme="majorBidi"/>
          <w:b/>
          <w:sz w:val="24"/>
          <w:szCs w:val="24"/>
        </w:rPr>
        <w:tab/>
      </w:r>
    </w:p>
    <w:p w14:paraId="7B32EE2E" w14:textId="77777777" w:rsidR="0092416B" w:rsidRPr="00E707E5" w:rsidRDefault="0000000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07E5">
        <w:rPr>
          <w:rFonts w:asciiTheme="majorBidi" w:hAnsiTheme="majorBidi" w:cstheme="majorBidi"/>
          <w:b/>
          <w:sz w:val="24"/>
          <w:szCs w:val="24"/>
        </w:rPr>
        <w:t>DISCUSSÃO</w:t>
      </w:r>
    </w:p>
    <w:p w14:paraId="6BE860AE" w14:textId="78875F98" w:rsidR="0092416B" w:rsidRPr="00E707E5" w:rsidRDefault="007176CB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176CB">
        <w:rPr>
          <w:rFonts w:asciiTheme="majorBidi" w:hAnsiTheme="majorBidi" w:cstheme="majorBidi"/>
          <w:sz w:val="24"/>
          <w:szCs w:val="24"/>
        </w:rPr>
        <w:t>A história do animal pode ter o potencial de elucidar o diagnóstico diferencial de corpo estranho esofágico de outras enfermidades causadoras de disfagias e sinais semelhantes</w:t>
      </w:r>
      <w:r>
        <w:t xml:space="preserve"> </w:t>
      </w:r>
      <w:r w:rsidRPr="00E707E5">
        <w:rPr>
          <w:rFonts w:asciiTheme="majorBidi" w:hAnsiTheme="majorBidi" w:cstheme="majorBidi"/>
          <w:sz w:val="24"/>
          <w:szCs w:val="24"/>
          <w:highlight w:val="white"/>
        </w:rPr>
        <w:t>(ASSUNÇÃO, 2017</w:t>
      </w:r>
      <w:proofErr w:type="gramStart"/>
      <w:r w:rsidRPr="00E707E5">
        <w:rPr>
          <w:rFonts w:asciiTheme="majorBidi" w:hAnsiTheme="majorBidi" w:cstheme="majorBidi"/>
          <w:sz w:val="24"/>
          <w:szCs w:val="24"/>
          <w:highlight w:val="white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  <w:r w:rsidR="00E10490">
        <w:rPr>
          <w:rFonts w:asciiTheme="majorBidi" w:hAnsiTheme="majorBidi" w:cstheme="majorBidi"/>
          <w:sz w:val="24"/>
          <w:szCs w:val="24"/>
        </w:rPr>
        <w:t>O</w:t>
      </w:r>
      <w:proofErr w:type="gramEnd"/>
      <w:r w:rsidR="008B7577">
        <w:rPr>
          <w:rFonts w:asciiTheme="majorBidi" w:hAnsiTheme="majorBidi" w:cstheme="majorBidi"/>
          <w:sz w:val="24"/>
          <w:szCs w:val="24"/>
        </w:rPr>
        <w:t xml:space="preserve"> </w:t>
      </w:r>
      <w:r w:rsidR="00E10490">
        <w:rPr>
          <w:rFonts w:asciiTheme="majorBidi" w:hAnsiTheme="majorBidi" w:cstheme="majorBidi"/>
          <w:sz w:val="24"/>
          <w:szCs w:val="24"/>
        </w:rPr>
        <w:t>histórico de o animal ter deglutido uma agulha foi fundamental para a resolução correta,</w:t>
      </w:r>
      <w:r w:rsidR="0097263E">
        <w:rPr>
          <w:rFonts w:asciiTheme="majorBidi" w:hAnsiTheme="majorBidi" w:cstheme="majorBidi"/>
          <w:sz w:val="24"/>
          <w:szCs w:val="24"/>
        </w:rPr>
        <w:t xml:space="preserve"> tendo</w:t>
      </w:r>
      <w:r w:rsidR="00E10490">
        <w:rPr>
          <w:rFonts w:asciiTheme="majorBidi" w:hAnsiTheme="majorBidi" w:cstheme="majorBidi"/>
          <w:sz w:val="24"/>
          <w:szCs w:val="24"/>
        </w:rPr>
        <w:t xml:space="preserve"> o clínico </w:t>
      </w:r>
      <w:r w:rsidR="0097263E">
        <w:rPr>
          <w:rFonts w:asciiTheme="majorBidi" w:hAnsiTheme="majorBidi" w:cstheme="majorBidi"/>
          <w:sz w:val="24"/>
          <w:szCs w:val="24"/>
        </w:rPr>
        <w:t>e seus questionamentos a competência diagnóstica inicial</w:t>
      </w:r>
      <w:r w:rsidR="008B7577">
        <w:rPr>
          <w:rFonts w:asciiTheme="majorBidi" w:hAnsiTheme="majorBidi" w:cstheme="majorBidi"/>
          <w:sz w:val="24"/>
          <w:szCs w:val="24"/>
        </w:rPr>
        <w:t xml:space="preserve"> corroborando com exame físico e completares</w:t>
      </w:r>
      <w:r w:rsidR="00E10490">
        <w:rPr>
          <w:rFonts w:asciiTheme="majorBidi" w:hAnsiTheme="majorBidi" w:cstheme="majorBidi"/>
          <w:sz w:val="24"/>
          <w:szCs w:val="24"/>
        </w:rPr>
        <w:t>.</w:t>
      </w:r>
      <w:r>
        <w:t xml:space="preserve"> </w:t>
      </w:r>
      <w:r w:rsidRPr="00E707E5">
        <w:rPr>
          <w:rFonts w:asciiTheme="majorBidi" w:hAnsiTheme="majorBidi" w:cstheme="majorBidi"/>
          <w:sz w:val="24"/>
          <w:szCs w:val="24"/>
        </w:rPr>
        <w:t xml:space="preserve">Dependendo da natureza do objeto e da relação que teve com o esôfago, podem haver ulcerações em diferentes graus, perfurações e/ou necrose de </w:t>
      </w:r>
      <w:r w:rsidRPr="00E707E5">
        <w:rPr>
          <w:rFonts w:asciiTheme="majorBidi" w:hAnsiTheme="majorBidi" w:cstheme="majorBidi"/>
          <w:sz w:val="24"/>
          <w:szCs w:val="24"/>
        </w:rPr>
        <w:lastRenderedPageBreak/>
        <w:t>compressão</w:t>
      </w:r>
      <w:r w:rsidR="007E7173">
        <w:rPr>
          <w:rFonts w:asciiTheme="majorBidi" w:hAnsiTheme="majorBidi" w:cstheme="majorBidi"/>
          <w:sz w:val="24"/>
          <w:szCs w:val="24"/>
        </w:rPr>
        <w:t xml:space="preserve">, </w:t>
      </w:r>
      <w:r w:rsidR="007E7173" w:rsidRPr="007E7173">
        <w:rPr>
          <w:rFonts w:asciiTheme="majorBidi" w:hAnsiTheme="majorBidi" w:cstheme="majorBidi"/>
          <w:sz w:val="24"/>
          <w:szCs w:val="24"/>
        </w:rPr>
        <w:t>que são situações de altíssima gravidade, pois o esôfago não irá regenerar sozinho</w:t>
      </w:r>
      <w:r w:rsidRPr="00E707E5">
        <w:rPr>
          <w:rFonts w:asciiTheme="majorBidi" w:hAnsiTheme="majorBidi" w:cstheme="majorBidi"/>
          <w:sz w:val="24"/>
          <w:szCs w:val="24"/>
        </w:rPr>
        <w:t xml:space="preserve"> (</w:t>
      </w:r>
      <w:r w:rsidR="008F2948" w:rsidRPr="000D49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HOWARD</w:t>
      </w:r>
      <w:r w:rsidRPr="00E707E5">
        <w:rPr>
          <w:rFonts w:asciiTheme="majorBidi" w:hAnsiTheme="majorBidi" w:cstheme="majorBidi"/>
          <w:sz w:val="24"/>
          <w:szCs w:val="24"/>
        </w:rPr>
        <w:t>, 2013</w:t>
      </w:r>
      <w:r w:rsidR="007E7173">
        <w:rPr>
          <w:rFonts w:asciiTheme="majorBidi" w:hAnsiTheme="majorBidi" w:cstheme="majorBidi"/>
          <w:sz w:val="24"/>
          <w:szCs w:val="24"/>
        </w:rPr>
        <w:t>)</w:t>
      </w:r>
      <w:r w:rsidRPr="00E707E5">
        <w:rPr>
          <w:rFonts w:asciiTheme="majorBidi" w:hAnsiTheme="majorBidi" w:cstheme="majorBidi"/>
          <w:sz w:val="24"/>
          <w:szCs w:val="24"/>
        </w:rPr>
        <w:t>, por estes motivos a retirada do corpo estranho precisa ser</w:t>
      </w:r>
      <w:r w:rsidR="00AF2F23">
        <w:rPr>
          <w:rFonts w:asciiTheme="majorBidi" w:hAnsiTheme="majorBidi" w:cstheme="majorBidi"/>
          <w:sz w:val="24"/>
          <w:szCs w:val="24"/>
        </w:rPr>
        <w:t xml:space="preserve"> </w:t>
      </w:r>
      <w:r w:rsidRPr="00E707E5">
        <w:rPr>
          <w:rFonts w:asciiTheme="majorBidi" w:hAnsiTheme="majorBidi" w:cstheme="majorBidi"/>
          <w:sz w:val="24"/>
          <w:szCs w:val="24"/>
        </w:rPr>
        <w:t xml:space="preserve">precocemente realizada. Diagnóstico da imagem radiográfica corrobora com Assunção (2017), o que demonstra o quanto os exames de imagem são elucidativos para os casos. A clínica apresentada divergiu de </w:t>
      </w:r>
      <w:proofErr w:type="spellStart"/>
      <w:r w:rsidRPr="00E707E5">
        <w:rPr>
          <w:rFonts w:asciiTheme="majorBidi" w:hAnsiTheme="majorBidi" w:cstheme="majorBidi"/>
          <w:sz w:val="24"/>
          <w:szCs w:val="24"/>
        </w:rPr>
        <w:t>Tilley</w:t>
      </w:r>
      <w:proofErr w:type="spellEnd"/>
      <w:r w:rsidRPr="00E707E5">
        <w:rPr>
          <w:rFonts w:asciiTheme="majorBidi" w:hAnsiTheme="majorBidi" w:cstheme="majorBidi"/>
          <w:sz w:val="24"/>
          <w:szCs w:val="24"/>
        </w:rPr>
        <w:t xml:space="preserve"> e Smith Jr. (2008), certamente pelas características do CE que não levou a obstrução (</w:t>
      </w:r>
      <w:r w:rsidR="00D0506A">
        <w:rPr>
          <w:rFonts w:asciiTheme="majorBidi" w:hAnsiTheme="majorBidi" w:cstheme="majorBidi"/>
          <w:sz w:val="24"/>
          <w:szCs w:val="24"/>
        </w:rPr>
        <w:t xml:space="preserve">CAMELO </w:t>
      </w:r>
      <w:r w:rsidRPr="00E707E5">
        <w:rPr>
          <w:rFonts w:asciiTheme="majorBidi" w:hAnsiTheme="majorBidi" w:cstheme="majorBidi"/>
          <w:sz w:val="24"/>
          <w:szCs w:val="24"/>
        </w:rPr>
        <w:t xml:space="preserve">JÚNIOR et al., 2019) ou lesão extensa, além do diagnóstico precoce (FORD; MAZZAFERRO, 2012) que não permitiu o CE sair do lúmen esofágico. </w:t>
      </w:r>
      <w:r w:rsidRPr="00E707E5">
        <w:rPr>
          <w:rFonts w:asciiTheme="majorBidi" w:hAnsiTheme="majorBidi" w:cstheme="majorBidi"/>
          <w:sz w:val="24"/>
          <w:szCs w:val="24"/>
          <w:highlight w:val="white"/>
        </w:rPr>
        <w:t xml:space="preserve">Assunção (2017) afirma que </w:t>
      </w:r>
      <w:r w:rsidRPr="00E707E5">
        <w:rPr>
          <w:rFonts w:asciiTheme="majorBidi" w:hAnsiTheme="majorBidi" w:cstheme="majorBidi"/>
          <w:sz w:val="24"/>
          <w:szCs w:val="24"/>
        </w:rPr>
        <w:t>para abordagem do esôfago cervical, o paciente deve estar posicionado em decúbito dorsal</w:t>
      </w:r>
      <w:r w:rsidRPr="00E707E5">
        <w:rPr>
          <w:rFonts w:asciiTheme="majorBidi" w:hAnsiTheme="majorBidi" w:cstheme="majorBidi"/>
          <w:sz w:val="24"/>
          <w:szCs w:val="24"/>
          <w:highlight w:val="white"/>
        </w:rPr>
        <w:t xml:space="preserve">, em contrapartida a </w:t>
      </w:r>
      <w:r w:rsidRPr="00E707E5">
        <w:rPr>
          <w:rFonts w:asciiTheme="majorBidi" w:hAnsiTheme="majorBidi" w:cstheme="majorBidi"/>
          <w:sz w:val="24"/>
          <w:szCs w:val="24"/>
        </w:rPr>
        <w:t>cirurgia ocorreu decúbito lateral direito tendo em vista a possibilidade de tração do corpo estranho sem necessidade de incisão na parede esofágica, que torna o procedimento de menor injúria, consequentemente recuperação precoce do paciente.</w:t>
      </w:r>
    </w:p>
    <w:p w14:paraId="4CD1EAB9" w14:textId="77777777" w:rsidR="0092416B" w:rsidRPr="00E707E5" w:rsidRDefault="0000000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07E5">
        <w:rPr>
          <w:rFonts w:asciiTheme="majorBidi" w:hAnsiTheme="majorBidi" w:cstheme="majorBidi"/>
          <w:b/>
          <w:sz w:val="24"/>
          <w:szCs w:val="24"/>
        </w:rPr>
        <w:t>CONCLUSÃO</w:t>
      </w:r>
    </w:p>
    <w:p w14:paraId="2C268A42" w14:textId="77777777" w:rsidR="0092416B" w:rsidRPr="00E707E5" w:rsidRDefault="0000000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07E5">
        <w:rPr>
          <w:rFonts w:asciiTheme="majorBidi" w:hAnsiTheme="majorBidi" w:cstheme="majorBidi"/>
          <w:sz w:val="24"/>
          <w:szCs w:val="24"/>
        </w:rPr>
        <w:t>O exame clínico bem feito e a rapidez no estabelecimento do tratamento são fatores fundamentais para que se tenha efetiva resolução da patologia.</w:t>
      </w:r>
    </w:p>
    <w:p w14:paraId="5D92D1A7" w14:textId="77777777" w:rsidR="0092416B" w:rsidRPr="00E707E5" w:rsidRDefault="00000000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E707E5">
        <w:rPr>
          <w:rFonts w:asciiTheme="majorBidi" w:hAnsiTheme="majorBidi" w:cstheme="majorBidi"/>
          <w:b/>
          <w:sz w:val="24"/>
          <w:szCs w:val="24"/>
        </w:rPr>
        <w:t>REFERÊNCIAS</w:t>
      </w:r>
    </w:p>
    <w:p w14:paraId="6C6B1A8C" w14:textId="38C182CF" w:rsidR="008F2948" w:rsidRDefault="002722B4" w:rsidP="008F2948">
      <w:pPr>
        <w:spacing w:line="360" w:lineRule="auto"/>
        <w:jc w:val="both"/>
        <w:rPr>
          <w:rFonts w:asciiTheme="majorBidi" w:hAnsiTheme="majorBidi" w:cstheme="majorBidi"/>
          <w:strike/>
          <w:sz w:val="24"/>
          <w:szCs w:val="24"/>
        </w:rPr>
      </w:pPr>
      <w:r w:rsidRPr="008F2948">
        <w:rPr>
          <w:rFonts w:asciiTheme="majorBidi" w:hAnsiTheme="majorBidi" w:cstheme="majorBidi"/>
          <w:sz w:val="24"/>
          <w:szCs w:val="24"/>
        </w:rPr>
        <w:t>1</w:t>
      </w:r>
      <w:r w:rsidR="008B7577">
        <w:rPr>
          <w:rFonts w:asciiTheme="majorBidi" w:hAnsiTheme="majorBidi" w:cstheme="majorBidi"/>
          <w:sz w:val="24"/>
          <w:szCs w:val="24"/>
        </w:rPr>
        <w:t xml:space="preserve">. </w:t>
      </w:r>
      <w:r w:rsidRPr="008F29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ASSUNÇÃO, Glauber Algarve. Corpos estranhos esofágicos em cães e gatos: </w:t>
      </w:r>
      <w:r w:rsidRPr="008F2948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Revisão de Literatura</w:t>
      </w:r>
      <w:r w:rsidRPr="008F29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Porto Alegre -RS, 2017.</w:t>
      </w:r>
      <w:r w:rsidRPr="008F2948">
        <w:rPr>
          <w:rFonts w:asciiTheme="majorBidi" w:hAnsiTheme="majorBidi" w:cstheme="majorBidi"/>
          <w:strike/>
          <w:sz w:val="24"/>
          <w:szCs w:val="24"/>
        </w:rPr>
        <w:t xml:space="preserve"> </w:t>
      </w:r>
    </w:p>
    <w:p w14:paraId="655667A2" w14:textId="6D8EA435" w:rsidR="0092416B" w:rsidRPr="008F2948" w:rsidRDefault="004120D1" w:rsidP="008F2948">
      <w:pPr>
        <w:spacing w:line="360" w:lineRule="auto"/>
        <w:jc w:val="both"/>
        <w:rPr>
          <w:rFonts w:asciiTheme="majorBidi" w:hAnsiTheme="majorBidi" w:cstheme="majorBidi"/>
          <w:strike/>
          <w:sz w:val="24"/>
          <w:szCs w:val="24"/>
        </w:rPr>
      </w:pPr>
      <w:r w:rsidRPr="008F2948">
        <w:rPr>
          <w:rFonts w:asciiTheme="majorBidi" w:eastAsia="Times New Roman" w:hAnsiTheme="majorBidi" w:cstheme="majorBidi"/>
          <w:sz w:val="24"/>
          <w:szCs w:val="24"/>
        </w:rPr>
        <w:t>2</w:t>
      </w:r>
      <w:r w:rsidR="008B7577">
        <w:rPr>
          <w:rFonts w:asciiTheme="majorBidi" w:eastAsia="Times New Roman" w:hAnsiTheme="majorBidi" w:cstheme="majorBidi"/>
          <w:sz w:val="24"/>
          <w:szCs w:val="24"/>
        </w:rPr>
        <w:t>.</w:t>
      </w:r>
      <w:r w:rsidR="008B757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2948" w:rsidRPr="008F29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FORD, Richard B., </w:t>
      </w:r>
      <w:r w:rsidR="008F2948" w:rsidRPr="008F2948">
        <w:rPr>
          <w:rStyle w:val="nfase"/>
          <w:rFonts w:asciiTheme="majorBidi" w:hAnsiTheme="majorBidi" w:cstheme="majorBidi"/>
          <w:i w:val="0"/>
          <w:iCs w:val="0"/>
          <w:color w:val="222222"/>
          <w:sz w:val="24"/>
          <w:szCs w:val="24"/>
          <w:shd w:val="clear" w:color="auto" w:fill="FFFFFF"/>
        </w:rPr>
        <w:t>et al</w:t>
      </w:r>
      <w:r w:rsidR="008F2948" w:rsidRPr="008F2948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.</w:t>
      </w:r>
      <w:r w:rsidR="008F2948" w:rsidRPr="008F29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Manual de Procedimentos Veterinários e Tratamento Emergencial. </w:t>
      </w:r>
      <w:r w:rsidR="008F2948" w:rsidRPr="008F2948">
        <w:rPr>
          <w:rStyle w:val="Forte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Elsevier</w:t>
      </w:r>
      <w:r w:rsidR="008F2948" w:rsidRPr="008F29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Rio de Janeiro, v. 9, p. 1-750, 2012.</w:t>
      </w:r>
    </w:p>
    <w:p w14:paraId="7DDB766C" w14:textId="07482D11" w:rsidR="002722B4" w:rsidRPr="008F2948" w:rsidRDefault="00000000" w:rsidP="008F294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2948">
        <w:rPr>
          <w:rFonts w:asciiTheme="majorBidi" w:eastAsia="Times New Roman" w:hAnsiTheme="majorBidi" w:cstheme="majorBidi"/>
          <w:sz w:val="24"/>
          <w:szCs w:val="24"/>
        </w:rPr>
        <w:t>3.</w:t>
      </w:r>
      <w:r w:rsidR="002722B4" w:rsidRPr="008F29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8B7577" w:rsidRPr="008F294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FOSSUM, </w:t>
      </w:r>
      <w:proofErr w:type="spellStart"/>
      <w:r w:rsidR="008B7577" w:rsidRPr="008F294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Theresa</w:t>
      </w:r>
      <w:proofErr w:type="spellEnd"/>
      <w:r w:rsidR="008B7577" w:rsidRPr="008F294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B7577" w:rsidRPr="008F294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Welch</w:t>
      </w:r>
      <w:proofErr w:type="spellEnd"/>
      <w:r w:rsidR="008B7577" w:rsidRPr="008F294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r w:rsidR="008B7577" w:rsidRPr="008F2948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Cirurgia de Pequenos Animais</w:t>
      </w:r>
      <w:r w:rsidR="008B7577" w:rsidRPr="008F294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Tradução de </w:t>
      </w:r>
      <w:proofErr w:type="spellStart"/>
      <w:r w:rsidR="008B7577" w:rsidRPr="008F294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Small</w:t>
      </w:r>
      <w:proofErr w:type="spellEnd"/>
      <w:r w:rsidR="008B7577" w:rsidRPr="008F294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Animal </w:t>
      </w:r>
      <w:proofErr w:type="spellStart"/>
      <w:r w:rsidR="008B7577" w:rsidRPr="008F294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Surgery</w:t>
      </w:r>
      <w:proofErr w:type="spellEnd"/>
      <w:r w:rsidR="008B7577" w:rsidRPr="008F294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5. ed. Rio de Janeiro: </w:t>
      </w:r>
      <w:proofErr w:type="spellStart"/>
      <w:r w:rsidR="008B7577" w:rsidRPr="008F294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Gen</w:t>
      </w:r>
      <w:proofErr w:type="spellEnd"/>
      <w:r w:rsidR="008B7577" w:rsidRPr="008F294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 Guanabara Koogan Ltda, 487 p. 2021.</w:t>
      </w:r>
    </w:p>
    <w:p w14:paraId="332B1E96" w14:textId="0FCF8262" w:rsidR="0092416B" w:rsidRPr="008F2948" w:rsidRDefault="00000000" w:rsidP="008F294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2948">
        <w:rPr>
          <w:rFonts w:asciiTheme="majorBidi" w:eastAsia="Times New Roman" w:hAnsiTheme="majorBidi" w:cstheme="majorBidi"/>
          <w:color w:val="222222"/>
          <w:sz w:val="24"/>
          <w:szCs w:val="24"/>
          <w:highlight w:val="white"/>
        </w:rPr>
        <w:t>4</w:t>
      </w:r>
      <w:r w:rsidRPr="008F2948">
        <w:rPr>
          <w:rFonts w:asciiTheme="majorBidi" w:eastAsia="Times New Roman" w:hAnsiTheme="majorBidi" w:cstheme="majorBidi"/>
          <w:sz w:val="24"/>
          <w:szCs w:val="24"/>
        </w:rPr>
        <w:t>.</w:t>
      </w:r>
      <w:r w:rsidR="002722B4" w:rsidRPr="008F294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8B7577" w:rsidRPr="008F29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HOWARD, B. G. Sistema Alimentar, Peritônio, Omento, Mesentério e Cavidade Peritoneal. </w:t>
      </w:r>
      <w:r w:rsidR="008B7577" w:rsidRPr="008F2948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Bases da Patologia em veterinária</w:t>
      </w:r>
      <w:r w:rsidR="008B7577" w:rsidRPr="008F29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p. 324-406, 2013.</w:t>
      </w:r>
    </w:p>
    <w:p w14:paraId="1841402E" w14:textId="5FBB4E4A" w:rsidR="0092416B" w:rsidRPr="008F2948" w:rsidRDefault="00000000" w:rsidP="008F2948">
      <w:pPr>
        <w:spacing w:after="0" w:line="36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highlight w:val="white"/>
        </w:rPr>
      </w:pPr>
      <w:r w:rsidRPr="008F2948">
        <w:rPr>
          <w:rFonts w:asciiTheme="majorBidi" w:eastAsia="Times New Roman" w:hAnsiTheme="majorBidi" w:cstheme="majorBidi"/>
          <w:color w:val="222222"/>
          <w:sz w:val="24"/>
          <w:szCs w:val="24"/>
          <w:highlight w:val="white"/>
        </w:rPr>
        <w:t xml:space="preserve">5. </w:t>
      </w:r>
      <w:r w:rsidR="00D0506A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CAMELO </w:t>
      </w:r>
      <w:r w:rsidR="008B7577" w:rsidRPr="008F294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JÚNIOR, F</w:t>
      </w:r>
      <w:r w:rsidR="00D0506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 A. A.</w:t>
      </w:r>
      <w:r w:rsidR="008B7577" w:rsidRPr="008F294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et al. </w:t>
      </w:r>
      <w:proofErr w:type="spellStart"/>
      <w:r w:rsidR="008B7577" w:rsidRPr="008F294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Esofagotomia</w:t>
      </w:r>
      <w:proofErr w:type="spellEnd"/>
      <w:r w:rsidR="008B7577" w:rsidRPr="008F294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torácica para remoção de corpo estranho em um cão: Relato de caso. </w:t>
      </w:r>
      <w:proofErr w:type="spellStart"/>
      <w:r w:rsidR="008B7577" w:rsidRPr="008F294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Pubvet</w:t>
      </w:r>
      <w:proofErr w:type="spellEnd"/>
      <w:r w:rsidR="008B7577" w:rsidRPr="008F294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v. 13, p. 158, 2019.</w:t>
      </w:r>
    </w:p>
    <w:p w14:paraId="50FB5E15" w14:textId="400E2EC4" w:rsidR="0092416B" w:rsidRPr="008F2948" w:rsidRDefault="00000000" w:rsidP="008F2948">
      <w:pPr>
        <w:spacing w:line="360" w:lineRule="auto"/>
        <w:jc w:val="both"/>
        <w:rPr>
          <w:rFonts w:asciiTheme="majorBidi" w:hAnsiTheme="majorBidi" w:cstheme="majorBidi"/>
          <w:color w:val="222222"/>
          <w:sz w:val="24"/>
          <w:szCs w:val="24"/>
          <w:highlight w:val="white"/>
        </w:rPr>
      </w:pPr>
      <w:r w:rsidRPr="008F2948">
        <w:rPr>
          <w:rFonts w:asciiTheme="majorBidi" w:eastAsia="Times New Roman" w:hAnsiTheme="majorBidi" w:cstheme="majorBidi"/>
          <w:color w:val="222222"/>
          <w:sz w:val="24"/>
          <w:szCs w:val="24"/>
          <w:highlight w:val="white"/>
        </w:rPr>
        <w:t xml:space="preserve">6. </w:t>
      </w:r>
      <w:r w:rsidR="008B7577" w:rsidRPr="008F2948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PINHEIRO, Maicon et al. Obstrução esofágica por corpo estranho em um gato. </w:t>
      </w:r>
      <w:r w:rsidR="008B7577" w:rsidRPr="008F2948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Acta </w:t>
      </w:r>
      <w:proofErr w:type="spellStart"/>
      <w:r w:rsidR="008B7577" w:rsidRPr="008F2948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sci</w:t>
      </w:r>
      <w:proofErr w:type="spellEnd"/>
      <w:r w:rsidR="008B7577" w:rsidRPr="008F2948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 xml:space="preserve">. </w:t>
      </w:r>
      <w:proofErr w:type="gramStart"/>
      <w:r w:rsidR="008B7577" w:rsidRPr="008F2948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vet.(</w:t>
      </w:r>
      <w:proofErr w:type="gramEnd"/>
      <w:r w:rsidR="008B7577" w:rsidRPr="008F2948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Online)</w:t>
      </w:r>
      <w:r w:rsidR="008B7577" w:rsidRPr="008F2948">
        <w:rPr>
          <w:rFonts w:asciiTheme="majorBidi" w:eastAsia="Times New Roman" w:hAnsiTheme="majorBidi" w:cstheme="majorBidi"/>
          <w:color w:val="222222"/>
          <w:sz w:val="24"/>
          <w:szCs w:val="24"/>
        </w:rPr>
        <w:t>, 2012.</w:t>
      </w:r>
    </w:p>
    <w:p w14:paraId="59C5CB58" w14:textId="1416CD02" w:rsidR="000C47A4" w:rsidRPr="008F2948" w:rsidRDefault="00000000" w:rsidP="008F2948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F2948">
        <w:rPr>
          <w:rFonts w:asciiTheme="majorBidi" w:eastAsia="Times New Roman" w:hAnsiTheme="majorBidi" w:cstheme="majorBidi"/>
          <w:sz w:val="24"/>
          <w:szCs w:val="24"/>
        </w:rPr>
        <w:t>7. TILLEY, L. P; SMITH JR., F. W. K. Consulta Veterinária em 5 minutos. Espécies Canina e Felina. 3ª Ed. Editora Manole ltda. São Paulo. p 294 e 295.</w:t>
      </w:r>
      <w:r w:rsidR="007D1D70" w:rsidRPr="008F2948">
        <w:rPr>
          <w:rFonts w:asciiTheme="majorBidi" w:eastAsia="Times New Roman" w:hAnsiTheme="majorBidi" w:cstheme="majorBidi"/>
          <w:sz w:val="24"/>
          <w:szCs w:val="24"/>
        </w:rPr>
        <w:t xml:space="preserve"> 2008.</w:t>
      </w:r>
    </w:p>
    <w:sectPr w:rsidR="000C47A4" w:rsidRPr="008F2948">
      <w:pgSz w:w="11906" w:h="16838"/>
      <w:pgMar w:top="1418" w:right="1418" w:bottom="141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49A"/>
    <w:multiLevelType w:val="hybridMultilevel"/>
    <w:tmpl w:val="FBB0240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2A01A2"/>
    <w:multiLevelType w:val="hybridMultilevel"/>
    <w:tmpl w:val="6E2050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608932">
    <w:abstractNumId w:val="1"/>
  </w:num>
  <w:num w:numId="2" w16cid:durableId="155242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6B"/>
    <w:rsid w:val="000C47A4"/>
    <w:rsid w:val="00117C44"/>
    <w:rsid w:val="002722B4"/>
    <w:rsid w:val="004120D1"/>
    <w:rsid w:val="005F6E71"/>
    <w:rsid w:val="007176CB"/>
    <w:rsid w:val="007D1D70"/>
    <w:rsid w:val="007E7173"/>
    <w:rsid w:val="008B7577"/>
    <w:rsid w:val="008F2948"/>
    <w:rsid w:val="0092416B"/>
    <w:rsid w:val="0097263E"/>
    <w:rsid w:val="00AF2F23"/>
    <w:rsid w:val="00AF4634"/>
    <w:rsid w:val="00C76D02"/>
    <w:rsid w:val="00D0506A"/>
    <w:rsid w:val="00D81D5F"/>
    <w:rsid w:val="00E0244E"/>
    <w:rsid w:val="00E10490"/>
    <w:rsid w:val="00E7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378F"/>
  <w15:docId w15:val="{6943B9F9-61CF-4325-B286-EF1247E3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DF51DF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4E2E48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4E2E48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4E2E48"/>
    <w:rPr>
      <w:b/>
      <w:bCs/>
    </w:rPr>
  </w:style>
  <w:style w:type="paragraph" w:styleId="PargrafodaLista">
    <w:name w:val="List Paragraph"/>
    <w:basedOn w:val="Normal"/>
    <w:uiPriority w:val="34"/>
    <w:qFormat/>
    <w:rsid w:val="00DA58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30E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0E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0E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0E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0EAA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41211B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292F19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tistayohanna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zVLm77tQX2DaaTxrREbiBqF2iQ==">AMUW2mX2D0DkSM5WMvZi7Yp5Lv+CW+JKxb4Xxi3hlvij5fyhuiqelhHTPpx0y3p4k6AJwGZ7Azmfhz3hqfas1Zt2MR1LiqliUZ8C6u+uN+HgJMVBUqKLW1nj7K3KtOWvXV6d/e2D/XYm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1076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Yohanna Batista</dc:creator>
  <cp:lastModifiedBy>Yohanna Batista</cp:lastModifiedBy>
  <cp:revision>2</cp:revision>
  <dcterms:created xsi:type="dcterms:W3CDTF">2022-07-14T00:42:00Z</dcterms:created>
  <dcterms:modified xsi:type="dcterms:W3CDTF">2022-07-14T00:42:00Z</dcterms:modified>
</cp:coreProperties>
</file>