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369B3" w14:textId="7BC051FA" w:rsidR="002F28E9" w:rsidRDefault="002F28E9">
      <w:pPr>
        <w:pBdr>
          <w:top w:val="nil"/>
          <w:left w:val="nil"/>
          <w:bottom w:val="nil"/>
          <w:right w:val="nil"/>
          <w:between w:val="nil"/>
        </w:pBdr>
        <w:spacing w:before="214"/>
        <w:rPr>
          <w:b/>
          <w:color w:val="000000"/>
          <w:sz w:val="24"/>
          <w:szCs w:val="24"/>
        </w:rPr>
      </w:pPr>
    </w:p>
    <w:p w14:paraId="1C15D617" w14:textId="77777777" w:rsidR="000D3A67" w:rsidRDefault="000D3A67">
      <w:pPr>
        <w:pBdr>
          <w:top w:val="nil"/>
          <w:left w:val="nil"/>
          <w:bottom w:val="nil"/>
          <w:right w:val="nil"/>
          <w:between w:val="nil"/>
        </w:pBdr>
        <w:spacing w:before="214"/>
        <w:rPr>
          <w:b/>
          <w:color w:val="000000"/>
          <w:sz w:val="24"/>
          <w:szCs w:val="24"/>
        </w:rPr>
      </w:pPr>
    </w:p>
    <w:p w14:paraId="604AB3F8" w14:textId="77777777" w:rsidR="00DF74B9" w:rsidRPr="006817B0" w:rsidRDefault="00DF74B9" w:rsidP="00DF74B9">
      <w:pPr>
        <w:tabs>
          <w:tab w:val="center" w:pos="4748"/>
        </w:tabs>
        <w:ind w:left="708" w:right="849"/>
        <w:jc w:val="center"/>
        <w:rPr>
          <w:rFonts w:ascii="Arial" w:hAnsi="Arial" w:cs="Arial"/>
          <w:b/>
          <w:caps/>
          <w:sz w:val="24"/>
          <w:szCs w:val="24"/>
        </w:rPr>
      </w:pPr>
      <w:r w:rsidRPr="00DF74B9">
        <w:rPr>
          <w:rFonts w:ascii="Arial" w:hAnsi="Arial" w:cs="Arial"/>
          <w:b/>
          <w:sz w:val="24"/>
          <w:szCs w:val="24"/>
        </w:rPr>
        <w:t xml:space="preserve"> </w:t>
      </w:r>
      <w:r w:rsidRPr="006817B0">
        <w:rPr>
          <w:rFonts w:ascii="Arial" w:hAnsi="Arial" w:cs="Arial"/>
          <w:b/>
          <w:sz w:val="24"/>
          <w:szCs w:val="24"/>
        </w:rPr>
        <w:t>SAÚDE BUCAL PARA PACIENTES PORTADORES DE NECESSIDADES ESPECIAIS DA EMEE A</w:t>
      </w:r>
      <w:r>
        <w:rPr>
          <w:rFonts w:ascii="Arial" w:hAnsi="Arial" w:cs="Arial"/>
          <w:b/>
          <w:sz w:val="24"/>
          <w:szCs w:val="24"/>
        </w:rPr>
        <w:t>NDRÉ VIDAL DE ARAÚJO PELA PERCEPÇÃO</w:t>
      </w:r>
      <w:r w:rsidRPr="006817B0">
        <w:rPr>
          <w:rFonts w:ascii="Arial" w:hAnsi="Arial" w:cs="Arial"/>
          <w:b/>
          <w:sz w:val="24"/>
          <w:szCs w:val="24"/>
        </w:rPr>
        <w:t xml:space="preserve"> DOS CUIDADORES</w:t>
      </w:r>
    </w:p>
    <w:p w14:paraId="2CE7226D" w14:textId="77777777" w:rsidR="002F28E9" w:rsidRDefault="002F28E9">
      <w:pPr>
        <w:ind w:left="184" w:right="184"/>
        <w:jc w:val="center"/>
        <w:rPr>
          <w:b/>
          <w:sz w:val="24"/>
          <w:szCs w:val="24"/>
        </w:rPr>
      </w:pPr>
    </w:p>
    <w:p w14:paraId="3A206BFE" w14:textId="77777777" w:rsidR="00DF74B9" w:rsidRDefault="00DF74B9" w:rsidP="00DF74B9">
      <w:pPr>
        <w:ind w:left="708" w:right="849"/>
        <w:jc w:val="center"/>
        <w:rPr>
          <w:rFonts w:ascii="Arial" w:hAnsi="Arial" w:cs="Arial"/>
          <w:i/>
          <w:iCs/>
          <w:sz w:val="24"/>
          <w:szCs w:val="24"/>
          <w:vertAlign w:val="superscript"/>
        </w:rPr>
      </w:pPr>
      <w:r w:rsidRPr="00B91B5F">
        <w:rPr>
          <w:rFonts w:ascii="Arial" w:hAnsi="Arial" w:cs="Arial"/>
          <w:i/>
          <w:sz w:val="24"/>
          <w:szCs w:val="24"/>
        </w:rPr>
        <w:t>Milena Cruz Reis</w:t>
      </w:r>
      <w:r>
        <w:rPr>
          <w:rFonts w:ascii="Arial" w:hAnsi="Arial" w:cs="Arial"/>
          <w:i/>
          <w:sz w:val="24"/>
          <w:szCs w:val="24"/>
          <w:vertAlign w:val="superscript"/>
        </w:rPr>
        <w:t>1</w:t>
      </w:r>
      <w:r w:rsidRPr="00B91B5F">
        <w:rPr>
          <w:rFonts w:ascii="Arial" w:hAnsi="Arial" w:cs="Arial"/>
          <w:i/>
          <w:sz w:val="24"/>
          <w:szCs w:val="24"/>
        </w:rPr>
        <w:t>;</w:t>
      </w:r>
      <w:r>
        <w:rPr>
          <w:rFonts w:ascii="Arial" w:hAnsi="Arial" w:cs="Arial"/>
          <w:i/>
          <w:sz w:val="24"/>
          <w:szCs w:val="24"/>
        </w:rPr>
        <w:t xml:space="preserve"> Sarah Machado Jacintho</w:t>
      </w:r>
      <w:r>
        <w:rPr>
          <w:rFonts w:ascii="Arial" w:hAnsi="Arial" w:cs="Arial"/>
          <w:i/>
          <w:sz w:val="24"/>
          <w:szCs w:val="24"/>
          <w:vertAlign w:val="superscript"/>
        </w:rPr>
        <w:t>2</w:t>
      </w:r>
      <w:r w:rsidRPr="00B91B5F">
        <w:rPr>
          <w:rFonts w:ascii="Arial" w:hAnsi="Arial" w:cs="Arial"/>
          <w:i/>
          <w:sz w:val="24"/>
          <w:szCs w:val="24"/>
        </w:rPr>
        <w:t xml:space="preserve">; </w:t>
      </w:r>
      <w:r>
        <w:rPr>
          <w:rFonts w:ascii="Arial" w:hAnsi="Arial" w:cs="Arial"/>
          <w:i/>
          <w:sz w:val="24"/>
          <w:szCs w:val="24"/>
        </w:rPr>
        <w:t>Gimol Benchimol de Resende Prestes</w:t>
      </w:r>
      <w:r>
        <w:rPr>
          <w:rFonts w:ascii="Arial" w:hAnsi="Arial" w:cs="Arial"/>
          <w:i/>
          <w:sz w:val="24"/>
          <w:szCs w:val="24"/>
          <w:vertAlign w:val="superscript"/>
        </w:rPr>
        <w:t>3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Pr="00B91B5F">
        <w:rPr>
          <w:rFonts w:ascii="Arial" w:hAnsi="Arial" w:cs="Arial"/>
          <w:i/>
          <w:sz w:val="24"/>
          <w:szCs w:val="24"/>
        </w:rPr>
        <w:t xml:space="preserve">Eliane </w:t>
      </w:r>
      <w:r w:rsidRPr="00B91B5F">
        <w:rPr>
          <w:rFonts w:ascii="Arial" w:hAnsi="Arial" w:cs="Arial"/>
          <w:i/>
          <w:iCs/>
          <w:sz w:val="24"/>
          <w:szCs w:val="24"/>
        </w:rPr>
        <w:t>de Oliveira Aranha Ribeiro</w:t>
      </w:r>
      <w:r>
        <w:rPr>
          <w:rFonts w:ascii="Arial" w:hAnsi="Arial" w:cs="Arial"/>
          <w:i/>
          <w:iCs/>
          <w:sz w:val="24"/>
          <w:szCs w:val="24"/>
          <w:vertAlign w:val="superscript"/>
        </w:rPr>
        <w:t>4</w:t>
      </w:r>
    </w:p>
    <w:p w14:paraId="08DBB230" w14:textId="77777777" w:rsidR="00DF74B9" w:rsidRPr="005C3290" w:rsidRDefault="00DF74B9" w:rsidP="00DF74B9">
      <w:pPr>
        <w:ind w:left="708" w:right="849"/>
        <w:jc w:val="center"/>
        <w:rPr>
          <w:rFonts w:ascii="Arial" w:hAnsi="Arial" w:cs="Arial"/>
          <w:i/>
          <w:sz w:val="24"/>
          <w:szCs w:val="24"/>
        </w:rPr>
      </w:pPr>
    </w:p>
    <w:p w14:paraId="6F4F96C7" w14:textId="77777777" w:rsidR="00DF74B9" w:rsidRPr="00A513B7" w:rsidRDefault="00DF74B9" w:rsidP="00DF74B9">
      <w:pPr>
        <w:pStyle w:val="PargrafodaLista"/>
        <w:spacing w:after="0" w:line="360" w:lineRule="auto"/>
        <w:ind w:right="849"/>
        <w:jc w:val="center"/>
        <w:rPr>
          <w:rFonts w:ascii="Arial" w:hAnsi="Arial" w:cs="Arial"/>
          <w:sz w:val="24"/>
          <w:szCs w:val="24"/>
        </w:rPr>
      </w:pPr>
      <w:r w:rsidRPr="00B91B5F">
        <w:rPr>
          <w:rFonts w:ascii="Arial" w:hAnsi="Arial" w:cs="Arial"/>
          <w:sz w:val="24"/>
          <w:szCs w:val="24"/>
        </w:rPr>
        <w:t>Graduando em Odontologia pela Universidade do Estado do Amazonas – UEA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; </w:t>
      </w:r>
      <w:r w:rsidRPr="00B91B5F">
        <w:rPr>
          <w:rFonts w:ascii="Arial" w:hAnsi="Arial" w:cs="Arial"/>
          <w:sz w:val="24"/>
          <w:szCs w:val="24"/>
        </w:rPr>
        <w:t>Graduando em Odontologia pela Universidade do Estado do Amazonas – UEA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; Professora adjunta da Universidade do Estado do Amazonas</w:t>
      </w:r>
      <w:r w:rsidRPr="00B91B5F">
        <w:rPr>
          <w:rFonts w:ascii="Arial" w:hAnsi="Arial" w:cs="Arial"/>
          <w:sz w:val="24"/>
          <w:szCs w:val="24"/>
        </w:rPr>
        <w:t>– UEA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, Professora adjunta da Universidade do Estado do Amazonas</w:t>
      </w:r>
      <w:r w:rsidRPr="00B91B5F">
        <w:rPr>
          <w:rFonts w:ascii="Arial" w:hAnsi="Arial" w:cs="Arial"/>
          <w:sz w:val="24"/>
          <w:szCs w:val="24"/>
        </w:rPr>
        <w:t>– UEA</w:t>
      </w:r>
      <w:r>
        <w:rPr>
          <w:rFonts w:ascii="Arial" w:hAnsi="Arial" w:cs="Arial"/>
          <w:sz w:val="24"/>
          <w:szCs w:val="24"/>
          <w:vertAlign w:val="superscript"/>
        </w:rPr>
        <w:t>4</w:t>
      </w:r>
    </w:p>
    <w:p w14:paraId="5B584B19" w14:textId="77777777" w:rsidR="002F28E9" w:rsidRDefault="002F28E9">
      <w:pPr>
        <w:pBdr>
          <w:top w:val="nil"/>
          <w:left w:val="nil"/>
          <w:bottom w:val="nil"/>
          <w:right w:val="nil"/>
          <w:between w:val="nil"/>
        </w:pBdr>
        <w:spacing w:before="211"/>
        <w:rPr>
          <w:color w:val="000000"/>
          <w:sz w:val="24"/>
          <w:szCs w:val="24"/>
        </w:rPr>
      </w:pPr>
    </w:p>
    <w:p w14:paraId="6545F331" w14:textId="77777777" w:rsidR="00DF74B9" w:rsidRDefault="00DF74B9" w:rsidP="00DF74B9">
      <w:pPr>
        <w:rPr>
          <w:rFonts w:ascii="Arial" w:hAnsi="Arial" w:cs="Arial"/>
          <w:sz w:val="24"/>
          <w:szCs w:val="24"/>
        </w:rPr>
      </w:pPr>
      <w:r w:rsidRPr="00DF74B9">
        <w:rPr>
          <w:rFonts w:ascii="Arial" w:hAnsi="Arial" w:cs="Arial"/>
          <w:b/>
          <w:sz w:val="24"/>
          <w:szCs w:val="24"/>
        </w:rPr>
        <w:t>Área temática:</w:t>
      </w:r>
      <w:r w:rsidRPr="00DF74B9">
        <w:rPr>
          <w:rFonts w:ascii="Arial" w:hAnsi="Arial" w:cs="Arial"/>
          <w:sz w:val="24"/>
          <w:szCs w:val="24"/>
        </w:rPr>
        <w:t>ODONTOLOGIA PARA PACIENTES COM NECESSIDADES ESPECIAIS</w:t>
      </w:r>
    </w:p>
    <w:p w14:paraId="478F9B55" w14:textId="2BB0F3CB" w:rsidR="002F28E9" w:rsidRPr="00DF74B9" w:rsidRDefault="00DF74B9" w:rsidP="00DF74B9">
      <w:pPr>
        <w:rPr>
          <w:rFonts w:ascii="Arial" w:hAnsi="Arial" w:cs="Arial"/>
          <w:sz w:val="24"/>
          <w:szCs w:val="24"/>
        </w:rPr>
      </w:pPr>
      <w:r w:rsidRPr="00DF74B9">
        <w:rPr>
          <w:rFonts w:ascii="Arial" w:hAnsi="Arial" w:cs="Arial"/>
          <w:b/>
          <w:sz w:val="24"/>
          <w:szCs w:val="24"/>
        </w:rPr>
        <w:t xml:space="preserve">Modalidade: </w:t>
      </w:r>
      <w:r w:rsidRPr="00DF74B9">
        <w:rPr>
          <w:rFonts w:ascii="Arial" w:hAnsi="Arial" w:cs="Arial"/>
          <w:sz w:val="24"/>
          <w:szCs w:val="24"/>
        </w:rPr>
        <w:t>PESQUISA CIENTÍFICA</w:t>
      </w:r>
    </w:p>
    <w:p w14:paraId="6B46E15F" w14:textId="2321B72B" w:rsidR="00DF74B9" w:rsidRPr="00DF74B9" w:rsidRDefault="00DF74B9" w:rsidP="00DF74B9">
      <w:pPr>
        <w:ind w:right="849"/>
        <w:contextualSpacing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DF74B9">
        <w:rPr>
          <w:rFonts w:ascii="Arial" w:hAnsi="Arial" w:cs="Arial"/>
          <w:b/>
          <w:sz w:val="24"/>
          <w:szCs w:val="24"/>
        </w:rPr>
        <w:t xml:space="preserve">E-mail dos autores: </w:t>
      </w:r>
      <w:r w:rsidR="00874744">
        <w:fldChar w:fldCharType="begin"/>
      </w:r>
      <w:r w:rsidR="00874744">
        <w:instrText xml:space="preserve"> HYPERLINK "mailto:mcr.odo21@uea.edu.br" </w:instrText>
      </w:r>
      <w:r w:rsidR="00874744">
        <w:fldChar w:fldCharType="separate"/>
      </w:r>
      <w:r w:rsidRPr="00DF74B9">
        <w:rPr>
          <w:rStyle w:val="Hyperlink"/>
          <w:rFonts w:ascii="Arial" w:hAnsi="Arial" w:cs="Arial"/>
          <w:sz w:val="24"/>
          <w:szCs w:val="24"/>
        </w:rPr>
        <w:t>mcr.odo21@uea.edu.br</w:t>
      </w:r>
      <w:r w:rsidR="00874744">
        <w:rPr>
          <w:rStyle w:val="Hyperlink"/>
          <w:rFonts w:ascii="Arial" w:hAnsi="Arial" w:cs="Arial"/>
          <w:sz w:val="24"/>
          <w:szCs w:val="24"/>
        </w:rPr>
        <w:fldChar w:fldCharType="end"/>
      </w:r>
      <w:r w:rsidRPr="00DF74B9">
        <w:rPr>
          <w:rStyle w:val="Hyperlink"/>
          <w:rFonts w:ascii="Arial" w:hAnsi="Arial" w:cs="Arial"/>
          <w:sz w:val="24"/>
          <w:szCs w:val="24"/>
        </w:rPr>
        <w:t xml:space="preserve"> </w:t>
      </w:r>
      <w:r w:rsidRPr="00DF74B9">
        <w:rPr>
          <w:rStyle w:val="Hyperlink"/>
          <w:rFonts w:ascii="Arial" w:hAnsi="Arial" w:cs="Arial"/>
          <w:sz w:val="24"/>
          <w:szCs w:val="24"/>
          <w:vertAlign w:val="superscript"/>
        </w:rPr>
        <w:t xml:space="preserve">1 </w:t>
      </w:r>
      <w:r w:rsidRPr="00DF74B9">
        <w:rPr>
          <w:rFonts w:ascii="Arial" w:hAnsi="Arial" w:cs="Arial"/>
          <w:color w:val="0000FF" w:themeColor="hyperlink"/>
          <w:sz w:val="24"/>
          <w:szCs w:val="24"/>
        </w:rPr>
        <w:t xml:space="preserve">; </w:t>
      </w:r>
      <w:hyperlink r:id="rId7" w:history="1">
        <w:r w:rsidRPr="00DF74B9">
          <w:rPr>
            <w:rStyle w:val="Hyperlink"/>
            <w:rFonts w:ascii="Arial" w:hAnsi="Arial" w:cs="Arial"/>
            <w:sz w:val="24"/>
            <w:szCs w:val="24"/>
          </w:rPr>
          <w:t>smj.odo21@uea.edu.br</w:t>
        </w:r>
      </w:hyperlink>
      <w:r w:rsidRPr="00DF74B9">
        <w:rPr>
          <w:rFonts w:ascii="Arial" w:hAnsi="Arial" w:cs="Arial"/>
          <w:color w:val="0000FF" w:themeColor="hyperlink"/>
          <w:sz w:val="24"/>
          <w:szCs w:val="24"/>
        </w:rPr>
        <w:t xml:space="preserve"> </w:t>
      </w:r>
      <w:r w:rsidRPr="00DF74B9">
        <w:rPr>
          <w:rFonts w:ascii="Arial" w:hAnsi="Arial" w:cs="Arial"/>
          <w:color w:val="0000FF" w:themeColor="hyperlink"/>
          <w:sz w:val="24"/>
          <w:szCs w:val="24"/>
          <w:vertAlign w:val="superscript"/>
        </w:rPr>
        <w:t>2</w:t>
      </w:r>
      <w:r w:rsidRPr="00DF74B9">
        <w:rPr>
          <w:rFonts w:ascii="Arial" w:hAnsi="Arial" w:cs="Arial"/>
          <w:color w:val="0000FF" w:themeColor="hyperlink"/>
          <w:sz w:val="24"/>
          <w:szCs w:val="24"/>
        </w:rPr>
        <w:t>; gresende@uea.edu.br</w:t>
      </w:r>
      <w:r w:rsidRPr="00DF74B9">
        <w:rPr>
          <w:rFonts w:ascii="Arial" w:eastAsia="Calibri" w:hAnsi="Arial" w:cs="Arial"/>
          <w:color w:val="0000FF" w:themeColor="hyperlink"/>
          <w:sz w:val="24"/>
          <w:szCs w:val="24"/>
        </w:rPr>
        <w:t xml:space="preserve"> </w:t>
      </w:r>
      <w:r w:rsidRPr="00DF74B9">
        <w:rPr>
          <w:rFonts w:ascii="Arial" w:eastAsia="Calibri" w:hAnsi="Arial" w:cs="Arial"/>
          <w:color w:val="000000"/>
          <w:sz w:val="24"/>
          <w:szCs w:val="24"/>
          <w:vertAlign w:val="superscript"/>
        </w:rPr>
        <w:t>3</w:t>
      </w:r>
      <w:r w:rsidRPr="00DF74B9">
        <w:rPr>
          <w:rFonts w:ascii="Arial" w:eastAsia="Calibri" w:hAnsi="Arial" w:cs="Arial"/>
          <w:color w:val="000000"/>
          <w:sz w:val="24"/>
          <w:szCs w:val="24"/>
        </w:rPr>
        <w:t xml:space="preserve">; </w:t>
      </w:r>
      <w:hyperlink r:id="rId8" w:history="1">
        <w:r w:rsidRPr="00DF74B9">
          <w:rPr>
            <w:rStyle w:val="Hyperlink"/>
            <w:rFonts w:ascii="Arial" w:eastAsia="Calibri" w:hAnsi="Arial" w:cs="Arial"/>
            <w:sz w:val="24"/>
            <w:szCs w:val="24"/>
          </w:rPr>
          <w:t>earibeiro@uea.edu.br</w:t>
        </w:r>
      </w:hyperlink>
      <w:r w:rsidRPr="00DF74B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DF74B9">
        <w:rPr>
          <w:rFonts w:ascii="Arial" w:eastAsia="Calibri" w:hAnsi="Arial" w:cs="Arial"/>
          <w:color w:val="000000"/>
          <w:sz w:val="24"/>
          <w:szCs w:val="24"/>
          <w:vertAlign w:val="superscript"/>
        </w:rPr>
        <w:t>4</w:t>
      </w:r>
    </w:p>
    <w:p w14:paraId="1940DD05" w14:textId="77777777" w:rsidR="00DF74B9" w:rsidRPr="00B921E8" w:rsidRDefault="00DF74B9" w:rsidP="00DF74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849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</w:p>
    <w:p w14:paraId="686BC4AF" w14:textId="77777777" w:rsidR="00DF74B9" w:rsidRPr="00DF74B9" w:rsidRDefault="00DF74B9" w:rsidP="00DF74B9">
      <w:pPr>
        <w:ind w:right="849"/>
        <w:rPr>
          <w:rFonts w:ascii="Arial" w:hAnsi="Arial" w:cs="Arial"/>
          <w:sz w:val="24"/>
          <w:szCs w:val="24"/>
        </w:rPr>
      </w:pPr>
    </w:p>
    <w:p w14:paraId="09654C70" w14:textId="77777777" w:rsidR="002F28E9" w:rsidRPr="00DF74B9" w:rsidRDefault="008E0726">
      <w:pPr>
        <w:pStyle w:val="Ttulo1"/>
        <w:spacing w:before="1"/>
        <w:ind w:left="184" w:right="184"/>
        <w:jc w:val="center"/>
        <w:rPr>
          <w:rFonts w:ascii="Arial" w:hAnsi="Arial" w:cs="Arial"/>
        </w:rPr>
      </w:pPr>
      <w:r w:rsidRPr="00DF74B9">
        <w:rPr>
          <w:rFonts w:ascii="Arial" w:hAnsi="Arial" w:cs="Arial"/>
        </w:rPr>
        <w:t>RESUMO</w:t>
      </w:r>
    </w:p>
    <w:p w14:paraId="4DABD302" w14:textId="77777777" w:rsidR="000D3A67" w:rsidRDefault="00DF74B9" w:rsidP="00DF74B9">
      <w:pPr>
        <w:spacing w:line="360" w:lineRule="auto"/>
        <w:ind w:right="707"/>
        <w:jc w:val="both"/>
        <w:rPr>
          <w:rFonts w:ascii="Arial" w:hAnsi="Arial" w:cs="Arial"/>
          <w:sz w:val="24"/>
          <w:szCs w:val="24"/>
        </w:rPr>
      </w:pPr>
      <w:r w:rsidRPr="008A21A9">
        <w:rPr>
          <w:rFonts w:ascii="Arial" w:hAnsi="Arial" w:cs="Arial"/>
          <w:sz w:val="24"/>
          <w:szCs w:val="24"/>
        </w:rPr>
        <w:t>A população mundial é constituída em cerca de 10% de Pessoas com deficiência (PcD), que são indivíduos com condições que o faça necessitar de atenção especializada devido a perda ou anormalidade de uma estrutura do corpo ou função.</w:t>
      </w:r>
      <w:r>
        <w:rPr>
          <w:rFonts w:ascii="Arial" w:hAnsi="Arial" w:cs="Arial"/>
          <w:sz w:val="24"/>
          <w:szCs w:val="24"/>
          <w:vertAlign w:val="superscript"/>
        </w:rPr>
        <w:t xml:space="preserve">1,2 </w:t>
      </w:r>
      <w:r w:rsidRPr="008A21A9">
        <w:rPr>
          <w:rFonts w:ascii="Arial" w:hAnsi="Arial" w:cs="Arial"/>
          <w:sz w:val="24"/>
          <w:szCs w:val="24"/>
        </w:rPr>
        <w:t>As péssimas condições de higiene bucal de PcD tem sido um problema que somado a fatores socioeconômicos, levam a um alto índice de pl</w:t>
      </w:r>
      <w:r>
        <w:rPr>
          <w:rFonts w:ascii="Arial" w:hAnsi="Arial" w:cs="Arial"/>
          <w:sz w:val="24"/>
          <w:szCs w:val="24"/>
        </w:rPr>
        <w:t>aca bacteriana, alguns deles</w:t>
      </w:r>
      <w:r w:rsidRPr="008A21A9">
        <w:rPr>
          <w:rFonts w:ascii="Arial" w:hAnsi="Arial" w:cs="Arial"/>
          <w:sz w:val="24"/>
          <w:szCs w:val="24"/>
        </w:rPr>
        <w:t xml:space="preserve"> são responsáveis pela sua própria escovação ou dependem dos pais ou cuidadores que por falta de conhecimento ou capacitação, contribuem para maior chance de cárie dentária no pne.</w:t>
      </w:r>
      <w:r>
        <w:rPr>
          <w:rFonts w:ascii="Arial" w:hAnsi="Arial" w:cs="Arial"/>
          <w:sz w:val="24"/>
          <w:szCs w:val="24"/>
          <w:vertAlign w:val="superscript"/>
        </w:rPr>
        <w:t xml:space="preserve">1,3 </w:t>
      </w:r>
      <w:r>
        <w:rPr>
          <w:rFonts w:ascii="Arial" w:hAnsi="Arial" w:cs="Arial"/>
          <w:sz w:val="24"/>
          <w:szCs w:val="24"/>
        </w:rPr>
        <w:t>Portanto, é fundamental a conservação da saúde bucal do pcd.</w:t>
      </w:r>
      <w:r w:rsidRPr="0003019A">
        <w:rPr>
          <w:rFonts w:ascii="Arial" w:hAnsi="Arial" w:cs="Arial"/>
          <w:sz w:val="24"/>
          <w:szCs w:val="24"/>
        </w:rPr>
        <w:t xml:space="preserve"> </w:t>
      </w:r>
      <w:r w:rsidRPr="008A21A9">
        <w:rPr>
          <w:rFonts w:ascii="Arial" w:hAnsi="Arial" w:cs="Arial"/>
          <w:sz w:val="24"/>
          <w:szCs w:val="24"/>
        </w:rPr>
        <w:t>Esta pesquisa tem por objetivo avaliar as condições de saúde bucal dos alunos da EMEEAVA e a compreensão de seus parentes e/ou cuidadores acerca da saúde bucal.</w:t>
      </w:r>
      <w:r w:rsidRPr="0003019A">
        <w:rPr>
          <w:rFonts w:ascii="Arial" w:hAnsi="Arial" w:cs="Arial"/>
          <w:sz w:val="24"/>
          <w:szCs w:val="24"/>
        </w:rPr>
        <w:t xml:space="preserve"> </w:t>
      </w:r>
      <w:r w:rsidRPr="008A21A9">
        <w:rPr>
          <w:rFonts w:ascii="Arial" w:hAnsi="Arial" w:cs="Arial"/>
          <w:sz w:val="24"/>
          <w:szCs w:val="24"/>
        </w:rPr>
        <w:t>Trata-se de um estudo do tipo observacional, descritivo, q</w:t>
      </w:r>
      <w:r>
        <w:rPr>
          <w:rFonts w:ascii="Arial" w:hAnsi="Arial" w:cs="Arial"/>
          <w:sz w:val="24"/>
          <w:szCs w:val="24"/>
        </w:rPr>
        <w:t xml:space="preserve">uantitativo e transversal, no período de agosto </w:t>
      </w:r>
    </w:p>
    <w:p w14:paraId="27DAF2BA" w14:textId="77777777" w:rsidR="000D3A67" w:rsidRDefault="000D3A67" w:rsidP="00DF74B9">
      <w:pPr>
        <w:spacing w:line="360" w:lineRule="auto"/>
        <w:ind w:right="707"/>
        <w:jc w:val="both"/>
        <w:rPr>
          <w:rFonts w:ascii="Arial" w:hAnsi="Arial" w:cs="Arial"/>
          <w:sz w:val="24"/>
          <w:szCs w:val="24"/>
        </w:rPr>
      </w:pPr>
    </w:p>
    <w:p w14:paraId="7F2CA4A1" w14:textId="77777777" w:rsidR="000D3A67" w:rsidRDefault="000D3A67" w:rsidP="00DF74B9">
      <w:pPr>
        <w:spacing w:line="360" w:lineRule="auto"/>
        <w:ind w:right="707"/>
        <w:jc w:val="both"/>
        <w:rPr>
          <w:rFonts w:ascii="Arial" w:hAnsi="Arial" w:cs="Arial"/>
          <w:sz w:val="24"/>
          <w:szCs w:val="24"/>
        </w:rPr>
      </w:pPr>
    </w:p>
    <w:p w14:paraId="0E321685" w14:textId="159E90FB" w:rsidR="002F28E9" w:rsidRPr="00DF74B9" w:rsidRDefault="00DF74B9" w:rsidP="00DF74B9">
      <w:pPr>
        <w:spacing w:line="360" w:lineRule="auto"/>
        <w:ind w:right="70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novembro</w:t>
      </w:r>
      <w:r w:rsidRPr="00B91B5F">
        <w:rPr>
          <w:rFonts w:ascii="Arial" w:hAnsi="Arial" w:cs="Arial"/>
          <w:sz w:val="24"/>
          <w:szCs w:val="24"/>
        </w:rPr>
        <w:t xml:space="preserve"> de 2024</w:t>
      </w:r>
      <w:r>
        <w:rPr>
          <w:rFonts w:ascii="Arial" w:hAnsi="Arial" w:cs="Arial"/>
          <w:sz w:val="24"/>
          <w:szCs w:val="24"/>
        </w:rPr>
        <w:t xml:space="preserve">, os dados foram coletados por meio de um questionário sobre a temática </w:t>
      </w:r>
      <w:r w:rsidRPr="008A21A9">
        <w:rPr>
          <w:rFonts w:ascii="Arial" w:hAnsi="Arial" w:cs="Arial"/>
          <w:sz w:val="24"/>
          <w:szCs w:val="24"/>
        </w:rPr>
        <w:t>realizado com</w:t>
      </w:r>
      <w:r w:rsidRPr="008A21A9">
        <w:rPr>
          <w:rFonts w:ascii="Arial" w:hAnsi="Arial" w:cs="Arial"/>
          <w:color w:val="000000"/>
          <w:sz w:val="24"/>
          <w:szCs w:val="24"/>
        </w:rPr>
        <w:t xml:space="preserve"> pais/cuidadores da EMEEAVA localizada em Manaus, Amazonas no ano de 2024.</w:t>
      </w:r>
      <w:r>
        <w:rPr>
          <w:rFonts w:ascii="Arial" w:hAnsi="Arial" w:cs="Arial"/>
          <w:color w:val="000000"/>
          <w:sz w:val="24"/>
          <w:szCs w:val="24"/>
        </w:rPr>
        <w:t xml:space="preserve"> Foram entrevistados 35 pais e/ou cuidadores, sendo 33 do sexo feminino e 2 do sexo masculino. Após a entrevista, em 71,42% das respostas a rotina de higiene bucal dos alunos se mostrou satisfatória, entretanto o uso insuficiente do fio dental e alta frequência de alimentação cariogênica demonstra a necessidade do cirurgião-dentista na assistência especial para promover saúde bucal inclusiva prevenindo possíveis patologias e transmitir informações em busca de uma melhor qualidade de vida a pessoa com deficiência.</w:t>
      </w:r>
    </w:p>
    <w:p w14:paraId="329697C7" w14:textId="77777777" w:rsidR="002F28E9" w:rsidRPr="00DF74B9" w:rsidRDefault="008E0726" w:rsidP="00DF74B9">
      <w:pPr>
        <w:spacing w:before="251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74B9">
        <w:rPr>
          <w:rFonts w:ascii="Arial" w:hAnsi="Arial" w:cs="Arial"/>
          <w:b/>
          <w:sz w:val="24"/>
          <w:szCs w:val="24"/>
        </w:rPr>
        <w:t xml:space="preserve">Palavras-chave: </w:t>
      </w:r>
      <w:r w:rsidR="00DF74B9" w:rsidRPr="00DF74B9">
        <w:rPr>
          <w:rFonts w:ascii="Arial" w:hAnsi="Arial" w:cs="Arial"/>
          <w:sz w:val="24"/>
          <w:szCs w:val="24"/>
        </w:rPr>
        <w:t xml:space="preserve">Educação em Saúde Bucal, </w:t>
      </w:r>
      <w:r w:rsidR="00DF74B9" w:rsidRPr="00DF74B9">
        <w:rPr>
          <w:rFonts w:ascii="Arial" w:hAnsi="Arial" w:cs="Arial"/>
          <w:color w:val="212529"/>
          <w:sz w:val="24"/>
          <w:szCs w:val="24"/>
          <w:shd w:val="clear" w:color="auto" w:fill="FFFFFF"/>
        </w:rPr>
        <w:t>Saúde da Pessoa com Deficiência, Cuidados Odontológicos</w:t>
      </w:r>
    </w:p>
    <w:p w14:paraId="56496E41" w14:textId="77777777" w:rsidR="002F28E9" w:rsidRDefault="002F28E9" w:rsidP="00DF74B9">
      <w:pPr>
        <w:pBdr>
          <w:top w:val="nil"/>
          <w:left w:val="nil"/>
          <w:bottom w:val="nil"/>
          <w:right w:val="nil"/>
          <w:between w:val="nil"/>
        </w:pBdr>
        <w:spacing w:before="218" w:line="360" w:lineRule="auto"/>
        <w:rPr>
          <w:color w:val="000000"/>
          <w:sz w:val="24"/>
          <w:szCs w:val="24"/>
        </w:rPr>
      </w:pPr>
    </w:p>
    <w:p w14:paraId="5A179FF5" w14:textId="77777777" w:rsidR="002F28E9" w:rsidRPr="00DF74B9" w:rsidRDefault="008E0726" w:rsidP="00DF74B9">
      <w:pPr>
        <w:pStyle w:val="Ttulo1"/>
        <w:spacing w:line="360" w:lineRule="auto"/>
        <w:ind w:left="0"/>
        <w:jc w:val="both"/>
        <w:rPr>
          <w:rFonts w:ascii="Arial" w:hAnsi="Arial" w:cs="Arial"/>
        </w:rPr>
      </w:pPr>
      <w:r w:rsidRPr="00DF74B9">
        <w:rPr>
          <w:rFonts w:ascii="Arial" w:hAnsi="Arial" w:cs="Arial"/>
        </w:rPr>
        <w:t>REFERÊNCIAS: (Formato Vancouver – máximo 10 referências)</w:t>
      </w:r>
    </w:p>
    <w:p w14:paraId="57606CDE" w14:textId="77777777" w:rsidR="00DF74B9" w:rsidRPr="00127AAE" w:rsidRDefault="00DF74B9" w:rsidP="00DF74B9">
      <w:pPr>
        <w:pStyle w:val="NormalWeb"/>
        <w:spacing w:before="0" w:beforeAutospacing="0" w:after="0" w:afterAutospacing="0" w:line="360" w:lineRule="auto"/>
        <w:ind w:right="849"/>
        <w:jc w:val="both"/>
        <w:rPr>
          <w:rFonts w:ascii="Arial" w:hAnsi="Arial" w:cs="Arial"/>
        </w:rPr>
      </w:pPr>
      <w:r w:rsidRPr="00127AAE">
        <w:rPr>
          <w:rFonts w:ascii="Arial" w:hAnsi="Arial" w:cs="Arial"/>
        </w:rPr>
        <w:t xml:space="preserve">1. QUEIROZ, Faldryene de Sousa; RODRIGUES, Marcella Monnara Lucas de Farias; CORDEIRO JUNIOR, Gilson Araújo; </w:t>
      </w:r>
      <w:r w:rsidRPr="00127AAE">
        <w:rPr>
          <w:rFonts w:ascii="Arial" w:hAnsi="Arial" w:cs="Arial"/>
          <w:i/>
          <w:iCs/>
        </w:rPr>
        <w:t>et al</w:t>
      </w:r>
      <w:r w:rsidRPr="00127AAE">
        <w:rPr>
          <w:rFonts w:ascii="Arial" w:hAnsi="Arial" w:cs="Arial"/>
        </w:rPr>
        <w:t xml:space="preserve">. </w:t>
      </w:r>
      <w:r w:rsidRPr="00127AAE">
        <w:rPr>
          <w:rFonts w:ascii="Arial" w:hAnsi="Arial" w:cs="Arial"/>
          <w:b/>
        </w:rPr>
        <w:t>Avaliação das condições de saúde bucal de Portadores de Necessidades Especiais</w:t>
      </w:r>
      <w:r w:rsidRPr="00127AAE">
        <w:rPr>
          <w:rFonts w:ascii="Arial" w:hAnsi="Arial" w:cs="Arial"/>
        </w:rPr>
        <w:t xml:space="preserve">. </w:t>
      </w:r>
      <w:r w:rsidRPr="00127AAE">
        <w:rPr>
          <w:rFonts w:ascii="Arial" w:hAnsi="Arial" w:cs="Arial"/>
          <w:bCs/>
        </w:rPr>
        <w:t>Revista de Odontologia da UNESP</w:t>
      </w:r>
      <w:r w:rsidRPr="00127AAE">
        <w:rPr>
          <w:rFonts w:ascii="Arial" w:hAnsi="Arial" w:cs="Arial"/>
        </w:rPr>
        <w:t xml:space="preserve">, v. 43, n. 6, p. 396–401, 2014. </w:t>
      </w:r>
      <w:hyperlink r:id="rId9" w:history="1">
        <w:r w:rsidRPr="00127AAE">
          <w:rPr>
            <w:rStyle w:val="Hyperlink"/>
            <w:rFonts w:ascii="Arial" w:hAnsi="Arial" w:cs="Arial"/>
          </w:rPr>
          <w:t>https://doi.org/10.1590/1807-2577.1013</w:t>
        </w:r>
      </w:hyperlink>
      <w:r w:rsidRPr="00127AAE">
        <w:rPr>
          <w:rFonts w:ascii="Arial" w:hAnsi="Arial" w:cs="Arial"/>
        </w:rPr>
        <w:t>.  Acesso em: 10 abr. 2024.</w:t>
      </w:r>
    </w:p>
    <w:p w14:paraId="293D6BF3" w14:textId="77777777" w:rsidR="00DF74B9" w:rsidRPr="00127AAE" w:rsidRDefault="00DF74B9" w:rsidP="00DF74B9">
      <w:pPr>
        <w:pStyle w:val="NormalWeb"/>
        <w:spacing w:before="0" w:beforeAutospacing="0" w:after="0" w:afterAutospacing="0" w:line="360" w:lineRule="auto"/>
        <w:ind w:right="849"/>
        <w:jc w:val="both"/>
        <w:rPr>
          <w:rFonts w:ascii="Arial" w:hAnsi="Arial" w:cs="Arial"/>
        </w:rPr>
      </w:pPr>
    </w:p>
    <w:p w14:paraId="346300F3" w14:textId="77777777" w:rsidR="00DF74B9" w:rsidRPr="00127AAE" w:rsidRDefault="00DF74B9" w:rsidP="00DF74B9">
      <w:pPr>
        <w:pStyle w:val="NormalWeb"/>
        <w:spacing w:before="0" w:beforeAutospacing="0" w:after="0" w:afterAutospacing="0" w:line="360" w:lineRule="auto"/>
        <w:ind w:right="849"/>
        <w:jc w:val="both"/>
        <w:rPr>
          <w:rFonts w:ascii="Arial" w:hAnsi="Arial" w:cs="Arial"/>
        </w:rPr>
      </w:pPr>
      <w:r w:rsidRPr="00127AAE">
        <w:rPr>
          <w:rFonts w:ascii="Arial" w:hAnsi="Arial" w:cs="Arial"/>
        </w:rPr>
        <w:t>2. OLIVEIRA, A.L.B.M.; GIRO, E.M.A</w:t>
      </w:r>
      <w:r w:rsidRPr="00127AAE">
        <w:rPr>
          <w:rFonts w:ascii="Arial" w:hAnsi="Arial" w:cs="Arial"/>
          <w:b/>
        </w:rPr>
        <w:t>. Importância da Abordagem Precoce no Tratamento Odontológico de Pacientes com Necessidades Especiais</w:t>
      </w:r>
      <w:r w:rsidRPr="00127AAE">
        <w:rPr>
          <w:rFonts w:ascii="Arial" w:hAnsi="Arial" w:cs="Arial"/>
        </w:rPr>
        <w:t xml:space="preserve">. </w:t>
      </w:r>
      <w:r w:rsidRPr="00127AAE">
        <w:rPr>
          <w:rFonts w:ascii="Arial" w:hAnsi="Arial" w:cs="Arial"/>
          <w:bCs/>
        </w:rPr>
        <w:t>Odonto</w:t>
      </w:r>
      <w:r w:rsidRPr="00127AAE">
        <w:rPr>
          <w:rFonts w:ascii="Arial" w:hAnsi="Arial" w:cs="Arial"/>
        </w:rPr>
        <w:t>, v. 19, n. 38, p. 45–51, 2011. Acesso em: 10 abr. 2024.</w:t>
      </w:r>
    </w:p>
    <w:p w14:paraId="5528428B" w14:textId="77777777" w:rsidR="00DF74B9" w:rsidRPr="00127AAE" w:rsidRDefault="00DF74B9" w:rsidP="00DF74B9">
      <w:pPr>
        <w:pStyle w:val="NormalWeb"/>
        <w:spacing w:before="0" w:beforeAutospacing="0" w:after="0" w:afterAutospacing="0" w:line="360" w:lineRule="auto"/>
        <w:ind w:right="849"/>
        <w:jc w:val="both"/>
        <w:rPr>
          <w:rFonts w:ascii="Arial" w:hAnsi="Arial" w:cs="Arial"/>
        </w:rPr>
      </w:pPr>
    </w:p>
    <w:p w14:paraId="222662D9" w14:textId="77777777" w:rsidR="000D3A67" w:rsidRDefault="00DF74B9" w:rsidP="00DF74B9">
      <w:pPr>
        <w:pStyle w:val="NormalWeb"/>
        <w:spacing w:before="0" w:beforeAutospacing="0" w:after="0" w:afterAutospacing="0" w:line="360" w:lineRule="auto"/>
        <w:ind w:right="849"/>
        <w:jc w:val="both"/>
        <w:rPr>
          <w:rFonts w:ascii="Arial" w:hAnsi="Arial" w:cs="Arial"/>
        </w:rPr>
      </w:pPr>
      <w:r w:rsidRPr="00127AAE">
        <w:rPr>
          <w:rFonts w:ascii="Arial" w:hAnsi="Arial" w:cs="Arial"/>
        </w:rPr>
        <w:t xml:space="preserve">3. MARRA, Pinkie. </w:t>
      </w:r>
      <w:r w:rsidRPr="00127AAE">
        <w:rPr>
          <w:rFonts w:ascii="Arial" w:hAnsi="Arial" w:cs="Arial"/>
          <w:b/>
          <w:bCs/>
        </w:rPr>
        <w:t>A saúde bucal do paciente especial e sua relação com o nível sócio-econômico dos pais</w:t>
      </w:r>
      <w:r w:rsidRPr="00127AAE">
        <w:rPr>
          <w:rFonts w:ascii="Arial" w:hAnsi="Arial" w:cs="Arial"/>
        </w:rPr>
        <w:t xml:space="preserve">. [s.l.: s.n.], 2008. Disponível </w:t>
      </w:r>
    </w:p>
    <w:p w14:paraId="779D57FC" w14:textId="77777777" w:rsidR="000D3A67" w:rsidRDefault="000D3A67" w:rsidP="00DF74B9">
      <w:pPr>
        <w:pStyle w:val="NormalWeb"/>
        <w:spacing w:before="0" w:beforeAutospacing="0" w:after="0" w:afterAutospacing="0" w:line="360" w:lineRule="auto"/>
        <w:ind w:right="849"/>
        <w:jc w:val="both"/>
        <w:rPr>
          <w:rFonts w:ascii="Arial" w:hAnsi="Arial" w:cs="Arial"/>
        </w:rPr>
      </w:pPr>
    </w:p>
    <w:p w14:paraId="02BDF896" w14:textId="77777777" w:rsidR="000D3A67" w:rsidRDefault="000D3A67" w:rsidP="00DF74B9">
      <w:pPr>
        <w:pStyle w:val="NormalWeb"/>
        <w:spacing w:before="0" w:beforeAutospacing="0" w:after="0" w:afterAutospacing="0" w:line="360" w:lineRule="auto"/>
        <w:ind w:right="849"/>
        <w:jc w:val="both"/>
        <w:rPr>
          <w:rFonts w:ascii="Arial" w:hAnsi="Arial" w:cs="Arial"/>
        </w:rPr>
      </w:pPr>
    </w:p>
    <w:p w14:paraId="048DA74A" w14:textId="6A456198" w:rsidR="00DF74B9" w:rsidRPr="00127AAE" w:rsidRDefault="00DF74B9" w:rsidP="00DF74B9">
      <w:pPr>
        <w:pStyle w:val="NormalWeb"/>
        <w:spacing w:before="0" w:beforeAutospacing="0" w:after="0" w:afterAutospacing="0" w:line="360" w:lineRule="auto"/>
        <w:ind w:right="849"/>
        <w:jc w:val="both"/>
        <w:rPr>
          <w:rFonts w:ascii="Arial" w:hAnsi="Arial" w:cs="Arial"/>
        </w:rPr>
      </w:pPr>
      <w:proofErr w:type="gramStart"/>
      <w:r w:rsidRPr="00127AAE">
        <w:rPr>
          <w:rFonts w:ascii="Arial" w:hAnsi="Arial" w:cs="Arial"/>
        </w:rPr>
        <w:t>em</w:t>
      </w:r>
      <w:proofErr w:type="gramEnd"/>
      <w:r w:rsidRPr="00127AAE">
        <w:rPr>
          <w:rFonts w:ascii="Arial" w:hAnsi="Arial" w:cs="Arial"/>
        </w:rPr>
        <w:t>: &lt;http://dx.doi.org/10.18363/rbo.v65n1.p.27&gt;. Acesso em: 10 abr. 2024.</w:t>
      </w:r>
    </w:p>
    <w:p w14:paraId="49577EB9" w14:textId="77777777" w:rsidR="00DF74B9" w:rsidRPr="00127AAE" w:rsidRDefault="00DF74B9" w:rsidP="00DF74B9">
      <w:pPr>
        <w:pStyle w:val="NormalWeb"/>
        <w:spacing w:before="0" w:beforeAutospacing="0" w:after="0" w:afterAutospacing="0" w:line="360" w:lineRule="auto"/>
        <w:ind w:right="849"/>
        <w:jc w:val="both"/>
        <w:rPr>
          <w:rFonts w:ascii="Arial" w:hAnsi="Arial" w:cs="Arial"/>
        </w:rPr>
      </w:pPr>
    </w:p>
    <w:p w14:paraId="3CA56BEE" w14:textId="77777777" w:rsidR="00DF74B9" w:rsidRPr="0000151B" w:rsidRDefault="00DF74B9" w:rsidP="00DF74B9">
      <w:pPr>
        <w:pStyle w:val="NormalWeb"/>
        <w:spacing w:before="0" w:beforeAutospacing="0" w:after="0" w:afterAutospacing="0" w:line="360" w:lineRule="auto"/>
        <w:ind w:right="849"/>
        <w:jc w:val="both"/>
        <w:rPr>
          <w:rFonts w:ascii="Arial" w:hAnsi="Arial" w:cs="Arial"/>
          <w:color w:val="222222"/>
        </w:rPr>
      </w:pPr>
      <w:r w:rsidRPr="00127AAE">
        <w:rPr>
          <w:rFonts w:ascii="Arial" w:hAnsi="Arial" w:cs="Arial"/>
        </w:rPr>
        <w:t>4.</w:t>
      </w:r>
      <w:r w:rsidRPr="00127AAE">
        <w:rPr>
          <w:rFonts w:ascii="Arial" w:hAnsi="Arial" w:cs="Arial"/>
          <w:color w:val="222222"/>
          <w:sz w:val="16"/>
          <w:szCs w:val="16"/>
        </w:rPr>
        <w:t xml:space="preserve"> </w:t>
      </w:r>
      <w:r w:rsidRPr="00127AAE">
        <w:rPr>
          <w:rFonts w:ascii="Arial" w:hAnsi="Arial" w:cs="Arial"/>
          <w:color w:val="222222"/>
        </w:rPr>
        <w:t xml:space="preserve">SILVA DOS SANTOS, J. J..; VASCONCELOS CARNEIRO, S.. </w:t>
      </w:r>
      <w:r w:rsidRPr="00127AAE">
        <w:rPr>
          <w:rFonts w:ascii="Arial" w:hAnsi="Arial" w:cs="Arial"/>
          <w:b/>
          <w:color w:val="222222"/>
        </w:rPr>
        <w:t>Saúde bucal de pacientes com necessidades especiais em Aracati-CE</w:t>
      </w:r>
      <w:r w:rsidRPr="00127AAE">
        <w:rPr>
          <w:rFonts w:ascii="Arial" w:hAnsi="Arial" w:cs="Arial"/>
          <w:color w:val="222222"/>
        </w:rPr>
        <w:t>. </w:t>
      </w:r>
      <w:r w:rsidRPr="00127AAE">
        <w:rPr>
          <w:rFonts w:ascii="Arial" w:hAnsi="Arial" w:cs="Arial"/>
          <w:bCs/>
          <w:color w:val="222222"/>
        </w:rPr>
        <w:t xml:space="preserve">Revista </w:t>
      </w:r>
      <w:proofErr w:type="spellStart"/>
      <w:r w:rsidRPr="00127AAE">
        <w:rPr>
          <w:rFonts w:ascii="Arial" w:hAnsi="Arial" w:cs="Arial"/>
          <w:bCs/>
          <w:color w:val="222222"/>
        </w:rPr>
        <w:t>Remecs</w:t>
      </w:r>
      <w:proofErr w:type="spellEnd"/>
      <w:r w:rsidRPr="00127AAE">
        <w:rPr>
          <w:rFonts w:ascii="Arial" w:hAnsi="Arial" w:cs="Arial"/>
          <w:bCs/>
          <w:color w:val="222222"/>
        </w:rPr>
        <w:t xml:space="preserve"> - Revista Multidisciplinar de Estudos Cientí</w:t>
      </w:r>
      <w:r w:rsidRPr="00127AAE">
        <w:rPr>
          <w:rFonts w:ascii="Arial" w:hAnsi="Arial" w:cs="Arial"/>
          <w:bCs/>
          <w:color w:val="222222"/>
        </w:rPr>
        <w:softHyphen/>
        <w:t>ficos em Saúde</w:t>
      </w:r>
      <w:r w:rsidRPr="00127AAE">
        <w:rPr>
          <w:rFonts w:ascii="Arial" w:hAnsi="Arial" w:cs="Arial"/>
          <w:color w:val="222222"/>
        </w:rPr>
        <w:t>, </w:t>
      </w:r>
      <w:r w:rsidRPr="00127AAE">
        <w:rPr>
          <w:rFonts w:ascii="Arial" w:hAnsi="Arial" w:cs="Arial"/>
          <w:i/>
          <w:iCs/>
          <w:color w:val="222222"/>
        </w:rPr>
        <w:t>[S. l.]</w:t>
      </w:r>
      <w:r w:rsidRPr="00127AAE">
        <w:rPr>
          <w:rFonts w:ascii="Arial" w:hAnsi="Arial" w:cs="Arial"/>
          <w:color w:val="222222"/>
        </w:rPr>
        <w:t>, v. 4, n. 6, p. 35–46, 2019. DOI: 10.24281/rremecs2526-2874.2019.4.6.35-46. Disponível em: https://www.revistaremecs.recien.com.br/index.php/remecs/article/view/36. Acesso em: 10 abr. 2024.</w:t>
      </w:r>
    </w:p>
    <w:p w14:paraId="312A5271" w14:textId="77777777" w:rsidR="00DF74B9" w:rsidRPr="00127AAE" w:rsidRDefault="00DF74B9" w:rsidP="00DF74B9">
      <w:pPr>
        <w:pStyle w:val="NormalWeb"/>
        <w:spacing w:before="0" w:beforeAutospacing="0" w:after="0" w:afterAutospacing="0" w:line="360" w:lineRule="auto"/>
        <w:ind w:right="849"/>
        <w:jc w:val="both"/>
        <w:rPr>
          <w:rFonts w:ascii="Arial" w:hAnsi="Arial" w:cs="Arial"/>
          <w:color w:val="222222"/>
        </w:rPr>
      </w:pPr>
      <w:r w:rsidRPr="00127AAE">
        <w:rPr>
          <w:rFonts w:ascii="Arial" w:hAnsi="Arial" w:cs="Arial"/>
        </w:rPr>
        <w:t xml:space="preserve">5. DRAWANZ, Andreia; FREIRE DA, </w:t>
      </w:r>
      <w:proofErr w:type="spellStart"/>
      <w:r w:rsidRPr="00127AAE">
        <w:rPr>
          <w:rFonts w:ascii="Arial" w:hAnsi="Arial" w:cs="Arial"/>
        </w:rPr>
        <w:t>Ivam</w:t>
      </w:r>
      <w:proofErr w:type="spellEnd"/>
      <w:r w:rsidRPr="00127AAE">
        <w:rPr>
          <w:rFonts w:ascii="Arial" w:hAnsi="Arial" w:cs="Arial"/>
        </w:rPr>
        <w:t xml:space="preserve">; JÚNIOR, Silva; </w:t>
      </w:r>
      <w:r w:rsidRPr="00127AAE">
        <w:rPr>
          <w:rFonts w:ascii="Arial" w:hAnsi="Arial" w:cs="Arial"/>
          <w:i/>
          <w:iCs/>
        </w:rPr>
        <w:t>et al</w:t>
      </w:r>
      <w:r w:rsidRPr="00127AAE">
        <w:rPr>
          <w:rFonts w:ascii="Arial" w:hAnsi="Arial" w:cs="Arial"/>
        </w:rPr>
        <w:t xml:space="preserve">. </w:t>
      </w:r>
      <w:r w:rsidRPr="00127AAE">
        <w:rPr>
          <w:rFonts w:ascii="Arial" w:hAnsi="Arial" w:cs="Arial"/>
          <w:b/>
          <w:bCs/>
        </w:rPr>
        <w:t>Recursos e técnicas para a higiene bucal de pacientes com necessidades especiais</w:t>
      </w:r>
      <w:r w:rsidRPr="00127AAE">
        <w:rPr>
          <w:rFonts w:ascii="Arial" w:hAnsi="Arial" w:cs="Arial"/>
        </w:rPr>
        <w:t xml:space="preserve">. [s.l.: s.n.],v.4, n.3, 2015. </w:t>
      </w:r>
      <w:r w:rsidRPr="00127AAE">
        <w:rPr>
          <w:rFonts w:ascii="Arial" w:hAnsi="Arial" w:cs="Arial"/>
          <w:color w:val="222222"/>
        </w:rPr>
        <w:t>Acesso em: 10 abr. 2024.</w:t>
      </w:r>
    </w:p>
    <w:p w14:paraId="3FA98FBE" w14:textId="77777777" w:rsidR="00DF74B9" w:rsidRPr="00127AAE" w:rsidRDefault="00DF74B9" w:rsidP="00DF74B9">
      <w:pPr>
        <w:pStyle w:val="NormalWeb"/>
        <w:spacing w:before="0" w:beforeAutospacing="0" w:after="0" w:afterAutospacing="0" w:line="360" w:lineRule="auto"/>
        <w:ind w:right="849"/>
        <w:jc w:val="both"/>
        <w:rPr>
          <w:rFonts w:ascii="Arial" w:hAnsi="Arial" w:cs="Arial"/>
        </w:rPr>
      </w:pPr>
    </w:p>
    <w:p w14:paraId="66FC4BEE" w14:textId="77777777" w:rsidR="00DF74B9" w:rsidRPr="00127AAE" w:rsidRDefault="00DF74B9" w:rsidP="00DF74B9">
      <w:pPr>
        <w:pStyle w:val="NormalWeb"/>
        <w:spacing w:before="0" w:beforeAutospacing="0" w:after="0" w:afterAutospacing="0" w:line="360" w:lineRule="auto"/>
        <w:ind w:right="849"/>
        <w:jc w:val="both"/>
        <w:rPr>
          <w:rFonts w:ascii="Arial" w:hAnsi="Arial" w:cs="Arial"/>
          <w:color w:val="222222"/>
        </w:rPr>
      </w:pPr>
      <w:r w:rsidRPr="00127AAE">
        <w:rPr>
          <w:rFonts w:ascii="Arial" w:hAnsi="Arial" w:cs="Arial"/>
        </w:rPr>
        <w:t xml:space="preserve">6. PINI, Danielle de Moraes; FRÖHLICH, Paula Cristina Gil </w:t>
      </w:r>
      <w:proofErr w:type="spellStart"/>
      <w:r w:rsidRPr="00127AAE">
        <w:rPr>
          <w:rFonts w:ascii="Arial" w:hAnsi="Arial" w:cs="Arial"/>
        </w:rPr>
        <w:t>Ritter</w:t>
      </w:r>
      <w:proofErr w:type="spellEnd"/>
      <w:r w:rsidRPr="00127AAE">
        <w:rPr>
          <w:rFonts w:ascii="Arial" w:hAnsi="Arial" w:cs="Arial"/>
        </w:rPr>
        <w:t xml:space="preserve"> ; RIGO, Lilian. Oral health </w:t>
      </w:r>
      <w:proofErr w:type="spellStart"/>
      <w:r w:rsidRPr="00127AAE">
        <w:rPr>
          <w:rFonts w:ascii="Arial" w:hAnsi="Arial" w:cs="Arial"/>
        </w:rPr>
        <w:t>evaluation</w:t>
      </w:r>
      <w:proofErr w:type="spellEnd"/>
      <w:r w:rsidRPr="00127AAE">
        <w:rPr>
          <w:rFonts w:ascii="Arial" w:hAnsi="Arial" w:cs="Arial"/>
        </w:rPr>
        <w:t xml:space="preserve"> in special </w:t>
      </w:r>
      <w:proofErr w:type="spellStart"/>
      <w:r w:rsidRPr="00127AAE">
        <w:rPr>
          <w:rFonts w:ascii="Arial" w:hAnsi="Arial" w:cs="Arial"/>
        </w:rPr>
        <w:t>needs</w:t>
      </w:r>
      <w:proofErr w:type="spellEnd"/>
      <w:r w:rsidRPr="00127AAE">
        <w:rPr>
          <w:rFonts w:ascii="Arial" w:hAnsi="Arial" w:cs="Arial"/>
        </w:rPr>
        <w:t xml:space="preserve"> </w:t>
      </w:r>
      <w:proofErr w:type="spellStart"/>
      <w:r w:rsidRPr="00127AAE">
        <w:rPr>
          <w:rFonts w:ascii="Arial" w:hAnsi="Arial" w:cs="Arial"/>
        </w:rPr>
        <w:t>individuals</w:t>
      </w:r>
      <w:proofErr w:type="spellEnd"/>
      <w:r w:rsidRPr="00127AAE">
        <w:rPr>
          <w:rFonts w:ascii="Arial" w:hAnsi="Arial" w:cs="Arial"/>
        </w:rPr>
        <w:t xml:space="preserve">. </w:t>
      </w:r>
      <w:r w:rsidRPr="00127AAE">
        <w:rPr>
          <w:rFonts w:ascii="Arial" w:hAnsi="Arial" w:cs="Arial"/>
          <w:b/>
          <w:bCs/>
        </w:rPr>
        <w:t>Einstein (São Paulo)</w:t>
      </w:r>
      <w:r w:rsidRPr="00127AAE">
        <w:rPr>
          <w:rFonts w:ascii="Arial" w:hAnsi="Arial" w:cs="Arial"/>
        </w:rPr>
        <w:t xml:space="preserve">, v. 14, n. 4, p. 501–507, 2016. </w:t>
      </w:r>
      <w:r w:rsidRPr="00127AAE">
        <w:rPr>
          <w:rFonts w:ascii="Arial" w:hAnsi="Arial" w:cs="Arial"/>
          <w:color w:val="222222"/>
        </w:rPr>
        <w:t>Acesso em: 10 abr. 2024.</w:t>
      </w:r>
    </w:p>
    <w:p w14:paraId="77F9D67A" w14:textId="77777777" w:rsidR="00DF74B9" w:rsidRPr="00127AAE" w:rsidRDefault="00DF74B9" w:rsidP="00DF74B9">
      <w:pPr>
        <w:pStyle w:val="NormalWeb"/>
        <w:spacing w:before="0" w:beforeAutospacing="0" w:after="0" w:afterAutospacing="0" w:line="360" w:lineRule="auto"/>
        <w:ind w:right="849"/>
        <w:jc w:val="both"/>
        <w:rPr>
          <w:rFonts w:ascii="Arial" w:hAnsi="Arial" w:cs="Arial"/>
          <w:color w:val="222222"/>
        </w:rPr>
      </w:pPr>
    </w:p>
    <w:p w14:paraId="46A61189" w14:textId="77777777" w:rsidR="00DF74B9" w:rsidRPr="00127AAE" w:rsidRDefault="00DF74B9" w:rsidP="00DF74B9">
      <w:pPr>
        <w:pStyle w:val="NormalWeb"/>
        <w:spacing w:before="0" w:beforeAutospacing="0" w:after="0" w:afterAutospacing="0" w:line="360" w:lineRule="auto"/>
        <w:ind w:right="849"/>
        <w:jc w:val="both"/>
        <w:rPr>
          <w:rFonts w:ascii="Arial" w:hAnsi="Arial" w:cs="Arial"/>
          <w:color w:val="222222"/>
        </w:rPr>
      </w:pPr>
      <w:r w:rsidRPr="00127AAE">
        <w:rPr>
          <w:rFonts w:ascii="Arial" w:hAnsi="Arial" w:cs="Arial"/>
          <w:color w:val="222222"/>
        </w:rPr>
        <w:t>7.</w:t>
      </w:r>
      <w:r w:rsidRPr="00127AAE">
        <w:rPr>
          <w:rFonts w:ascii="Arial" w:hAnsi="Arial" w:cs="Arial"/>
        </w:rPr>
        <w:t xml:space="preserve"> PEDRO, João; GUIMARÃES, Silva; DOS, Eliana; </w:t>
      </w:r>
      <w:r w:rsidRPr="00127AAE">
        <w:rPr>
          <w:rFonts w:ascii="Arial" w:hAnsi="Arial" w:cs="Arial"/>
          <w:i/>
          <w:iCs/>
        </w:rPr>
        <w:t>et al</w:t>
      </w:r>
      <w:r w:rsidRPr="00127AAE">
        <w:rPr>
          <w:rFonts w:ascii="Arial" w:hAnsi="Arial" w:cs="Arial"/>
        </w:rPr>
        <w:t xml:space="preserve">. JNT-FACIT BUSINESS AND TECHNOLOGY JOURNAL -ISSN: 2526-4281 QUALIS B1 https://www.google.com/url?sa=i&amp;url=http </w:t>
      </w:r>
      <w:r w:rsidRPr="00127AAE">
        <w:rPr>
          <w:rFonts w:ascii="Arial" w:hAnsi="Arial" w:cs="Arial"/>
          <w:b/>
        </w:rPr>
        <w:t>educação em saúde bucal direcionada a pessoas com necessidades especiais</w:t>
      </w:r>
      <w:r w:rsidRPr="00127AAE">
        <w:rPr>
          <w:rFonts w:ascii="Arial" w:hAnsi="Arial" w:cs="Arial"/>
        </w:rPr>
        <w:t xml:space="preserve">. Facit business and technology jornal. </w:t>
      </w:r>
      <w:r w:rsidRPr="00127AAE">
        <w:rPr>
          <w:rFonts w:ascii="Arial" w:hAnsi="Arial" w:cs="Arial"/>
          <w:bCs/>
        </w:rPr>
        <w:t>Outubro -Ed</w:t>
      </w:r>
      <w:r w:rsidRPr="00127AAE">
        <w:rPr>
          <w:rFonts w:ascii="Arial" w:hAnsi="Arial" w:cs="Arial"/>
        </w:rPr>
        <w:t>, v. 3, n. 19, p. 52–62, 2020.</w:t>
      </w:r>
      <w:r w:rsidRPr="00127AAE">
        <w:rPr>
          <w:rFonts w:ascii="Arial" w:hAnsi="Arial" w:cs="Arial"/>
          <w:color w:val="222222"/>
        </w:rPr>
        <w:t xml:space="preserve"> Acesso em: 10 abr. 2024.</w:t>
      </w:r>
    </w:p>
    <w:p w14:paraId="6BFBA157" w14:textId="77777777" w:rsidR="00DF74B9" w:rsidRDefault="00DF74B9" w:rsidP="00DF74B9">
      <w:pPr>
        <w:pStyle w:val="NormalWeb"/>
        <w:spacing w:before="0" w:beforeAutospacing="0" w:after="0" w:afterAutospacing="0" w:line="360" w:lineRule="auto"/>
        <w:ind w:right="849"/>
        <w:jc w:val="both"/>
        <w:rPr>
          <w:rFonts w:ascii="Arial" w:hAnsi="Arial" w:cs="Arial"/>
        </w:rPr>
      </w:pPr>
      <w:r w:rsidRPr="00127AAE">
        <w:rPr>
          <w:rFonts w:ascii="Arial" w:hAnsi="Arial" w:cs="Arial"/>
        </w:rPr>
        <w:t>8.</w:t>
      </w:r>
      <w:r w:rsidRPr="00EB0C1E">
        <w:t xml:space="preserve"> </w:t>
      </w:r>
      <w:r w:rsidRPr="00EB0C1E">
        <w:rPr>
          <w:rFonts w:ascii="Arial" w:hAnsi="Arial" w:cs="Arial"/>
        </w:rPr>
        <w:t>CMEE-Complexo Municipal de Educação Especial “André Vidal de Araújo” (</w:t>
      </w:r>
      <w:proofErr w:type="spellStart"/>
      <w:r w:rsidRPr="00EB0C1E">
        <w:rPr>
          <w:rFonts w:ascii="Arial" w:hAnsi="Arial" w:cs="Arial"/>
        </w:rPr>
        <w:t>Semed</w:t>
      </w:r>
      <w:proofErr w:type="spellEnd"/>
      <w:r w:rsidRPr="00EB0C1E">
        <w:rPr>
          <w:rFonts w:ascii="Arial" w:hAnsi="Arial" w:cs="Arial"/>
        </w:rPr>
        <w:t xml:space="preserve"> de Manaus-</w:t>
      </w:r>
      <w:proofErr w:type="spellStart"/>
      <w:r w:rsidRPr="00EB0C1E">
        <w:rPr>
          <w:rFonts w:ascii="Arial" w:hAnsi="Arial" w:cs="Arial"/>
        </w:rPr>
        <w:t>Am</w:t>
      </w:r>
      <w:proofErr w:type="spellEnd"/>
      <w:r w:rsidRPr="00EB0C1E">
        <w:rPr>
          <w:rFonts w:ascii="Arial" w:hAnsi="Arial" w:cs="Arial"/>
        </w:rPr>
        <w:t xml:space="preserve"> )</w:t>
      </w:r>
      <w:r>
        <w:rPr>
          <w:rFonts w:ascii="Arial" w:hAnsi="Arial" w:cs="Arial"/>
        </w:rPr>
        <w:t>. Autismo no Amazonas,2010. Disponível em:</w:t>
      </w:r>
      <w:r w:rsidRPr="00127AAE">
        <w:rPr>
          <w:rFonts w:ascii="Arial" w:hAnsi="Arial" w:cs="Arial"/>
        </w:rPr>
        <w:t xml:space="preserve"> </w:t>
      </w:r>
      <w:hyperlink r:id="rId10" w:history="1">
        <w:r w:rsidRPr="00EB0C1E">
          <w:rPr>
            <w:rFonts w:ascii="Arial" w:hAnsi="Arial" w:cs="Arial"/>
            <w:u w:val="single"/>
          </w:rPr>
          <w:t>https://escolas.com.br/escola-municipal-educ-especial-andre-vidal-de-araujo-13117602</w:t>
        </w:r>
      </w:hyperlink>
      <w:r w:rsidRPr="00EB0C1E">
        <w:rPr>
          <w:rStyle w:val="Hyperlink"/>
          <w:rFonts w:ascii="Arial" w:hAnsi="Arial" w:cs="Arial"/>
        </w:rPr>
        <w:t>.</w:t>
      </w:r>
      <w:r>
        <w:rPr>
          <w:rStyle w:val="Hyperlink"/>
          <w:rFonts w:ascii="Arial" w:hAnsi="Arial" w:cs="Arial"/>
        </w:rPr>
        <w:t xml:space="preserve"> </w:t>
      </w:r>
      <w:r w:rsidRPr="00127AAE">
        <w:rPr>
          <w:rFonts w:ascii="Arial" w:hAnsi="Arial" w:cs="Arial"/>
        </w:rPr>
        <w:t>Acesso em: 12 abr.2024</w:t>
      </w:r>
    </w:p>
    <w:p w14:paraId="2F696803" w14:textId="77777777" w:rsidR="00DF74B9" w:rsidRPr="00127AAE" w:rsidRDefault="00DF74B9" w:rsidP="00DF74B9">
      <w:pPr>
        <w:pStyle w:val="NormalWeb"/>
        <w:spacing w:before="0" w:beforeAutospacing="0" w:after="0" w:afterAutospacing="0" w:line="360" w:lineRule="auto"/>
        <w:ind w:right="849"/>
        <w:jc w:val="both"/>
        <w:rPr>
          <w:rFonts w:ascii="Arial" w:hAnsi="Arial" w:cs="Arial"/>
        </w:rPr>
      </w:pPr>
    </w:p>
    <w:p w14:paraId="1F6866F3" w14:textId="77777777" w:rsidR="000D3A67" w:rsidRDefault="000D3A67" w:rsidP="00DF74B9">
      <w:pPr>
        <w:pStyle w:val="NormalWeb"/>
        <w:spacing w:before="0" w:beforeAutospacing="0" w:after="0" w:afterAutospacing="0" w:line="360" w:lineRule="auto"/>
        <w:ind w:right="849"/>
        <w:jc w:val="both"/>
        <w:rPr>
          <w:rFonts w:ascii="Arial" w:hAnsi="Arial" w:cs="Arial"/>
        </w:rPr>
      </w:pPr>
    </w:p>
    <w:p w14:paraId="20EAEADE" w14:textId="77777777" w:rsidR="000D3A67" w:rsidRDefault="000D3A67" w:rsidP="00DF74B9">
      <w:pPr>
        <w:pStyle w:val="NormalWeb"/>
        <w:spacing w:before="0" w:beforeAutospacing="0" w:after="0" w:afterAutospacing="0" w:line="360" w:lineRule="auto"/>
        <w:ind w:right="849"/>
        <w:jc w:val="both"/>
        <w:rPr>
          <w:rFonts w:ascii="Arial" w:hAnsi="Arial" w:cs="Arial"/>
        </w:rPr>
      </w:pPr>
    </w:p>
    <w:p w14:paraId="79C81A05" w14:textId="034248AE" w:rsidR="00DF74B9" w:rsidRPr="00127AAE" w:rsidRDefault="00DF74B9" w:rsidP="00DF74B9">
      <w:pPr>
        <w:pStyle w:val="NormalWeb"/>
        <w:spacing w:before="0" w:beforeAutospacing="0" w:after="0" w:afterAutospacing="0" w:line="360" w:lineRule="auto"/>
        <w:ind w:right="849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9</w:t>
      </w:r>
      <w:r w:rsidRPr="00127AAE">
        <w:rPr>
          <w:rFonts w:ascii="Arial" w:hAnsi="Arial" w:cs="Arial"/>
        </w:rPr>
        <w:t xml:space="preserve">. MONTE, Juliana Vera do; SILVA, </w:t>
      </w:r>
      <w:proofErr w:type="spellStart"/>
      <w:r w:rsidRPr="00127AAE">
        <w:rPr>
          <w:rFonts w:ascii="Arial" w:hAnsi="Arial" w:cs="Arial"/>
        </w:rPr>
        <w:t>Myllena</w:t>
      </w:r>
      <w:proofErr w:type="spellEnd"/>
      <w:r w:rsidRPr="00127AAE">
        <w:rPr>
          <w:rFonts w:ascii="Arial" w:hAnsi="Arial" w:cs="Arial"/>
        </w:rPr>
        <w:t xml:space="preserve"> </w:t>
      </w:r>
      <w:proofErr w:type="spellStart"/>
      <w:r w:rsidRPr="00127AAE">
        <w:rPr>
          <w:rFonts w:ascii="Arial" w:hAnsi="Arial" w:cs="Arial"/>
        </w:rPr>
        <w:t>Domiciano</w:t>
      </w:r>
      <w:proofErr w:type="spellEnd"/>
      <w:r w:rsidRPr="00127AAE">
        <w:rPr>
          <w:rFonts w:ascii="Arial" w:hAnsi="Arial" w:cs="Arial"/>
        </w:rPr>
        <w:t xml:space="preserve">; REIS, </w:t>
      </w:r>
      <w:proofErr w:type="spellStart"/>
      <w:r w:rsidRPr="00127AAE">
        <w:rPr>
          <w:rFonts w:ascii="Arial" w:hAnsi="Arial" w:cs="Arial"/>
        </w:rPr>
        <w:t>Lourena</w:t>
      </w:r>
      <w:proofErr w:type="spellEnd"/>
      <w:r w:rsidRPr="00127AAE">
        <w:rPr>
          <w:rFonts w:ascii="Arial" w:hAnsi="Arial" w:cs="Arial"/>
        </w:rPr>
        <w:t xml:space="preserve"> </w:t>
      </w:r>
      <w:proofErr w:type="spellStart"/>
      <w:r w:rsidRPr="00127AAE">
        <w:rPr>
          <w:rFonts w:ascii="Arial" w:hAnsi="Arial" w:cs="Arial"/>
        </w:rPr>
        <w:t>Kathlyn</w:t>
      </w:r>
      <w:proofErr w:type="spellEnd"/>
      <w:r w:rsidRPr="00127AAE">
        <w:rPr>
          <w:rFonts w:ascii="Arial" w:hAnsi="Arial" w:cs="Arial"/>
        </w:rPr>
        <w:t xml:space="preserve"> Ferreira; et al. </w:t>
      </w:r>
      <w:r w:rsidRPr="00127AAE">
        <w:rPr>
          <w:rFonts w:ascii="Arial" w:hAnsi="Arial" w:cs="Arial"/>
          <w:b/>
        </w:rPr>
        <w:t xml:space="preserve">Avaliação das condições de Saúde Bucal das crianças e adolescentes do Lar Batista F.F. </w:t>
      </w:r>
      <w:proofErr w:type="spellStart"/>
      <w:r w:rsidRPr="00127AAE">
        <w:rPr>
          <w:rFonts w:ascii="Arial" w:hAnsi="Arial" w:cs="Arial"/>
          <w:b/>
        </w:rPr>
        <w:t>Soren</w:t>
      </w:r>
      <w:proofErr w:type="spellEnd"/>
      <w:r w:rsidRPr="00127AAE">
        <w:rPr>
          <w:rFonts w:ascii="Arial" w:hAnsi="Arial" w:cs="Arial"/>
          <w:b/>
        </w:rPr>
        <w:t xml:space="preserve"> e a percepção dos cuidadores acerca das orientações de higiene oral</w:t>
      </w:r>
      <w:r w:rsidRPr="00127AAE">
        <w:rPr>
          <w:rFonts w:ascii="Arial" w:hAnsi="Arial" w:cs="Arial"/>
        </w:rPr>
        <w:t xml:space="preserve">. Research, </w:t>
      </w:r>
      <w:proofErr w:type="spellStart"/>
      <w:r w:rsidRPr="00127AAE">
        <w:rPr>
          <w:rFonts w:ascii="Arial" w:hAnsi="Arial" w:cs="Arial"/>
        </w:rPr>
        <w:t>Society</w:t>
      </w:r>
      <w:proofErr w:type="spellEnd"/>
      <w:r w:rsidRPr="00127AAE">
        <w:rPr>
          <w:rFonts w:ascii="Arial" w:hAnsi="Arial" w:cs="Arial"/>
        </w:rPr>
        <w:t xml:space="preserve"> and Development, v. 11, n. 15, p. e227111537067, 2022. Acesso em: 12 abr.2024</w:t>
      </w:r>
    </w:p>
    <w:p w14:paraId="0C9B3758" w14:textId="77777777" w:rsidR="00DF74B9" w:rsidRPr="0003019A" w:rsidRDefault="00DF74B9" w:rsidP="00DF74B9">
      <w:pPr>
        <w:spacing w:line="360" w:lineRule="auto"/>
        <w:ind w:right="849"/>
        <w:jc w:val="both"/>
        <w:rPr>
          <w:rFonts w:ascii="Arial" w:hAnsi="Arial" w:cs="Arial"/>
        </w:rPr>
      </w:pPr>
    </w:p>
    <w:p w14:paraId="39A6D24F" w14:textId="77777777" w:rsidR="002F28E9" w:rsidRDefault="002F28E9" w:rsidP="00DF74B9">
      <w:p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spacing w:before="243" w:line="360" w:lineRule="auto"/>
        <w:rPr>
          <w:color w:val="000000"/>
        </w:rPr>
      </w:pPr>
    </w:p>
    <w:sectPr w:rsidR="002F28E9" w:rsidSect="00326231">
      <w:headerReference w:type="default" r:id="rId11"/>
      <w:footerReference w:type="default" r:id="rId12"/>
      <w:pgSz w:w="11920" w:h="16860"/>
      <w:pgMar w:top="1417" w:right="1701" w:bottom="1417" w:left="1701" w:header="0" w:footer="193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D929A" w14:textId="77777777" w:rsidR="00874744" w:rsidRDefault="00874744">
      <w:r>
        <w:separator/>
      </w:r>
    </w:p>
  </w:endnote>
  <w:endnote w:type="continuationSeparator" w:id="0">
    <w:p w14:paraId="3B526E7B" w14:textId="77777777" w:rsidR="00874744" w:rsidRDefault="0087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3B58D" w14:textId="77777777" w:rsidR="002F28E9" w:rsidRDefault="008E072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0AEC72BB" wp14:editId="2BFA33D2">
              <wp:simplePos x="0" y="0"/>
              <wp:positionH relativeFrom="column">
                <wp:posOffset>-838199</wp:posOffset>
              </wp:positionH>
              <wp:positionV relativeFrom="paragraph">
                <wp:posOffset>0</wp:posOffset>
              </wp:positionV>
              <wp:extent cx="6951980" cy="1337310"/>
              <wp:effectExtent l="0" t="0" r="0" b="0"/>
              <wp:wrapNone/>
              <wp:docPr id="5" name="Agrupa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Forma Livre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orma Livre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-838199</wp:posOffset>
              </wp:positionH>
              <wp:positionV relativeFrom="paragraph">
                <wp:posOffset>0</wp:posOffset>
              </wp:positionV>
              <wp:extent cx="6951980" cy="1337310"/>
              <wp:effectExtent b="0" l="0" r="0" t="0"/>
              <wp:wrapNone/>
              <wp:docPr id="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51980" cy="13373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C8AE5" w14:textId="77777777" w:rsidR="00874744" w:rsidRDefault="00874744">
      <w:r>
        <w:separator/>
      </w:r>
    </w:p>
  </w:footnote>
  <w:footnote w:type="continuationSeparator" w:id="0">
    <w:p w14:paraId="214A2E43" w14:textId="77777777" w:rsidR="00874744" w:rsidRDefault="00874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2AD81" w14:textId="77777777" w:rsidR="002F28E9" w:rsidRDefault="008E072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  <w:lang w:val="pt-BR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C9B55D7" wp14:editId="1E38FA7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1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b="0" l="0" r="0" t="0"/>
              <wp:wrapNone/>
              <wp:docPr id="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8565" cy="1314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63651"/>
    <w:multiLevelType w:val="multilevel"/>
    <w:tmpl w:val="F71C947A"/>
    <w:lvl w:ilvl="0">
      <w:start w:val="1"/>
      <w:numFmt w:val="decimal"/>
      <w:lvlText w:val="%1."/>
      <w:lvlJc w:val="left"/>
      <w:pPr>
        <w:ind w:left="1238" w:hanging="245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133" w:hanging="245"/>
      </w:pPr>
    </w:lvl>
    <w:lvl w:ilvl="2">
      <w:numFmt w:val="bullet"/>
      <w:lvlText w:val="•"/>
      <w:lvlJc w:val="left"/>
      <w:pPr>
        <w:ind w:left="3023" w:hanging="245"/>
      </w:pPr>
    </w:lvl>
    <w:lvl w:ilvl="3">
      <w:numFmt w:val="bullet"/>
      <w:lvlText w:val="•"/>
      <w:lvlJc w:val="left"/>
      <w:pPr>
        <w:ind w:left="3913" w:hanging="245"/>
      </w:pPr>
    </w:lvl>
    <w:lvl w:ilvl="4">
      <w:numFmt w:val="bullet"/>
      <w:lvlText w:val="•"/>
      <w:lvlJc w:val="left"/>
      <w:pPr>
        <w:ind w:left="4803" w:hanging="245"/>
      </w:pPr>
    </w:lvl>
    <w:lvl w:ilvl="5">
      <w:numFmt w:val="bullet"/>
      <w:lvlText w:val="•"/>
      <w:lvlJc w:val="left"/>
      <w:pPr>
        <w:ind w:left="5693" w:hanging="245"/>
      </w:pPr>
    </w:lvl>
    <w:lvl w:ilvl="6">
      <w:numFmt w:val="bullet"/>
      <w:lvlText w:val="•"/>
      <w:lvlJc w:val="left"/>
      <w:pPr>
        <w:ind w:left="6583" w:hanging="245"/>
      </w:pPr>
    </w:lvl>
    <w:lvl w:ilvl="7">
      <w:numFmt w:val="bullet"/>
      <w:lvlText w:val="•"/>
      <w:lvlJc w:val="left"/>
      <w:pPr>
        <w:ind w:left="7472" w:hanging="245"/>
      </w:pPr>
    </w:lvl>
    <w:lvl w:ilvl="8">
      <w:numFmt w:val="bullet"/>
      <w:lvlText w:val="•"/>
      <w:lvlJc w:val="left"/>
      <w:pPr>
        <w:ind w:left="8362" w:hanging="24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E9"/>
    <w:rsid w:val="000D3A67"/>
    <w:rsid w:val="002F28E9"/>
    <w:rsid w:val="00326231"/>
    <w:rsid w:val="00373EE8"/>
    <w:rsid w:val="00874744"/>
    <w:rsid w:val="008E0726"/>
    <w:rsid w:val="00A24E3C"/>
    <w:rsid w:val="00AC1993"/>
    <w:rsid w:val="00DF74B9"/>
    <w:rsid w:val="00F1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755F"/>
  <w15:docId w15:val="{74969183-17EE-40CD-91AF-7F0EB008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46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DF74B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DF74B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F74B9"/>
    <w:pPr>
      <w:widowControl/>
      <w:spacing w:before="100" w:beforeAutospacing="1" w:after="100" w:afterAutospacing="1"/>
    </w:pPr>
    <w:rPr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ibeiro@uea.edu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j.odo21@uea.edu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scolas.com.br/escola-municipal-educ-especial-andre-vidal-de-araujo-131176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590/1807-2577.1013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Relationship Id="rId5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825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2</cp:revision>
  <dcterms:created xsi:type="dcterms:W3CDTF">2024-11-12T00:26:00Z</dcterms:created>
  <dcterms:modified xsi:type="dcterms:W3CDTF">2024-11-12T00:26:00Z</dcterms:modified>
</cp:coreProperties>
</file>