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794C" w14:textId="77777777" w:rsidR="00D90E28" w:rsidRDefault="00D90E28">
      <w:pPr>
        <w:rPr>
          <w:rFonts w:ascii="Century Gothic" w:eastAsia="Century Gothic" w:hAnsi="Century Gothic" w:cs="Century Gothic"/>
          <w:color w:val="000000"/>
          <w:sz w:val="24"/>
          <w:szCs w:val="24"/>
        </w:rPr>
      </w:pPr>
    </w:p>
    <w:p w14:paraId="1A00165A" w14:textId="77777777" w:rsidR="00D90E28" w:rsidRDefault="00083E26">
      <w:pPr>
        <w:shd w:val="clear" w:color="auto" w:fill="FFFFFF"/>
        <w:spacing w:after="150" w:line="240" w:lineRule="auto"/>
        <w:ind w:left="-284" w:right="-2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MANEJO ANESTÉSICO NA CORREÇÃO CIRÚRGICA DE RUPTURA DE INGLÚVIO EM </w:t>
      </w:r>
      <w:r>
        <w:rPr>
          <w:rFonts w:ascii="Times New Roman" w:eastAsia="Times New Roman" w:hAnsi="Times New Roman" w:cs="Times New Roman"/>
          <w:b/>
          <w:i/>
          <w:sz w:val="24"/>
          <w:szCs w:val="24"/>
        </w:rPr>
        <w:t>Columbina talpacoti</w:t>
      </w:r>
      <w:r>
        <w:rPr>
          <w:rFonts w:ascii="Times New Roman" w:eastAsia="Times New Roman" w:hAnsi="Times New Roman" w:cs="Times New Roman"/>
          <w:b/>
          <w:sz w:val="24"/>
          <w:szCs w:val="24"/>
        </w:rPr>
        <w:t xml:space="preserve"> VÍTIMA DE TRAUMATISMO: PROTOCOLO MULTIMODAL DE ESTABILIZAÇÃO E ABORDAGEM</w:t>
      </w:r>
    </w:p>
    <w:p w14:paraId="106647F3" w14:textId="77777777" w:rsidR="00D90E28" w:rsidRDefault="00D90E28">
      <w:pPr>
        <w:shd w:val="clear" w:color="auto" w:fill="FFFFFF"/>
        <w:spacing w:after="150" w:line="240" w:lineRule="auto"/>
        <w:ind w:left="-284" w:right="-285"/>
        <w:jc w:val="center"/>
        <w:rPr>
          <w:rFonts w:ascii="Times New Roman" w:eastAsia="Times New Roman" w:hAnsi="Times New Roman" w:cs="Times New Roman"/>
          <w:b/>
          <w:sz w:val="24"/>
          <w:szCs w:val="24"/>
        </w:rPr>
      </w:pPr>
    </w:p>
    <w:p w14:paraId="3EE2F32B" w14:textId="77777777" w:rsidR="00D90E28" w:rsidRDefault="00083E26">
      <w:pPr>
        <w:shd w:val="clear" w:color="auto" w:fill="FFFFFF"/>
        <w:spacing w:after="150" w:line="240" w:lineRule="auto"/>
        <w:ind w:left="-284"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SOUZA FILHO, A.C.N,</w:t>
      </w:r>
      <w:r>
        <w:rPr>
          <w:rFonts w:ascii="Times New Roman" w:eastAsia="Times New Roman" w:hAnsi="Times New Roman" w:cs="Times New Roman"/>
          <w:color w:val="000000"/>
          <w:sz w:val="24"/>
          <w:szCs w:val="24"/>
        </w:rPr>
        <w:t>¹;</w:t>
      </w:r>
      <w:r>
        <w:rPr>
          <w:rFonts w:ascii="Times New Roman" w:eastAsia="Times New Roman" w:hAnsi="Times New Roman" w:cs="Times New Roman"/>
          <w:sz w:val="24"/>
          <w:szCs w:val="24"/>
        </w:rPr>
        <w:t xml:space="preserve"> FERREIRA, B.C.</w:t>
      </w:r>
      <w:r>
        <w:rPr>
          <w:rFonts w:ascii="Times New Roman" w:eastAsia="Times New Roman" w:hAnsi="Times New Roman" w:cs="Times New Roman"/>
          <w:color w:val="000000"/>
          <w:sz w:val="24"/>
          <w:szCs w:val="24"/>
        </w:rPr>
        <w:t xml:space="preserve">¹; </w:t>
      </w:r>
      <w:r>
        <w:rPr>
          <w:rFonts w:ascii="Times New Roman" w:eastAsia="Times New Roman" w:hAnsi="Times New Roman" w:cs="Times New Roman"/>
          <w:sz w:val="24"/>
          <w:szCs w:val="24"/>
        </w:rPr>
        <w:t>ANDRADE, F.J.C</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BARBOSA, B.²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SOUZA, L. V. M.</w:t>
      </w:r>
      <w:r>
        <w:rPr>
          <w:rFonts w:ascii="Times New Roman" w:eastAsia="Times New Roman" w:hAnsi="Times New Roman" w:cs="Times New Roman"/>
          <w:color w:val="000000"/>
          <w:sz w:val="24"/>
          <w:szCs w:val="24"/>
        </w:rPr>
        <w:t>²; BRITO,</w:t>
      </w:r>
      <w:r>
        <w:rPr>
          <w:rFonts w:ascii="Times New Roman" w:eastAsia="Times New Roman" w:hAnsi="Times New Roman" w:cs="Times New Roman"/>
          <w:sz w:val="24"/>
          <w:szCs w:val="24"/>
        </w:rPr>
        <w:t xml:space="preserve"> D.O.¹;</w:t>
      </w:r>
      <w:r>
        <w:rPr>
          <w:rFonts w:ascii="Times New Roman" w:eastAsia="Times New Roman" w:hAnsi="Times New Roman" w:cs="Times New Roman"/>
          <w:color w:val="000000"/>
          <w:sz w:val="24"/>
          <w:szCs w:val="24"/>
        </w:rPr>
        <w:t xml:space="preserve"> CORRÊA, </w:t>
      </w:r>
      <w:r>
        <w:rPr>
          <w:rFonts w:ascii="Times New Roman" w:eastAsia="Times New Roman" w:hAnsi="Times New Roman" w:cs="Times New Roman"/>
          <w:sz w:val="24"/>
          <w:szCs w:val="24"/>
        </w:rPr>
        <w:t>L.Y.S.¹; SOUSA, A.I.J.²; PENSADOR, C.P.² CRIVELARO-THIESEN, R.M.³</w:t>
      </w:r>
    </w:p>
    <w:p w14:paraId="239793D0" w14:textId="77777777" w:rsidR="00D90E28" w:rsidRDefault="00083E26">
      <w:pPr>
        <w:shd w:val="clear" w:color="auto" w:fill="FFFFFF"/>
        <w:spacing w:after="150" w:line="240" w:lineRule="auto"/>
        <w:ind w:left="-284" w:right="-28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Graduand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em Medicina Veterinária, Universidade Federal do P</w:t>
      </w:r>
      <w:r>
        <w:rPr>
          <w:rFonts w:ascii="Times New Roman" w:eastAsia="Times New Roman" w:hAnsi="Times New Roman" w:cs="Times New Roman"/>
          <w:sz w:val="24"/>
          <w:szCs w:val="24"/>
        </w:rPr>
        <w:t>ará</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Castanhal, Pará</w:t>
      </w:r>
      <w:r>
        <w:rPr>
          <w:rFonts w:ascii="Times New Roman" w:eastAsia="Times New Roman" w:hAnsi="Times New Roman" w:cs="Times New Roman"/>
          <w:color w:val="000000"/>
          <w:sz w:val="24"/>
          <w:szCs w:val="24"/>
        </w:rPr>
        <w:t>, Brasil (</w:t>
      </w:r>
      <w:r>
        <w:rPr>
          <w:rFonts w:ascii="Times New Roman" w:eastAsia="Times New Roman" w:hAnsi="Times New Roman" w:cs="Times New Roman"/>
          <w:sz w:val="24"/>
          <w:szCs w:val="24"/>
        </w:rPr>
        <w:t>antonioucarlos@hotmail.com</w:t>
      </w:r>
      <w:r>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sz w:val="24"/>
          <w:szCs w:val="24"/>
        </w:rPr>
        <w:t>Residente em Clínica Médica e Cirúrgica em Animais Silvestres, Universidade Federal do Pará, Castanhal, Pará, Brasil. 3.Docente da Universidade Federal do Pará.</w:t>
      </w:r>
    </w:p>
    <w:p w14:paraId="090E4837" w14:textId="77777777" w:rsidR="00D90E28" w:rsidRDefault="00083E2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inglúvio é uma dilatação do esôfago em aves, com função principal de armazenar temporariamente o alimento ingerido. Devido à sua estrutura delgada, esta região está suscetível à lesões e rupturas, que podem ocorrer em decorrência de traumas, perfurações por corpos estranhos ou agressões por outros animais. Esse trabalho tem como objetivo relatar um caso de ruptura do papo em uma ave de vida livre vítima de ataque, com ênfase no protocolo anestésico. Uma rolinha-roxa (</w:t>
      </w:r>
      <w:r>
        <w:rPr>
          <w:rFonts w:ascii="Times New Roman" w:eastAsia="Times New Roman" w:hAnsi="Times New Roman" w:cs="Times New Roman"/>
          <w:i/>
          <w:sz w:val="24"/>
          <w:szCs w:val="24"/>
        </w:rPr>
        <w:t>Columbina talpacoti</w:t>
      </w:r>
      <w:r>
        <w:rPr>
          <w:rFonts w:ascii="Times New Roman" w:eastAsia="Times New Roman" w:hAnsi="Times New Roman" w:cs="Times New Roman"/>
          <w:sz w:val="24"/>
          <w:szCs w:val="24"/>
        </w:rPr>
        <w:t>), adulta, pesando 25g, foi admitida no dia 29 de julho de 2025 no Hospital Veterinário da Universidade Federal do Pará, apresentando ferida aberta na região cervical, ruptura do inglúvio, com histórico de possível ataque por felino doméstico dois dias antes da admissão. Portanto, para a estabilização, iniciou-se o protocolo com oxigenioterapia, aquecimento e dipirona (20 mg/kg, BID, SC), por sua ação analgésica e antipirética, e bionew®, para suporte energético (0,2 mg/kg, IM). Após a es</w:t>
      </w:r>
      <w:r>
        <w:rPr>
          <w:rFonts w:ascii="Times New Roman" w:eastAsia="Times New Roman" w:hAnsi="Times New Roman" w:cs="Times New Roman"/>
          <w:sz w:val="24"/>
          <w:szCs w:val="24"/>
        </w:rPr>
        <w:t>tabilização, deu-se início ao reparo do inglúvio através da síntese do tecido. Dessa forma, para o procedimento de reparação, foi instituído um protocolo anestésico. À partir da avaliação clínica, classificou-se o animal em ASA IV, devido a grave infecção sistêmica presente  em razão das lesões apresentadas. Para a pré-medicação foi  utilizado butorfanol (1 mg/kg, IM), um opioide sintético para alívio de dor leve a moderada, com boa ação  para dor visceral, e midazolam (0,5 mg/kg, IM), um benzodiazepínico q</w:t>
      </w:r>
      <w:r>
        <w:rPr>
          <w:rFonts w:ascii="Times New Roman" w:eastAsia="Times New Roman" w:hAnsi="Times New Roman" w:cs="Times New Roman"/>
          <w:sz w:val="24"/>
          <w:szCs w:val="24"/>
        </w:rPr>
        <w:t>ue atua nos receptores GABBA tipo A, com ação sedativa e analgésica de longa duração. A indução e manutenção anestésica foram realizadas com gás isoflurano por meio de máscara facial adaptada para a espécie, , garantindo controle adequado da profundidade anestésica ao longo do procedimento. Durante a avaliação trans-anestésica, os parâmetros fisiológicos se mantiveram estáveis, sem alterações significativas na temperatura, frequência cardíaca e respiratória.  O protocolo anestésico escolhido levou em consid</w:t>
      </w:r>
      <w:r>
        <w:rPr>
          <w:rFonts w:ascii="Times New Roman" w:eastAsia="Times New Roman" w:hAnsi="Times New Roman" w:cs="Times New Roman"/>
          <w:sz w:val="24"/>
          <w:szCs w:val="24"/>
        </w:rPr>
        <w:t xml:space="preserve">eração o estado geral do paciente e o procedimento a ser realizado, de forma a permitir uma recuperação anestésica rápida . Além do manejo anestésico, foi instituída o uso de meloxicam (0,5 mg/kg, SID, SC), um anti-inflamatório não esteroidal, com ação analgésica e anti-inflamatória, utilizado em protocolos pós </w:t>
      </w:r>
      <w:r>
        <w:rPr>
          <w:rFonts w:ascii="Times New Roman" w:eastAsia="Times New Roman" w:hAnsi="Times New Roman" w:cs="Times New Roman"/>
          <w:sz w:val="24"/>
          <w:szCs w:val="24"/>
        </w:rPr>
        <w:lastRenderedPageBreak/>
        <w:t>cirúrgicos, e antibioticoterapia com enrofloxacina (15 mg/kg, SID, IM) e amoxicilina (30 mg/kg, SID, VO), devido ao risco elevado de infecção secundária. O protocolo anestésico adotado mostrou-se efi</w:t>
      </w:r>
      <w:r>
        <w:rPr>
          <w:rFonts w:ascii="Times New Roman" w:eastAsia="Times New Roman" w:hAnsi="Times New Roman" w:cs="Times New Roman"/>
          <w:sz w:val="24"/>
          <w:szCs w:val="24"/>
        </w:rPr>
        <w:t>caz e seguro para a espécie, proporcionando estabilidade durante todo o procedimento e recuperação tranquila, demonstrando sua aplicabilidade no contexto de emergências cirúrgicas em aves de vida livre.</w:t>
      </w:r>
    </w:p>
    <w:p w14:paraId="03F51B8F" w14:textId="77777777" w:rsidR="00D90E28" w:rsidRDefault="00D90E28">
      <w:pPr>
        <w:shd w:val="clear" w:color="auto" w:fill="FFFFFF"/>
        <w:spacing w:after="150" w:line="240" w:lineRule="auto"/>
        <w:ind w:left="-284" w:right="-285"/>
        <w:jc w:val="both"/>
        <w:rPr>
          <w:rFonts w:ascii="Times New Roman" w:eastAsia="Times New Roman" w:hAnsi="Times New Roman" w:cs="Times New Roman"/>
          <w:sz w:val="24"/>
          <w:szCs w:val="24"/>
        </w:rPr>
      </w:pPr>
    </w:p>
    <w:p w14:paraId="6D2EEB8D" w14:textId="77777777" w:rsidR="00D90E28" w:rsidRDefault="00083E26">
      <w:pPr>
        <w:shd w:val="clear" w:color="auto" w:fill="FFFFFF"/>
        <w:spacing w:after="0" w:line="240" w:lineRule="auto"/>
        <w:ind w:left="-284" w:right="-2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Palavras-chave: </w:t>
      </w:r>
      <w:r>
        <w:rPr>
          <w:rFonts w:ascii="Times New Roman" w:eastAsia="Times New Roman" w:hAnsi="Times New Roman" w:cs="Times New Roman"/>
          <w:sz w:val="24"/>
          <w:szCs w:val="24"/>
        </w:rPr>
        <w:t>Aves silvestres; Papo; Anestesiologia; Reparo tecidual; Medicina aviária</w:t>
      </w:r>
      <w:r>
        <w:rPr>
          <w:rFonts w:ascii="Times New Roman" w:eastAsia="Times New Roman" w:hAnsi="Times New Roman" w:cs="Times New Roman"/>
          <w:color w:val="000000"/>
          <w:sz w:val="24"/>
          <w:szCs w:val="24"/>
        </w:rPr>
        <w:t>.</w:t>
      </w:r>
    </w:p>
    <w:p w14:paraId="3C0F7FAD" w14:textId="77777777" w:rsidR="00D90E28" w:rsidRDefault="00D90E28">
      <w:pPr>
        <w:shd w:val="clear" w:color="auto" w:fill="FFFFFF"/>
        <w:spacing w:after="0" w:line="240" w:lineRule="auto"/>
        <w:ind w:left="-284" w:right="-285"/>
        <w:jc w:val="both"/>
        <w:rPr>
          <w:rFonts w:ascii="Times New Roman" w:eastAsia="Times New Roman" w:hAnsi="Times New Roman" w:cs="Times New Roman"/>
          <w:sz w:val="24"/>
          <w:szCs w:val="24"/>
        </w:rPr>
      </w:pPr>
    </w:p>
    <w:p w14:paraId="39A1E8A3" w14:textId="77777777" w:rsidR="00D90E28" w:rsidRDefault="00083E26">
      <w:pPr>
        <w:shd w:val="clear" w:color="auto" w:fill="FFFFFF"/>
        <w:spacing w:after="0" w:line="240" w:lineRule="auto"/>
        <w:ind w:left="-284" w:right="-28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REFERÊNCIAS: </w:t>
      </w:r>
    </w:p>
    <w:p w14:paraId="1366986C" w14:textId="77777777" w:rsidR="00D90E28" w:rsidRDefault="00D90E28">
      <w:pPr>
        <w:shd w:val="clear" w:color="auto" w:fill="FFFFFF"/>
        <w:spacing w:after="0" w:line="240" w:lineRule="auto"/>
        <w:ind w:left="-284" w:right="-285"/>
        <w:jc w:val="both"/>
        <w:rPr>
          <w:rFonts w:ascii="Times New Roman" w:eastAsia="Times New Roman" w:hAnsi="Times New Roman" w:cs="Times New Roman"/>
          <w:b/>
          <w:sz w:val="24"/>
          <w:szCs w:val="24"/>
        </w:rPr>
      </w:pPr>
    </w:p>
    <w:p w14:paraId="61F22D97" w14:textId="77777777" w:rsidR="00D90E28" w:rsidRDefault="00083E26">
      <w:pPr>
        <w:shd w:val="clear" w:color="auto" w:fill="FFFFFF"/>
        <w:spacing w:after="0" w:line="240" w:lineRule="auto"/>
        <w:ind w:left="-284"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LIMA, Dayanne Anunciação Silva Dantas; LIMA, Wagner Costa; RODRIGUES, Marcelo Campos; ABREU, Lizandro Pereira de; BARBOSA, Yago Gabriel da Silva. Corpo estranho esofágico em ema (Rhea americana). Enciclopédia Biosfera, Centro Científico Conhecer - Goiânia, v. 10, n. 19, 2014. </w:t>
      </w:r>
    </w:p>
    <w:p w14:paraId="22CBE933" w14:textId="77777777" w:rsidR="00D90E28" w:rsidRDefault="00D90E28">
      <w:pPr>
        <w:shd w:val="clear" w:color="auto" w:fill="FFFFFF"/>
        <w:spacing w:after="0" w:line="240" w:lineRule="auto"/>
        <w:ind w:left="-284" w:right="-285"/>
        <w:jc w:val="both"/>
        <w:rPr>
          <w:rFonts w:ascii="Times New Roman" w:eastAsia="Times New Roman" w:hAnsi="Times New Roman" w:cs="Times New Roman"/>
          <w:sz w:val="24"/>
          <w:szCs w:val="24"/>
        </w:rPr>
      </w:pPr>
    </w:p>
    <w:p w14:paraId="03BE2039" w14:textId="77777777" w:rsidR="00D90E28" w:rsidRDefault="00083E26">
      <w:pPr>
        <w:shd w:val="clear" w:color="auto" w:fill="FFFFFF"/>
        <w:spacing w:after="0" w:line="240" w:lineRule="auto"/>
        <w:ind w:left="-284"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Salla, P. de F., Severo, T. H., Veber, L. dos S., Salomão, E. L., Resem, A. dos S., &amp; Gomes, N. T. (2019). Inglúviotomia em pomba doméstica (columba lívia): relato de caso / Entology in domestic pump (columba livia): case report. Brazilian Journal of Development, 5(4), 2978–2982. </w:t>
      </w:r>
      <w:hyperlink r:id="rId7">
        <w:r>
          <w:rPr>
            <w:rFonts w:ascii="Times New Roman" w:eastAsia="Times New Roman" w:hAnsi="Times New Roman" w:cs="Times New Roman"/>
            <w:color w:val="1155CC"/>
            <w:sz w:val="24"/>
            <w:szCs w:val="24"/>
            <w:u w:val="single"/>
          </w:rPr>
          <w:t>https://doi.org/10.34117/bjdv5n4-1408</w:t>
        </w:r>
      </w:hyperlink>
      <w:r>
        <w:rPr>
          <w:rFonts w:ascii="Times New Roman" w:eastAsia="Times New Roman" w:hAnsi="Times New Roman" w:cs="Times New Roman"/>
          <w:sz w:val="24"/>
          <w:szCs w:val="24"/>
        </w:rPr>
        <w:t>.</w:t>
      </w:r>
    </w:p>
    <w:p w14:paraId="2FE6E441" w14:textId="77777777" w:rsidR="00D90E28" w:rsidRDefault="00D90E28">
      <w:pPr>
        <w:shd w:val="clear" w:color="auto" w:fill="FFFFFF"/>
        <w:spacing w:after="0" w:line="240" w:lineRule="auto"/>
        <w:ind w:left="-284" w:right="-285"/>
        <w:jc w:val="both"/>
        <w:rPr>
          <w:rFonts w:ascii="Times New Roman" w:eastAsia="Times New Roman" w:hAnsi="Times New Roman" w:cs="Times New Roman"/>
          <w:sz w:val="24"/>
          <w:szCs w:val="24"/>
        </w:rPr>
      </w:pPr>
    </w:p>
    <w:p w14:paraId="47CF5845" w14:textId="77777777" w:rsidR="00D90E28" w:rsidRDefault="00083E26">
      <w:pPr>
        <w:shd w:val="clear" w:color="auto" w:fill="FFFFFF"/>
        <w:spacing w:after="0" w:line="240" w:lineRule="auto"/>
        <w:ind w:left="-284"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PIETRO, J. L. Indução Anestésica Mediante o Uso do Tártaro do Butorfanol e do Maleato de Midazolam com Manutenção Narcótica Através da Inalação de Isoflurano para Exérese de Abscesso em Galo Doméstico (</w:t>
      </w:r>
      <w:r>
        <w:rPr>
          <w:rFonts w:ascii="Times New Roman" w:eastAsia="Times New Roman" w:hAnsi="Times New Roman" w:cs="Times New Roman"/>
          <w:i/>
          <w:sz w:val="24"/>
          <w:szCs w:val="24"/>
        </w:rPr>
        <w:t>Gallus gallus domesticus</w:t>
      </w:r>
      <w:r>
        <w:rPr>
          <w:rFonts w:ascii="Times New Roman" w:eastAsia="Times New Roman" w:hAnsi="Times New Roman" w:cs="Times New Roman"/>
          <w:sz w:val="24"/>
          <w:szCs w:val="24"/>
        </w:rPr>
        <w:t>): Relato de Caso. TCC (Graduação em Medicina Veterinária) - Universidade Federal de Alagoas, Viçosa, 2022.</w:t>
      </w:r>
    </w:p>
    <w:p w14:paraId="787A33EB" w14:textId="77777777" w:rsidR="00D90E28" w:rsidRDefault="00D90E28">
      <w:pPr>
        <w:shd w:val="clear" w:color="auto" w:fill="FFFFFF"/>
        <w:spacing w:after="0" w:line="240" w:lineRule="auto"/>
        <w:ind w:left="-284" w:right="-285"/>
        <w:jc w:val="both"/>
        <w:rPr>
          <w:rFonts w:ascii="Times New Roman" w:eastAsia="Times New Roman" w:hAnsi="Times New Roman" w:cs="Times New Roman"/>
          <w:sz w:val="24"/>
          <w:szCs w:val="24"/>
        </w:rPr>
      </w:pPr>
    </w:p>
    <w:p w14:paraId="0326AAF2" w14:textId="77777777" w:rsidR="00D90E28" w:rsidRDefault="00D90E28">
      <w:pPr>
        <w:spacing w:after="0" w:line="276" w:lineRule="auto"/>
        <w:jc w:val="both"/>
        <w:rPr>
          <w:rFonts w:ascii="Times New Roman" w:eastAsia="Times New Roman" w:hAnsi="Times New Roman" w:cs="Times New Roman"/>
          <w:sz w:val="24"/>
          <w:szCs w:val="24"/>
        </w:rPr>
      </w:pPr>
    </w:p>
    <w:sectPr w:rsidR="00D90E28">
      <w:headerReference w:type="default" r:id="rId8"/>
      <w:footerReference w:type="default" r:id="rId9"/>
      <w:pgSz w:w="11906" w:h="16838"/>
      <w:pgMar w:top="1417" w:right="1701" w:bottom="1417" w:left="1701" w:header="70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8D29" w14:textId="77777777" w:rsidR="00083E26" w:rsidRDefault="00083E26">
      <w:pPr>
        <w:spacing w:after="0" w:line="240" w:lineRule="auto"/>
      </w:pPr>
      <w:r>
        <w:separator/>
      </w:r>
    </w:p>
  </w:endnote>
  <w:endnote w:type="continuationSeparator" w:id="0">
    <w:p w14:paraId="7CCE8806" w14:textId="77777777" w:rsidR="00083E26" w:rsidRDefault="0008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auto"/>
    <w:pitch w:val="default"/>
    <w:embedRegular r:id="rId1" w:fontKey="{371FCEDC-F289-5944-A63C-052C4AB8DCF6}"/>
    <w:embedBold r:id="rId2" w:fontKey="{922C9913-0CE2-0543-8A93-904AFA0EA5EF}"/>
    <w:embedItalic r:id="rId3" w:fontKey="{99FA41AD-91D2-3946-8A54-A7078B65DFCF}"/>
    <w:embedBoldItalic r:id="rId4" w:fontKey="{9B408D6B-204D-6D4F-9C72-CE8460C004B1}"/>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B57D" w14:textId="77777777" w:rsidR="00D90E28" w:rsidRDefault="00D90E28">
    <w:pPr>
      <w:pBdr>
        <w:top w:val="nil"/>
        <w:left w:val="nil"/>
        <w:bottom w:val="nil"/>
        <w:right w:val="nil"/>
        <w:between w:val="nil"/>
      </w:pBdr>
      <w:tabs>
        <w:tab w:val="center" w:pos="4252"/>
        <w:tab w:val="right" w:pos="8504"/>
      </w:tabs>
      <w:spacing w:after="0" w:line="240" w:lineRule="auto"/>
      <w:rPr>
        <w:color w:val="000000"/>
      </w:rPr>
    </w:pPr>
  </w:p>
  <w:p w14:paraId="638E3AE6" w14:textId="77777777" w:rsidR="00D90E28" w:rsidRDefault="00D90E28">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35D0" w14:textId="77777777" w:rsidR="00083E26" w:rsidRDefault="00083E26">
      <w:pPr>
        <w:spacing w:after="0" w:line="240" w:lineRule="auto"/>
      </w:pPr>
      <w:r>
        <w:separator/>
      </w:r>
    </w:p>
  </w:footnote>
  <w:footnote w:type="continuationSeparator" w:id="0">
    <w:p w14:paraId="6BA287A9" w14:textId="77777777" w:rsidR="00083E26" w:rsidRDefault="0008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1CC7" w14:textId="77777777" w:rsidR="00D90E28" w:rsidRDefault="00083E26">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E4890D7" wp14:editId="20E96757">
          <wp:extent cx="2705100" cy="1352550"/>
          <wp:effectExtent l="0" t="0" r="0" b="0"/>
          <wp:docPr id="8274433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5100" cy="1352550"/>
                  </a:xfrm>
                  <a:prstGeom prst="rect">
                    <a:avLst/>
                  </a:prstGeom>
                  <a:ln/>
                </pic:spPr>
              </pic:pic>
            </a:graphicData>
          </a:graphic>
        </wp:inline>
      </w:drawing>
    </w:r>
  </w:p>
  <w:p w14:paraId="6EB0F248" w14:textId="77777777" w:rsidR="00D90E28" w:rsidRDefault="00D90E28">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28"/>
    <w:rsid w:val="00083E26"/>
    <w:rsid w:val="009B5B84"/>
    <w:rsid w:val="00D90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BBDE602"/>
  <w15:docId w15:val="{4911CAAD-0174-A74D-9A1F-8DF86C60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A0062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00622"/>
    <w:rPr>
      <w:b/>
      <w:bCs/>
    </w:rPr>
  </w:style>
  <w:style w:type="paragraph" w:styleId="Cabealho">
    <w:name w:val="header"/>
    <w:basedOn w:val="Normal"/>
    <w:link w:val="CabealhoChar"/>
    <w:uiPriority w:val="99"/>
    <w:unhideWhenUsed/>
    <w:rsid w:val="005B71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71A5"/>
  </w:style>
  <w:style w:type="paragraph" w:styleId="Rodap">
    <w:name w:val="footer"/>
    <w:basedOn w:val="Normal"/>
    <w:link w:val="RodapChar"/>
    <w:uiPriority w:val="99"/>
    <w:unhideWhenUsed/>
    <w:rsid w:val="005B71A5"/>
    <w:pPr>
      <w:tabs>
        <w:tab w:val="center" w:pos="4252"/>
        <w:tab w:val="right" w:pos="8504"/>
      </w:tabs>
      <w:spacing w:after="0" w:line="240" w:lineRule="auto"/>
    </w:pPr>
  </w:style>
  <w:style w:type="character" w:customStyle="1" w:styleId="RodapChar">
    <w:name w:val="Rodapé Char"/>
    <w:basedOn w:val="Fontepargpadro"/>
    <w:link w:val="Rodap"/>
    <w:uiPriority w:val="99"/>
    <w:rsid w:val="005B71A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doi.org/10.34117/bjdv5n4-1408"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fontTable.xml.rels><?xml version="1.0" encoding="UTF-8" standalone="yes"?>
<Relationships xmlns="http://schemas.openxmlformats.org/package/2006/relationships"><Relationship Id="rId3" Type="http://schemas.openxmlformats.org/officeDocument/2006/relationships/font" Target="fonts/font3.odttf" /><Relationship Id="rId2" Type="http://schemas.openxmlformats.org/officeDocument/2006/relationships/font" Target="fonts/font2.odttf" /><Relationship Id="rId1" Type="http://schemas.openxmlformats.org/officeDocument/2006/relationships/font" Target="fonts/font1.odttf" /><Relationship Id="rId4" Type="http://schemas.openxmlformats.org/officeDocument/2006/relationships/font" Target="fonts/font4.odttf"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7ZjbZABSI2BKmKz5s+CdWZFA==">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3753</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Carlos</cp:lastModifiedBy>
  <cp:revision>2</cp:revision>
  <dcterms:created xsi:type="dcterms:W3CDTF">2025-07-19T02:22:00Z</dcterms:created>
  <dcterms:modified xsi:type="dcterms:W3CDTF">2025-07-19T02:22:00Z</dcterms:modified>
</cp:coreProperties>
</file>