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916" w14:textId="77777777" w:rsidR="00A5744A" w:rsidRDefault="00A5744A">
      <w:pPr>
        <w:spacing w:line="240" w:lineRule="auto"/>
        <w:jc w:val="both"/>
        <w:rPr>
          <w:b/>
          <w:sz w:val="20"/>
          <w:szCs w:val="20"/>
        </w:rPr>
      </w:pPr>
      <w:bookmarkStart w:id="0" w:name="_gjdgxs" w:colFirst="0" w:colLast="0"/>
      <w:bookmarkEnd w:id="0"/>
    </w:p>
    <w:p w14:paraId="70E44728" w14:textId="77777777" w:rsidR="00A5744A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ARÉA TEMÁTICA: Ecologia</w:t>
      </w:r>
    </w:p>
    <w:p w14:paraId="008AC564" w14:textId="77777777" w:rsidR="00A5744A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SUBÁREA TEMÁTICA: Invertebrados</w:t>
      </w:r>
    </w:p>
    <w:p w14:paraId="66C34A8B" w14:textId="77777777" w:rsidR="00A5744A" w:rsidRDefault="00A5744A">
      <w:pPr>
        <w:spacing w:line="240" w:lineRule="auto"/>
        <w:jc w:val="both"/>
        <w:rPr>
          <w:b/>
          <w:sz w:val="20"/>
          <w:szCs w:val="20"/>
        </w:rPr>
      </w:pPr>
    </w:p>
    <w:p w14:paraId="6D0F9FB2" w14:textId="77777777" w:rsidR="00A5744A" w:rsidRDefault="00A5744A">
      <w:pPr>
        <w:spacing w:line="240" w:lineRule="auto"/>
        <w:jc w:val="center"/>
        <w:rPr>
          <w:b/>
          <w:sz w:val="20"/>
          <w:szCs w:val="20"/>
        </w:rPr>
      </w:pPr>
    </w:p>
    <w:p w14:paraId="0B6E55DF" w14:textId="77777777" w:rsidR="00A5744A" w:rsidRDefault="0000000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EFEITOS DOS HIDROCARBONETOS POLICÍCLICOS AROMÁTICOS (</w:t>
      </w:r>
      <w:proofErr w:type="spellStart"/>
      <w:r>
        <w:rPr>
          <w:b/>
          <w:sz w:val="20"/>
          <w:szCs w:val="20"/>
        </w:rPr>
        <w:t>HPA’s</w:t>
      </w:r>
      <w:proofErr w:type="spellEnd"/>
      <w:r>
        <w:rPr>
          <w:b/>
          <w:sz w:val="20"/>
          <w:szCs w:val="20"/>
        </w:rPr>
        <w:t>) NA DENSIDADE E RIQUEZA DA COMUNIDADE MEIOBENTICA MARINHA</w:t>
      </w:r>
    </w:p>
    <w:p w14:paraId="22E0F633" w14:textId="77777777" w:rsidR="00A5744A" w:rsidRDefault="00A5744A">
      <w:pPr>
        <w:spacing w:line="240" w:lineRule="auto"/>
        <w:jc w:val="center"/>
        <w:rPr>
          <w:b/>
          <w:sz w:val="20"/>
          <w:szCs w:val="20"/>
        </w:rPr>
      </w:pPr>
    </w:p>
    <w:p w14:paraId="2B51C01F" w14:textId="77777777" w:rsidR="00A5744A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Nathan Lorenzo de Sena Gotti¹, Letícia Pereira Pontes¹, Flávia Juliana Lobato França¹, Renan Belém da Silva¹, Giovanna Lins Pessoa¹, </w:t>
      </w:r>
      <w:proofErr w:type="spellStart"/>
      <w:r>
        <w:rPr>
          <w:sz w:val="20"/>
          <w:szCs w:val="20"/>
        </w:rPr>
        <w:t>Aisha</w:t>
      </w:r>
      <w:proofErr w:type="spellEnd"/>
      <w:r>
        <w:rPr>
          <w:sz w:val="20"/>
          <w:szCs w:val="20"/>
        </w:rPr>
        <w:t xml:space="preserve"> Ribeiro Mendes de Oliveira¹, Giovanni Amadeu Paiva dos Santos¹</w:t>
      </w:r>
    </w:p>
    <w:p w14:paraId="7A442493" w14:textId="77777777" w:rsidR="00A5744A" w:rsidRDefault="00000000">
      <w:pPr>
        <w:spacing w:line="240" w:lineRule="auto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¹ Universidade Federal de Pernambuco (UFPE), Campus Recife. E-mail: </w:t>
      </w:r>
      <w:hyperlink r:id="rId6">
        <w:r>
          <w:rPr>
            <w:color w:val="0000FF"/>
            <w:sz w:val="20"/>
            <w:szCs w:val="20"/>
            <w:u w:val="single"/>
          </w:rPr>
          <w:t>nathan.lsgotti@ufpe.br</w:t>
        </w:r>
      </w:hyperlink>
      <w:r>
        <w:rPr>
          <w:sz w:val="20"/>
          <w:szCs w:val="20"/>
        </w:rPr>
        <w:t xml:space="preserve">; </w:t>
      </w:r>
      <w:hyperlink r:id="rId7">
        <w:r>
          <w:rPr>
            <w:color w:val="0000FF"/>
            <w:sz w:val="20"/>
            <w:szCs w:val="20"/>
            <w:u w:val="single"/>
          </w:rPr>
          <w:t>leticia.pereira@ufpe.br</w:t>
        </w:r>
      </w:hyperlink>
      <w:r>
        <w:rPr>
          <w:color w:val="0000FF"/>
          <w:sz w:val="20"/>
          <w:szCs w:val="20"/>
          <w:u w:val="single"/>
        </w:rPr>
        <w:t xml:space="preserve">; </w:t>
      </w:r>
      <w:hyperlink r:id="rId8">
        <w:r>
          <w:rPr>
            <w:color w:val="0000FF"/>
            <w:sz w:val="20"/>
            <w:szCs w:val="20"/>
            <w:u w:val="single"/>
          </w:rPr>
          <w:t>flavia.lobato@ufpe.br</w:t>
        </w:r>
      </w:hyperlink>
      <w:r>
        <w:rPr>
          <w:color w:val="0000FF"/>
          <w:sz w:val="20"/>
          <w:szCs w:val="20"/>
          <w:u w:val="single"/>
        </w:rPr>
        <w:t xml:space="preserve">; </w:t>
      </w:r>
      <w:hyperlink r:id="rId9">
        <w:r>
          <w:rPr>
            <w:color w:val="0000FF"/>
            <w:sz w:val="20"/>
            <w:szCs w:val="20"/>
            <w:u w:val="single"/>
          </w:rPr>
          <w:t>renan.belem@ufpe.br</w:t>
        </w:r>
      </w:hyperlink>
      <w:r>
        <w:rPr>
          <w:color w:val="0000FF"/>
          <w:sz w:val="20"/>
          <w:szCs w:val="20"/>
          <w:u w:val="single"/>
        </w:rPr>
        <w:t xml:space="preserve">; </w:t>
      </w:r>
      <w:hyperlink r:id="rId10">
        <w:r>
          <w:rPr>
            <w:color w:val="0000FF"/>
            <w:sz w:val="20"/>
            <w:szCs w:val="20"/>
            <w:u w:val="single"/>
          </w:rPr>
          <w:t>giovanna.pessoa@ufpe.br</w:t>
        </w:r>
      </w:hyperlink>
      <w:r>
        <w:rPr>
          <w:color w:val="0000FF"/>
          <w:sz w:val="20"/>
          <w:szCs w:val="20"/>
          <w:u w:val="single"/>
        </w:rPr>
        <w:t>; aisha.ribeiromendes@ufpe.br; giovanni.santos@ufpe.br</w:t>
      </w:r>
    </w:p>
    <w:p w14:paraId="233C07E7" w14:textId="77777777" w:rsidR="00A5744A" w:rsidRDefault="00A5744A">
      <w:pPr>
        <w:spacing w:line="240" w:lineRule="auto"/>
        <w:jc w:val="center"/>
        <w:rPr>
          <w:sz w:val="20"/>
          <w:szCs w:val="20"/>
        </w:rPr>
      </w:pPr>
    </w:p>
    <w:p w14:paraId="5107DCFE" w14:textId="77777777" w:rsidR="00A5744A" w:rsidRDefault="00A5744A">
      <w:pPr>
        <w:spacing w:line="240" w:lineRule="auto"/>
        <w:rPr>
          <w:sz w:val="20"/>
          <w:szCs w:val="20"/>
        </w:rPr>
      </w:pPr>
    </w:p>
    <w:p w14:paraId="35B5DF54" w14:textId="77777777" w:rsidR="00A5744A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INTRODUÇÃO</w:t>
      </w:r>
    </w:p>
    <w:p w14:paraId="1D45784D" w14:textId="77777777" w:rsidR="00A5744A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Os Hidrocarbonetos Policíclicos Aromáticos (</w:t>
      </w:r>
      <w:proofErr w:type="spellStart"/>
      <w:r>
        <w:rPr>
          <w:sz w:val="20"/>
          <w:szCs w:val="20"/>
        </w:rPr>
        <w:t>HPA’s</w:t>
      </w:r>
      <w:proofErr w:type="spellEnd"/>
      <w:r>
        <w:rPr>
          <w:sz w:val="20"/>
          <w:szCs w:val="20"/>
        </w:rPr>
        <w:t>) são poluentes orgânicos de maior impacto direto no planeta, sendo encontrados de forma ampla nos oceanos (</w:t>
      </w:r>
      <w:proofErr w:type="spellStart"/>
      <w:r>
        <w:rPr>
          <w:sz w:val="20"/>
          <w:szCs w:val="20"/>
        </w:rPr>
        <w:t>Cerniglia</w:t>
      </w:r>
      <w:proofErr w:type="spellEnd"/>
      <w:r>
        <w:rPr>
          <w:sz w:val="20"/>
          <w:szCs w:val="20"/>
        </w:rPr>
        <w:t xml:space="preserve">, 1993). Na maioria dos casos, os </w:t>
      </w:r>
      <w:proofErr w:type="spellStart"/>
      <w:r>
        <w:rPr>
          <w:sz w:val="20"/>
          <w:szCs w:val="20"/>
        </w:rPr>
        <w:t>HPA’s</w:t>
      </w:r>
      <w:proofErr w:type="spellEnd"/>
      <w:r>
        <w:rPr>
          <w:sz w:val="20"/>
          <w:szCs w:val="20"/>
        </w:rPr>
        <w:t xml:space="preserve"> são inseridos nos ambientes marinhos por descargas industriais, derramamentos acidentais de óleo, entre outros </w:t>
      </w: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Rigét</w:t>
      </w:r>
      <w:proofErr w:type="spellEnd"/>
      <w:r>
        <w:rPr>
          <w:color w:val="000000"/>
          <w:sz w:val="20"/>
          <w:szCs w:val="20"/>
        </w:rPr>
        <w:t xml:space="preserve"> et al., 2016). </w:t>
      </w:r>
      <w:r>
        <w:rPr>
          <w:color w:val="000000"/>
          <w:sz w:val="20"/>
          <w:szCs w:val="20"/>
          <w:highlight w:val="white"/>
        </w:rPr>
        <w:t xml:space="preserve">Estes poluentes são encontrados nos derivados de petróleo, possuem fortes propriedades hidrofóbicas e </w:t>
      </w:r>
      <w:proofErr w:type="spellStart"/>
      <w:r>
        <w:rPr>
          <w:color w:val="000000"/>
          <w:sz w:val="20"/>
          <w:szCs w:val="20"/>
          <w:highlight w:val="white"/>
        </w:rPr>
        <w:t>bioacumulativas</w:t>
      </w:r>
      <w:proofErr w:type="spellEnd"/>
      <w:r>
        <w:rPr>
          <w:color w:val="000000"/>
          <w:sz w:val="20"/>
          <w:szCs w:val="20"/>
          <w:highlight w:val="white"/>
        </w:rPr>
        <w:t>, apresentando alta toxicidade, gerando danos aos organismos marinhos e subsequentemente nos ecossistemas vigentes (</w:t>
      </w:r>
      <w:proofErr w:type="spellStart"/>
      <w:r>
        <w:rPr>
          <w:color w:val="000000"/>
          <w:sz w:val="20"/>
          <w:szCs w:val="20"/>
          <w:highlight w:val="white"/>
        </w:rPr>
        <w:t>Danovaro</w:t>
      </w:r>
      <w:proofErr w:type="spellEnd"/>
      <w:r>
        <w:rPr>
          <w:color w:val="000000"/>
          <w:sz w:val="20"/>
          <w:szCs w:val="20"/>
          <w:highlight w:val="white"/>
        </w:rPr>
        <w:t>, 2008), tendo em vista as intensas liberações dos contaminantes pela ação humana.</w:t>
      </w:r>
    </w:p>
    <w:p w14:paraId="0D24F333" w14:textId="77777777" w:rsidR="00A5744A" w:rsidRDefault="00000000">
      <w:pPr>
        <w:spacing w:line="240" w:lineRule="auto"/>
        <w:ind w:firstLine="567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Dito isso, determinar as dimensões dos impactos ecológicos dos </w:t>
      </w:r>
      <w:proofErr w:type="spellStart"/>
      <w:r>
        <w:rPr>
          <w:color w:val="000000"/>
          <w:sz w:val="20"/>
          <w:szCs w:val="20"/>
          <w:highlight w:val="white"/>
        </w:rPr>
        <w:t>HPA’s</w:t>
      </w:r>
      <w:proofErr w:type="spellEnd"/>
      <w:r>
        <w:rPr>
          <w:color w:val="000000"/>
          <w:sz w:val="20"/>
          <w:szCs w:val="20"/>
          <w:highlight w:val="white"/>
        </w:rPr>
        <w:t xml:space="preserve"> requer uma compreensão de suas interações com o meio ambiente. Nesse contexto, evidencia-se a </w:t>
      </w:r>
      <w:proofErr w:type="spellStart"/>
      <w:r>
        <w:rPr>
          <w:color w:val="000000"/>
          <w:sz w:val="20"/>
          <w:szCs w:val="20"/>
          <w:highlight w:val="white"/>
        </w:rPr>
        <w:t>meiofauna</w:t>
      </w:r>
      <w:proofErr w:type="spellEnd"/>
      <w:r>
        <w:rPr>
          <w:color w:val="000000"/>
          <w:sz w:val="20"/>
          <w:szCs w:val="20"/>
          <w:highlight w:val="white"/>
        </w:rPr>
        <w:t xml:space="preserve"> como ótima bioindicadora de impactos antropogênicos, abrangendo diversos taxa de invertebrados de sedimentos marinhos, apresentam alta abundância, baixa dispersão e rápido ciclo de vida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Schratzberger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Ingels</w:t>
      </w:r>
      <w:proofErr w:type="spellEnd"/>
      <w:r>
        <w:rPr>
          <w:sz w:val="20"/>
          <w:szCs w:val="20"/>
        </w:rPr>
        <w:t>, 2018)</w:t>
      </w:r>
      <w:r>
        <w:rPr>
          <w:color w:val="000000"/>
          <w:sz w:val="20"/>
          <w:szCs w:val="20"/>
        </w:rPr>
        <w:t xml:space="preserve">, desempenhando </w:t>
      </w:r>
      <w:r>
        <w:rPr>
          <w:color w:val="000000"/>
          <w:sz w:val="20"/>
          <w:szCs w:val="20"/>
          <w:highlight w:val="white"/>
        </w:rPr>
        <w:t>atividades importantes para a teia alimentar marinha.</w:t>
      </w:r>
    </w:p>
    <w:p w14:paraId="5D929B1B" w14:textId="77777777" w:rsidR="00A5744A" w:rsidRDefault="00000000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Logo, o objetivo geral da pesquisa consiste em analisar o efeito de uma mistura de </w:t>
      </w:r>
      <w:proofErr w:type="spellStart"/>
      <w:r>
        <w:rPr>
          <w:color w:val="000000"/>
          <w:sz w:val="20"/>
          <w:szCs w:val="20"/>
        </w:rPr>
        <w:t>HPA’s</w:t>
      </w:r>
      <w:proofErr w:type="spellEnd"/>
      <w:r>
        <w:rPr>
          <w:color w:val="000000"/>
          <w:sz w:val="20"/>
          <w:szCs w:val="20"/>
        </w:rPr>
        <w:t xml:space="preserve"> e os efeitos causados na riqueza e abundância da comunidade </w:t>
      </w:r>
      <w:proofErr w:type="spellStart"/>
      <w:r>
        <w:rPr>
          <w:color w:val="000000"/>
          <w:sz w:val="20"/>
          <w:szCs w:val="20"/>
        </w:rPr>
        <w:t>meiobentônica</w:t>
      </w:r>
      <w:proofErr w:type="spellEnd"/>
      <w:r>
        <w:rPr>
          <w:color w:val="000000"/>
          <w:sz w:val="20"/>
          <w:szCs w:val="20"/>
        </w:rPr>
        <w:t xml:space="preserve"> exposta a diferentes concentrações dos contaminantes.</w:t>
      </w:r>
    </w:p>
    <w:p w14:paraId="5C5541C2" w14:textId="77777777" w:rsidR="00A5744A" w:rsidRDefault="00A5744A">
      <w:pPr>
        <w:spacing w:line="240" w:lineRule="auto"/>
        <w:jc w:val="both"/>
        <w:rPr>
          <w:b/>
          <w:sz w:val="20"/>
          <w:szCs w:val="20"/>
        </w:rPr>
      </w:pPr>
    </w:p>
    <w:p w14:paraId="4DC89F58" w14:textId="77777777" w:rsidR="00A5744A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MATERIAL E MÉTODOS</w:t>
      </w:r>
    </w:p>
    <w:p w14:paraId="2495D414" w14:textId="77777777" w:rsidR="00A5744A" w:rsidRDefault="00000000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As coletas foram realizadas na praia Pontal do </w:t>
      </w:r>
      <w:proofErr w:type="spellStart"/>
      <w:r>
        <w:rPr>
          <w:sz w:val="20"/>
          <w:szCs w:val="20"/>
        </w:rPr>
        <w:t>Cupe</w:t>
      </w:r>
      <w:proofErr w:type="spellEnd"/>
      <w:r>
        <w:rPr>
          <w:sz w:val="20"/>
          <w:szCs w:val="20"/>
        </w:rPr>
        <w:t xml:space="preserve">-PE, </w:t>
      </w:r>
      <w:r>
        <w:rPr>
          <w:color w:val="000000"/>
          <w:sz w:val="20"/>
          <w:szCs w:val="20"/>
        </w:rPr>
        <w:t xml:space="preserve">onde foi feita uma raspagem dos dois primeiros centímetros do sedimento para obtenção da fauna. Em laboratório, o sedimento rico em </w:t>
      </w:r>
      <w:proofErr w:type="spellStart"/>
      <w:r>
        <w:rPr>
          <w:color w:val="000000"/>
          <w:sz w:val="20"/>
          <w:szCs w:val="20"/>
        </w:rPr>
        <w:t>meiofauna</w:t>
      </w:r>
      <w:proofErr w:type="spellEnd"/>
      <w:r>
        <w:rPr>
          <w:color w:val="000000"/>
          <w:sz w:val="20"/>
          <w:szCs w:val="20"/>
        </w:rPr>
        <w:t xml:space="preserve"> foi mantido em compartimentos com aeração, temperatura e salinidade reguladas durante uma semana, a fim de aclimatar a </w:t>
      </w:r>
      <w:proofErr w:type="gramStart"/>
      <w:r>
        <w:rPr>
          <w:color w:val="000000"/>
          <w:sz w:val="20"/>
          <w:szCs w:val="20"/>
        </w:rPr>
        <w:t>fauna  (</w:t>
      </w:r>
      <w:proofErr w:type="gramEnd"/>
      <w:r>
        <w:rPr>
          <w:color w:val="000000"/>
          <w:sz w:val="20"/>
          <w:szCs w:val="20"/>
        </w:rPr>
        <w:t xml:space="preserve">Monteiro et al., 2019). Em seguida, retirou-se 4 réplicas do sedimento (T0) antes da montagem experimental, a qual baseou-se em um design proposto por </w:t>
      </w:r>
      <w:proofErr w:type="spellStart"/>
      <w:r>
        <w:rPr>
          <w:color w:val="000000"/>
          <w:sz w:val="20"/>
          <w:szCs w:val="20"/>
        </w:rPr>
        <w:t>Vafeiadou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et al</w:t>
      </w:r>
      <w:r>
        <w:rPr>
          <w:color w:val="000000"/>
          <w:sz w:val="20"/>
          <w:szCs w:val="20"/>
        </w:rPr>
        <w:t xml:space="preserve">., 2018, composto por microcosmos em </w:t>
      </w:r>
      <w:proofErr w:type="spellStart"/>
      <w:r>
        <w:rPr>
          <w:color w:val="000000"/>
          <w:sz w:val="20"/>
          <w:szCs w:val="20"/>
        </w:rPr>
        <w:t>quadruplicatas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beckers</w:t>
      </w:r>
      <w:proofErr w:type="spellEnd"/>
      <w:r>
        <w:rPr>
          <w:color w:val="000000"/>
          <w:sz w:val="20"/>
          <w:szCs w:val="20"/>
        </w:rPr>
        <w:t xml:space="preserve"> de 1L com sistema de aeração por pressão negativa. </w:t>
      </w:r>
    </w:p>
    <w:p w14:paraId="22F5C654" w14:textId="77777777" w:rsidR="00A5744A" w:rsidRDefault="00000000">
      <w:pPr>
        <w:spacing w:line="240" w:lineRule="auto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desenho experimental foi composto por cinco tratamentos, sendo eles: Controle (C), composto por 100g de sedimento </w:t>
      </w:r>
      <w:proofErr w:type="spellStart"/>
      <w:r>
        <w:rPr>
          <w:color w:val="000000"/>
          <w:sz w:val="20"/>
          <w:szCs w:val="20"/>
        </w:rPr>
        <w:t>defaunado</w:t>
      </w:r>
      <w:proofErr w:type="spellEnd"/>
      <w:r>
        <w:rPr>
          <w:color w:val="000000"/>
          <w:sz w:val="20"/>
          <w:szCs w:val="20"/>
        </w:rPr>
        <w:t xml:space="preserve"> e 300g de sedimento com fauna, Controle do Solvente (CS), constituído por 100g de sedimento </w:t>
      </w:r>
      <w:proofErr w:type="spellStart"/>
      <w:r>
        <w:rPr>
          <w:color w:val="000000"/>
          <w:sz w:val="20"/>
          <w:szCs w:val="20"/>
        </w:rPr>
        <w:t>defaunado</w:t>
      </w:r>
      <w:proofErr w:type="spellEnd"/>
      <w:r>
        <w:rPr>
          <w:color w:val="000000"/>
          <w:sz w:val="20"/>
          <w:szCs w:val="20"/>
        </w:rPr>
        <w:t xml:space="preserve"> em solvente acetona e 300g rico em fauna, e mais três tratamentos contaminados com a mistura de </w:t>
      </w:r>
      <w:proofErr w:type="spellStart"/>
      <w:r>
        <w:rPr>
          <w:color w:val="000000"/>
          <w:sz w:val="20"/>
          <w:szCs w:val="20"/>
        </w:rPr>
        <w:t>HPA’s</w:t>
      </w:r>
      <w:proofErr w:type="spellEnd"/>
      <w:r>
        <w:rPr>
          <w:color w:val="000000"/>
          <w:sz w:val="20"/>
          <w:szCs w:val="20"/>
        </w:rPr>
        <w:t xml:space="preserve"> em concentrações de 0,05, 0,1 e 0,2 µg ml</w:t>
      </w:r>
      <w:r>
        <w:rPr>
          <w:color w:val="000000"/>
          <w:sz w:val="20"/>
          <w:szCs w:val="20"/>
          <w:vertAlign w:val="superscript"/>
        </w:rPr>
        <w:t>-</w:t>
      </w:r>
      <w:proofErr w:type="gramStart"/>
      <w:r>
        <w:rPr>
          <w:color w:val="000000"/>
          <w:sz w:val="20"/>
          <w:szCs w:val="20"/>
          <w:vertAlign w:val="superscript"/>
        </w:rPr>
        <w:t xml:space="preserve">1 </w:t>
      </w:r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As amostras foram coletadas após 15 dias (T15) e ao final de 30 dias (T30). Todas as amostras foram lavadas em peneiras de 300µm e 0,045µm, elutriadas (</w:t>
      </w:r>
      <w:r>
        <w:rPr>
          <w:sz w:val="20"/>
          <w:szCs w:val="20"/>
        </w:rPr>
        <w:t xml:space="preserve">Gray &amp; </w:t>
      </w:r>
      <w:proofErr w:type="spellStart"/>
      <w:r>
        <w:rPr>
          <w:sz w:val="20"/>
          <w:szCs w:val="20"/>
        </w:rPr>
        <w:t>Rieger</w:t>
      </w:r>
      <w:proofErr w:type="spellEnd"/>
      <w:r>
        <w:rPr>
          <w:sz w:val="20"/>
          <w:szCs w:val="20"/>
        </w:rPr>
        <w:t>, 1971</w:t>
      </w:r>
      <w:r>
        <w:rPr>
          <w:color w:val="000000"/>
          <w:sz w:val="20"/>
          <w:szCs w:val="20"/>
        </w:rPr>
        <w:t>), fixadas em formol 4%, coradas, triadas e identificadas à nível de ordem ou superior (</w:t>
      </w:r>
      <w:proofErr w:type="spellStart"/>
      <w:r>
        <w:rPr>
          <w:color w:val="000000"/>
          <w:sz w:val="20"/>
          <w:szCs w:val="20"/>
        </w:rPr>
        <w:t>Giere</w:t>
      </w:r>
      <w:proofErr w:type="spellEnd"/>
      <w:r>
        <w:rPr>
          <w:color w:val="000000"/>
          <w:sz w:val="20"/>
          <w:szCs w:val="20"/>
        </w:rPr>
        <w:t xml:space="preserve">, 2009). A temperatura (28°C±1°C), pH (8,0±0,5) e salinidade (35±1) foram monitorados diariamente durante o período experimental. Por último, para averiguar diferenças na densidade e riqueza da </w:t>
      </w:r>
      <w:proofErr w:type="spellStart"/>
      <w:r>
        <w:rPr>
          <w:color w:val="000000"/>
          <w:sz w:val="20"/>
          <w:szCs w:val="20"/>
        </w:rPr>
        <w:t>meiofauna</w:t>
      </w:r>
      <w:proofErr w:type="spellEnd"/>
      <w:r>
        <w:rPr>
          <w:color w:val="000000"/>
          <w:sz w:val="20"/>
          <w:szCs w:val="20"/>
        </w:rPr>
        <w:t xml:space="preserve"> entre os diferentes tratamentos, foram realizadas análises uni e multivariadas de comunidade pelo programa PRIMER 6.1 + PERMANOVA. Gráficos e análises de modelação para entender a variação da abundância serão realizados pelo SIGMAPLOT 12.5.</w:t>
      </w:r>
    </w:p>
    <w:p w14:paraId="49C64DCC" w14:textId="77777777" w:rsidR="00A5744A" w:rsidRDefault="00A5744A">
      <w:pPr>
        <w:spacing w:line="240" w:lineRule="auto"/>
        <w:jc w:val="both"/>
        <w:rPr>
          <w:sz w:val="20"/>
          <w:szCs w:val="20"/>
        </w:rPr>
      </w:pPr>
    </w:p>
    <w:p w14:paraId="57A3574F" w14:textId="77777777" w:rsidR="00A5744A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RESULTADOS E DISCUSSÃO</w:t>
      </w:r>
    </w:p>
    <w:p w14:paraId="3059677D" w14:textId="77777777" w:rsidR="00A5744A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 densidade total da </w:t>
      </w:r>
      <w:proofErr w:type="spellStart"/>
      <w:r>
        <w:rPr>
          <w:sz w:val="20"/>
          <w:szCs w:val="20"/>
        </w:rPr>
        <w:t>meiofauna</w:t>
      </w:r>
      <w:proofErr w:type="spellEnd"/>
      <w:r>
        <w:rPr>
          <w:sz w:val="20"/>
          <w:szCs w:val="20"/>
        </w:rPr>
        <w:t xml:space="preserve"> apresentou diferenças significativas nos tratamentos em função dos tempos (</w:t>
      </w:r>
      <w:proofErr w:type="spellStart"/>
      <w:r>
        <w:rPr>
          <w:sz w:val="20"/>
          <w:szCs w:val="20"/>
        </w:rPr>
        <w:t>Pseudo-F</w:t>
      </w:r>
      <w:proofErr w:type="spellEnd"/>
      <w:r>
        <w:rPr>
          <w:sz w:val="20"/>
          <w:szCs w:val="20"/>
        </w:rPr>
        <w:t xml:space="preserve"> = 10,785; p = 0,0002) (Fig. 1). Nas maiores concentrações observou-se menores densidades, diferindo significativamente entre elas, tanto no T15 (p = 0,0007) quanto no T30 (p = 0,0004). A incidência de altas concentrações de </w:t>
      </w:r>
      <w:proofErr w:type="spellStart"/>
      <w:r>
        <w:rPr>
          <w:sz w:val="20"/>
          <w:szCs w:val="20"/>
        </w:rPr>
        <w:t>HPA’s</w:t>
      </w:r>
      <w:proofErr w:type="spellEnd"/>
      <w:r>
        <w:rPr>
          <w:sz w:val="20"/>
          <w:szCs w:val="20"/>
        </w:rPr>
        <w:t xml:space="preserve"> no ambiente promove impactos deletérios sobre as densidades da </w:t>
      </w:r>
      <w:proofErr w:type="spellStart"/>
      <w:r>
        <w:rPr>
          <w:sz w:val="20"/>
          <w:szCs w:val="20"/>
        </w:rPr>
        <w:t>meiofauna</w:t>
      </w:r>
      <w:proofErr w:type="spellEnd"/>
      <w:r>
        <w:rPr>
          <w:sz w:val="20"/>
          <w:szCs w:val="20"/>
        </w:rPr>
        <w:t>, assim como a exposição contínua ao estressor (Lindgren et al., 2012). Dessa forma, o desequilíbrio ambiental nessas comunidades ocasiona a perda da biodiversidade local expandindo seus danos para todo o ecossistema (</w:t>
      </w:r>
      <w:proofErr w:type="spellStart"/>
      <w:r>
        <w:rPr>
          <w:sz w:val="20"/>
          <w:szCs w:val="20"/>
        </w:rPr>
        <w:t>Zeppilli</w:t>
      </w:r>
      <w:proofErr w:type="spellEnd"/>
      <w:r>
        <w:rPr>
          <w:sz w:val="20"/>
          <w:szCs w:val="20"/>
        </w:rPr>
        <w:t xml:space="preserve"> et al., 2015). Durante o T15, nos controles e menor concentração, a </w:t>
      </w:r>
      <w:proofErr w:type="spellStart"/>
      <w:r>
        <w:rPr>
          <w:sz w:val="20"/>
          <w:szCs w:val="20"/>
        </w:rPr>
        <w:t>meiofauna</w:t>
      </w:r>
      <w:proofErr w:type="spellEnd"/>
      <w:r>
        <w:rPr>
          <w:sz w:val="20"/>
          <w:szCs w:val="20"/>
        </w:rPr>
        <w:t xml:space="preserve"> obteve menores densidades quando comparadas ao T30. Essa diminuição está relacionada ao efeito experimental, o qual ocasiona reduções na densidade da fauna (</w:t>
      </w:r>
      <w:proofErr w:type="spellStart"/>
      <w:r>
        <w:rPr>
          <w:sz w:val="20"/>
          <w:szCs w:val="20"/>
        </w:rPr>
        <w:t>Gingold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Moens</w:t>
      </w:r>
      <w:proofErr w:type="spellEnd"/>
      <w:r>
        <w:rPr>
          <w:sz w:val="20"/>
          <w:szCs w:val="20"/>
        </w:rPr>
        <w:t>; Rocha-Olivares, 2013)</w:t>
      </w:r>
      <w:r>
        <w:rPr>
          <w:color w:val="000000"/>
          <w:sz w:val="20"/>
          <w:szCs w:val="20"/>
        </w:rPr>
        <w:t>.</w:t>
      </w:r>
      <w:r>
        <w:rPr>
          <w:sz w:val="20"/>
          <w:szCs w:val="20"/>
        </w:rPr>
        <w:t xml:space="preserve"> No entanto, o aumento da densidade média no T30 nos mesmos tratamentos evidencia a reestruturação desses organismos, ocorrido após o equilíbrio observado ao final dos 30 dias </w:t>
      </w: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Vafeiadou</w:t>
      </w:r>
      <w:proofErr w:type="spellEnd"/>
      <w:r>
        <w:rPr>
          <w:color w:val="000000"/>
          <w:sz w:val="20"/>
          <w:szCs w:val="20"/>
        </w:rPr>
        <w:t xml:space="preserve"> et al., 2018).</w:t>
      </w:r>
    </w:p>
    <w:p w14:paraId="70E3EE90" w14:textId="77777777" w:rsidR="00A5744A" w:rsidRDefault="00000000">
      <w:pPr>
        <w:tabs>
          <w:tab w:val="left" w:pos="683"/>
        </w:tabs>
        <w:spacing w:before="158"/>
        <w:jc w:val="center"/>
        <w:rPr>
          <w:sz w:val="20"/>
          <w:szCs w:val="20"/>
        </w:rPr>
      </w:pPr>
      <w:bookmarkStart w:id="1" w:name="_30j0zll" w:colFirst="0" w:colLast="0"/>
      <w:bookmarkEnd w:id="1"/>
      <w:r>
        <w:rPr>
          <w:noProof/>
        </w:rPr>
        <w:drawing>
          <wp:inline distT="0" distB="0" distL="0" distR="0" wp14:anchorId="588558CE" wp14:editId="5DAF28E9">
            <wp:extent cx="2562225" cy="1771650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1"/>
                    <a:srcRect l="1" t="8217" r="1498" b="5149"/>
                    <a:stretch/>
                  </pic:blipFill>
                  <pic:spPr bwMode="auto">
                    <a:xfrm>
                      <a:off x="0" y="0"/>
                      <a:ext cx="2563149" cy="1772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40771" w14:textId="77777777" w:rsidR="00A5744A" w:rsidRDefault="00000000">
      <w:pPr>
        <w:tabs>
          <w:tab w:val="left" w:pos="683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Figura 1. Média (± EP) da densidade da </w:t>
      </w:r>
      <w:proofErr w:type="spellStart"/>
      <w:r>
        <w:rPr>
          <w:sz w:val="20"/>
          <w:szCs w:val="20"/>
        </w:rPr>
        <w:t>meiofauna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Ind</w:t>
      </w:r>
      <w:proofErr w:type="spellEnd"/>
      <w:r>
        <w:rPr>
          <w:sz w:val="20"/>
          <w:szCs w:val="20"/>
        </w:rPr>
        <w:t>/ 10cm</w:t>
      </w:r>
      <w:r>
        <w:rPr>
          <w:sz w:val="33"/>
          <w:szCs w:val="33"/>
          <w:vertAlign w:val="superscript"/>
        </w:rPr>
        <w:t>-2</w:t>
      </w:r>
      <w:r>
        <w:rPr>
          <w:sz w:val="20"/>
          <w:szCs w:val="20"/>
        </w:rPr>
        <w:t>) exposto às diferentes concentrações do óleo (C, CS, 0.05, 0.1 e 0.2 µg ml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>) na temperatura de 28ºC em diferentes tempos: T0 (dia 0), T15 (dia 15) e T30 (dia 30). Letras representam similaridades entre os tratamentos.</w:t>
      </w:r>
    </w:p>
    <w:p w14:paraId="13DE6115" w14:textId="77777777" w:rsidR="00A5744A" w:rsidRDefault="00A5744A">
      <w:pPr>
        <w:tabs>
          <w:tab w:val="left" w:pos="683"/>
        </w:tabs>
        <w:spacing w:line="240" w:lineRule="auto"/>
        <w:jc w:val="both"/>
        <w:rPr>
          <w:sz w:val="20"/>
          <w:szCs w:val="20"/>
        </w:rPr>
      </w:pPr>
    </w:p>
    <w:p w14:paraId="553F0CD0" w14:textId="77777777" w:rsidR="00A5744A" w:rsidRDefault="00000000">
      <w:pPr>
        <w:tabs>
          <w:tab w:val="left" w:pos="683"/>
        </w:tabs>
        <w:spacing w:line="240" w:lineRule="auto"/>
        <w:ind w:left="-2"/>
        <w:jc w:val="both"/>
        <w:rPr>
          <w:sz w:val="20"/>
          <w:szCs w:val="20"/>
        </w:rPr>
      </w:pPr>
      <w:r>
        <w:rPr>
          <w:sz w:val="20"/>
          <w:szCs w:val="20"/>
        </w:rPr>
        <w:tab/>
        <w:t>No total foram identificados representantes de 10 taxa (Fig. 2A). Houve diferenças significativas na riqueza (</w:t>
      </w:r>
      <w:proofErr w:type="spellStart"/>
      <w:r>
        <w:rPr>
          <w:sz w:val="20"/>
          <w:szCs w:val="20"/>
        </w:rPr>
        <w:t>Pseudo-F</w:t>
      </w:r>
      <w:proofErr w:type="spellEnd"/>
      <w:r>
        <w:rPr>
          <w:sz w:val="20"/>
          <w:szCs w:val="20"/>
        </w:rPr>
        <w:t xml:space="preserve"> = 59,63; p = 0,001; PERMEDISP: p = 0,386) em diferentes concentrações da mistura de óleo. Os tratamentos C, CS e [0.05] apresentaram maiores riquezas. Nas concentrações mais altas houve diminuição dos taxa em ambos os tempos, sendo </w:t>
      </w:r>
      <w:proofErr w:type="spellStart"/>
      <w:r>
        <w:rPr>
          <w:sz w:val="20"/>
          <w:szCs w:val="20"/>
        </w:rPr>
        <w:t>Nematoda</w:t>
      </w:r>
      <w:proofErr w:type="spellEnd"/>
      <w:r>
        <w:rPr>
          <w:sz w:val="20"/>
          <w:szCs w:val="20"/>
        </w:rPr>
        <w:t xml:space="preserve"> e Turbellaria os principais taxa encontrados. A sobreposição de nematoides sobre outras espécies, evidenciada principalmente no T30 (Fig. 2B) é explicada pela maior</w:t>
      </w:r>
      <w:r>
        <w:rPr>
          <w:color w:val="000000"/>
          <w:sz w:val="20"/>
          <w:szCs w:val="20"/>
        </w:rPr>
        <w:t xml:space="preserve"> resistência </w:t>
      </w:r>
      <w:r>
        <w:rPr>
          <w:sz w:val="20"/>
          <w:szCs w:val="20"/>
        </w:rPr>
        <w:t xml:space="preserve">de alguns </w:t>
      </w:r>
      <w:r>
        <w:rPr>
          <w:color w:val="000000"/>
          <w:sz w:val="20"/>
          <w:szCs w:val="20"/>
        </w:rPr>
        <w:t xml:space="preserve">grupos do táxon em ambientes perturbados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Bongers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Bongers</w:t>
      </w:r>
      <w:proofErr w:type="spellEnd"/>
      <w:r>
        <w:rPr>
          <w:sz w:val="20"/>
          <w:szCs w:val="20"/>
        </w:rPr>
        <w:t>, 1998)</w:t>
      </w:r>
      <w:r>
        <w:rPr>
          <w:color w:val="000000"/>
          <w:sz w:val="20"/>
          <w:szCs w:val="20"/>
        </w:rPr>
        <w:t>.</w:t>
      </w:r>
      <w:r>
        <w:rPr>
          <w:sz w:val="20"/>
          <w:szCs w:val="20"/>
        </w:rPr>
        <w:t xml:space="preserve"> Ademais, observou-se que o taxa Turbellaria demonstrou-se persistente ao final do T30, evidenciando sua tolerância em ambientes perturbados por petróleo </w:t>
      </w: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Bonsdorff</w:t>
      </w:r>
      <w:proofErr w:type="spellEnd"/>
      <w:r>
        <w:rPr>
          <w:color w:val="000000"/>
          <w:sz w:val="20"/>
          <w:szCs w:val="20"/>
        </w:rPr>
        <w:t>, 1981)</w:t>
      </w:r>
      <w:r>
        <w:rPr>
          <w:sz w:val="20"/>
          <w:szCs w:val="20"/>
        </w:rPr>
        <w:t xml:space="preserve">. Taxa mais raros (Outros) foram cada vez mais fragilizados em decorrência do aumento das concentrações ao longo do tempo, sendo possivelmente eliminados pela toxicidade dos </w:t>
      </w:r>
      <w:proofErr w:type="spellStart"/>
      <w:r>
        <w:rPr>
          <w:sz w:val="20"/>
          <w:szCs w:val="20"/>
        </w:rPr>
        <w:t>HPA’s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Baguley</w:t>
      </w:r>
      <w:proofErr w:type="spellEnd"/>
      <w:r>
        <w:rPr>
          <w:sz w:val="20"/>
          <w:szCs w:val="20"/>
        </w:rPr>
        <w:t>, 2015).</w:t>
      </w:r>
    </w:p>
    <w:p w14:paraId="6EDB6B84" w14:textId="77777777" w:rsidR="00A5744A" w:rsidRDefault="00A5744A">
      <w:pPr>
        <w:tabs>
          <w:tab w:val="left" w:pos="683"/>
        </w:tabs>
        <w:spacing w:line="240" w:lineRule="auto"/>
        <w:ind w:left="-2"/>
        <w:jc w:val="both"/>
        <w:rPr>
          <w:sz w:val="20"/>
          <w:szCs w:val="20"/>
        </w:rPr>
      </w:pPr>
    </w:p>
    <w:p w14:paraId="44B99363" w14:textId="56AD8088" w:rsidR="00D03113" w:rsidRDefault="00D03113" w:rsidP="00D03113">
      <w:pPr>
        <w:tabs>
          <w:tab w:val="left" w:pos="683"/>
        </w:tabs>
        <w:ind w:left="-2"/>
        <w:jc w:val="center"/>
        <w:rPr>
          <w:noProof/>
        </w:rPr>
      </w:pPr>
      <w:r w:rsidRPr="00F042E0">
        <w:rPr>
          <w:noProof/>
        </w:rPr>
        <w:drawing>
          <wp:inline distT="0" distB="0" distL="0" distR="0" wp14:anchorId="5CC69D93" wp14:editId="6185A53B">
            <wp:extent cx="2089083" cy="1819275"/>
            <wp:effectExtent l="0" t="0" r="6985" b="0"/>
            <wp:docPr id="168243347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28050" r="26799" b="33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29" cy="182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Pr="00F042E0">
        <w:rPr>
          <w:noProof/>
        </w:rPr>
        <w:drawing>
          <wp:inline distT="0" distB="0" distL="0" distR="0" wp14:anchorId="4A98030B" wp14:editId="44A3F89E">
            <wp:extent cx="2710463" cy="1778000"/>
            <wp:effectExtent l="0" t="0" r="0" b="0"/>
            <wp:docPr id="2286985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8" t="28549" r="7043" b="33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630" cy="178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FC789" w14:textId="77777777" w:rsidR="00D03113" w:rsidRPr="006F7A0A" w:rsidRDefault="00D03113" w:rsidP="00D03113">
      <w:pPr>
        <w:tabs>
          <w:tab w:val="left" w:pos="683"/>
        </w:tabs>
        <w:ind w:left="-2"/>
        <w:jc w:val="center"/>
        <w:rPr>
          <w:sz w:val="20"/>
          <w:szCs w:val="20"/>
        </w:rPr>
      </w:pPr>
    </w:p>
    <w:p w14:paraId="7DF0E847" w14:textId="77777777" w:rsidR="00D03113" w:rsidRPr="006F7A0A" w:rsidRDefault="00D03113" w:rsidP="00D03113">
      <w:pPr>
        <w:tabs>
          <w:tab w:val="left" w:pos="683"/>
        </w:tabs>
        <w:jc w:val="both"/>
        <w:rPr>
          <w:sz w:val="20"/>
          <w:szCs w:val="20"/>
        </w:rPr>
      </w:pPr>
      <w:r w:rsidRPr="006F7A0A">
        <w:rPr>
          <w:sz w:val="20"/>
          <w:szCs w:val="20"/>
        </w:rPr>
        <w:lastRenderedPageBreak/>
        <w:t xml:space="preserve">Figura 2. Abundância Relativa (%) dos taxa da </w:t>
      </w:r>
      <w:proofErr w:type="spellStart"/>
      <w:r w:rsidRPr="006F7A0A">
        <w:rPr>
          <w:sz w:val="20"/>
          <w:szCs w:val="20"/>
        </w:rPr>
        <w:t>meiofauna</w:t>
      </w:r>
      <w:proofErr w:type="spellEnd"/>
      <w:r w:rsidRPr="006F7A0A">
        <w:rPr>
          <w:sz w:val="20"/>
          <w:szCs w:val="20"/>
        </w:rPr>
        <w:t xml:space="preserve"> encontrados em diferentes concentrações de mistura de óleo (C, CS, 0.05, 0.1 e 0.2 µg ml</w:t>
      </w:r>
      <w:r w:rsidRPr="006F7A0A">
        <w:rPr>
          <w:sz w:val="20"/>
          <w:szCs w:val="20"/>
          <w:vertAlign w:val="superscript"/>
        </w:rPr>
        <w:t>-1</w:t>
      </w:r>
      <w:r w:rsidRPr="006F7A0A">
        <w:rPr>
          <w:sz w:val="20"/>
          <w:szCs w:val="20"/>
        </w:rPr>
        <w:t>) durante o T15 (</w:t>
      </w:r>
      <w:r w:rsidRPr="006F7A0A">
        <w:rPr>
          <w:rFonts w:hint="eastAsia"/>
          <w:sz w:val="20"/>
          <w:szCs w:val="20"/>
        </w:rPr>
        <w:t>p</w:t>
      </w:r>
      <w:r w:rsidRPr="006F7A0A">
        <w:rPr>
          <w:sz w:val="20"/>
          <w:szCs w:val="20"/>
        </w:rPr>
        <w:t>ainel A) e T30 (painel B). Números acima de cada coluna representam número de taxa encontrada em cada tratamento.</w:t>
      </w:r>
    </w:p>
    <w:p w14:paraId="3DB4C5EE" w14:textId="77777777" w:rsidR="00A5744A" w:rsidRDefault="00A5744A">
      <w:pPr>
        <w:spacing w:line="240" w:lineRule="auto"/>
        <w:jc w:val="both"/>
        <w:rPr>
          <w:b/>
          <w:sz w:val="20"/>
          <w:szCs w:val="20"/>
        </w:rPr>
      </w:pPr>
    </w:p>
    <w:p w14:paraId="5B1A215D" w14:textId="77777777" w:rsidR="00A5744A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CONCLUSÕES</w:t>
      </w:r>
    </w:p>
    <w:p w14:paraId="147EC7D3" w14:textId="77777777" w:rsidR="00A5744A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Observou-se que os </w:t>
      </w:r>
      <w:proofErr w:type="spellStart"/>
      <w:r>
        <w:rPr>
          <w:sz w:val="20"/>
          <w:szCs w:val="20"/>
        </w:rPr>
        <w:t>HPA’s</w:t>
      </w:r>
      <w:proofErr w:type="spellEnd"/>
      <w:r>
        <w:rPr>
          <w:sz w:val="20"/>
          <w:szCs w:val="20"/>
        </w:rPr>
        <w:t xml:space="preserve"> possuem efeitos deletérios sobre as densidades e riqueza da </w:t>
      </w:r>
      <w:proofErr w:type="spellStart"/>
      <w:proofErr w:type="gramStart"/>
      <w:r>
        <w:rPr>
          <w:sz w:val="20"/>
          <w:szCs w:val="20"/>
        </w:rPr>
        <w:t>meiofauna;Destaca</w:t>
      </w:r>
      <w:proofErr w:type="gramEnd"/>
      <w:r>
        <w:rPr>
          <w:sz w:val="20"/>
          <w:szCs w:val="20"/>
        </w:rPr>
        <w:t>-se</w:t>
      </w:r>
      <w:proofErr w:type="spellEnd"/>
      <w:r>
        <w:rPr>
          <w:sz w:val="20"/>
          <w:szCs w:val="20"/>
        </w:rPr>
        <w:t xml:space="preserve"> que o potencial ecotoxicológico dos contaminantes é aumentado em decorrência de sua persistência a longo prazo;</w:t>
      </w:r>
    </w:p>
    <w:p w14:paraId="5EC4B7BA" w14:textId="77777777" w:rsidR="00A5744A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fim, sugere-se que mais estudos sejam realizados com os demais estressores ambientais que acometem a </w:t>
      </w:r>
      <w:proofErr w:type="spellStart"/>
      <w:r>
        <w:rPr>
          <w:sz w:val="20"/>
          <w:szCs w:val="20"/>
        </w:rPr>
        <w:t>meiofauna</w:t>
      </w:r>
      <w:proofErr w:type="spellEnd"/>
      <w:r>
        <w:rPr>
          <w:sz w:val="20"/>
          <w:szCs w:val="20"/>
        </w:rPr>
        <w:t>, bem como a sinergia entre os seus efeitos.</w:t>
      </w:r>
    </w:p>
    <w:p w14:paraId="3BC93EC0" w14:textId="77777777" w:rsidR="00A5744A" w:rsidRDefault="00A5744A">
      <w:pPr>
        <w:spacing w:line="240" w:lineRule="auto"/>
        <w:ind w:firstLine="567"/>
        <w:jc w:val="both"/>
        <w:rPr>
          <w:sz w:val="20"/>
          <w:szCs w:val="20"/>
        </w:rPr>
      </w:pPr>
    </w:p>
    <w:p w14:paraId="32791FF8" w14:textId="77777777" w:rsidR="00A5744A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REFERÊNCIAS </w:t>
      </w:r>
    </w:p>
    <w:tbl>
      <w:tblPr>
        <w:tblStyle w:val="a"/>
        <w:tblW w:w="89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97"/>
      </w:tblGrid>
      <w:tr w:rsidR="00A5744A" w14:paraId="17BB85A3" w14:textId="77777777">
        <w:tc>
          <w:tcPr>
            <w:tcW w:w="8997" w:type="dxa"/>
            <w:shd w:val="clear" w:color="auto" w:fill="FFFFFF"/>
            <w:vAlign w:val="center"/>
          </w:tcPr>
          <w:p w14:paraId="6BCC4D39" w14:textId="77777777" w:rsidR="00A5744A" w:rsidRDefault="00A574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sdt>
      <w:sdtPr>
        <w:rPr>
          <w:rFonts w:eastAsia="Times New Roman"/>
          <w:color w:val="222222"/>
          <w:sz w:val="20"/>
          <w:szCs w:val="20"/>
        </w:rPr>
        <w:tag w:val="MENDELEY_BIBLIOGRAPHY"/>
        <w:id w:val="-363142634"/>
        <w:placeholder>
          <w:docPart w:val="8C8730FE6B474912B5557A3748E73194"/>
        </w:placeholder>
      </w:sdtPr>
      <w:sdtContent>
        <w:p w14:paraId="4D8FCA25" w14:textId="77777777" w:rsidR="00B222B6" w:rsidRPr="00B222B6" w:rsidRDefault="00B222B6" w:rsidP="00B222B6">
          <w:pPr>
            <w:autoSpaceDE w:val="0"/>
            <w:autoSpaceDN w:val="0"/>
            <w:ind w:hanging="480"/>
            <w:jc w:val="both"/>
            <w:rPr>
              <w:rFonts w:eastAsia="Times New Roman"/>
              <w:sz w:val="20"/>
              <w:szCs w:val="20"/>
              <w:lang w:val="en-US"/>
            </w:rPr>
          </w:pPr>
          <w:r w:rsidRPr="00B222B6">
            <w:rPr>
              <w:rFonts w:eastAsia="Times New Roman"/>
              <w:sz w:val="20"/>
              <w:szCs w:val="20"/>
              <w:lang w:val="en-US"/>
            </w:rPr>
            <w:t>Baguley, J. G., Montagna, P. A., Cooksey, C., Hyland, J. L., Bang, H. W., Morrison, C., Kamikawa, A., Bennetts</w:t>
          </w:r>
          <w:r w:rsidRPr="00D14379">
            <w:rPr>
              <w:rFonts w:eastAsia="Times New Roman"/>
              <w:sz w:val="20"/>
              <w:szCs w:val="20"/>
              <w:lang w:val="en-US"/>
            </w:rPr>
            <w:t xml:space="preserve"> </w:t>
          </w:r>
          <w:r w:rsidRPr="00B222B6">
            <w:rPr>
              <w:rFonts w:eastAsia="Times New Roman"/>
              <w:sz w:val="20"/>
              <w:szCs w:val="20"/>
              <w:lang w:val="en-US"/>
            </w:rPr>
            <w:t xml:space="preserve">(2015). Community response of deep-sea soft-sediment metazoan meiofauna to the Deepwater Horizon blowout and oil spill.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Marine Ecology Progress Series</w:t>
          </w:r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528</w:t>
          </w:r>
          <w:r w:rsidRPr="00B222B6">
            <w:rPr>
              <w:rFonts w:eastAsia="Times New Roman"/>
              <w:sz w:val="20"/>
              <w:szCs w:val="20"/>
              <w:lang w:val="en-US"/>
            </w:rPr>
            <w:t>, 127–140.</w:t>
          </w:r>
        </w:p>
        <w:p w14:paraId="204AD48C" w14:textId="77777777" w:rsidR="00B222B6" w:rsidRPr="00B222B6" w:rsidRDefault="00B222B6" w:rsidP="00B222B6">
          <w:pPr>
            <w:autoSpaceDE w:val="0"/>
            <w:autoSpaceDN w:val="0"/>
            <w:ind w:hanging="480"/>
            <w:jc w:val="both"/>
            <w:rPr>
              <w:rFonts w:eastAsia="Times New Roman"/>
              <w:sz w:val="20"/>
              <w:szCs w:val="20"/>
              <w:lang w:val="en-US"/>
            </w:rPr>
          </w:pPr>
          <w:r w:rsidRPr="00B222B6">
            <w:rPr>
              <w:rFonts w:eastAsia="Times New Roman"/>
              <w:sz w:val="20"/>
              <w:szCs w:val="20"/>
              <w:lang w:val="en-US"/>
            </w:rPr>
            <w:t xml:space="preserve">Bongers, T., &amp; Bongers, M. (1998). Functional diversity of nematodes.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Applied Soil Ecology</w:t>
          </w:r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10</w:t>
          </w:r>
          <w:r w:rsidRPr="00B222B6">
            <w:rPr>
              <w:rFonts w:eastAsia="Times New Roman"/>
              <w:sz w:val="20"/>
              <w:szCs w:val="20"/>
              <w:lang w:val="en-US"/>
            </w:rPr>
            <w:t>(3), 239–251.</w:t>
          </w:r>
        </w:p>
        <w:p w14:paraId="71C8AFEF" w14:textId="77777777" w:rsidR="00B222B6" w:rsidRPr="00B222B6" w:rsidRDefault="00B222B6" w:rsidP="00B222B6">
          <w:pPr>
            <w:autoSpaceDE w:val="0"/>
            <w:autoSpaceDN w:val="0"/>
            <w:ind w:hanging="480"/>
            <w:jc w:val="both"/>
            <w:rPr>
              <w:sz w:val="20"/>
              <w:szCs w:val="20"/>
              <w:lang w:val="en-US" w:eastAsia="zh-CN"/>
            </w:rPr>
          </w:pPr>
          <w:proofErr w:type="spellStart"/>
          <w:r w:rsidRPr="00B222B6">
            <w:rPr>
              <w:rFonts w:eastAsia="Times New Roman"/>
              <w:sz w:val="20"/>
              <w:szCs w:val="20"/>
              <w:lang w:val="en-US"/>
            </w:rPr>
            <w:t>Bonsdorff</w:t>
          </w:r>
          <w:proofErr w:type="spellEnd"/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E. (1981). The Antonio Gramsci oil spill impact on the littoral and benthic ecosystems.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Marine Pollution Bulletin</w:t>
          </w:r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12</w:t>
          </w:r>
          <w:r w:rsidRPr="00B222B6">
            <w:rPr>
              <w:rFonts w:eastAsia="Times New Roman"/>
              <w:sz w:val="20"/>
              <w:szCs w:val="20"/>
              <w:lang w:val="en-US"/>
            </w:rPr>
            <w:t>(9), 301–305.</w:t>
          </w:r>
        </w:p>
        <w:p w14:paraId="3B12630E" w14:textId="77777777" w:rsidR="00B222B6" w:rsidRPr="00B222B6" w:rsidRDefault="00B222B6" w:rsidP="00B222B6">
          <w:pPr>
            <w:autoSpaceDE w:val="0"/>
            <w:autoSpaceDN w:val="0"/>
            <w:ind w:hanging="480"/>
            <w:jc w:val="both"/>
            <w:rPr>
              <w:sz w:val="20"/>
              <w:szCs w:val="20"/>
              <w:shd w:val="clear" w:color="auto" w:fill="FFFFFF"/>
              <w:lang w:val="en-US"/>
            </w:rPr>
          </w:pPr>
          <w:r w:rsidRPr="00B222B6">
            <w:rPr>
              <w:sz w:val="20"/>
              <w:szCs w:val="20"/>
              <w:shd w:val="clear" w:color="auto" w:fill="FFFFFF"/>
              <w:lang w:val="en-US"/>
            </w:rPr>
            <w:t>Cerniglia, Carl E. Biodegradation of polycyclic aromatic hydrocarbons. Current opinion in biotechnology, v. 4, n. 3, p. 331-338, 1993.</w:t>
          </w:r>
        </w:p>
        <w:p w14:paraId="4B6ED40C" w14:textId="77777777" w:rsidR="00B222B6" w:rsidRPr="00B222B6" w:rsidRDefault="00B222B6" w:rsidP="00B222B6">
          <w:pPr>
            <w:autoSpaceDE w:val="0"/>
            <w:autoSpaceDN w:val="0"/>
            <w:ind w:hanging="480"/>
            <w:jc w:val="both"/>
            <w:rPr>
              <w:sz w:val="20"/>
              <w:szCs w:val="20"/>
              <w:shd w:val="clear" w:color="auto" w:fill="FFFFFF"/>
              <w:lang w:val="en-US" w:eastAsia="zh-CN"/>
            </w:rPr>
          </w:pPr>
          <w:proofErr w:type="spellStart"/>
          <w:r w:rsidRPr="00D14379">
            <w:rPr>
              <w:rFonts w:eastAsia="Times New Roman"/>
              <w:sz w:val="20"/>
              <w:szCs w:val="20"/>
              <w:lang w:val="en-US"/>
            </w:rPr>
            <w:t>Danovaro</w:t>
          </w:r>
          <w:proofErr w:type="spellEnd"/>
          <w:r w:rsidRPr="00D14379">
            <w:rPr>
              <w:rFonts w:eastAsia="Times New Roman"/>
              <w:sz w:val="20"/>
              <w:szCs w:val="20"/>
              <w:lang w:val="en-US"/>
            </w:rPr>
            <w:t xml:space="preserve">, Roberto </w:t>
          </w:r>
          <w:r w:rsidRPr="00D14379">
            <w:rPr>
              <w:rFonts w:eastAsia="Times New Roman"/>
              <w:i/>
              <w:iCs/>
              <w:sz w:val="20"/>
              <w:szCs w:val="20"/>
              <w:lang w:val="en-US"/>
            </w:rPr>
            <w:t>et al.</w:t>
          </w:r>
          <w:r w:rsidRPr="00D14379">
            <w:rPr>
              <w:rFonts w:eastAsia="Times New Roman"/>
              <w:sz w:val="20"/>
              <w:szCs w:val="20"/>
              <w:lang w:val="en-US"/>
            </w:rPr>
            <w:t xml:space="preserve"> Exponential decline of deep-sea ecosystem functioning linked to benthic biodiversity loss. Current Biology, 2008. v. 18, n. 1, p. 1–8. </w:t>
          </w:r>
        </w:p>
        <w:p w14:paraId="75C9A088" w14:textId="77777777" w:rsidR="00B222B6" w:rsidRPr="00B222B6" w:rsidRDefault="00B222B6" w:rsidP="00B222B6">
          <w:pPr>
            <w:autoSpaceDE w:val="0"/>
            <w:autoSpaceDN w:val="0"/>
            <w:ind w:hanging="480"/>
            <w:jc w:val="both"/>
            <w:rPr>
              <w:sz w:val="20"/>
              <w:szCs w:val="20"/>
              <w:lang w:val="en-US" w:eastAsia="zh-CN"/>
            </w:rPr>
          </w:pPr>
          <w:r w:rsidRPr="00D14379">
            <w:rPr>
              <w:rFonts w:eastAsia="Times New Roman"/>
              <w:sz w:val="20"/>
              <w:szCs w:val="20"/>
              <w:lang w:val="en-US"/>
            </w:rPr>
            <w:t xml:space="preserve">Gingold, Ruth; Moens, Tom; Rocha-Olivares, </w:t>
          </w:r>
          <w:proofErr w:type="spellStart"/>
          <w:r w:rsidRPr="00D14379">
            <w:rPr>
              <w:rFonts w:eastAsia="Times New Roman"/>
              <w:sz w:val="20"/>
              <w:szCs w:val="20"/>
              <w:lang w:val="en-US"/>
            </w:rPr>
            <w:t>Axayácatl</w:t>
          </w:r>
          <w:proofErr w:type="spellEnd"/>
          <w:r w:rsidRPr="00D14379">
            <w:rPr>
              <w:rFonts w:eastAsia="Times New Roman"/>
              <w:sz w:val="20"/>
              <w:szCs w:val="20"/>
              <w:lang w:val="en-US"/>
            </w:rPr>
            <w:t>. Assessing the response of nematode communities to climate change-driven warming: a microcosm experiment. </w:t>
          </w:r>
          <w:proofErr w:type="spellStart"/>
          <w:r w:rsidRPr="00D14379">
            <w:rPr>
              <w:rFonts w:eastAsia="Times New Roman"/>
              <w:sz w:val="20"/>
              <w:szCs w:val="20"/>
              <w:lang w:val="en-US"/>
            </w:rPr>
            <w:t>PLoS</w:t>
          </w:r>
          <w:proofErr w:type="spellEnd"/>
          <w:r w:rsidRPr="00D14379">
            <w:rPr>
              <w:rFonts w:eastAsia="Times New Roman"/>
              <w:sz w:val="20"/>
              <w:szCs w:val="20"/>
              <w:lang w:val="en-US"/>
            </w:rPr>
            <w:t xml:space="preserve"> One, v. 8, n. 6, p. e66653, 2013.</w:t>
          </w:r>
        </w:p>
        <w:p w14:paraId="532068E2" w14:textId="77777777" w:rsidR="00B222B6" w:rsidRPr="00B222B6" w:rsidRDefault="00B222B6" w:rsidP="00B222B6">
          <w:pPr>
            <w:autoSpaceDE w:val="0"/>
            <w:autoSpaceDN w:val="0"/>
            <w:ind w:hanging="480"/>
            <w:jc w:val="both"/>
            <w:rPr>
              <w:rFonts w:eastAsia="Times New Roman"/>
              <w:sz w:val="20"/>
              <w:szCs w:val="20"/>
              <w:lang w:val="en-US"/>
            </w:rPr>
          </w:pPr>
          <w:r w:rsidRPr="00B222B6">
            <w:rPr>
              <w:rFonts w:eastAsia="Times New Roman"/>
              <w:sz w:val="20"/>
              <w:szCs w:val="20"/>
              <w:lang w:val="en-US"/>
            </w:rPr>
            <w:t xml:space="preserve">Gray, J. S., &amp; Rieger, R. M. (1971). A quantitative study of the meiofauna of an exposed sandy beach, at Robin Hood’s Bay, Yorkshire.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Journal of the Marine Biological Association of the United Kingdom</w:t>
          </w:r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51</w:t>
          </w:r>
          <w:r w:rsidRPr="00B222B6">
            <w:rPr>
              <w:rFonts w:eastAsia="Times New Roman"/>
              <w:sz w:val="20"/>
              <w:szCs w:val="20"/>
              <w:lang w:val="en-US"/>
            </w:rPr>
            <w:t>(1), 1–19.</w:t>
          </w:r>
        </w:p>
        <w:p w14:paraId="49BC6FBA" w14:textId="77777777" w:rsidR="0064413F" w:rsidRDefault="00B222B6" w:rsidP="0064413F">
          <w:pPr>
            <w:autoSpaceDE w:val="0"/>
            <w:autoSpaceDN w:val="0"/>
            <w:ind w:hanging="480"/>
            <w:jc w:val="both"/>
            <w:rPr>
              <w:rFonts w:eastAsia="Times New Roman"/>
              <w:sz w:val="20"/>
              <w:szCs w:val="20"/>
              <w:lang w:val="en-US"/>
            </w:rPr>
          </w:pPr>
          <w:r w:rsidRPr="00B222B6">
            <w:rPr>
              <w:rFonts w:eastAsia="Times New Roman"/>
              <w:sz w:val="20"/>
              <w:szCs w:val="20"/>
              <w:lang w:val="en-US"/>
            </w:rPr>
            <w:t xml:space="preserve">Lindgren, J. F., </w:t>
          </w:r>
          <w:proofErr w:type="spellStart"/>
          <w:r w:rsidRPr="00B222B6">
            <w:rPr>
              <w:rFonts w:eastAsia="Times New Roman"/>
              <w:sz w:val="20"/>
              <w:szCs w:val="20"/>
              <w:lang w:val="en-US"/>
            </w:rPr>
            <w:t>Hassellöv</w:t>
          </w:r>
          <w:proofErr w:type="spellEnd"/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I.-M., &amp; </w:t>
          </w:r>
          <w:proofErr w:type="spellStart"/>
          <w:r w:rsidRPr="00B222B6">
            <w:rPr>
              <w:rFonts w:eastAsia="Times New Roman"/>
              <w:sz w:val="20"/>
              <w:szCs w:val="20"/>
              <w:lang w:val="en-US"/>
            </w:rPr>
            <w:t>Dahllöf</w:t>
          </w:r>
          <w:proofErr w:type="spellEnd"/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I. (2012). Meiofaunal and bacterial community response to diesel additions in a microcosm study.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Marine Pollution Bulletin</w:t>
          </w:r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64</w:t>
          </w:r>
          <w:r w:rsidRPr="00B222B6">
            <w:rPr>
              <w:rFonts w:eastAsia="Times New Roman"/>
              <w:sz w:val="20"/>
              <w:szCs w:val="20"/>
              <w:lang w:val="en-US"/>
            </w:rPr>
            <w:t>(3), 595–601.</w:t>
          </w:r>
        </w:p>
        <w:p w14:paraId="61792CD8" w14:textId="66C2FE31" w:rsidR="0064413F" w:rsidRPr="0064413F" w:rsidRDefault="0064413F" w:rsidP="0064413F">
          <w:pPr>
            <w:autoSpaceDE w:val="0"/>
            <w:autoSpaceDN w:val="0"/>
            <w:ind w:hanging="480"/>
            <w:jc w:val="both"/>
            <w:rPr>
              <w:rFonts w:eastAsia="Times New Roman"/>
              <w:sz w:val="18"/>
              <w:szCs w:val="18"/>
              <w:lang w:val="en-US"/>
            </w:rPr>
          </w:pPr>
          <w:r w:rsidRPr="0064413F">
            <w:rPr>
              <w:sz w:val="20"/>
              <w:szCs w:val="20"/>
              <w:lang w:val="en-US"/>
            </w:rPr>
            <w:t>Monteiro</w:t>
          </w:r>
          <w:r w:rsidRPr="0064413F">
            <w:rPr>
              <w:sz w:val="20"/>
              <w:szCs w:val="20"/>
              <w:lang w:val="en-US"/>
            </w:rPr>
            <w:t xml:space="preserve">, L. </w:t>
          </w:r>
          <w:r w:rsidRPr="0064413F">
            <w:rPr>
              <w:i/>
              <w:iCs/>
              <w:sz w:val="20"/>
              <w:szCs w:val="20"/>
              <w:lang w:val="en-US"/>
            </w:rPr>
            <w:t>et al.</w:t>
          </w:r>
          <w:r w:rsidRPr="0064413F">
            <w:rPr>
              <w:sz w:val="20"/>
              <w:szCs w:val="20"/>
              <w:lang w:val="en-US"/>
            </w:rPr>
            <w:t xml:space="preserve"> Effects of the water-soluble fraction of a crude oil on freshwater meiofauna and nematode assemblages. </w:t>
          </w:r>
          <w:r w:rsidRPr="0064413F">
            <w:rPr>
              <w:i/>
              <w:iCs/>
              <w:sz w:val="20"/>
              <w:szCs w:val="20"/>
              <w:lang w:val="en-US"/>
            </w:rPr>
            <w:t>Ecotoxicology and environmental safety</w:t>
          </w:r>
          <w:r w:rsidRPr="0064413F">
            <w:rPr>
              <w:sz w:val="20"/>
              <w:szCs w:val="20"/>
              <w:lang w:val="en-US"/>
            </w:rPr>
            <w:t>, 2019. v. 176, p. 186–195</w:t>
          </w:r>
        </w:p>
        <w:p w14:paraId="32ACDC50" w14:textId="77777777" w:rsidR="00B222B6" w:rsidRPr="00B222B6" w:rsidRDefault="00B222B6" w:rsidP="00B222B6">
          <w:pPr>
            <w:autoSpaceDE w:val="0"/>
            <w:autoSpaceDN w:val="0"/>
            <w:ind w:hanging="480"/>
            <w:jc w:val="both"/>
            <w:rPr>
              <w:rFonts w:eastAsia="Times New Roman"/>
              <w:sz w:val="20"/>
              <w:szCs w:val="20"/>
              <w:lang w:val="en-US"/>
            </w:rPr>
          </w:pPr>
          <w:proofErr w:type="spellStart"/>
          <w:r w:rsidRPr="00B222B6">
            <w:rPr>
              <w:rFonts w:eastAsia="Times New Roman"/>
              <w:sz w:val="20"/>
              <w:szCs w:val="20"/>
              <w:lang w:val="en-US"/>
            </w:rPr>
            <w:t>Rigét</w:t>
          </w:r>
          <w:proofErr w:type="spellEnd"/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F., </w:t>
          </w:r>
          <w:proofErr w:type="spellStart"/>
          <w:r w:rsidRPr="00B222B6">
            <w:rPr>
              <w:rFonts w:eastAsia="Times New Roman"/>
              <w:sz w:val="20"/>
              <w:szCs w:val="20"/>
              <w:lang w:val="en-US"/>
            </w:rPr>
            <w:t>Vorkamp</w:t>
          </w:r>
          <w:proofErr w:type="spellEnd"/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K., Bossi, R., Sonne, </w:t>
          </w:r>
          <w:proofErr w:type="gramStart"/>
          <w:r w:rsidRPr="00B222B6">
            <w:rPr>
              <w:rFonts w:eastAsia="Times New Roman"/>
              <w:sz w:val="20"/>
              <w:szCs w:val="20"/>
              <w:lang w:val="en-US"/>
            </w:rPr>
            <w:t>C(</w:t>
          </w:r>
          <w:proofErr w:type="gramEnd"/>
          <w:r w:rsidRPr="00B222B6">
            <w:rPr>
              <w:rFonts w:eastAsia="Times New Roman"/>
              <w:sz w:val="20"/>
              <w:szCs w:val="20"/>
              <w:lang w:val="en-US"/>
            </w:rPr>
            <w:t xml:space="preserve">2016). Twenty years of monitoring of persistent organic pollutants in Greenland biota. A review.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Environmental Pollution</w:t>
          </w:r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217</w:t>
          </w:r>
          <w:r w:rsidRPr="00B222B6">
            <w:rPr>
              <w:rFonts w:eastAsia="Times New Roman"/>
              <w:sz w:val="20"/>
              <w:szCs w:val="20"/>
              <w:lang w:val="en-US"/>
            </w:rPr>
            <w:t>, 114–123.</w:t>
          </w:r>
        </w:p>
        <w:p w14:paraId="2C8CAAA0" w14:textId="77777777" w:rsidR="00B222B6" w:rsidRPr="00B222B6" w:rsidRDefault="00B222B6" w:rsidP="00B222B6">
          <w:pPr>
            <w:autoSpaceDE w:val="0"/>
            <w:autoSpaceDN w:val="0"/>
            <w:ind w:hanging="480"/>
            <w:jc w:val="both"/>
            <w:rPr>
              <w:rFonts w:eastAsia="Times New Roman"/>
              <w:sz w:val="20"/>
              <w:szCs w:val="20"/>
              <w:lang w:val="en-US"/>
            </w:rPr>
          </w:pPr>
          <w:proofErr w:type="spellStart"/>
          <w:r w:rsidRPr="00B222B6">
            <w:rPr>
              <w:rFonts w:eastAsia="Times New Roman"/>
              <w:sz w:val="20"/>
              <w:szCs w:val="20"/>
              <w:lang w:val="en-US"/>
            </w:rPr>
            <w:t>Schratzberger</w:t>
          </w:r>
          <w:proofErr w:type="spellEnd"/>
          <w:r w:rsidRPr="00B222B6">
            <w:rPr>
              <w:rFonts w:eastAsia="Times New Roman"/>
              <w:sz w:val="20"/>
              <w:szCs w:val="20"/>
              <w:lang w:val="en-US"/>
            </w:rPr>
            <w:t>, M., &amp; Ingels, J. (201</w:t>
          </w:r>
          <w:r w:rsidRPr="008F1F58">
            <w:rPr>
              <w:rFonts w:eastAsia="Times New Roman"/>
              <w:sz w:val="20"/>
              <w:szCs w:val="20"/>
              <w:lang w:val="en-US"/>
            </w:rPr>
            <w:t>7</w:t>
          </w:r>
          <w:r w:rsidRPr="00B222B6">
            <w:rPr>
              <w:rFonts w:eastAsia="Times New Roman"/>
              <w:sz w:val="20"/>
              <w:szCs w:val="20"/>
              <w:lang w:val="en-US"/>
            </w:rPr>
            <w:t xml:space="preserve">). Meiofauna matters: the roles of meiofauna in benthic ecosystems.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Journal of Experimental Marine Biology and Ecology</w:t>
          </w:r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502</w:t>
          </w:r>
          <w:r w:rsidRPr="00B222B6">
            <w:rPr>
              <w:rFonts w:eastAsia="Times New Roman"/>
              <w:sz w:val="20"/>
              <w:szCs w:val="20"/>
              <w:lang w:val="en-US"/>
            </w:rPr>
            <w:t>, 12–25.</w:t>
          </w:r>
        </w:p>
        <w:p w14:paraId="2B7A937E" w14:textId="77777777" w:rsidR="00B222B6" w:rsidRPr="00B222B6" w:rsidRDefault="00B222B6" w:rsidP="00B222B6">
          <w:pPr>
            <w:autoSpaceDE w:val="0"/>
            <w:autoSpaceDN w:val="0"/>
            <w:ind w:hanging="480"/>
            <w:jc w:val="both"/>
            <w:rPr>
              <w:sz w:val="20"/>
              <w:szCs w:val="20"/>
              <w:lang w:val="en-US" w:eastAsia="zh-CN"/>
            </w:rPr>
          </w:pPr>
          <w:proofErr w:type="spellStart"/>
          <w:r w:rsidRPr="00B222B6">
            <w:rPr>
              <w:rFonts w:eastAsia="Times New Roman"/>
              <w:sz w:val="20"/>
              <w:szCs w:val="20"/>
              <w:lang w:val="en-US"/>
            </w:rPr>
            <w:t>Vafeiadou</w:t>
          </w:r>
          <w:proofErr w:type="spellEnd"/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A.-M., Bretaña, B. L. P., Van Colen, C., Dos Santos, G. A. P., &amp; Moens, T. (2018). Global warming-induced temperature effects to intertidal tropical and temperate meiobenthic communities.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Marine Environmental Research</w:t>
          </w:r>
          <w:r w:rsidRPr="00B222B6">
            <w:rPr>
              <w:rFonts w:eastAsia="Times New Roman"/>
              <w:sz w:val="20"/>
              <w:szCs w:val="20"/>
              <w:lang w:val="en-US"/>
            </w:rPr>
            <w:t xml:space="preserve">, </w:t>
          </w:r>
          <w:r w:rsidRPr="00B222B6">
            <w:rPr>
              <w:rFonts w:eastAsia="Times New Roman"/>
              <w:i/>
              <w:iCs/>
              <w:sz w:val="20"/>
              <w:szCs w:val="20"/>
              <w:lang w:val="en-US"/>
            </w:rPr>
            <w:t>142</w:t>
          </w:r>
          <w:r w:rsidRPr="00B222B6">
            <w:rPr>
              <w:rFonts w:eastAsia="Times New Roman"/>
              <w:sz w:val="20"/>
              <w:szCs w:val="20"/>
              <w:lang w:val="en-US"/>
            </w:rPr>
            <w:t>, 163–177.</w:t>
          </w:r>
        </w:p>
        <w:p w14:paraId="18791AAC" w14:textId="77777777" w:rsidR="00B222B6" w:rsidRPr="003F0A87" w:rsidRDefault="00B222B6" w:rsidP="00B222B6">
          <w:pPr>
            <w:autoSpaceDE w:val="0"/>
            <w:autoSpaceDN w:val="0"/>
            <w:ind w:hanging="480"/>
            <w:jc w:val="both"/>
            <w:rPr>
              <w:sz w:val="20"/>
              <w:szCs w:val="20"/>
              <w:lang w:eastAsia="zh-CN"/>
            </w:rPr>
          </w:pPr>
          <w:proofErr w:type="spellStart"/>
          <w:r w:rsidRPr="00D14379">
            <w:rPr>
              <w:rFonts w:eastAsia="Times New Roman"/>
              <w:sz w:val="20"/>
              <w:szCs w:val="20"/>
              <w:lang w:val="en-US"/>
            </w:rPr>
            <w:t>Zeppilli</w:t>
          </w:r>
          <w:proofErr w:type="spellEnd"/>
          <w:r w:rsidRPr="00D14379">
            <w:rPr>
              <w:rFonts w:eastAsia="Times New Roman"/>
              <w:sz w:val="20"/>
              <w:szCs w:val="20"/>
              <w:lang w:val="en-US"/>
            </w:rPr>
            <w:t xml:space="preserve">, D. </w:t>
          </w:r>
          <w:r w:rsidRPr="00D14379">
            <w:rPr>
              <w:rFonts w:eastAsia="Times New Roman"/>
              <w:i/>
              <w:iCs/>
              <w:sz w:val="20"/>
              <w:szCs w:val="20"/>
              <w:lang w:val="en-US"/>
            </w:rPr>
            <w:t>et al.</w:t>
          </w:r>
          <w:r w:rsidRPr="00D14379">
            <w:rPr>
              <w:rFonts w:eastAsia="Times New Roman"/>
              <w:sz w:val="20"/>
              <w:szCs w:val="20"/>
              <w:lang w:val="en-US"/>
            </w:rPr>
            <w:t xml:space="preserve"> Is the meiofauna a good indicator for climate change and anthropogenic impacts? Marine Biodiversity, 2015. v. 45, p. 505–535.</w:t>
          </w:r>
        </w:p>
      </w:sdtContent>
    </w:sdt>
    <w:p w14:paraId="70DC8FCB" w14:textId="77777777" w:rsidR="00A5744A" w:rsidRPr="001C6028" w:rsidRDefault="00A5744A">
      <w:pPr>
        <w:rPr>
          <w:b/>
          <w:sz w:val="20"/>
          <w:szCs w:val="20"/>
          <w:lang w:val="en-US"/>
        </w:rPr>
      </w:pPr>
    </w:p>
    <w:sectPr w:rsidR="00A5744A" w:rsidRPr="001C6028">
      <w:headerReference w:type="default" r:id="rId14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0B0C" w14:textId="77777777" w:rsidR="00487A93" w:rsidRDefault="00487A93">
      <w:pPr>
        <w:spacing w:line="240" w:lineRule="auto"/>
      </w:pPr>
      <w:r>
        <w:separator/>
      </w:r>
    </w:p>
  </w:endnote>
  <w:endnote w:type="continuationSeparator" w:id="0">
    <w:p w14:paraId="4F96FC99" w14:textId="77777777" w:rsidR="00487A93" w:rsidRDefault="00487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0C34" w14:textId="77777777" w:rsidR="00487A93" w:rsidRDefault="00487A93">
      <w:pPr>
        <w:spacing w:line="240" w:lineRule="auto"/>
      </w:pPr>
      <w:r>
        <w:separator/>
      </w:r>
    </w:p>
  </w:footnote>
  <w:footnote w:type="continuationSeparator" w:id="0">
    <w:p w14:paraId="63A233CC" w14:textId="77777777" w:rsidR="00487A93" w:rsidRDefault="00487A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2715" w14:textId="77777777" w:rsidR="00A5744A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2F4E405" wp14:editId="47DC6710">
          <wp:extent cx="1776095" cy="798195"/>
          <wp:effectExtent l="0" t="0" r="0" b="0"/>
          <wp:docPr id="2" name="image2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CORR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4A"/>
    <w:rsid w:val="001C6028"/>
    <w:rsid w:val="00473FDD"/>
    <w:rsid w:val="00487A93"/>
    <w:rsid w:val="0064413F"/>
    <w:rsid w:val="006911E1"/>
    <w:rsid w:val="00A5744A"/>
    <w:rsid w:val="00B222B6"/>
    <w:rsid w:val="00D0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4767"/>
  <w15:docId w15:val="{BFAA7EE5-1800-4A5F-BB6B-BF399C33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a.lobato@ufpe.br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eticia.pereira@ufpe.br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mailto:nathan.lsgotti@ufpe.br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giovanna.pessoa@ufpe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nan.belem@ufpe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8730FE6B474912B5557A3748E73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AC1DC6-2D07-4B28-AC73-C1738E53580C}"/>
      </w:docPartPr>
      <w:docPartBody>
        <w:p w:rsidR="00000000" w:rsidRDefault="00127FC0" w:rsidP="00127FC0">
          <w:pPr>
            <w:pStyle w:val="8C8730FE6B474912B5557A3748E73194"/>
          </w:pPr>
          <w:r w:rsidRPr="00647EC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C0"/>
    <w:rsid w:val="00127FC0"/>
    <w:rsid w:val="006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rsid w:val="00127FC0"/>
    <w:rPr>
      <w:color w:val="808080"/>
    </w:rPr>
  </w:style>
  <w:style w:type="paragraph" w:customStyle="1" w:styleId="8C8730FE6B474912B5557A3748E73194">
    <w:name w:val="8C8730FE6B474912B5557A3748E73194"/>
    <w:rsid w:val="00127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1464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Nathan Lorenzo</cp:lastModifiedBy>
  <cp:revision>2</cp:revision>
  <dcterms:created xsi:type="dcterms:W3CDTF">2023-10-04T00:06:00Z</dcterms:created>
  <dcterms:modified xsi:type="dcterms:W3CDTF">2023-10-04T00:22:00Z</dcterms:modified>
</cp:coreProperties>
</file>