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2F" w:rsidRPr="002A112F" w:rsidRDefault="003B135B" w:rsidP="002513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II SIMPOSIO INTERNACIONAL INTERDISCIPLINAR EM CULTURA E SOCIEDADE – SIICS </w:t>
      </w:r>
    </w:p>
    <w:p w:rsidR="003B135B" w:rsidRPr="0070553D" w:rsidRDefault="002A112F" w:rsidP="002513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E768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B135B" w:rsidRPr="00705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 e 11 de outubro de 2017, em São Luís - MA.</w:t>
      </w:r>
    </w:p>
    <w:p w:rsidR="007D6EDF" w:rsidRDefault="007D6EDF" w:rsidP="0025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31ED" w:rsidRDefault="00A731ED" w:rsidP="0025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Mesa- Redonda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História e Interdisciplinaridade</w:t>
      </w:r>
    </w:p>
    <w:p w:rsidR="00A731ED" w:rsidRPr="00290164" w:rsidRDefault="00290164" w:rsidP="002901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Profª</w:t>
      </w:r>
      <w:proofErr w:type="spellEnd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Régia Agostinho </w:t>
      </w:r>
      <w:proofErr w:type="gramStart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spellStart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Coordenandora</w:t>
      </w:r>
      <w:proofErr w:type="spellEnd"/>
      <w:proofErr w:type="gramEnd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290164" w:rsidRPr="00290164" w:rsidRDefault="00290164" w:rsidP="002901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História/UFMA</w:t>
      </w:r>
    </w:p>
    <w:p w:rsidR="00290164" w:rsidRPr="00290164" w:rsidRDefault="00290164" w:rsidP="002901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Prof</w:t>
      </w:r>
      <w:proofErr w:type="spellEnd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proofErr w:type="gramEnd"/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Jonas Moraes</w:t>
      </w:r>
    </w:p>
    <w:p w:rsidR="00290164" w:rsidRPr="00290164" w:rsidRDefault="00290164" w:rsidP="002901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UFMA/Pinheiro</w:t>
      </w:r>
    </w:p>
    <w:p w:rsidR="00290164" w:rsidRPr="00290164" w:rsidRDefault="00290164" w:rsidP="002901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Dr. João Batista Bitencourt</w:t>
      </w:r>
    </w:p>
    <w:p w:rsidR="00290164" w:rsidRPr="00290164" w:rsidRDefault="00290164" w:rsidP="002901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164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História/UFMA</w:t>
      </w:r>
    </w:p>
    <w:p w:rsidR="00FF6845" w:rsidRPr="003B135B" w:rsidRDefault="00D61D60" w:rsidP="0025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5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2</w:t>
      </w:r>
      <w:r w:rsidRPr="00C675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GÊNERO, LITERATURA E FILOSOFIA</w:t>
      </w:r>
    </w:p>
    <w:p w:rsidR="0070553D" w:rsidRDefault="0070553D" w:rsidP="002513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1ED" w:rsidRDefault="00A731ED" w:rsidP="002513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1ED" w:rsidRDefault="00A731ED" w:rsidP="002513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1ED" w:rsidRPr="00A731ED" w:rsidRDefault="00A731ED" w:rsidP="002901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mesa visa discutir a relação da História com a interdisciplinaridade, onde três historiadores procuram ver a questão sob </w:t>
      </w:r>
      <w:r w:rsidR="00290164">
        <w:rPr>
          <w:rFonts w:ascii="Times New Roman" w:hAnsi="Times New Roman" w:cs="Times New Roman"/>
          <w:bCs/>
          <w:sz w:val="24"/>
          <w:szCs w:val="24"/>
        </w:rPr>
        <w:t>diferentes enfoques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90164">
        <w:rPr>
          <w:rFonts w:ascii="Times New Roman" w:hAnsi="Times New Roman" w:cs="Times New Roman"/>
          <w:bCs/>
          <w:sz w:val="24"/>
          <w:szCs w:val="24"/>
        </w:rPr>
        <w:t xml:space="preserve">o historiador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Jonas Moraes procura discutir esta relação pensando o diálogo da História com a Música Popular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brasileira, fazendo um estudo comparativo entre os cancionistas Luiz Gonzaga e Gilberto Gil compreendendo desta maneira as trajetórias musicais dos dois artistas e como estas podem ajudar a entender a História do Brasil. Já </w:t>
      </w:r>
      <w:r w:rsidR="00290164">
        <w:rPr>
          <w:rFonts w:ascii="Times New Roman" w:hAnsi="Times New Roman" w:cs="Times New Roman"/>
          <w:bCs/>
          <w:sz w:val="24"/>
          <w:szCs w:val="24"/>
        </w:rPr>
        <w:t xml:space="preserve">a historiadora </w:t>
      </w:r>
      <w:r>
        <w:rPr>
          <w:rFonts w:ascii="Times New Roman" w:hAnsi="Times New Roman" w:cs="Times New Roman"/>
          <w:bCs/>
          <w:sz w:val="24"/>
          <w:szCs w:val="24"/>
        </w:rPr>
        <w:t xml:space="preserve">Régia Agostinho se propõe a pensar a relação interdisciplinar da História com a Literatura, comparando </w:t>
      </w:r>
      <w:r w:rsidR="00290164">
        <w:rPr>
          <w:rFonts w:ascii="Times New Roman" w:hAnsi="Times New Roman" w:cs="Times New Roman"/>
          <w:bCs/>
          <w:sz w:val="24"/>
          <w:szCs w:val="24"/>
        </w:rPr>
        <w:t>dois textos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3D82">
        <w:rPr>
          <w:rFonts w:ascii="Times New Roman" w:hAnsi="Times New Roman" w:cs="Times New Roman"/>
          <w:bCs/>
          <w:i/>
          <w:sz w:val="24"/>
          <w:szCs w:val="24"/>
        </w:rPr>
        <w:t>A tragédia no lar</w:t>
      </w:r>
      <w:r>
        <w:rPr>
          <w:rFonts w:ascii="Times New Roman" w:hAnsi="Times New Roman" w:cs="Times New Roman"/>
          <w:bCs/>
          <w:sz w:val="24"/>
          <w:szCs w:val="24"/>
        </w:rPr>
        <w:t xml:space="preserve"> de Castro Alves e </w:t>
      </w:r>
      <w:r w:rsidRPr="00FD3D82">
        <w:rPr>
          <w:rFonts w:ascii="Times New Roman" w:hAnsi="Times New Roman" w:cs="Times New Roman"/>
          <w:bCs/>
          <w:i/>
          <w:sz w:val="24"/>
          <w:szCs w:val="24"/>
        </w:rPr>
        <w:t>A escrava</w:t>
      </w:r>
      <w:r>
        <w:rPr>
          <w:rFonts w:ascii="Times New Roman" w:hAnsi="Times New Roman" w:cs="Times New Roman"/>
          <w:bCs/>
          <w:sz w:val="24"/>
          <w:szCs w:val="24"/>
        </w:rPr>
        <w:t xml:space="preserve"> de Maria Firmina dos Reis, visando com isso entender como os dois escritores ao longo do século XIX utilizaram a literatura para lutar contra a escravidão vigente no Brasil. A análise delicada </w:t>
      </w:r>
      <w:r w:rsidR="00290164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relação da História com a Literatura </w:t>
      </w:r>
      <w:r w:rsidR="00290164">
        <w:rPr>
          <w:rFonts w:ascii="Times New Roman" w:hAnsi="Times New Roman" w:cs="Times New Roman"/>
          <w:bCs/>
          <w:sz w:val="24"/>
          <w:szCs w:val="24"/>
        </w:rPr>
        <w:t>também se encontra como objeto da historiadora. Por fim temos o historiador João Batista Bitencourt pensando a questão da interdisciplinaridade na História de um ponto de vista mais teórico, como a própria Historiografia vem trabalhando a questão interdisciplinar nos últimos anos. Portanto nossa mesa, pretende apresentar um debate geral e teórico sobre a História e a interdisciplinaridade assim como apresentar estudos que já fazem uso do diálogo interdisciplinar que são os trabalhos de Jonas Moraes com História e Música e Régia Agostinho com História e Literatura.</w:t>
      </w:r>
    </w:p>
    <w:p w:rsidR="00A731ED" w:rsidRDefault="00A731ED" w:rsidP="002901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164" w:rsidRPr="00290164" w:rsidRDefault="00290164" w:rsidP="002901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Palavras- chaves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90164">
        <w:rPr>
          <w:rFonts w:ascii="Times New Roman" w:hAnsi="Times New Roman" w:cs="Times New Roman"/>
          <w:bCs/>
          <w:sz w:val="24"/>
          <w:szCs w:val="24"/>
        </w:rPr>
        <w:t>História; Interdisciplinaridade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290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290164">
        <w:rPr>
          <w:rFonts w:ascii="Times New Roman" w:hAnsi="Times New Roman" w:cs="Times New Roman"/>
          <w:bCs/>
          <w:sz w:val="24"/>
          <w:szCs w:val="24"/>
        </w:rPr>
        <w:t>eoria</w:t>
      </w:r>
      <w:r>
        <w:rPr>
          <w:rFonts w:ascii="Times New Roman" w:hAnsi="Times New Roman" w:cs="Times New Roman"/>
          <w:bCs/>
          <w:sz w:val="24"/>
          <w:szCs w:val="24"/>
        </w:rPr>
        <w:t>; H</w:t>
      </w:r>
      <w:r w:rsidRPr="00290164">
        <w:rPr>
          <w:rFonts w:ascii="Times New Roman" w:hAnsi="Times New Roman" w:cs="Times New Roman"/>
          <w:bCs/>
          <w:sz w:val="24"/>
          <w:szCs w:val="24"/>
        </w:rPr>
        <w:t>istoriografia</w:t>
      </w:r>
    </w:p>
    <w:p w:rsidR="00A731ED" w:rsidRPr="00C6751B" w:rsidRDefault="00A731ED" w:rsidP="002513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11C" w:rsidRPr="00C6751B" w:rsidRDefault="0070511C" w:rsidP="0025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53D" w:rsidRPr="00282D28" w:rsidRDefault="00A731ED" w:rsidP="00A73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História e Música P</w:t>
      </w:r>
      <w:r w:rsidRPr="00282D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opular: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82D28">
        <w:rPr>
          <w:rFonts w:ascii="Times New Roman" w:hAnsi="Times New Roman" w:cs="Times New Roman"/>
          <w:b/>
          <w:bCs/>
          <w:sz w:val="24"/>
          <w:szCs w:val="24"/>
        </w:rPr>
        <w:t xml:space="preserve">elações e as inter-relações entre os cancionistas </w:t>
      </w:r>
      <w:r>
        <w:rPr>
          <w:rFonts w:ascii="Times New Roman" w:hAnsi="Times New Roman" w:cs="Times New Roman"/>
          <w:b/>
          <w:sz w:val="24"/>
          <w:szCs w:val="24"/>
        </w:rPr>
        <w:t>Luiz Gonzaga e Gilberto G</w:t>
      </w:r>
      <w:r w:rsidRPr="00282D28">
        <w:rPr>
          <w:rFonts w:ascii="Times New Roman" w:hAnsi="Times New Roman" w:cs="Times New Roman"/>
          <w:b/>
          <w:sz w:val="24"/>
          <w:szCs w:val="24"/>
        </w:rPr>
        <w:t>il</w:t>
      </w:r>
    </w:p>
    <w:p w:rsidR="0070511C" w:rsidRPr="00C6751B" w:rsidRDefault="0070511C" w:rsidP="0025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752" w:rsidRDefault="00665752" w:rsidP="002513B0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51B">
        <w:rPr>
          <w:rFonts w:ascii="Times New Roman" w:eastAsia="Times New Roman" w:hAnsi="Times New Roman" w:cs="Times New Roman"/>
          <w:sz w:val="24"/>
          <w:szCs w:val="24"/>
          <w:lang w:eastAsia="pt-BR"/>
        </w:rPr>
        <w:t>Pro</w:t>
      </w:r>
      <w:r w:rsidR="00282D28">
        <w:rPr>
          <w:rFonts w:ascii="Times New Roman" w:eastAsia="Times New Roman" w:hAnsi="Times New Roman" w:cs="Times New Roman"/>
          <w:sz w:val="24"/>
          <w:szCs w:val="24"/>
          <w:lang w:eastAsia="pt-BR"/>
        </w:rPr>
        <w:t>f. Dr. Jonas Rodrigues</w:t>
      </w:r>
      <w:r w:rsidRPr="00C675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UFMA/</w:t>
      </w:r>
      <w:r w:rsidR="00736FC2" w:rsidRPr="00C6751B">
        <w:rPr>
          <w:rFonts w:ascii="Times New Roman" w:eastAsia="Times New Roman" w:hAnsi="Times New Roman" w:cs="Times New Roman"/>
          <w:sz w:val="24"/>
          <w:szCs w:val="24"/>
          <w:lang w:eastAsia="pt-BR"/>
        </w:rPr>
        <w:t>Pinheiro</w:t>
      </w:r>
      <w:r w:rsidR="0058147F" w:rsidRPr="00C675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4258E" w:rsidRPr="00C6751B" w:rsidRDefault="0004258E" w:rsidP="0025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53D" w:rsidRPr="003B135B" w:rsidRDefault="0070553D" w:rsidP="0025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35B">
        <w:rPr>
          <w:rFonts w:ascii="Times New Roman" w:eastAsia="Times New Roman" w:hAnsi="Times New Roman" w:cs="Times New Roman"/>
          <w:sz w:val="24"/>
          <w:szCs w:val="24"/>
          <w:lang w:eastAsia="pt-BR"/>
        </w:rPr>
        <w:t>​</w:t>
      </w:r>
    </w:p>
    <w:p w:rsidR="00692625" w:rsidRPr="00C6751B" w:rsidRDefault="0070553D" w:rsidP="002513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35B">
        <w:rPr>
          <w:rFonts w:ascii="Times New Roman" w:eastAsia="Times New Roman" w:hAnsi="Times New Roman" w:cs="Times New Roman"/>
          <w:sz w:val="24"/>
          <w:szCs w:val="24"/>
          <w:lang w:eastAsia="pt-BR"/>
        </w:rPr>
        <w:t>​</w:t>
      </w:r>
    </w:p>
    <w:p w:rsidR="00282D28" w:rsidRDefault="0058147F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1B">
        <w:rPr>
          <w:rFonts w:ascii="Times New Roman" w:hAnsi="Times New Roman" w:cs="Times New Roman"/>
          <w:bCs/>
          <w:sz w:val="24"/>
          <w:szCs w:val="24"/>
        </w:rPr>
        <w:t>A</w:t>
      </w:r>
      <w:r w:rsidR="0070553D" w:rsidRPr="00C6751B">
        <w:rPr>
          <w:rFonts w:ascii="Times New Roman" w:hAnsi="Times New Roman" w:cs="Times New Roman"/>
          <w:bCs/>
          <w:sz w:val="24"/>
          <w:szCs w:val="24"/>
        </w:rPr>
        <w:t xml:space="preserve"> presente </w:t>
      </w:r>
      <w:r w:rsidRPr="00C6751B">
        <w:rPr>
          <w:rFonts w:ascii="Times New Roman" w:hAnsi="Times New Roman" w:cs="Times New Roman"/>
          <w:bCs/>
          <w:sz w:val="24"/>
          <w:szCs w:val="24"/>
        </w:rPr>
        <w:t xml:space="preserve">mesa redonda </w:t>
      </w:r>
      <w:r w:rsidR="0070553D" w:rsidRPr="00C6751B">
        <w:rPr>
          <w:rFonts w:ascii="Times New Roman" w:hAnsi="Times New Roman" w:cs="Times New Roman"/>
          <w:bCs/>
          <w:sz w:val="24"/>
          <w:szCs w:val="24"/>
        </w:rPr>
        <w:t xml:space="preserve">propõe </w:t>
      </w:r>
      <w:r w:rsidRPr="00C6751B">
        <w:rPr>
          <w:rFonts w:ascii="Times New Roman" w:hAnsi="Times New Roman" w:cs="Times New Roman"/>
          <w:bCs/>
          <w:sz w:val="24"/>
          <w:szCs w:val="24"/>
        </w:rPr>
        <w:t>discutir e analisar as relações e as inte</w:t>
      </w:r>
      <w:r w:rsidR="00FF6845" w:rsidRPr="00C6751B">
        <w:rPr>
          <w:rFonts w:ascii="Times New Roman" w:hAnsi="Times New Roman" w:cs="Times New Roman"/>
          <w:bCs/>
          <w:sz w:val="24"/>
          <w:szCs w:val="24"/>
        </w:rPr>
        <w:t>r</w:t>
      </w:r>
      <w:r w:rsidRPr="00C6751B">
        <w:rPr>
          <w:rFonts w:ascii="Times New Roman" w:hAnsi="Times New Roman" w:cs="Times New Roman"/>
          <w:bCs/>
          <w:sz w:val="24"/>
          <w:szCs w:val="24"/>
        </w:rPr>
        <w:t>-relações entr</w:t>
      </w:r>
      <w:r w:rsidR="00443362" w:rsidRPr="00C6751B">
        <w:rPr>
          <w:rFonts w:ascii="Times New Roman" w:hAnsi="Times New Roman" w:cs="Times New Roman"/>
          <w:bCs/>
          <w:sz w:val="24"/>
          <w:szCs w:val="24"/>
        </w:rPr>
        <w:t>e</w:t>
      </w:r>
      <w:r w:rsidR="00D61D60" w:rsidRPr="00C6751B">
        <w:rPr>
          <w:rFonts w:ascii="Times New Roman" w:hAnsi="Times New Roman" w:cs="Times New Roman"/>
          <w:bCs/>
          <w:sz w:val="24"/>
          <w:szCs w:val="24"/>
        </w:rPr>
        <w:t xml:space="preserve"> História e</w:t>
      </w:r>
      <w:r w:rsidR="00443362" w:rsidRPr="00C6751B">
        <w:rPr>
          <w:rFonts w:ascii="Times New Roman" w:hAnsi="Times New Roman" w:cs="Times New Roman"/>
          <w:bCs/>
          <w:sz w:val="24"/>
          <w:szCs w:val="24"/>
        </w:rPr>
        <w:t xml:space="preserve"> Música </w:t>
      </w:r>
      <w:r w:rsidR="00D61D60" w:rsidRPr="00C6751B">
        <w:rPr>
          <w:rFonts w:ascii="Times New Roman" w:hAnsi="Times New Roman" w:cs="Times New Roman"/>
          <w:bCs/>
          <w:sz w:val="24"/>
          <w:szCs w:val="24"/>
        </w:rPr>
        <w:t>Popular</w:t>
      </w:r>
      <w:r w:rsidR="00443362" w:rsidRPr="00C675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7D99" w:rsidRPr="00C67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D99" w:rsidRPr="00C6751B">
        <w:rPr>
          <w:rFonts w:ascii="Times New Roman" w:hAnsi="Times New Roman" w:cs="Times New Roman"/>
          <w:sz w:val="24"/>
          <w:szCs w:val="24"/>
          <w:lang w:eastAsia="pt-BR"/>
        </w:rPr>
        <w:t xml:space="preserve">Objetivamente, as categorias de análise utilizadas nesse texto </w:t>
      </w:r>
      <w:r w:rsidR="000D7D99" w:rsidRPr="00C6751B">
        <w:rPr>
          <w:rFonts w:ascii="Times New Roman" w:hAnsi="Times New Roman" w:cs="Times New Roman"/>
          <w:iCs/>
          <w:sz w:val="24"/>
          <w:szCs w:val="24"/>
        </w:rPr>
        <w:t xml:space="preserve">auxiliam na </w:t>
      </w:r>
      <w:r w:rsidR="002912B9">
        <w:rPr>
          <w:rFonts w:ascii="Times New Roman" w:hAnsi="Times New Roman" w:cs="Times New Roman"/>
          <w:iCs/>
          <w:sz w:val="24"/>
          <w:szCs w:val="24"/>
        </w:rPr>
        <w:t xml:space="preserve">perspectiva de </w:t>
      </w:r>
      <w:r w:rsidR="000D7D99" w:rsidRPr="00C6751B">
        <w:rPr>
          <w:rFonts w:ascii="Times New Roman" w:hAnsi="Times New Roman" w:cs="Times New Roman"/>
          <w:iCs/>
          <w:sz w:val="24"/>
          <w:szCs w:val="24"/>
        </w:rPr>
        <w:t>compreen</w:t>
      </w:r>
      <w:r w:rsidR="002912B9">
        <w:rPr>
          <w:rFonts w:ascii="Times New Roman" w:hAnsi="Times New Roman" w:cs="Times New Roman"/>
          <w:iCs/>
          <w:sz w:val="24"/>
          <w:szCs w:val="24"/>
        </w:rPr>
        <w:t xml:space="preserve">der </w:t>
      </w:r>
      <w:r w:rsidR="002912B9">
        <w:rPr>
          <w:rFonts w:ascii="Times New Roman" w:hAnsi="Times New Roman" w:cs="Times New Roman"/>
          <w:sz w:val="24"/>
          <w:szCs w:val="24"/>
        </w:rPr>
        <w:t xml:space="preserve">a musicalidade e </w:t>
      </w:r>
      <w:r w:rsidR="006479B6">
        <w:rPr>
          <w:rFonts w:ascii="Times New Roman" w:hAnsi="Times New Roman" w:cs="Times New Roman"/>
          <w:sz w:val="24"/>
          <w:szCs w:val="24"/>
        </w:rPr>
        <w:t>a trajetória artística dos músicos</w:t>
      </w:r>
      <w:r w:rsidR="000D7D99" w:rsidRPr="00C6751B">
        <w:rPr>
          <w:rFonts w:ascii="Times New Roman" w:hAnsi="Times New Roman" w:cs="Times New Roman"/>
          <w:sz w:val="24"/>
          <w:szCs w:val="24"/>
        </w:rPr>
        <w:t xml:space="preserve"> </w:t>
      </w:r>
      <w:r w:rsidR="00162C25" w:rsidRPr="00C6751B">
        <w:rPr>
          <w:rFonts w:ascii="Times New Roman" w:hAnsi="Times New Roman" w:cs="Times New Roman"/>
          <w:sz w:val="24"/>
          <w:szCs w:val="24"/>
        </w:rPr>
        <w:t>Luiz Gonzaga (1912-1989) e Gilberto Gil (1942)</w:t>
      </w:r>
      <w:r w:rsidR="000D7D99" w:rsidRPr="00C6751B">
        <w:rPr>
          <w:rFonts w:ascii="Times New Roman" w:hAnsi="Times New Roman" w:cs="Times New Roman"/>
          <w:sz w:val="24"/>
          <w:szCs w:val="24"/>
        </w:rPr>
        <w:t xml:space="preserve">. </w:t>
      </w:r>
      <w:r w:rsidR="00443362" w:rsidRPr="00C6751B">
        <w:rPr>
          <w:rFonts w:ascii="Times New Roman" w:eastAsia="Times New Roman" w:hAnsi="Times New Roman" w:cs="Times New Roman"/>
          <w:sz w:val="24"/>
          <w:szCs w:val="24"/>
        </w:rPr>
        <w:t xml:space="preserve">Esse texto tem como base os estudos culturais e influenciado pelas colaborações da História Cultural, bem como se articula com outras abordagens teóricas das Ciências Sociais e da filosofia. Com isso, </w:t>
      </w:r>
      <w:r w:rsidR="00443362" w:rsidRPr="00C6751B">
        <w:rPr>
          <w:rFonts w:ascii="Times New Roman" w:eastAsia="Times New Roman" w:hAnsi="Times New Roman" w:cs="Times New Roman"/>
          <w:sz w:val="24"/>
          <w:szCs w:val="24"/>
        </w:rPr>
        <w:lastRenderedPageBreak/>
        <w:t>entende-se que a compreensão teórica exposta nesta mesa veio com a mobilidade da historiografia ao longo do tempo. Nessa configuração teórica, percebe-se que a ampliação do campo epistemológico da história contribuiu significativamente para o rompimento das fronteiras acadêmicas. Nessa ampliação e na interconexão com outra</w:t>
      </w:r>
      <w:r w:rsidR="00D61D60" w:rsidRPr="00C6751B">
        <w:rPr>
          <w:rFonts w:ascii="Times New Roman" w:eastAsia="Times New Roman" w:hAnsi="Times New Roman" w:cs="Times New Roman"/>
          <w:sz w:val="24"/>
          <w:szCs w:val="24"/>
        </w:rPr>
        <w:t>s áreas do conhecimento, surgiu</w:t>
      </w:r>
      <w:r w:rsidR="00443362" w:rsidRPr="00C6751B">
        <w:rPr>
          <w:rFonts w:ascii="Times New Roman" w:eastAsia="Times New Roman" w:hAnsi="Times New Roman" w:cs="Times New Roman"/>
          <w:sz w:val="24"/>
          <w:szCs w:val="24"/>
        </w:rPr>
        <w:t xml:space="preserve"> a música</w:t>
      </w:r>
      <w:r w:rsidR="00D61D60" w:rsidRPr="00C675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443362" w:rsidRPr="00C6751B">
        <w:rPr>
          <w:rFonts w:ascii="Times New Roman" w:eastAsia="Times New Roman" w:hAnsi="Times New Roman" w:cs="Times New Roman"/>
          <w:sz w:val="24"/>
          <w:szCs w:val="24"/>
        </w:rPr>
        <w:t>como forte</w:t>
      </w:r>
      <w:r w:rsidR="00D61D60" w:rsidRPr="00C6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362" w:rsidRPr="00C6751B">
        <w:rPr>
          <w:rFonts w:ascii="Times New Roman" w:eastAsia="Times New Roman" w:hAnsi="Times New Roman" w:cs="Times New Roman"/>
          <w:sz w:val="24"/>
          <w:szCs w:val="24"/>
        </w:rPr>
        <w:t xml:space="preserve">interlocutora da história. </w:t>
      </w:r>
      <w:r w:rsidR="007B6A92" w:rsidRPr="00C6751B">
        <w:rPr>
          <w:rFonts w:ascii="Times New Roman" w:eastAsia="Times New Roman" w:hAnsi="Times New Roman" w:cs="Times New Roman"/>
          <w:sz w:val="24"/>
          <w:szCs w:val="24"/>
        </w:rPr>
        <w:t>A música apresenta um rico potencial para levar à compreensão do cotidiano dos atores e atrizes sociais nos processos históricos. É nessa relação entr</w:t>
      </w:r>
      <w:r w:rsidR="00F76FB3">
        <w:rPr>
          <w:rFonts w:ascii="Times New Roman" w:eastAsia="Times New Roman" w:hAnsi="Times New Roman" w:cs="Times New Roman"/>
          <w:sz w:val="24"/>
          <w:szCs w:val="24"/>
        </w:rPr>
        <w:t xml:space="preserve">e história, música </w:t>
      </w:r>
      <w:r w:rsidR="007B6A92" w:rsidRPr="00C6751B">
        <w:rPr>
          <w:rFonts w:ascii="Times New Roman" w:eastAsia="Times New Roman" w:hAnsi="Times New Roman" w:cs="Times New Roman"/>
          <w:sz w:val="24"/>
          <w:szCs w:val="24"/>
        </w:rPr>
        <w:t>que se con</w:t>
      </w:r>
      <w:r w:rsidR="00F76FB3">
        <w:rPr>
          <w:rFonts w:ascii="Times New Roman" w:eastAsia="Times New Roman" w:hAnsi="Times New Roman" w:cs="Times New Roman"/>
          <w:sz w:val="24"/>
          <w:szCs w:val="24"/>
        </w:rPr>
        <w:t>centra a produção deste texto</w:t>
      </w:r>
      <w:r w:rsidR="007B6A92" w:rsidRPr="00C675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511C" w:rsidRPr="00C6751B">
        <w:rPr>
          <w:rFonts w:ascii="Times New Roman" w:eastAsia="Times New Roman" w:hAnsi="Times New Roman" w:cs="Times New Roman"/>
          <w:sz w:val="24"/>
          <w:szCs w:val="24"/>
        </w:rPr>
        <w:t xml:space="preserve"> Ao produzir conhecimento histórico, os que trabalham com o documento sonoro – que é uma linguagem musical – tomam-no como fonte e enfrentam as condições excessivamente subjetivas, a imaterialidade de parte do objeto, a expressão localizada e temporalizada própria do autor e de seu universo cultural. Além disso, geralmente, uma nova leitura é realizada pelo intérprete/instrumentista. São riscos que não invalidam o documento sonoro como fonte de pesquisa, visto que todas as formas de analisar as fontes são subjetivas e, ao mesmo tempo, também objetivas, importando em risco que o pesquisador vai enfrentar. A situação de risco provém de várias origens, inclusive do fato de o documento sonoro não se constituir em objeto palpável. A partir do documento sonoro proponho-me a enfrentar esse risco, ao definir como lugar de investigação da história as musicalidades em processos de produção de identidade.</w:t>
      </w:r>
      <w:r w:rsidR="007D5A1E" w:rsidRPr="00C6751B">
        <w:rPr>
          <w:rFonts w:ascii="Times New Roman" w:eastAsia="Times New Roman" w:hAnsi="Times New Roman" w:cs="Times New Roman"/>
          <w:sz w:val="24"/>
          <w:szCs w:val="24"/>
        </w:rPr>
        <w:t xml:space="preserve"> No Brasil, a partir do final dos anos de 1980, ampliaram-se as pesquisas no campo historiográfico, o que levou os historiadores a buscarem novas formas, novas linguagens</w:t>
      </w:r>
      <w:r w:rsidR="007D5A1E" w:rsidRPr="006029AC">
        <w:rPr>
          <w:rFonts w:ascii="Times New Roman" w:eastAsia="Times New Roman" w:hAnsi="Times New Roman" w:cs="Times New Roman"/>
          <w:sz w:val="24"/>
          <w:szCs w:val="24"/>
        </w:rPr>
        <w:t xml:space="preserve"> e novas abordagens para a produção do conhecimento histórico.</w:t>
      </w:r>
      <w:r w:rsidR="007D5A1E" w:rsidRPr="00C6751B">
        <w:rPr>
          <w:rFonts w:ascii="Times New Roman" w:eastAsia="Times New Roman" w:hAnsi="Times New Roman" w:cs="Times New Roman"/>
          <w:sz w:val="24"/>
          <w:szCs w:val="24"/>
        </w:rPr>
        <w:t xml:space="preserve"> Dessa forma, a documentação sonora constitui uma significativa ampliação para o campo historiográfico e </w:t>
      </w:r>
      <w:r w:rsidR="00E24DF4" w:rsidRPr="00C6751B">
        <w:rPr>
          <w:rFonts w:ascii="Times New Roman" w:hAnsi="Times New Roman" w:cs="Times New Roman"/>
          <w:sz w:val="24"/>
          <w:szCs w:val="24"/>
        </w:rPr>
        <w:t xml:space="preserve">mostrar-se como sinais para investigação </w:t>
      </w:r>
      <w:r w:rsidR="006029AC">
        <w:rPr>
          <w:rFonts w:ascii="Times New Roman" w:hAnsi="Times New Roman" w:cs="Times New Roman"/>
          <w:sz w:val="24"/>
          <w:szCs w:val="24"/>
        </w:rPr>
        <w:t>d</w:t>
      </w:r>
      <w:r w:rsidR="00E24DF4" w:rsidRPr="00C6751B">
        <w:rPr>
          <w:rFonts w:ascii="Times New Roman" w:hAnsi="Times New Roman" w:cs="Times New Roman"/>
          <w:sz w:val="24"/>
          <w:szCs w:val="24"/>
        </w:rPr>
        <w:t xml:space="preserve">o historiador como um evidente conjunto de elementos que ele busca para compreender e descobrir com sua pesquisa. </w:t>
      </w:r>
    </w:p>
    <w:p w:rsidR="00290164" w:rsidRDefault="00290164" w:rsidP="00251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34E" w:rsidRDefault="00692625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EC">
        <w:rPr>
          <w:rFonts w:ascii="Times New Roman" w:hAnsi="Times New Roman" w:cs="Times New Roman"/>
          <w:b/>
          <w:sz w:val="24"/>
          <w:szCs w:val="24"/>
        </w:rPr>
        <w:t>P</w:t>
      </w:r>
      <w:r w:rsidR="00C0434E" w:rsidRPr="00F926EC">
        <w:rPr>
          <w:rFonts w:ascii="Times New Roman" w:hAnsi="Times New Roman" w:cs="Times New Roman"/>
          <w:b/>
          <w:sz w:val="24"/>
          <w:szCs w:val="24"/>
        </w:rPr>
        <w:t>a</w:t>
      </w:r>
      <w:r w:rsidRPr="00F926EC">
        <w:rPr>
          <w:rFonts w:ascii="Times New Roman" w:hAnsi="Times New Roman" w:cs="Times New Roman"/>
          <w:b/>
          <w:sz w:val="24"/>
          <w:szCs w:val="24"/>
        </w:rPr>
        <w:t>lavras chaves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Hist</w:t>
      </w:r>
      <w:r w:rsidR="002513B0">
        <w:rPr>
          <w:rFonts w:ascii="Times New Roman" w:hAnsi="Times New Roman" w:cs="Times New Roman"/>
          <w:sz w:val="24"/>
          <w:szCs w:val="24"/>
        </w:rPr>
        <w:t>ória ;</w:t>
      </w:r>
      <w:proofErr w:type="gramEnd"/>
      <w:r w:rsidR="00251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Música; Luiz Gonzaga; Gilberto Gil. </w:t>
      </w:r>
    </w:p>
    <w:p w:rsidR="00282D28" w:rsidRDefault="00282D28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B0" w:rsidRDefault="002513B0" w:rsidP="00251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B0" w:rsidRDefault="002513B0" w:rsidP="00251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B0" w:rsidRDefault="002513B0" w:rsidP="00251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D28" w:rsidRPr="009875ED" w:rsidRDefault="00282D28" w:rsidP="00251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5ED">
        <w:rPr>
          <w:rFonts w:ascii="Times New Roman" w:hAnsi="Times New Roman" w:cs="Times New Roman"/>
          <w:b/>
          <w:sz w:val="24"/>
          <w:szCs w:val="24"/>
        </w:rPr>
        <w:t>A história e seus parceiros</w:t>
      </w: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João Batista Bitencourt</w:t>
      </w: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</w:t>
      </w:r>
      <w:proofErr w:type="gramStart"/>
      <w:r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História</w:t>
      </w: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</w:t>
      </w:r>
    </w:p>
    <w:p w:rsidR="00282D28" w:rsidRDefault="00282D28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28" w:rsidRDefault="00282D28" w:rsidP="0025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No século final XIX a história encontrava-se em grande proeminência. Em </w:t>
      </w:r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1876,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exemplo, </w:t>
      </w:r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lançamento da </w:t>
      </w:r>
      <w:proofErr w:type="spellStart"/>
      <w:r w:rsidRPr="009129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Revue</w:t>
      </w:r>
      <w:proofErr w:type="spellEnd"/>
      <w:r w:rsidRPr="009129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129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Historique</w:t>
      </w:r>
      <w:proofErr w:type="spellEnd"/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man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ifesto de Gabriel Monod,</w:t>
      </w:r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</w:t>
      </w:r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categoricamente: </w:t>
      </w:r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>“nosso século é o século da história”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 auto </w:t>
      </w:r>
      <w:r>
        <w:rPr>
          <w:rFonts w:ascii="Times New Roman" w:hAnsi="Times New Roman" w:cs="Times New Roman"/>
          <w:sz w:val="24"/>
          <w:szCs w:val="24"/>
        </w:rPr>
        <w:t>reconhecendo como “a rainha das ciências”, a disciplina travava, deste lugar privilegiado, uma relação de superioridade com outros campos de saber; eles eram “ciências auxiliares”. As críticas não tardaram, vindas principalmente</w:t>
      </w:r>
      <w:r w:rsidRPr="00510D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sociologia, mais exatamente a </w:t>
      </w:r>
      <w:proofErr w:type="spellStart"/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>durkheimiana</w:t>
      </w:r>
      <w:proofErr w:type="spellEnd"/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via os historiadores com desprezo. O apego à política contada através de nomes próprios e fatos isolados, sem teoria ou </w:t>
      </w:r>
      <w:proofErr w:type="spellStart"/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analise</w:t>
      </w:r>
      <w:proofErr w:type="spellEnd"/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conjuntural, apenas uma narrativa descritiva, era o olhar que a sociologia aplicava a história, comparando-a a uma compil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ação anedótica de curiosidades.</w:t>
      </w:r>
      <w:r w:rsidRPr="00912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primeiras décadas do século XX, os historiadores ligados ao movimento dos </w:t>
      </w:r>
      <w:proofErr w:type="spellStart"/>
      <w:r w:rsidRPr="00753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Annales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assimilaram parte das críticas e promoveram significativas mudanças. Entre elas, destaca-se uma postura interdisciplinar no ofício do historiador. A história passou a desenvolver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próximo e amistoso com as demais áreas de conhecimento e, desde então, vem renovando seus parceiros na medida em que a própria disciplina se expande. Grosso modo, do início do século XX ao momento atual,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antigos e consagrados parceiros como a geografia, a sociologia e a economia deram lugar, como ascensão dos estudos culturais, a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intenso com a literatura, a antropologia simbólica e a linguística. Esta comunicação buscar acompanhar tais transformações da disciplina história e refletir sobre suas interlocuções com outros campos de conhecimento.</w:t>
      </w:r>
    </w:p>
    <w:p w:rsidR="00282D28" w:rsidRDefault="00282D28" w:rsidP="0025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61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história; histor</w:t>
      </w:r>
      <w:r w:rsidR="00251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iografia; interdisciplinaridade; </w:t>
      </w:r>
      <w:proofErr w:type="spellStart"/>
      <w:r w:rsidR="002513B0" w:rsidRPr="002513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Annales</w:t>
      </w:r>
      <w:proofErr w:type="spellEnd"/>
    </w:p>
    <w:p w:rsidR="00282D28" w:rsidRDefault="00282D28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28" w:rsidRDefault="00282D28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28" w:rsidRDefault="00282D28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28" w:rsidRPr="00282D28" w:rsidRDefault="00282D28" w:rsidP="00251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D28">
        <w:rPr>
          <w:rFonts w:ascii="Times New Roman" w:hAnsi="Times New Roman" w:cs="Times New Roman"/>
          <w:b/>
          <w:sz w:val="24"/>
          <w:szCs w:val="24"/>
        </w:rPr>
        <w:t>Poesia e Prosa: Castro Alves e Maria Firmina dos Reis e a luta contra a escravidão no Brasil.</w:t>
      </w:r>
    </w:p>
    <w:p w:rsidR="000266D0" w:rsidRDefault="000266D0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Régia Agostinho</w:t>
      </w: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Pós- Graduação em Cultura e Sociedade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Pgcult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História</w:t>
      </w:r>
      <w:r w:rsidR="00A731ED">
        <w:rPr>
          <w:rFonts w:ascii="Times New Roman" w:hAnsi="Times New Roman" w:cs="Times New Roman"/>
          <w:sz w:val="24"/>
          <w:szCs w:val="24"/>
        </w:rPr>
        <w:t>/UFMA</w:t>
      </w: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D28" w:rsidRDefault="00282D28" w:rsidP="00251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D28" w:rsidRDefault="00282D28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visa discutir dois textos antiescravistas: </w:t>
      </w:r>
      <w:r w:rsidR="002513B0">
        <w:rPr>
          <w:rFonts w:ascii="Times New Roman" w:hAnsi="Times New Roman" w:cs="Times New Roman"/>
          <w:i/>
          <w:sz w:val="24"/>
          <w:szCs w:val="24"/>
        </w:rPr>
        <w:t>T</w:t>
      </w:r>
      <w:r w:rsidRPr="002513B0">
        <w:rPr>
          <w:rFonts w:ascii="Times New Roman" w:hAnsi="Times New Roman" w:cs="Times New Roman"/>
          <w:i/>
          <w:sz w:val="24"/>
          <w:szCs w:val="24"/>
        </w:rPr>
        <w:t>ragédia no lar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2513B0">
        <w:rPr>
          <w:rFonts w:ascii="Times New Roman" w:hAnsi="Times New Roman" w:cs="Times New Roman"/>
          <w:i/>
          <w:sz w:val="24"/>
          <w:szCs w:val="24"/>
        </w:rPr>
        <w:t>A escrava</w:t>
      </w:r>
      <w:r>
        <w:rPr>
          <w:rFonts w:ascii="Times New Roman" w:hAnsi="Times New Roman" w:cs="Times New Roman"/>
          <w:sz w:val="24"/>
          <w:szCs w:val="24"/>
        </w:rPr>
        <w:t xml:space="preserve">, respectivamente um poema de Castro Alves e o outro um conto de Maria Firmina dos Reis. O poema produzido nos anos sessenta do século XIX e o </w:t>
      </w:r>
      <w:r w:rsidR="002513B0">
        <w:rPr>
          <w:rFonts w:ascii="Times New Roman" w:hAnsi="Times New Roman" w:cs="Times New Roman"/>
          <w:sz w:val="24"/>
          <w:szCs w:val="24"/>
        </w:rPr>
        <w:t>conto no</w:t>
      </w:r>
      <w:r>
        <w:rPr>
          <w:rFonts w:ascii="Times New Roman" w:hAnsi="Times New Roman" w:cs="Times New Roman"/>
          <w:sz w:val="24"/>
          <w:szCs w:val="24"/>
        </w:rPr>
        <w:t xml:space="preserve"> fim do século em 1887. Resolvemos fazer um estudo comparado entre estes dois textos por acreditar </w:t>
      </w:r>
      <w:r w:rsidR="002513B0">
        <w:rPr>
          <w:rFonts w:ascii="Times New Roman" w:hAnsi="Times New Roman" w:cs="Times New Roman"/>
          <w:sz w:val="24"/>
          <w:szCs w:val="24"/>
        </w:rPr>
        <w:t>na similaridade</w:t>
      </w:r>
      <w:r>
        <w:rPr>
          <w:rFonts w:ascii="Times New Roman" w:hAnsi="Times New Roman" w:cs="Times New Roman"/>
          <w:sz w:val="24"/>
          <w:szCs w:val="24"/>
        </w:rPr>
        <w:t xml:space="preserve"> entre eles, mesmo tratando-se de formas narrativas diferentes e de temporalidades relativamente afastadas, ambos tratam da luta contra a </w:t>
      </w:r>
      <w:r w:rsidR="002513B0">
        <w:rPr>
          <w:rFonts w:ascii="Times New Roman" w:hAnsi="Times New Roman" w:cs="Times New Roman"/>
          <w:sz w:val="24"/>
          <w:szCs w:val="24"/>
        </w:rPr>
        <w:t>escravidão no</w:t>
      </w:r>
      <w:r>
        <w:rPr>
          <w:rFonts w:ascii="Times New Roman" w:hAnsi="Times New Roman" w:cs="Times New Roman"/>
          <w:sz w:val="24"/>
          <w:szCs w:val="24"/>
        </w:rPr>
        <w:t xml:space="preserve"> Brasil e os dois tratam da separação de uma mãe escrava de seus filhos, através da venda dos mesmos por senhores verdugos. Buscamos compreender como e de que forma Castro Alves e Maria Firmina dos Reis, leram e escreveram sobre as relações de famílias sob o jugo da escravidão, principalmente sobre as relações da maternidade com a possibilidade da venda dos filhos de escravos tidos como mercadorias numa sociedade escravocrata. Buscamos compreender em um diálogo da História com a Literatura e da Poesia com a Prosa</w:t>
      </w:r>
      <w:r w:rsidR="002513B0">
        <w:rPr>
          <w:rFonts w:ascii="Times New Roman" w:hAnsi="Times New Roman" w:cs="Times New Roman"/>
          <w:sz w:val="24"/>
          <w:szCs w:val="24"/>
        </w:rPr>
        <w:t xml:space="preserve"> como os dois escritores usaram suas penas para versar contra a escravidão e também perceber não só similitudes, mas diferenças entre os dois discursos vistos que separados por tempo e leis que versaram sobre a questão servil entre 1860 e 1888. Buscamos compreender, portanto como a literatura de Castro Alves e Maria Firmina dos Reis se entrincheiraram na luta contra a escravidão no Brasil.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B0" w:rsidRDefault="002513B0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B0" w:rsidRDefault="002513B0" w:rsidP="0025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3B0">
        <w:rPr>
          <w:rFonts w:ascii="Times New Roman" w:hAnsi="Times New Roman" w:cs="Times New Roman"/>
          <w:b/>
          <w:sz w:val="24"/>
          <w:szCs w:val="24"/>
        </w:rPr>
        <w:t>Palavras- chaves</w:t>
      </w:r>
      <w:proofErr w:type="gramEnd"/>
      <w:r w:rsidRPr="002513B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História; Literatura; Escravidão; Poesia</w:t>
      </w:r>
    </w:p>
    <w:sectPr w:rsidR="002513B0" w:rsidSect="002A112F">
      <w:head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21" w:rsidRDefault="00315621" w:rsidP="002A122C">
      <w:pPr>
        <w:spacing w:after="0" w:line="240" w:lineRule="auto"/>
      </w:pPr>
      <w:r>
        <w:separator/>
      </w:r>
    </w:p>
  </w:endnote>
  <w:endnote w:type="continuationSeparator" w:id="0">
    <w:p w:rsidR="00315621" w:rsidRDefault="00315621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21" w:rsidRDefault="00315621" w:rsidP="002A122C">
      <w:pPr>
        <w:spacing w:after="0" w:line="240" w:lineRule="auto"/>
      </w:pPr>
      <w:r>
        <w:separator/>
      </w:r>
    </w:p>
  </w:footnote>
  <w:footnote w:type="continuationSeparator" w:id="0">
    <w:p w:rsidR="00315621" w:rsidRDefault="00315621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105889"/>
      <w:docPartObj>
        <w:docPartGallery w:val="Page Numbers (Top of Page)"/>
        <w:docPartUnique/>
      </w:docPartObj>
    </w:sdtPr>
    <w:sdtEndPr/>
    <w:sdtContent>
      <w:p w:rsidR="00282D28" w:rsidRDefault="00282D2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2EF">
          <w:rPr>
            <w:noProof/>
          </w:rPr>
          <w:t>3</w:t>
        </w:r>
        <w:r>
          <w:fldChar w:fldCharType="end"/>
        </w:r>
      </w:p>
    </w:sdtContent>
  </w:sdt>
  <w:p w:rsidR="00282D28" w:rsidRDefault="00282D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A4A"/>
    <w:multiLevelType w:val="hybridMultilevel"/>
    <w:tmpl w:val="988CCA48"/>
    <w:lvl w:ilvl="0" w:tplc="D6EA6FBC">
      <w:start w:val="28"/>
      <w:numFmt w:val="decimal"/>
      <w:lvlText w:val="%1"/>
      <w:lvlJc w:val="left"/>
    </w:lvl>
    <w:lvl w:ilvl="1" w:tplc="FA9A92B8">
      <w:numFmt w:val="decimal"/>
      <w:lvlText w:val=""/>
      <w:lvlJc w:val="left"/>
    </w:lvl>
    <w:lvl w:ilvl="2" w:tplc="258CC930">
      <w:numFmt w:val="decimal"/>
      <w:lvlText w:val=""/>
      <w:lvlJc w:val="left"/>
    </w:lvl>
    <w:lvl w:ilvl="3" w:tplc="CEE00174">
      <w:numFmt w:val="decimal"/>
      <w:lvlText w:val=""/>
      <w:lvlJc w:val="left"/>
    </w:lvl>
    <w:lvl w:ilvl="4" w:tplc="1C6CE174">
      <w:numFmt w:val="decimal"/>
      <w:lvlText w:val=""/>
      <w:lvlJc w:val="left"/>
    </w:lvl>
    <w:lvl w:ilvl="5" w:tplc="9DA8E4B4">
      <w:numFmt w:val="decimal"/>
      <w:lvlText w:val=""/>
      <w:lvlJc w:val="left"/>
    </w:lvl>
    <w:lvl w:ilvl="6" w:tplc="86E464F2">
      <w:numFmt w:val="decimal"/>
      <w:lvlText w:val=""/>
      <w:lvlJc w:val="left"/>
    </w:lvl>
    <w:lvl w:ilvl="7" w:tplc="F7422000">
      <w:numFmt w:val="decimal"/>
      <w:lvlText w:val=""/>
      <w:lvlJc w:val="left"/>
    </w:lvl>
    <w:lvl w:ilvl="8" w:tplc="FE3AACEE">
      <w:numFmt w:val="decimal"/>
      <w:lvlText w:val=""/>
      <w:lvlJc w:val="left"/>
    </w:lvl>
  </w:abstractNum>
  <w:abstractNum w:abstractNumId="1" w15:restartNumberingAfterBreak="0">
    <w:nsid w:val="00003EE9"/>
    <w:multiLevelType w:val="hybridMultilevel"/>
    <w:tmpl w:val="5958EB64"/>
    <w:lvl w:ilvl="0" w:tplc="EBD270FE">
      <w:start w:val="259"/>
      <w:numFmt w:val="decimal"/>
      <w:lvlText w:val="%1"/>
      <w:lvlJc w:val="left"/>
    </w:lvl>
    <w:lvl w:ilvl="1" w:tplc="54E2F9D8">
      <w:numFmt w:val="decimal"/>
      <w:lvlText w:val=""/>
      <w:lvlJc w:val="left"/>
    </w:lvl>
    <w:lvl w:ilvl="2" w:tplc="5A32ADF6">
      <w:numFmt w:val="decimal"/>
      <w:lvlText w:val=""/>
      <w:lvlJc w:val="left"/>
    </w:lvl>
    <w:lvl w:ilvl="3" w:tplc="5DE6B806">
      <w:numFmt w:val="decimal"/>
      <w:lvlText w:val=""/>
      <w:lvlJc w:val="left"/>
    </w:lvl>
    <w:lvl w:ilvl="4" w:tplc="57584C5E">
      <w:numFmt w:val="decimal"/>
      <w:lvlText w:val=""/>
      <w:lvlJc w:val="left"/>
    </w:lvl>
    <w:lvl w:ilvl="5" w:tplc="2F16C526">
      <w:numFmt w:val="decimal"/>
      <w:lvlText w:val=""/>
      <w:lvlJc w:val="left"/>
    </w:lvl>
    <w:lvl w:ilvl="6" w:tplc="DD30112E">
      <w:numFmt w:val="decimal"/>
      <w:lvlText w:val=""/>
      <w:lvlJc w:val="left"/>
    </w:lvl>
    <w:lvl w:ilvl="7" w:tplc="7C96120C">
      <w:numFmt w:val="decimal"/>
      <w:lvlText w:val=""/>
      <w:lvlJc w:val="left"/>
    </w:lvl>
    <w:lvl w:ilvl="8" w:tplc="A6B4ED8C">
      <w:numFmt w:val="decimal"/>
      <w:lvlText w:val=""/>
      <w:lvlJc w:val="left"/>
    </w:lvl>
  </w:abstractNum>
  <w:abstractNum w:abstractNumId="2" w15:restartNumberingAfterBreak="0">
    <w:nsid w:val="00004E57"/>
    <w:multiLevelType w:val="hybridMultilevel"/>
    <w:tmpl w:val="B24EE72E"/>
    <w:lvl w:ilvl="0" w:tplc="4F0AA178">
      <w:start w:val="36"/>
      <w:numFmt w:val="decimal"/>
      <w:lvlText w:val="%1"/>
      <w:lvlJc w:val="left"/>
    </w:lvl>
    <w:lvl w:ilvl="1" w:tplc="E50210E2">
      <w:numFmt w:val="decimal"/>
      <w:lvlText w:val=""/>
      <w:lvlJc w:val="left"/>
    </w:lvl>
    <w:lvl w:ilvl="2" w:tplc="32D8D2CE">
      <w:numFmt w:val="decimal"/>
      <w:lvlText w:val=""/>
      <w:lvlJc w:val="left"/>
    </w:lvl>
    <w:lvl w:ilvl="3" w:tplc="D4FA2458">
      <w:numFmt w:val="decimal"/>
      <w:lvlText w:val=""/>
      <w:lvlJc w:val="left"/>
    </w:lvl>
    <w:lvl w:ilvl="4" w:tplc="C32E772C">
      <w:numFmt w:val="decimal"/>
      <w:lvlText w:val=""/>
      <w:lvlJc w:val="left"/>
    </w:lvl>
    <w:lvl w:ilvl="5" w:tplc="2F5896C4">
      <w:numFmt w:val="decimal"/>
      <w:lvlText w:val=""/>
      <w:lvlJc w:val="left"/>
    </w:lvl>
    <w:lvl w:ilvl="6" w:tplc="72DE3798">
      <w:numFmt w:val="decimal"/>
      <w:lvlText w:val=""/>
      <w:lvlJc w:val="left"/>
    </w:lvl>
    <w:lvl w:ilvl="7" w:tplc="283AB87E">
      <w:numFmt w:val="decimal"/>
      <w:lvlText w:val=""/>
      <w:lvlJc w:val="left"/>
    </w:lvl>
    <w:lvl w:ilvl="8" w:tplc="48E02A8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58"/>
    <w:rsid w:val="000020E2"/>
    <w:rsid w:val="000109D6"/>
    <w:rsid w:val="000266D0"/>
    <w:rsid w:val="0004258E"/>
    <w:rsid w:val="00064445"/>
    <w:rsid w:val="000D7D99"/>
    <w:rsid w:val="00120BFF"/>
    <w:rsid w:val="00151775"/>
    <w:rsid w:val="00162C25"/>
    <w:rsid w:val="00182CC2"/>
    <w:rsid w:val="001B23B7"/>
    <w:rsid w:val="001B4933"/>
    <w:rsid w:val="001B4A79"/>
    <w:rsid w:val="001E6387"/>
    <w:rsid w:val="001F33AD"/>
    <w:rsid w:val="001F792B"/>
    <w:rsid w:val="0023006D"/>
    <w:rsid w:val="002513B0"/>
    <w:rsid w:val="00256857"/>
    <w:rsid w:val="00282D28"/>
    <w:rsid w:val="00285473"/>
    <w:rsid w:val="00290164"/>
    <w:rsid w:val="002912B9"/>
    <w:rsid w:val="002A112F"/>
    <w:rsid w:val="002A122C"/>
    <w:rsid w:val="002F7315"/>
    <w:rsid w:val="00315621"/>
    <w:rsid w:val="0032785D"/>
    <w:rsid w:val="003611A4"/>
    <w:rsid w:val="003B135B"/>
    <w:rsid w:val="003B337B"/>
    <w:rsid w:val="003C47A1"/>
    <w:rsid w:val="003D7A84"/>
    <w:rsid w:val="003E1472"/>
    <w:rsid w:val="00401958"/>
    <w:rsid w:val="004303CD"/>
    <w:rsid w:val="004315C5"/>
    <w:rsid w:val="00443362"/>
    <w:rsid w:val="00464F78"/>
    <w:rsid w:val="00491295"/>
    <w:rsid w:val="004E7686"/>
    <w:rsid w:val="0052511D"/>
    <w:rsid w:val="00534567"/>
    <w:rsid w:val="0053538A"/>
    <w:rsid w:val="0058147F"/>
    <w:rsid w:val="0058456E"/>
    <w:rsid w:val="005C5AE6"/>
    <w:rsid w:val="006029AC"/>
    <w:rsid w:val="006479B6"/>
    <w:rsid w:val="006527F9"/>
    <w:rsid w:val="006632B4"/>
    <w:rsid w:val="00665752"/>
    <w:rsid w:val="0067727A"/>
    <w:rsid w:val="00692625"/>
    <w:rsid w:val="00692BFF"/>
    <w:rsid w:val="006D6AFB"/>
    <w:rsid w:val="0070511C"/>
    <w:rsid w:val="0070553D"/>
    <w:rsid w:val="00715E44"/>
    <w:rsid w:val="00736FC2"/>
    <w:rsid w:val="00743D9E"/>
    <w:rsid w:val="00753737"/>
    <w:rsid w:val="00775958"/>
    <w:rsid w:val="00775DD5"/>
    <w:rsid w:val="007B6A92"/>
    <w:rsid w:val="007D5A1E"/>
    <w:rsid w:val="007D6EDF"/>
    <w:rsid w:val="007D7673"/>
    <w:rsid w:val="007E795A"/>
    <w:rsid w:val="007F4462"/>
    <w:rsid w:val="0085730A"/>
    <w:rsid w:val="008D0A5B"/>
    <w:rsid w:val="008D3B95"/>
    <w:rsid w:val="008D43A4"/>
    <w:rsid w:val="009208D5"/>
    <w:rsid w:val="0093279C"/>
    <w:rsid w:val="009443FB"/>
    <w:rsid w:val="00967058"/>
    <w:rsid w:val="00A50791"/>
    <w:rsid w:val="00A671F0"/>
    <w:rsid w:val="00A731ED"/>
    <w:rsid w:val="00AB393B"/>
    <w:rsid w:val="00AF2F57"/>
    <w:rsid w:val="00B15DC0"/>
    <w:rsid w:val="00B464C0"/>
    <w:rsid w:val="00B91453"/>
    <w:rsid w:val="00BE65C5"/>
    <w:rsid w:val="00C0434E"/>
    <w:rsid w:val="00C149A6"/>
    <w:rsid w:val="00C2450D"/>
    <w:rsid w:val="00C62EDA"/>
    <w:rsid w:val="00C6751B"/>
    <w:rsid w:val="00C80E76"/>
    <w:rsid w:val="00CB1263"/>
    <w:rsid w:val="00CD7D22"/>
    <w:rsid w:val="00D02736"/>
    <w:rsid w:val="00D61D60"/>
    <w:rsid w:val="00DB0337"/>
    <w:rsid w:val="00DD42EF"/>
    <w:rsid w:val="00E17DCA"/>
    <w:rsid w:val="00E20A0E"/>
    <w:rsid w:val="00E24DF4"/>
    <w:rsid w:val="00E707CF"/>
    <w:rsid w:val="00E7199C"/>
    <w:rsid w:val="00EB2506"/>
    <w:rsid w:val="00ED0415"/>
    <w:rsid w:val="00EF4F35"/>
    <w:rsid w:val="00EF6230"/>
    <w:rsid w:val="00F76FB3"/>
    <w:rsid w:val="00F926EC"/>
    <w:rsid w:val="00FB697A"/>
    <w:rsid w:val="00FD3D82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54E45-C67C-4C2B-9F29-CCB0D48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2A122C"/>
    <w:rPr>
      <w:vertAlign w:val="superscript"/>
    </w:rPr>
  </w:style>
  <w:style w:type="paragraph" w:styleId="Textodenotaderodap">
    <w:name w:val="footnote text"/>
    <w:aliases w:val="Texto de rodapé"/>
    <w:basedOn w:val="Normal"/>
    <w:link w:val="TextodenotaderodapChar"/>
    <w:rsid w:val="002A12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2A1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0">
    <w:name w:val="A0"/>
    <w:uiPriority w:val="99"/>
    <w:rsid w:val="00534567"/>
    <w:rPr>
      <w:rFonts w:cs="Adobe Garamond Pro"/>
      <w:color w:val="000000"/>
      <w:sz w:val="14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2A1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12F"/>
  </w:style>
  <w:style w:type="paragraph" w:styleId="Rodap">
    <w:name w:val="footer"/>
    <w:basedOn w:val="Normal"/>
    <w:link w:val="RodapChar"/>
    <w:uiPriority w:val="99"/>
    <w:unhideWhenUsed/>
    <w:rsid w:val="002A1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Moraes</dc:creator>
  <cp:keywords/>
  <dc:description/>
  <cp:lastModifiedBy>Régia Agostinho</cp:lastModifiedBy>
  <cp:revision>2</cp:revision>
  <dcterms:created xsi:type="dcterms:W3CDTF">2017-09-09T14:27:00Z</dcterms:created>
  <dcterms:modified xsi:type="dcterms:W3CDTF">2017-09-09T14:27:00Z</dcterms:modified>
</cp:coreProperties>
</file>