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RECESSÃO GENGIVAL E INFLAMAÇÃO LOCALIZADA: RELATO DE CASO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Emilly Cristtiny Coelho Barroso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- ecoelhobarroso@gmail.com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Ana Caroline Batista de Andrade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³</w:t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Bruna Kelly Oliveira da Luz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³</w:t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Wygor Soares Morais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³</w:t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Paulo de Tarso  Silva de Macêdo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recessão gengival é compreendida como o deslocamento da margem gengival apical em relação à junção cemento-esmalte, resultando na exposição da superfície radicular. Essa condição é frequentemente associada à fatores como trauma mecânico, doença periodontal e higienização inadequada.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 </w:t>
      </w:r>
      <w:r w:rsidDel="00000000" w:rsidR="00000000" w:rsidRPr="00000000">
        <w:rPr>
          <w:rFonts w:ascii="Arial" w:cs="Arial" w:eastAsia="Arial" w:hAnsi="Arial"/>
          <w:rtl w:val="0"/>
        </w:rPr>
        <w:t xml:space="preserve">Paciente do sexo masculino, 54 anos, compareceu à Clínica-Escola da UNIFSA para atendimento de rotina, sem queixas clínicas. Relatou histórico de hipertensão, com controle medicamentoso através de Losartana. Informou ainda consumo regular de bebidas alcoólicas e que abandonou o tabagismo há 20 anos, com boa adaptação à abstinência. No exame extraoral, não foram identificadas alterações visíveis, sem sinais de assimetrias na região da face, boca e pescoço. No exame intraoral, foram observados má oclusão, inflamação gengival, cálculo dentário e recessão gengival. Foram discutidos com o paciente acompanhamento e orientação sobre a manutenção da higiene oral, com ênfase na técnica de escovação adequada e no uso de fio dental para evitar a progressão da recessão gengival e a ocorrência de novas lesões. O paciente foi instruído a retornar para avaliação periódica e acompanhamento.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O sucesso no tratamento da recessão gengival exige não apenas intervenções clínicas eficazes, mas também a colaboração ativa do paciente, por meio da adesão às orientações e do acompanhamento contínuo. Medidas preventivas, como visitas periódicas ao dentista e práticas adequadas de higiene oral, são indispensáveis para evitar recorrências e preservar a saúde periodontal a longo prazo.</w:t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Periodontite. Higiene bucal. Cooperação e Adesão ao Tratamento.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4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5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 Co-autores. Estudantes do curso de graduação em Odontologia no Centro Universitário Santo Agostinho (UNIFSA).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⁴ Graduado em odontologia pela Universidade Federal do Piauí (2011). Especialista em Radiologia Odontológica e Imaginologia pela Universidade Estadual de Campinas (2013), Mestre profissional em Radiologia Odontológica pela Universidade Estadual de Campinas (2014) e Doutor em Radiologia Odontológica pela SLMandic (2019).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-662300</wp:posOffset>
          </wp:positionH>
          <wp:positionV relativeFrom="paragraph">
            <wp:posOffset>-307200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