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30" w:rsidRPr="00174307" w:rsidRDefault="0054089B" w:rsidP="00323C08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07">
        <w:rPr>
          <w:rFonts w:ascii="Times New Roman" w:hAnsi="Times New Roman" w:cs="Times New Roman"/>
          <w:b/>
          <w:sz w:val="28"/>
          <w:szCs w:val="28"/>
        </w:rPr>
        <w:t>CO</w:t>
      </w:r>
      <w:r w:rsidR="00323C08" w:rsidRPr="00174307">
        <w:rPr>
          <w:rFonts w:ascii="Times New Roman" w:hAnsi="Times New Roman" w:cs="Times New Roman"/>
          <w:b/>
          <w:sz w:val="28"/>
          <w:szCs w:val="28"/>
        </w:rPr>
        <w:t>NTRIBUIÇÕES D</w:t>
      </w:r>
      <w:r w:rsidR="00566AD7" w:rsidRPr="00174307">
        <w:rPr>
          <w:rFonts w:ascii="Times New Roman" w:hAnsi="Times New Roman" w:cs="Times New Roman"/>
          <w:b/>
          <w:sz w:val="28"/>
          <w:szCs w:val="28"/>
        </w:rPr>
        <w:t xml:space="preserve">A NUTRIGENÔMICA </w:t>
      </w:r>
      <w:r w:rsidR="00FA7672" w:rsidRPr="00174307">
        <w:rPr>
          <w:rFonts w:ascii="Times New Roman" w:hAnsi="Times New Roman" w:cs="Times New Roman"/>
          <w:b/>
          <w:sz w:val="28"/>
          <w:szCs w:val="28"/>
        </w:rPr>
        <w:t>N</w:t>
      </w:r>
      <w:r w:rsidR="00D23F68" w:rsidRPr="00174307">
        <w:rPr>
          <w:rFonts w:ascii="Times New Roman" w:hAnsi="Times New Roman" w:cs="Times New Roman"/>
          <w:b/>
          <w:sz w:val="28"/>
          <w:szCs w:val="28"/>
        </w:rPr>
        <w:t>O TRATAMENTO</w:t>
      </w:r>
      <w:r w:rsidRPr="00174307">
        <w:rPr>
          <w:rFonts w:ascii="Times New Roman" w:hAnsi="Times New Roman" w:cs="Times New Roman"/>
          <w:b/>
          <w:sz w:val="28"/>
          <w:szCs w:val="28"/>
        </w:rPr>
        <w:t xml:space="preserve"> DE PACIENTES </w:t>
      </w:r>
      <w:r w:rsidR="00566AD7" w:rsidRPr="00174307">
        <w:rPr>
          <w:rFonts w:ascii="Times New Roman" w:hAnsi="Times New Roman" w:cs="Times New Roman"/>
          <w:b/>
          <w:sz w:val="28"/>
          <w:szCs w:val="28"/>
        </w:rPr>
        <w:t xml:space="preserve">DIAGNÓSTICADOS </w:t>
      </w:r>
      <w:r w:rsidRPr="00174307">
        <w:rPr>
          <w:rFonts w:ascii="Times New Roman" w:hAnsi="Times New Roman" w:cs="Times New Roman"/>
          <w:b/>
          <w:sz w:val="28"/>
          <w:szCs w:val="28"/>
        </w:rPr>
        <w:t>COM FENILCETONÚRIA</w:t>
      </w:r>
    </w:p>
    <w:p w:rsidR="00C8161D" w:rsidRPr="00EA282F" w:rsidRDefault="0054089B" w:rsidP="00C8161D">
      <w:pPr>
        <w:jc w:val="both"/>
        <w:rPr>
          <w:rFonts w:ascii="Times New Roman" w:hAnsi="Times New Roman" w:cs="Times New Roman"/>
          <w:sz w:val="24"/>
          <w:szCs w:val="24"/>
        </w:rPr>
      </w:pPr>
      <w:r w:rsidRPr="00EA282F">
        <w:rPr>
          <w:rFonts w:ascii="Times New Roman" w:hAnsi="Times New Roman" w:cs="Times New Roman"/>
          <w:sz w:val="24"/>
          <w:szCs w:val="24"/>
        </w:rPr>
        <w:t>Susana Cordeiro Benevides Rozeno; Ana Beatriz de Sousa Ferreira; Maria Grazielle Alcântara Oliveira de Brito</w:t>
      </w:r>
      <w:r w:rsidR="00C8161D" w:rsidRPr="00EA282F">
        <w:rPr>
          <w:rFonts w:ascii="Times New Roman" w:hAnsi="Times New Roman" w:cs="Times New Roman"/>
          <w:sz w:val="24"/>
          <w:szCs w:val="24"/>
        </w:rPr>
        <w:t xml:space="preserve">; </w:t>
      </w:r>
      <w:r w:rsidR="00780C37" w:rsidRPr="00EA282F">
        <w:rPr>
          <w:rFonts w:ascii="Times New Roman" w:hAnsi="Times New Roman" w:cs="Times New Roman"/>
          <w:sz w:val="24"/>
          <w:szCs w:val="24"/>
        </w:rPr>
        <w:t>Talícia</w:t>
      </w:r>
      <w:r w:rsidR="00C8161D" w:rsidRPr="00EA282F">
        <w:rPr>
          <w:rFonts w:ascii="Times New Roman" w:hAnsi="Times New Roman" w:cs="Times New Roman"/>
          <w:sz w:val="24"/>
          <w:szCs w:val="24"/>
        </w:rPr>
        <w:t xml:space="preserve"> </w:t>
      </w:r>
      <w:r w:rsidR="00780C37" w:rsidRPr="00EA282F">
        <w:rPr>
          <w:rFonts w:ascii="Times New Roman" w:hAnsi="Times New Roman" w:cs="Times New Roman"/>
          <w:sz w:val="24"/>
          <w:szCs w:val="24"/>
        </w:rPr>
        <w:t>Maria Alves Benicio</w:t>
      </w:r>
    </w:p>
    <w:p w:rsidR="00DC120E" w:rsidRPr="00EA282F" w:rsidRDefault="00DC120E" w:rsidP="00C8161D">
      <w:pPr>
        <w:jc w:val="both"/>
        <w:rPr>
          <w:rFonts w:ascii="Times New Roman" w:hAnsi="Times New Roman" w:cs="Times New Roman"/>
          <w:sz w:val="24"/>
          <w:szCs w:val="24"/>
        </w:rPr>
      </w:pPr>
      <w:r w:rsidRPr="00EA282F">
        <w:rPr>
          <w:rFonts w:ascii="Times New Roman" w:hAnsi="Times New Roman" w:cs="Times New Roman"/>
          <w:sz w:val="24"/>
          <w:szCs w:val="24"/>
        </w:rPr>
        <w:t>*e-mail: susanabenevides@hotmail.com</w:t>
      </w:r>
    </w:p>
    <w:p w:rsidR="0054089B" w:rsidRPr="00E93BFF" w:rsidRDefault="0054089B" w:rsidP="00E93BFF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BFF">
        <w:rPr>
          <w:rFonts w:ascii="Times New Roman" w:hAnsi="Times New Roman" w:cs="Times New Roman"/>
          <w:b/>
          <w:sz w:val="20"/>
          <w:szCs w:val="20"/>
        </w:rPr>
        <w:t>CENTRO UNIVERSITÁRIO DE PATOS – UNIFIP</w:t>
      </w:r>
      <w:r w:rsidR="00C8161D" w:rsidRPr="00E93BFF">
        <w:rPr>
          <w:rFonts w:ascii="Times New Roman" w:hAnsi="Times New Roman" w:cs="Times New Roman"/>
          <w:b/>
          <w:sz w:val="20"/>
          <w:szCs w:val="20"/>
        </w:rPr>
        <w:t>, Patos, PB, Brasil</w:t>
      </w:r>
    </w:p>
    <w:p w:rsidR="0054089B" w:rsidRPr="00E93BFF" w:rsidRDefault="00C8161D" w:rsidP="00E93BF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93B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DEPARTAMENTO DE NUTRIÇÃO</w:t>
      </w:r>
    </w:p>
    <w:p w:rsidR="00C36452" w:rsidRPr="00E93BFF" w:rsidRDefault="00C36452" w:rsidP="00E93BF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5604AD" w:rsidRPr="00EA282F" w:rsidRDefault="00E93BFF" w:rsidP="00DC1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Introdução</w:t>
      </w:r>
      <w:r w:rsidR="00DC120E"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0610A5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A fenilc</w:t>
      </w:r>
      <w:r w:rsidR="00964A90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etonúria é uma doença genética, de cunho autossômico recessivo e que </w:t>
      </w:r>
      <w:r w:rsidR="000610A5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atinge homens e mulheres</w:t>
      </w:r>
      <w:r w:rsidR="00964A90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mesma proporção. Configura-se como um erro inato de metabolismo, uma vez que as altera</w:t>
      </w:r>
      <w:r w:rsidR="000610A5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ções</w:t>
      </w:r>
      <w:r w:rsidR="00964A90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genéticas envolvidas na sua patogênese desencadeiam falhas no processo de codificação d</w:t>
      </w:r>
      <w:r w:rsidR="000610A5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a enzi</w:t>
      </w:r>
      <w:r w:rsidR="00964A90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ma hepática fenilalanina hidroxi</w:t>
      </w:r>
      <w:r w:rsidR="00566A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lase. </w:t>
      </w:r>
      <w:r w:rsidR="000610A5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A ausência ou defeito nesta enzima impede a conversão hepática de fenilalanina, um dos aminoácidos essenciais no organismo, em tirosina, causando acúmulo de fenilalanina</w:t>
      </w:r>
      <w:r w:rsidR="00566A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sangue e em outros tecidos. Em meio a </w:t>
      </w:r>
      <w:r w:rsidR="00964A90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 contexto de interação entre genes e nutrientes, </w:t>
      </w:r>
      <w:r w:rsidR="00566A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tal como ocorre na fenilcetonúria, despontou o conceito da</w:t>
      </w:r>
      <w:r w:rsidR="00E31F2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</w:t>
      </w:r>
      <w:r w:rsidR="00566A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trigenômica</w:t>
      </w:r>
      <w:r w:rsidR="00E31F2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. Dentre os seus objetivos, a nutrigenômica busca estabelecer nutrição personalizada com base no genótipo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 vistas a promover a </w:t>
      </w:r>
      <w:r w:rsidR="00E31F2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saúde e reduzir o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s riscos associados às</w:t>
      </w:r>
      <w:r w:rsidR="00E31F2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doenças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. Sendo assim, a prescrição</w:t>
      </w:r>
      <w:r w:rsidR="00E31F2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diet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as restritas em fenilalanina para</w:t>
      </w:r>
      <w:r w:rsidR="00E31F2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indivíduos fenilcetonúricos ilustra o princípio básico de aplicação do conceito nutrigenômico de individualização alimentar.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Objetivo</w:t>
      </w:r>
      <w:r w:rsidR="00DC120E"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053DB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evisar a literatura acerca</w:t>
      </w:r>
      <w:r w:rsidR="00FD2360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contribuições da nutrigenômica associadas 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23F68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tratamento 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FD2360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fenilcetonúria.</w:t>
      </w:r>
      <w:r w:rsidR="00DC120E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Material e M</w:t>
      </w:r>
      <w:r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étodos</w:t>
      </w:r>
      <w:r w:rsidR="00DC120E"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Trata-se de um estudo de revisão b</w:t>
      </w:r>
      <w:r w:rsidR="007B3D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ibliográfica, por meio do levantamento de dados </w:t>
      </w:r>
      <w:r w:rsidR="006C3E4F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disponibilizados através das </w:t>
      </w:r>
      <w:r w:rsidR="00566A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bases 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5373C8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Scielo</w:t>
      </w:r>
      <w:r w:rsidR="00537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DD2C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PubM</w:t>
      </w:r>
      <w:r w:rsidR="00537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ed. </w:t>
      </w:r>
      <w:r w:rsidR="00FE7FA6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Para as buscas foram utilizadas combinações entre seguintes descritores</w:t>
      </w:r>
      <w:r w:rsidR="00537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fenilcetonúria, nutrigenômica e dietoterapia. </w:t>
      </w:r>
      <w:r w:rsidR="005373C8" w:rsidRPr="005373C8">
        <w:rPr>
          <w:rFonts w:ascii="Times New Roman" w:hAnsi="Times New Roman" w:cs="Times New Roman"/>
          <w:sz w:val="24"/>
          <w:szCs w:val="24"/>
          <w:shd w:val="clear" w:color="auto" w:fill="FFFFFF"/>
        </w:rPr>
        <w:t>Como</w:t>
      </w:r>
      <w:r w:rsidR="007B3D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critério de inclusão considerou-se: </w:t>
      </w:r>
      <w:r w:rsidR="00174656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teses, dissertações e </w:t>
      </w:r>
      <w:r w:rsidR="00D25A19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artigos científicos</w:t>
      </w:r>
      <w:r w:rsidR="006C3E4F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</w:t>
      </w:r>
      <w:r w:rsidR="002D66AA">
        <w:rPr>
          <w:rFonts w:ascii="Times New Roman" w:hAnsi="Times New Roman" w:cs="Times New Roman"/>
          <w:sz w:val="24"/>
          <w:szCs w:val="24"/>
          <w:shd w:val="clear" w:color="auto" w:fill="FFFFFF"/>
        </w:rPr>
        <w:t>icados durante o período de 2010</w:t>
      </w:r>
      <w:r w:rsidR="006C3E4F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2019</w:t>
      </w:r>
      <w:r w:rsidR="007B3DD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E7FA6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6C3E4F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oram excluídos trabalhos não disponibilizados na íntegra</w:t>
      </w:r>
      <w:r w:rsidR="00FE7FA6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03AD4"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Resultados</w:t>
      </w:r>
      <w:r w:rsidR="00DC120E"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8373C2"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65E71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A nutrigenômica tem sido apontada como um</w:t>
      </w:r>
      <w:r w:rsidR="0073460B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caminho</w:t>
      </w:r>
      <w:r w:rsidR="00765E71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promissor para a prevenção e controle de diversas doenças, sendo que seus principais desafios </w:t>
      </w:r>
      <w:r w:rsidR="00703AD4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se referem</w:t>
      </w:r>
      <w:r w:rsidR="00765E71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às doenças poligênicas. No caso da fenilcetonúria, doença monogênica, as contribuições da nutrigenômica já estão bem estabelecid</w:t>
      </w:r>
      <w:r w:rsidR="0057000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as. O</w:t>
      </w:r>
      <w:r w:rsidR="00096F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s estudos selecionados apontaram</w:t>
      </w:r>
      <w:r w:rsidR="00765E71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o tratamento </w:t>
      </w:r>
      <w:r w:rsidR="00096F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para fenilcetonúricos</w:t>
      </w:r>
      <w:r w:rsidR="00765E71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incluir o uso da fórmula metabólica e</w:t>
      </w:r>
      <w:r w:rsidR="004C5FC6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dieta restritiva</w:t>
      </w:r>
      <w:r w:rsidR="0057000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primeira </w:t>
      </w:r>
      <w:r w:rsidR="00B94F2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consiste em</w:t>
      </w:r>
      <w:r w:rsidR="004C5FC6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582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</w:t>
      </w:r>
      <w:r w:rsidR="0057000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composto livre de </w:t>
      </w:r>
      <w:r w:rsidR="004C5FC6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fenilalanina, mas rico em aminoácidos essenciais para o organismo do paciente</w:t>
      </w:r>
      <w:r w:rsidR="00096F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</w:t>
      </w:r>
      <w:r w:rsidR="00765E71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deve</w:t>
      </w:r>
      <w:r w:rsidR="00B94F2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incluído na dieta</w:t>
      </w:r>
      <w:r w:rsidR="00782805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96F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idealmente</w:t>
      </w:r>
      <w:r w:rsidR="0057000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96F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até o</w:t>
      </w:r>
      <w:r w:rsidR="00765E71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6FD7" w:rsidRPr="00EA282F">
        <w:rPr>
          <w:rFonts w:ascii="Times New Roman" w:hAnsi="Times New Roman" w:cs="Times New Roman"/>
          <w:sz w:val="24"/>
          <w:szCs w:val="24"/>
        </w:rPr>
        <w:t>10o dia de vida. A dieta restritiva</w:t>
      </w:r>
      <w:r w:rsidR="00570003" w:rsidRPr="00EA282F">
        <w:rPr>
          <w:rFonts w:ascii="Times New Roman" w:hAnsi="Times New Roman" w:cs="Times New Roman"/>
          <w:sz w:val="24"/>
          <w:szCs w:val="24"/>
        </w:rPr>
        <w:t xml:space="preserve"> </w:t>
      </w:r>
      <w:r w:rsidR="00B94F27" w:rsidRPr="00EA282F">
        <w:rPr>
          <w:rFonts w:ascii="Times New Roman" w:hAnsi="Times New Roman" w:cs="Times New Roman"/>
          <w:sz w:val="24"/>
          <w:szCs w:val="24"/>
        </w:rPr>
        <w:t>deve ser mantida ao longo da vida e objetiva</w:t>
      </w:r>
      <w:r w:rsidR="00B94F2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controlar os níveis sanguíneos deste aminoácido </w:t>
      </w:r>
      <w:r w:rsidR="00096F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e evitar as manifestações clín</w:t>
      </w:r>
      <w:r w:rsidR="00B94F2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icas da doença. </w:t>
      </w:r>
      <w:r w:rsidR="00B94F27" w:rsidRPr="00EA282F">
        <w:rPr>
          <w:rFonts w:ascii="Times New Roman" w:hAnsi="Times New Roman" w:cs="Times New Roman"/>
          <w:sz w:val="24"/>
          <w:szCs w:val="24"/>
        </w:rPr>
        <w:t xml:space="preserve">Os alimentos permitidos na alimentação de fenilcetonúricos apresentam teor de zero a 20mg de fenilalanina/100g de alimento; aqueles proibidos apresentam níveis superiores a 200mg de fenilalanina/100g de alimento; e os </w:t>
      </w:r>
      <w:r w:rsidR="00570003" w:rsidRPr="00EA282F">
        <w:rPr>
          <w:rFonts w:ascii="Times New Roman" w:hAnsi="Times New Roman" w:cs="Times New Roman"/>
          <w:sz w:val="24"/>
          <w:szCs w:val="24"/>
        </w:rPr>
        <w:t xml:space="preserve">com teor médio, </w:t>
      </w:r>
      <w:r w:rsidR="00B94F27" w:rsidRPr="00EA282F">
        <w:rPr>
          <w:rFonts w:ascii="Times New Roman" w:hAnsi="Times New Roman" w:cs="Times New Roman"/>
          <w:sz w:val="24"/>
          <w:szCs w:val="24"/>
        </w:rPr>
        <w:t>entre 10 a 200mg de fenilalanina/100g do alimento</w:t>
      </w:r>
      <w:r w:rsidR="00570003" w:rsidRPr="00EA282F">
        <w:rPr>
          <w:rFonts w:ascii="Times New Roman" w:hAnsi="Times New Roman" w:cs="Times New Roman"/>
          <w:sz w:val="24"/>
          <w:szCs w:val="24"/>
        </w:rPr>
        <w:t>,</w:t>
      </w:r>
      <w:r w:rsidR="00B94F27" w:rsidRPr="00EA282F">
        <w:rPr>
          <w:rFonts w:ascii="Times New Roman" w:hAnsi="Times New Roman" w:cs="Times New Roman"/>
          <w:sz w:val="24"/>
          <w:szCs w:val="24"/>
        </w:rPr>
        <w:t xml:space="preserve"> devem ser consumidos com cautela.</w:t>
      </w:r>
      <w:r w:rsidR="00096FD7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0003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No caso de m</w:t>
      </w:r>
      <w:r w:rsidR="00570003" w:rsidRPr="00EA282F">
        <w:rPr>
          <w:rFonts w:ascii="Times New Roman" w:hAnsi="Times New Roman" w:cs="Times New Roman"/>
          <w:sz w:val="24"/>
          <w:szCs w:val="24"/>
        </w:rPr>
        <w:t>ulheres fenilcetonúricas</w:t>
      </w:r>
      <w:r w:rsidR="005373C8">
        <w:rPr>
          <w:rFonts w:ascii="Times New Roman" w:hAnsi="Times New Roman" w:cs="Times New Roman"/>
          <w:sz w:val="24"/>
          <w:szCs w:val="24"/>
        </w:rPr>
        <w:t>,</w:t>
      </w:r>
      <w:r w:rsidR="00570003" w:rsidRPr="00EA282F">
        <w:rPr>
          <w:rFonts w:ascii="Times New Roman" w:hAnsi="Times New Roman" w:cs="Times New Roman"/>
          <w:sz w:val="24"/>
          <w:szCs w:val="24"/>
        </w:rPr>
        <w:t xml:space="preserve"> grávidas ou</w:t>
      </w:r>
      <w:r w:rsidR="006C3E4F" w:rsidRPr="00EA282F">
        <w:rPr>
          <w:rFonts w:ascii="Times New Roman" w:hAnsi="Times New Roman" w:cs="Times New Roman"/>
          <w:sz w:val="24"/>
          <w:szCs w:val="24"/>
        </w:rPr>
        <w:t xml:space="preserve"> em idade fértil </w:t>
      </w:r>
      <w:r w:rsidR="00570003" w:rsidRPr="00EA282F">
        <w:rPr>
          <w:rFonts w:ascii="Times New Roman" w:hAnsi="Times New Roman" w:cs="Times New Roman"/>
          <w:sz w:val="24"/>
          <w:szCs w:val="24"/>
        </w:rPr>
        <w:t>preconiza-se o controle minucioso dos níveis séricos de fenilalanina, de</w:t>
      </w:r>
      <w:r w:rsidR="006C3E4F" w:rsidRPr="00EA282F">
        <w:rPr>
          <w:rFonts w:ascii="Times New Roman" w:hAnsi="Times New Roman" w:cs="Times New Roman"/>
          <w:sz w:val="24"/>
          <w:szCs w:val="24"/>
        </w:rPr>
        <w:t xml:space="preserve"> modo a evitar uma série de anomalias no feto</w:t>
      </w:r>
      <w:r w:rsidR="00570003" w:rsidRPr="00EA282F">
        <w:rPr>
          <w:rFonts w:ascii="Times New Roman" w:hAnsi="Times New Roman" w:cs="Times New Roman"/>
          <w:sz w:val="24"/>
          <w:szCs w:val="24"/>
        </w:rPr>
        <w:t xml:space="preserve">, como retardo de crescimento intrauterino, baixo peso ao nascimento, microcefalia, cardiopatia congênita, atraso neurológico e até mesmo a morte. </w:t>
      </w:r>
      <w:r w:rsidR="00703AD4"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Conclusão: </w:t>
      </w:r>
      <w:r w:rsidR="00570003" w:rsidRPr="00EA282F">
        <w:rPr>
          <w:rFonts w:ascii="Times New Roman" w:hAnsi="Times New Roman" w:cs="Times New Roman"/>
          <w:sz w:val="24"/>
          <w:szCs w:val="24"/>
        </w:rPr>
        <w:t>A</w:t>
      </w:r>
      <w:r w:rsidR="006C3E4F" w:rsidRPr="00EA282F">
        <w:rPr>
          <w:rFonts w:ascii="Times New Roman" w:hAnsi="Times New Roman" w:cs="Times New Roman"/>
          <w:sz w:val="24"/>
          <w:szCs w:val="24"/>
        </w:rPr>
        <w:t xml:space="preserve"> dietoterapia pautada nos princípios da</w:t>
      </w:r>
      <w:r w:rsidR="00570003" w:rsidRPr="00EA282F">
        <w:rPr>
          <w:rFonts w:ascii="Times New Roman" w:hAnsi="Times New Roman" w:cs="Times New Roman"/>
          <w:sz w:val="24"/>
          <w:szCs w:val="24"/>
        </w:rPr>
        <w:t xml:space="preserve"> </w:t>
      </w:r>
      <w:r w:rsidR="001A2D15" w:rsidRPr="00EA282F">
        <w:rPr>
          <w:rFonts w:ascii="Times New Roman" w:hAnsi="Times New Roman" w:cs="Times New Roman"/>
          <w:sz w:val="24"/>
          <w:szCs w:val="24"/>
        </w:rPr>
        <w:t xml:space="preserve">nutrigenômica </w:t>
      </w:r>
      <w:r w:rsidR="00271BEC" w:rsidRPr="00EA282F">
        <w:rPr>
          <w:rFonts w:ascii="Times New Roman" w:hAnsi="Times New Roman" w:cs="Times New Roman"/>
          <w:sz w:val="24"/>
          <w:szCs w:val="24"/>
        </w:rPr>
        <w:t>tem um papel fundamental</w:t>
      </w:r>
      <w:r w:rsidR="001A2D15" w:rsidRPr="00EA282F">
        <w:rPr>
          <w:rFonts w:ascii="Times New Roman" w:hAnsi="Times New Roman" w:cs="Times New Roman"/>
          <w:sz w:val="24"/>
          <w:szCs w:val="24"/>
        </w:rPr>
        <w:t xml:space="preserve"> </w:t>
      </w:r>
      <w:r w:rsidR="005604AD" w:rsidRPr="00EA282F">
        <w:rPr>
          <w:rFonts w:ascii="Times New Roman" w:hAnsi="Times New Roman" w:cs="Times New Roman"/>
          <w:sz w:val="24"/>
          <w:szCs w:val="24"/>
        </w:rPr>
        <w:t xml:space="preserve">no controle da </w:t>
      </w:r>
      <w:r w:rsidR="007E68C7" w:rsidRPr="00EA282F">
        <w:rPr>
          <w:rFonts w:ascii="Times New Roman" w:hAnsi="Times New Roman" w:cs="Times New Roman"/>
          <w:sz w:val="24"/>
          <w:szCs w:val="24"/>
        </w:rPr>
        <w:t>fenilcetonúria</w:t>
      </w:r>
      <w:r w:rsidR="00B209BB" w:rsidRPr="00EA282F">
        <w:rPr>
          <w:rFonts w:ascii="Times New Roman" w:hAnsi="Times New Roman" w:cs="Times New Roman"/>
          <w:sz w:val="24"/>
          <w:szCs w:val="24"/>
        </w:rPr>
        <w:t>,</w:t>
      </w:r>
      <w:r w:rsidR="005604AD" w:rsidRPr="00EA282F">
        <w:rPr>
          <w:rFonts w:ascii="Times New Roman" w:hAnsi="Times New Roman" w:cs="Times New Roman"/>
          <w:sz w:val="24"/>
          <w:szCs w:val="24"/>
        </w:rPr>
        <w:t xml:space="preserve"> </w:t>
      </w:r>
      <w:r w:rsidR="006C3E4F" w:rsidRPr="00EA282F">
        <w:rPr>
          <w:rFonts w:ascii="Times New Roman" w:hAnsi="Times New Roman" w:cs="Times New Roman"/>
          <w:sz w:val="24"/>
          <w:szCs w:val="24"/>
        </w:rPr>
        <w:t xml:space="preserve">sendo imprescindível o papel do </w:t>
      </w:r>
      <w:r w:rsidR="006C3E4F" w:rsidRPr="00EA282F">
        <w:rPr>
          <w:rFonts w:ascii="Times New Roman" w:hAnsi="Times New Roman" w:cs="Times New Roman"/>
          <w:sz w:val="24"/>
          <w:szCs w:val="24"/>
        </w:rPr>
        <w:lastRenderedPageBreak/>
        <w:t>nutricionista</w:t>
      </w:r>
      <w:r w:rsidR="005604AD" w:rsidRPr="00EA282F">
        <w:rPr>
          <w:rFonts w:ascii="Times New Roman" w:hAnsi="Times New Roman" w:cs="Times New Roman"/>
          <w:sz w:val="24"/>
          <w:szCs w:val="24"/>
        </w:rPr>
        <w:t xml:space="preserve"> na busca por garantir adesão ao tratamento e melhor qualidade de vida aos pacientes. </w:t>
      </w:r>
    </w:p>
    <w:p w:rsidR="00DC120E" w:rsidRPr="00EA282F" w:rsidRDefault="00DC120E" w:rsidP="00DC1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Descritores:</w:t>
      </w:r>
      <w:r w:rsidR="005604AD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73C8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fenilalanina</w:t>
      </w:r>
      <w:r w:rsidR="005604AD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25A19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dietoterapia</w:t>
      </w:r>
      <w:r w:rsidR="005604AD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05E9" w:rsidRPr="00EA282F">
        <w:rPr>
          <w:rFonts w:ascii="Times New Roman" w:hAnsi="Times New Roman" w:cs="Times New Roman"/>
          <w:sz w:val="24"/>
          <w:szCs w:val="24"/>
          <w:shd w:val="clear" w:color="auto" w:fill="FFFFFF"/>
        </w:rPr>
        <w:t>nutrigenoma.</w:t>
      </w:r>
    </w:p>
    <w:p w:rsidR="001A2D15" w:rsidRPr="00A405E9" w:rsidRDefault="001A2D15" w:rsidP="00DC120E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80C37" w:rsidRPr="00A405E9" w:rsidRDefault="005604AD" w:rsidP="00CA224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405E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REFERÊ</w:t>
      </w:r>
      <w:r w:rsidR="00780C37" w:rsidRPr="00A405E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NCIAS</w:t>
      </w:r>
    </w:p>
    <w:p w:rsidR="00903D6C" w:rsidRPr="00161ED3" w:rsidRDefault="00903D6C" w:rsidP="00CA22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FÉRES, Vivian Fortuna; et al. </w:t>
      </w:r>
      <w:r w:rsidRPr="00F6010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Nutrigenômica: um desafio do século</w:t>
      </w: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6010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XXI</w:t>
      </w: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601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2010. </w:t>
      </w: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Disponível</w:t>
      </w:r>
      <w:r w:rsidR="00F601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em:</w:t>
      </w:r>
      <w:r w:rsidR="00C2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http://</w:t>
      </w:r>
      <w:hyperlink w:history="1">
        <w:r w:rsidRPr="00161E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www.uece.br&gt;arquivos&gt;doc_download&gt;97-nutrigenomica-bibliomed</w:t>
        </w:r>
      </w:hyperlink>
      <w:r w:rsidRPr="00161ED3">
        <w:rPr>
          <w:rFonts w:ascii="Times New Roman" w:hAnsi="Times New Roman" w:cs="Times New Roman"/>
          <w:sz w:val="24"/>
          <w:szCs w:val="24"/>
          <w:shd w:val="clear" w:color="auto" w:fill="FFFFFF"/>
        </w:rPr>
        <w:t>. Acesso</w:t>
      </w:r>
      <w:r w:rsidR="001113B3" w:rsidRPr="00161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</w:t>
      </w:r>
      <w:r w:rsidRPr="00161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29 de </w:t>
      </w:r>
      <w:r w:rsidR="001113B3" w:rsidRPr="00161ED3">
        <w:rPr>
          <w:rFonts w:ascii="Times New Roman" w:hAnsi="Times New Roman" w:cs="Times New Roman"/>
          <w:sz w:val="24"/>
          <w:szCs w:val="24"/>
          <w:shd w:val="clear" w:color="auto" w:fill="FFFFFF"/>
        </w:rPr>
        <w:t>set</w:t>
      </w:r>
      <w:r w:rsidRPr="00161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2019. </w:t>
      </w:r>
      <w:bookmarkStart w:id="0" w:name="_GoBack"/>
      <w:bookmarkEnd w:id="0"/>
    </w:p>
    <w:p w:rsidR="00903D6C" w:rsidRPr="00903D6C" w:rsidRDefault="00903D6C" w:rsidP="00AF7BE4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MARQUI, Alessandra Bernadete Trovó de; et al. Fenilcetonúria: aspectos genéticos, diagnóstico e tratamento. </w:t>
      </w:r>
      <w:r w:rsidRPr="00903D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Revista Sociedade Brasileira de Clínica Médica,</w:t>
      </w: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03D6C">
        <w:rPr>
          <w:rFonts w:ascii="Times New Roman" w:hAnsi="Times New Roman" w:cs="Times New Roman"/>
          <w:sz w:val="24"/>
          <w:szCs w:val="24"/>
        </w:rPr>
        <w:t>São Paulo, SP</w:t>
      </w:r>
      <w:r w:rsidRPr="00903D6C">
        <w:rPr>
          <w:rFonts w:ascii="Times New Roman" w:hAnsi="Times New Roman" w:cs="Times New Roman"/>
          <w:sz w:val="24"/>
          <w:szCs w:val="24"/>
        </w:rPr>
        <w:t>, v.15 nº 04, p. 282-288, out-dez, 2017.</w:t>
      </w:r>
    </w:p>
    <w:p w:rsidR="00903D6C" w:rsidRPr="00903D6C" w:rsidRDefault="00903D6C" w:rsidP="00CA22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ROSA, Ruy Roberto Porto Ascenso; et al. Fenilcetonúria: uma revisão de literatura. </w:t>
      </w:r>
      <w:r w:rsidRPr="00903D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Revista Eletrônica de Farmácia</w:t>
      </w: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Teresina, PI, v. 11 n. 04, p. 27-47, março, 2014.</w:t>
      </w:r>
    </w:p>
    <w:p w:rsidR="00903D6C" w:rsidRPr="00903D6C" w:rsidRDefault="00903D6C" w:rsidP="00CA22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SOARES, Rosangelis Del Lama. </w:t>
      </w:r>
      <w:r w:rsidRPr="00903D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Convivendo com a fenilcetonúria: a percepção materna e da equipe multiprofissional</w:t>
      </w:r>
      <w:r w:rsidRPr="00903D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2014. 168f. Universidade Federal de Minas Gerais. Tese de doutorado (Programa de Pós-Graduação em Ciências da Saúde), Faculdade de Medicina, Belo Horizonte MG, 2014.</w:t>
      </w:r>
    </w:p>
    <w:p w:rsidR="00B43E19" w:rsidRPr="00A405E9" w:rsidRDefault="00B43E19" w:rsidP="00CA22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04252" w:rsidRDefault="00A04252" w:rsidP="00CA22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8678D" w:rsidRPr="00D8678D" w:rsidRDefault="00D8678D" w:rsidP="00CA22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80C37" w:rsidRPr="00780C37" w:rsidRDefault="00780C37" w:rsidP="00CA224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002B7" w:rsidRDefault="00B002B7" w:rsidP="00CA22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747B" w:rsidRDefault="00C5747B" w:rsidP="00CA22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67CB1" w:rsidRDefault="00567CB1" w:rsidP="00CA22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CA2245" w:rsidRDefault="00CA2245" w:rsidP="00CA224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E5646B" w:rsidRDefault="00E5646B" w:rsidP="00E5646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5646B" w:rsidRPr="0054089B" w:rsidRDefault="00E5646B" w:rsidP="00E564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5646B" w:rsidRPr="00540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56"/>
    <w:rsid w:val="00046F12"/>
    <w:rsid w:val="00053DB3"/>
    <w:rsid w:val="000610A5"/>
    <w:rsid w:val="00096FD7"/>
    <w:rsid w:val="000F071A"/>
    <w:rsid w:val="001113B3"/>
    <w:rsid w:val="00150241"/>
    <w:rsid w:val="00161AA6"/>
    <w:rsid w:val="00161ED3"/>
    <w:rsid w:val="001735D0"/>
    <w:rsid w:val="00174307"/>
    <w:rsid w:val="00174656"/>
    <w:rsid w:val="001A2D15"/>
    <w:rsid w:val="002370AD"/>
    <w:rsid w:val="00271BEC"/>
    <w:rsid w:val="00285243"/>
    <w:rsid w:val="00291CE0"/>
    <w:rsid w:val="00296BE0"/>
    <w:rsid w:val="002B283A"/>
    <w:rsid w:val="002C43CC"/>
    <w:rsid w:val="002D66AA"/>
    <w:rsid w:val="00323C08"/>
    <w:rsid w:val="003D35E9"/>
    <w:rsid w:val="003E194A"/>
    <w:rsid w:val="003E6AC4"/>
    <w:rsid w:val="004C5FC6"/>
    <w:rsid w:val="00503E34"/>
    <w:rsid w:val="00525C36"/>
    <w:rsid w:val="00530D3A"/>
    <w:rsid w:val="005373C8"/>
    <w:rsid w:val="0054089B"/>
    <w:rsid w:val="005604AD"/>
    <w:rsid w:val="00566AD7"/>
    <w:rsid w:val="00567CB1"/>
    <w:rsid w:val="00567EB0"/>
    <w:rsid w:val="00570003"/>
    <w:rsid w:val="005913B7"/>
    <w:rsid w:val="005D39F4"/>
    <w:rsid w:val="00684F79"/>
    <w:rsid w:val="006A4C92"/>
    <w:rsid w:val="006B2915"/>
    <w:rsid w:val="006B757E"/>
    <w:rsid w:val="006C3E4F"/>
    <w:rsid w:val="00703AD4"/>
    <w:rsid w:val="0073460B"/>
    <w:rsid w:val="00765E71"/>
    <w:rsid w:val="00765FF6"/>
    <w:rsid w:val="00780C37"/>
    <w:rsid w:val="00782805"/>
    <w:rsid w:val="007B3DD3"/>
    <w:rsid w:val="007B7661"/>
    <w:rsid w:val="007E68C7"/>
    <w:rsid w:val="007F3BC2"/>
    <w:rsid w:val="008373C2"/>
    <w:rsid w:val="00874007"/>
    <w:rsid w:val="008B5AA0"/>
    <w:rsid w:val="008C0130"/>
    <w:rsid w:val="008D1330"/>
    <w:rsid w:val="008F4401"/>
    <w:rsid w:val="00903D6C"/>
    <w:rsid w:val="009427B0"/>
    <w:rsid w:val="00964A90"/>
    <w:rsid w:val="00975F53"/>
    <w:rsid w:val="00990582"/>
    <w:rsid w:val="009B704C"/>
    <w:rsid w:val="009F650A"/>
    <w:rsid w:val="00A04252"/>
    <w:rsid w:val="00A13A56"/>
    <w:rsid w:val="00A405E9"/>
    <w:rsid w:val="00A72734"/>
    <w:rsid w:val="00AA7D08"/>
    <w:rsid w:val="00AD25E2"/>
    <w:rsid w:val="00AE66B3"/>
    <w:rsid w:val="00AF7BE4"/>
    <w:rsid w:val="00B002B7"/>
    <w:rsid w:val="00B027B6"/>
    <w:rsid w:val="00B209BB"/>
    <w:rsid w:val="00B277E4"/>
    <w:rsid w:val="00B43E19"/>
    <w:rsid w:val="00B63320"/>
    <w:rsid w:val="00B94F27"/>
    <w:rsid w:val="00C24A70"/>
    <w:rsid w:val="00C36452"/>
    <w:rsid w:val="00C51304"/>
    <w:rsid w:val="00C5747B"/>
    <w:rsid w:val="00C741EC"/>
    <w:rsid w:val="00C8161D"/>
    <w:rsid w:val="00C97F65"/>
    <w:rsid w:val="00CA2245"/>
    <w:rsid w:val="00CA6471"/>
    <w:rsid w:val="00CC6686"/>
    <w:rsid w:val="00D104B8"/>
    <w:rsid w:val="00D23F68"/>
    <w:rsid w:val="00D25A19"/>
    <w:rsid w:val="00D84B2C"/>
    <w:rsid w:val="00D8678D"/>
    <w:rsid w:val="00DC120E"/>
    <w:rsid w:val="00DD2CD3"/>
    <w:rsid w:val="00E014AA"/>
    <w:rsid w:val="00E31F23"/>
    <w:rsid w:val="00E5646B"/>
    <w:rsid w:val="00E93BFF"/>
    <w:rsid w:val="00EA05B7"/>
    <w:rsid w:val="00EA282F"/>
    <w:rsid w:val="00F05787"/>
    <w:rsid w:val="00F60109"/>
    <w:rsid w:val="00F610A3"/>
    <w:rsid w:val="00FA7672"/>
    <w:rsid w:val="00FC2B94"/>
    <w:rsid w:val="00FD2360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EACB"/>
  <w15:docId w15:val="{47FBE557-BF4F-4E33-A38F-4EF22FCC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61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D81F-4C4D-4816-9479-0DFD9488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2</cp:revision>
  <dcterms:created xsi:type="dcterms:W3CDTF">2019-10-12T21:15:00Z</dcterms:created>
  <dcterms:modified xsi:type="dcterms:W3CDTF">2019-10-12T21:15:00Z</dcterms:modified>
</cp:coreProperties>
</file>