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4A3C0" w14:textId="52C60305" w:rsidR="009D129B" w:rsidRPr="0019190C" w:rsidRDefault="00FF5F46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FF5F46">
        <w:rPr>
          <w:rFonts w:ascii="Times New Roman" w:hAnsi="Times New Roman" w:cs="Times New Roman"/>
          <w:b/>
          <w:bCs/>
          <w:sz w:val="28"/>
          <w:szCs w:val="28"/>
        </w:rPr>
        <w:t xml:space="preserve">MATERIAIS E TÉCNICAS PARA A REDUÇÃO DA </w:t>
      </w:r>
      <w:bookmarkStart w:id="0" w:name="_GoBack"/>
      <w:r w:rsidRPr="00FF5F46">
        <w:rPr>
          <w:rFonts w:ascii="Times New Roman" w:hAnsi="Times New Roman" w:cs="Times New Roman"/>
          <w:b/>
          <w:bCs/>
          <w:sz w:val="28"/>
          <w:szCs w:val="28"/>
        </w:rPr>
        <w:t>SENSIBILIDADE APÓS CLAREAMENTO DENTÁRIO</w:t>
      </w:r>
      <w:bookmarkEnd w:id="0"/>
      <w:r w:rsidRPr="00FF5F46">
        <w:rPr>
          <w:rFonts w:ascii="Times New Roman" w:hAnsi="Times New Roman" w:cs="Times New Roman"/>
          <w:b/>
          <w:bCs/>
          <w:sz w:val="28"/>
          <w:szCs w:val="28"/>
        </w:rPr>
        <w:t xml:space="preserve">: UMA REVISÃO DE LITERATURA </w:t>
      </w:r>
    </w:p>
    <w:p w14:paraId="76178C3B" w14:textId="6971CB15" w:rsidR="00FF5F46" w:rsidRPr="00FF5F46" w:rsidRDefault="00FF5F46" w:rsidP="00FF5F46">
      <w:pPr>
        <w:spacing w:line="360" w:lineRule="atLeast"/>
        <w:rPr>
          <w:rFonts w:ascii="Times New Roman" w:hAnsi="Times New Roman" w:cs="Times New Roman"/>
          <w:b/>
          <w:color w:val="FF0000"/>
          <w:kern w:val="2"/>
        </w:rPr>
      </w:pPr>
    </w:p>
    <w:p w14:paraId="6FDC6747" w14:textId="77777777" w:rsidR="0001626E" w:rsidRPr="007C07DA" w:rsidRDefault="0001626E" w:rsidP="0001626E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7C07DA">
        <w:rPr>
          <w:rFonts w:ascii="Times New Roman" w:hAnsi="Times New Roman" w:cs="Times New Roman"/>
          <w:b/>
          <w:bCs/>
          <w:kern w:val="2"/>
        </w:rPr>
        <w:t>Autor 1 (</w:t>
      </w:r>
      <w:r w:rsidRPr="007C07DA">
        <w:rPr>
          <w:rFonts w:ascii="Times New Roman" w:hAnsi="Times New Roman" w:cs="Times New Roman"/>
          <w:b/>
          <w:kern w:val="2"/>
        </w:rPr>
        <w:t>Gabriela Rocha Costa</w:t>
      </w:r>
      <w:r w:rsidRPr="007C07DA">
        <w:rPr>
          <w:rFonts w:ascii="Times New Roman" w:hAnsi="Times New Roman" w:cs="Times New Roman"/>
          <w:b/>
          <w:bCs/>
          <w:kern w:val="2"/>
        </w:rPr>
        <w:t>)</w:t>
      </w:r>
      <w:r w:rsidRPr="007C07DA">
        <w:rPr>
          <w:rFonts w:ascii="Times New Roman" w:hAnsi="Times New Roman" w:cs="Times New Roman"/>
          <w:b/>
          <w:kern w:val="2"/>
        </w:rPr>
        <w:t xml:space="preserve"> </w:t>
      </w:r>
    </w:p>
    <w:p w14:paraId="7572FB23" w14:textId="77777777" w:rsidR="0001626E" w:rsidRPr="002C4481" w:rsidRDefault="0001626E" w:rsidP="0001626E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Cirurgiã-Dentista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– 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Centro Universitário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Fametro</w:t>
      </w:r>
      <w:proofErr w:type="spellEnd"/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Unifametro</w:t>
      </w:r>
      <w:proofErr w:type="spellEnd"/>
    </w:p>
    <w:p w14:paraId="571960BB" w14:textId="77777777" w:rsidR="0001626E" w:rsidRDefault="0001626E" w:rsidP="0001626E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7C07DA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>
        <w:rPr>
          <w:rFonts w:ascii="Times New Roman" w:hAnsi="Times New Roman" w:cs="Times New Roman"/>
          <w:kern w:val="2"/>
          <w:sz w:val="20"/>
          <w:szCs w:val="20"/>
        </w:rPr>
        <w:t>gabrielarochaodontologia@gmail.com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03A0B8E2" w14:textId="77777777" w:rsidR="0001626E" w:rsidRDefault="0001626E" w:rsidP="0001626E">
      <w:pPr>
        <w:spacing w:line="360" w:lineRule="atLeast"/>
        <w:jc w:val="right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2 (</w:t>
      </w:r>
      <w:proofErr w:type="spellStart"/>
      <w:r>
        <w:rPr>
          <w:rFonts w:ascii="Times New Roman" w:hAnsi="Times New Roman" w:cs="Times New Roman"/>
          <w:b/>
          <w:bCs/>
          <w:kern w:val="2"/>
        </w:rPr>
        <w:t>Gllendha</w:t>
      </w:r>
      <w:proofErr w:type="spellEnd"/>
      <w:r>
        <w:rPr>
          <w:rFonts w:ascii="Times New Roman" w:hAnsi="Times New Roman" w:cs="Times New Roman"/>
          <w:b/>
          <w:bCs/>
          <w:kern w:val="2"/>
        </w:rPr>
        <w:t xml:space="preserve"> Martins Mendes)</w:t>
      </w:r>
    </w:p>
    <w:p w14:paraId="47E16C80" w14:textId="77777777" w:rsidR="0001626E" w:rsidRPr="002C4481" w:rsidRDefault="0001626E" w:rsidP="0001626E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Cirurgiã-Dentista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– 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Centro Universitário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Fametro</w:t>
      </w:r>
      <w:proofErr w:type="spellEnd"/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Unifametro</w:t>
      </w:r>
      <w:proofErr w:type="spellEnd"/>
    </w:p>
    <w:p w14:paraId="2E0C3F65" w14:textId="77777777" w:rsidR="0001626E" w:rsidRPr="007C07DA" w:rsidRDefault="0001626E" w:rsidP="0001626E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gllendhamartins@gmail.com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370B144E" w14:textId="5FD6DBEA" w:rsidR="00FF5F46" w:rsidRPr="00FF5F46" w:rsidRDefault="0001626E" w:rsidP="00FF5F46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3</w:t>
      </w:r>
      <w:r w:rsidR="00FF5F46" w:rsidRPr="00FF5F46">
        <w:rPr>
          <w:rFonts w:ascii="Times New Roman" w:hAnsi="Times New Roman" w:cs="Times New Roman"/>
          <w:b/>
          <w:bCs/>
          <w:kern w:val="2"/>
        </w:rPr>
        <w:t xml:space="preserve"> (Ricardo Augusto Lima Carvalho)</w:t>
      </w:r>
    </w:p>
    <w:p w14:paraId="3F16C03D" w14:textId="035D6D41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 xml:space="preserve">Discente – </w:t>
      </w:r>
      <w:r>
        <w:rPr>
          <w:rFonts w:ascii="Times New Roman" w:hAnsi="Times New Roman" w:cs="Times New Roman"/>
          <w:kern w:val="2"/>
          <w:sz w:val="20"/>
          <w:szCs w:val="20"/>
        </w:rPr>
        <w:t>Centro Universitário Maurício de Nassau</w:t>
      </w:r>
      <w:r w:rsidRPr="00FF5F46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r>
        <w:rPr>
          <w:rFonts w:ascii="Times New Roman" w:hAnsi="Times New Roman" w:cs="Times New Roman"/>
          <w:kern w:val="2"/>
          <w:sz w:val="20"/>
          <w:szCs w:val="20"/>
        </w:rPr>
        <w:t>UNINASSAU</w:t>
      </w:r>
    </w:p>
    <w:p w14:paraId="26C03702" w14:textId="6CFD2CD2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>
        <w:rPr>
          <w:rFonts w:ascii="Times New Roman" w:hAnsi="Times New Roman" w:cs="Times New Roman"/>
          <w:kern w:val="2"/>
          <w:sz w:val="20"/>
          <w:szCs w:val="20"/>
        </w:rPr>
        <w:t>ricardooaugustolima.</w:t>
      </w:r>
      <w:r w:rsidRPr="00FF5F46">
        <w:rPr>
          <w:rFonts w:ascii="Times New Roman" w:hAnsi="Times New Roman" w:cs="Times New Roman"/>
          <w:kern w:val="2"/>
          <w:sz w:val="20"/>
          <w:szCs w:val="20"/>
        </w:rPr>
        <w:t>@gmail.com)</w:t>
      </w:r>
    </w:p>
    <w:p w14:paraId="1395796C" w14:textId="3C65DA8C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FF5F46">
        <w:rPr>
          <w:rFonts w:ascii="Times New Roman" w:hAnsi="Times New Roman" w:cs="Times New Roman"/>
          <w:b/>
          <w:bCs/>
          <w:kern w:val="2"/>
        </w:rPr>
        <w:t xml:space="preserve">Autor </w:t>
      </w:r>
      <w:r w:rsidR="0001626E">
        <w:rPr>
          <w:rFonts w:ascii="Times New Roman" w:hAnsi="Times New Roman" w:cs="Times New Roman"/>
          <w:b/>
          <w:bCs/>
          <w:kern w:val="2"/>
        </w:rPr>
        <w:t>4</w:t>
      </w:r>
      <w:r w:rsidRPr="00FF5F46">
        <w:rPr>
          <w:rFonts w:ascii="Times New Roman" w:hAnsi="Times New Roman" w:cs="Times New Roman"/>
          <w:b/>
          <w:bCs/>
          <w:kern w:val="2"/>
        </w:rPr>
        <w:t xml:space="preserve"> (José Rafael de Sá Alves)</w:t>
      </w:r>
    </w:p>
    <w:p w14:paraId="685FE605" w14:textId="77777777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Discente – Universidade Federal do Ceará - UFC</w:t>
      </w:r>
    </w:p>
    <w:p w14:paraId="42083A17" w14:textId="77777777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E-mail para contato (jrafasaalves@alu.ufc.br)</w:t>
      </w:r>
    </w:p>
    <w:p w14:paraId="50A949E3" w14:textId="4401A3C7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FF5F46">
        <w:rPr>
          <w:rFonts w:ascii="Times New Roman" w:hAnsi="Times New Roman" w:cs="Times New Roman"/>
          <w:b/>
          <w:bCs/>
          <w:kern w:val="2"/>
        </w:rPr>
        <w:t xml:space="preserve">Autor </w:t>
      </w:r>
      <w:r w:rsidR="0001626E">
        <w:rPr>
          <w:rFonts w:ascii="Times New Roman" w:hAnsi="Times New Roman" w:cs="Times New Roman"/>
          <w:b/>
          <w:bCs/>
          <w:kern w:val="2"/>
        </w:rPr>
        <w:t>5</w:t>
      </w:r>
      <w:r w:rsidRPr="00FF5F46">
        <w:rPr>
          <w:rFonts w:ascii="Times New Roman" w:hAnsi="Times New Roman" w:cs="Times New Roman"/>
          <w:b/>
          <w:bCs/>
          <w:kern w:val="2"/>
        </w:rPr>
        <w:t xml:space="preserve"> (Fatima Carolina Vieira de Azevedo)</w:t>
      </w:r>
      <w:r w:rsidRPr="00FF5F46">
        <w:rPr>
          <w:rFonts w:ascii="Times New Roman" w:hAnsi="Times New Roman" w:cs="Times New Roman"/>
          <w:kern w:val="2"/>
        </w:rPr>
        <w:t xml:space="preserve"> </w:t>
      </w:r>
    </w:p>
    <w:p w14:paraId="098478E3" w14:textId="77777777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 xml:space="preserve"> Discente – Centro Universitário Maurício de Nassau - UNINASSAU</w:t>
      </w:r>
    </w:p>
    <w:p w14:paraId="3A1E53C3" w14:textId="39D92E9F" w:rsid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E-mail para contato (azevedocarolina2606@gmail.com)</w:t>
      </w:r>
    </w:p>
    <w:p w14:paraId="6AB0CBE4" w14:textId="72D06ABD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FF5F46">
        <w:rPr>
          <w:rFonts w:ascii="Times New Roman" w:hAnsi="Times New Roman" w:cs="Times New Roman"/>
          <w:b/>
          <w:bCs/>
          <w:kern w:val="2"/>
        </w:rPr>
        <w:t xml:space="preserve">Autor </w:t>
      </w:r>
      <w:r w:rsidR="0001626E">
        <w:rPr>
          <w:rFonts w:ascii="Times New Roman" w:hAnsi="Times New Roman" w:cs="Times New Roman"/>
          <w:b/>
          <w:bCs/>
          <w:kern w:val="2"/>
        </w:rPr>
        <w:t>6</w:t>
      </w:r>
      <w:r w:rsidRPr="00FF5F46">
        <w:rPr>
          <w:rFonts w:ascii="Times New Roman" w:hAnsi="Times New Roman" w:cs="Times New Roman"/>
          <w:b/>
          <w:bCs/>
          <w:kern w:val="2"/>
        </w:rPr>
        <w:t xml:space="preserve"> (</w:t>
      </w:r>
      <w:r>
        <w:rPr>
          <w:rFonts w:ascii="Times New Roman" w:hAnsi="Times New Roman" w:cs="Times New Roman"/>
          <w:b/>
          <w:bCs/>
          <w:kern w:val="2"/>
        </w:rPr>
        <w:t>Natanael Carvalho de Mesquita</w:t>
      </w:r>
      <w:r w:rsidRPr="00FF5F46">
        <w:rPr>
          <w:rFonts w:ascii="Times New Roman" w:hAnsi="Times New Roman" w:cs="Times New Roman"/>
          <w:b/>
          <w:bCs/>
          <w:kern w:val="2"/>
        </w:rPr>
        <w:t>)</w:t>
      </w:r>
      <w:r w:rsidRPr="00FF5F46">
        <w:rPr>
          <w:rFonts w:ascii="Times New Roman" w:hAnsi="Times New Roman" w:cs="Times New Roman"/>
          <w:kern w:val="2"/>
        </w:rPr>
        <w:t xml:space="preserve"> </w:t>
      </w:r>
    </w:p>
    <w:p w14:paraId="1B8AD02F" w14:textId="44291BA6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 xml:space="preserve">Mestrando em Odontologia –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</w:rPr>
        <w:t>Univerisidade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</w:rPr>
        <w:t xml:space="preserve"> Federal do Ceará</w:t>
      </w:r>
      <w:r w:rsidRPr="00FF5F46">
        <w:rPr>
          <w:rFonts w:ascii="Times New Roman" w:hAnsi="Times New Roman" w:cs="Times New Roman"/>
          <w:kern w:val="2"/>
          <w:sz w:val="20"/>
          <w:szCs w:val="20"/>
        </w:rPr>
        <w:t xml:space="preserve"> - U</w:t>
      </w:r>
      <w:r>
        <w:rPr>
          <w:rFonts w:ascii="Times New Roman" w:hAnsi="Times New Roman" w:cs="Times New Roman"/>
          <w:kern w:val="2"/>
          <w:sz w:val="20"/>
          <w:szCs w:val="20"/>
        </w:rPr>
        <w:t>FC</w:t>
      </w:r>
    </w:p>
    <w:p w14:paraId="171318D0" w14:textId="756A7159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>
        <w:rPr>
          <w:rFonts w:ascii="Times New Roman" w:hAnsi="Times New Roman" w:cs="Times New Roman"/>
          <w:kern w:val="2"/>
          <w:sz w:val="20"/>
          <w:szCs w:val="20"/>
        </w:rPr>
        <w:t>natanaelcarvalho8519@gmail.com</w:t>
      </w:r>
      <w:r w:rsidRPr="00FF5F46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38803BA1" w14:textId="20BB7174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FF5F46">
        <w:rPr>
          <w:rFonts w:ascii="Times New Roman" w:hAnsi="Times New Roman" w:cs="Times New Roman"/>
          <w:b/>
          <w:bCs/>
          <w:kern w:val="2"/>
        </w:rPr>
        <w:t xml:space="preserve">Autor </w:t>
      </w:r>
      <w:r w:rsidR="0001626E">
        <w:rPr>
          <w:rFonts w:ascii="Times New Roman" w:hAnsi="Times New Roman" w:cs="Times New Roman"/>
          <w:b/>
          <w:bCs/>
          <w:kern w:val="2"/>
        </w:rPr>
        <w:t>7</w:t>
      </w:r>
      <w:r w:rsidRPr="00FF5F46">
        <w:rPr>
          <w:rFonts w:ascii="Times New Roman" w:hAnsi="Times New Roman" w:cs="Times New Roman"/>
          <w:b/>
          <w:bCs/>
          <w:kern w:val="2"/>
        </w:rPr>
        <w:t xml:space="preserve"> (</w:t>
      </w:r>
      <w:proofErr w:type="spellStart"/>
      <w:r w:rsidRPr="00FF5F46">
        <w:rPr>
          <w:rFonts w:ascii="Times New Roman" w:hAnsi="Times New Roman" w:cs="Times New Roman"/>
          <w:b/>
          <w:bCs/>
          <w:kern w:val="2"/>
        </w:rPr>
        <w:t>Zildenilson</w:t>
      </w:r>
      <w:proofErr w:type="spellEnd"/>
      <w:r w:rsidRPr="00FF5F46">
        <w:rPr>
          <w:rFonts w:ascii="Times New Roman" w:hAnsi="Times New Roman" w:cs="Times New Roman"/>
          <w:b/>
          <w:bCs/>
          <w:kern w:val="2"/>
        </w:rPr>
        <w:t xml:space="preserve"> da Silva Sousa)</w:t>
      </w:r>
      <w:r w:rsidRPr="00FF5F46">
        <w:rPr>
          <w:rFonts w:ascii="Times New Roman" w:hAnsi="Times New Roman" w:cs="Times New Roman"/>
          <w:kern w:val="2"/>
        </w:rPr>
        <w:t xml:space="preserve"> </w:t>
      </w:r>
    </w:p>
    <w:p w14:paraId="2A7C5686" w14:textId="77777777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Mestrando em Odontologia – Universidade de Fortaleza - UNIFOR</w:t>
      </w:r>
    </w:p>
    <w:p w14:paraId="7F100DA5" w14:textId="77777777" w:rsidR="00FF5F46" w:rsidRPr="00FF5F46" w:rsidRDefault="00FF5F46" w:rsidP="00FF5F46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FF5F46">
        <w:rPr>
          <w:rFonts w:ascii="Times New Roman" w:hAnsi="Times New Roman" w:cs="Times New Roman"/>
          <w:kern w:val="2"/>
          <w:sz w:val="20"/>
          <w:szCs w:val="20"/>
        </w:rPr>
        <w:t>E-mail para contato (zildenilsonsilva@gmail.com)</w:t>
      </w:r>
    </w:p>
    <w:p w14:paraId="4E0E4EC1" w14:textId="77777777" w:rsidR="00D02558" w:rsidRDefault="00D02558" w:rsidP="009B3406">
      <w:pPr>
        <w:pStyle w:val="Corpodetexto"/>
        <w:spacing w:after="0" w:line="360" w:lineRule="atLeast"/>
        <w:rPr>
          <w:rFonts w:ascii="Times New Roman" w:hAnsi="Times New Roman" w:cs="Times New Roman"/>
          <w:b/>
        </w:rPr>
      </w:pPr>
    </w:p>
    <w:p w14:paraId="30E95B51" w14:textId="15EA4E0A" w:rsidR="00861497" w:rsidRPr="0019190C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F63DFB38962840498059CC1823B6B776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88492E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0360ED40" w14:textId="6F80B003" w:rsidR="00861497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3A321F323F324FB383CE0215A7A5DE41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88492E">
            <w:rPr>
              <w:rFonts w:ascii="Times New Roman" w:hAnsi="Times New Roman" w:cs="Times New Roman"/>
            </w:rPr>
            <w:t>Ciências da Saúde</w:t>
          </w:r>
        </w:sdtContent>
      </w:sdt>
    </w:p>
    <w:p w14:paraId="37FCEAD9" w14:textId="792789D8" w:rsidR="000F57F7" w:rsidRDefault="00861497" w:rsidP="00EF1F9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F63DFB38962840498059CC1823B6B776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="0088492E">
            <w:rPr>
              <w:rFonts w:ascii="Times New Roman" w:hAnsi="Times New Roman" w:cs="Times New Roman"/>
              <w:bCs/>
            </w:rPr>
            <w:t>XIV Encontro de Pós-graduação</w:t>
          </w:r>
        </w:sdtContent>
      </w:sdt>
    </w:p>
    <w:p w14:paraId="75ADD6D2" w14:textId="78FB11A5" w:rsidR="00776C29" w:rsidRPr="00577080" w:rsidRDefault="00776C29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RESUMO</w:t>
      </w:r>
    </w:p>
    <w:p w14:paraId="70721D72" w14:textId="1ADCBA87" w:rsidR="00FF5F46" w:rsidRPr="00FF5F46" w:rsidRDefault="00FF5F46" w:rsidP="00FF5F46">
      <w:pPr>
        <w:pStyle w:val="Corpodetexto"/>
        <w:spacing w:after="0"/>
        <w:jc w:val="both"/>
        <w:rPr>
          <w:rFonts w:ascii="Times New Roman" w:hAnsi="Times New Roman" w:cs="Times New Roman"/>
          <w:bCs/>
        </w:rPr>
      </w:pPr>
      <w:r w:rsidRPr="00FF5F46">
        <w:rPr>
          <w:rFonts w:ascii="Times New Roman" w:hAnsi="Times New Roman" w:cs="Times New Roman"/>
          <w:b/>
        </w:rPr>
        <w:t>Introdução</w:t>
      </w:r>
      <w:r>
        <w:rPr>
          <w:rFonts w:ascii="Times New Roman" w:hAnsi="Times New Roman" w:cs="Times New Roman"/>
          <w:bCs/>
        </w:rPr>
        <w:t xml:space="preserve">: </w:t>
      </w:r>
      <w:r w:rsidRPr="00FF5F46">
        <w:rPr>
          <w:rFonts w:ascii="Times New Roman" w:hAnsi="Times New Roman" w:cs="Times New Roman"/>
          <w:bCs/>
        </w:rPr>
        <w:t xml:space="preserve">O clareamento dental é considerado uma técnica simples e eficaz. Contudo, há uma constante discussão sobre os possíveis efeitos adversos, principalmente em relação a sensibilidade </w:t>
      </w:r>
      <w:proofErr w:type="spellStart"/>
      <w:r w:rsidRPr="00FF5F46">
        <w:rPr>
          <w:rFonts w:ascii="Times New Roman" w:hAnsi="Times New Roman" w:cs="Times New Roman"/>
          <w:bCs/>
        </w:rPr>
        <w:t>dentinária</w:t>
      </w:r>
      <w:proofErr w:type="spellEnd"/>
      <w:r w:rsidRPr="00FF5F46">
        <w:rPr>
          <w:rFonts w:ascii="Times New Roman" w:hAnsi="Times New Roman" w:cs="Times New Roman"/>
          <w:bCs/>
        </w:rPr>
        <w:t xml:space="preserve">. </w:t>
      </w:r>
      <w:r w:rsidRPr="00FF5F46">
        <w:rPr>
          <w:rFonts w:ascii="Times New Roman" w:hAnsi="Times New Roman" w:cs="Times New Roman"/>
          <w:b/>
        </w:rPr>
        <w:t>Objetivo</w:t>
      </w:r>
      <w:r>
        <w:rPr>
          <w:rFonts w:ascii="Times New Roman" w:hAnsi="Times New Roman" w:cs="Times New Roman"/>
          <w:bCs/>
        </w:rPr>
        <w:t xml:space="preserve">: </w:t>
      </w:r>
      <w:r w:rsidRPr="00FF5F46">
        <w:rPr>
          <w:rFonts w:ascii="Times New Roman" w:hAnsi="Times New Roman" w:cs="Times New Roman"/>
          <w:bCs/>
        </w:rPr>
        <w:t xml:space="preserve">sintetizar a literatura científica em torno das técnicas e materiais que visam a redução da sensibilidade após clareamento dentário em dentes vitais. </w:t>
      </w:r>
      <w:r w:rsidRPr="00FF5F46">
        <w:rPr>
          <w:rFonts w:ascii="Times New Roman" w:hAnsi="Times New Roman" w:cs="Times New Roman"/>
          <w:b/>
        </w:rPr>
        <w:t>Metodologia</w:t>
      </w:r>
      <w:r>
        <w:rPr>
          <w:rFonts w:ascii="Times New Roman" w:hAnsi="Times New Roman" w:cs="Times New Roman"/>
          <w:bCs/>
        </w:rPr>
        <w:t xml:space="preserve">: </w:t>
      </w:r>
      <w:r w:rsidRPr="00FF5F46">
        <w:rPr>
          <w:rFonts w:ascii="Times New Roman" w:hAnsi="Times New Roman" w:cs="Times New Roman"/>
          <w:bCs/>
        </w:rPr>
        <w:t xml:space="preserve">Trata-se de uma revisão de literatura. Para a sua idealização, uma busca eletrônica no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PubMed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/MEDLINE,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Scientific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Electronic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Library Online (SCIELO)</w:t>
      </w:r>
      <w:r w:rsidRPr="00FF5F46">
        <w:rPr>
          <w:rFonts w:ascii="Times New Roman" w:hAnsi="Times New Roman" w:cs="Times New Roman"/>
          <w:bCs/>
        </w:rPr>
        <w:t xml:space="preserve"> e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Latin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American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and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Caribbean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Latin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American </w:t>
      </w:r>
      <w:proofErr w:type="spellStart"/>
      <w:r w:rsidRPr="0088492E">
        <w:rPr>
          <w:rFonts w:ascii="Times New Roman" w:hAnsi="Times New Roman" w:cs="Times New Roman"/>
          <w:bCs/>
          <w:i/>
          <w:iCs/>
        </w:rPr>
        <w:t>and</w:t>
      </w:r>
      <w:proofErr w:type="spellEnd"/>
      <w:r w:rsidRPr="0088492E">
        <w:rPr>
          <w:rFonts w:ascii="Times New Roman" w:hAnsi="Times New Roman" w:cs="Times New Roman"/>
          <w:bCs/>
          <w:i/>
          <w:iCs/>
        </w:rPr>
        <w:t xml:space="preserve"> Health (LILACS)</w:t>
      </w:r>
      <w:r w:rsidRPr="00FF5F46">
        <w:rPr>
          <w:rFonts w:ascii="Times New Roman" w:hAnsi="Times New Roman" w:cs="Times New Roman"/>
          <w:bCs/>
        </w:rPr>
        <w:t xml:space="preserve"> foram consultadas. </w:t>
      </w:r>
      <w:r w:rsidRPr="00FF5F46">
        <w:rPr>
          <w:rFonts w:ascii="Times New Roman" w:hAnsi="Times New Roman" w:cs="Times New Roman"/>
          <w:bCs/>
        </w:rPr>
        <w:lastRenderedPageBreak/>
        <w:t>Combinações dos descritores em ciências da saúde (</w:t>
      </w:r>
      <w:proofErr w:type="spellStart"/>
      <w:r w:rsidRPr="00FF5F46">
        <w:rPr>
          <w:rFonts w:ascii="Times New Roman" w:hAnsi="Times New Roman" w:cs="Times New Roman"/>
          <w:bCs/>
        </w:rPr>
        <w:t>DeCs</w:t>
      </w:r>
      <w:proofErr w:type="spellEnd"/>
      <w:r w:rsidRPr="00FF5F46">
        <w:rPr>
          <w:rFonts w:ascii="Times New Roman" w:hAnsi="Times New Roman" w:cs="Times New Roman"/>
          <w:bCs/>
        </w:rPr>
        <w:t xml:space="preserve">) “clareamento dental/ 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tooth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bleaching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>”</w:t>
      </w:r>
      <w:r w:rsidRPr="00FF5F46">
        <w:rPr>
          <w:rFonts w:ascii="Times New Roman" w:hAnsi="Times New Roman" w:cs="Times New Roman"/>
          <w:bCs/>
        </w:rPr>
        <w:t xml:space="preserve">, “sensibilidade da dentina/ 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dentin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sensitivity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 xml:space="preserve">” </w:t>
      </w:r>
      <w:r w:rsidRPr="00FF5F46">
        <w:rPr>
          <w:rFonts w:ascii="Times New Roman" w:hAnsi="Times New Roman" w:cs="Times New Roman"/>
          <w:bCs/>
        </w:rPr>
        <w:t>e “dentina/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dentin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>”</w:t>
      </w:r>
      <w:r w:rsidRPr="00FF5F46">
        <w:rPr>
          <w:rFonts w:ascii="Times New Roman" w:hAnsi="Times New Roman" w:cs="Times New Roman"/>
          <w:bCs/>
        </w:rPr>
        <w:t xml:space="preserve"> foram adaptados para cada pesquisa de banco de dados por meio dos operadores booleanos </w:t>
      </w:r>
      <w:r w:rsidRPr="00FF5F46">
        <w:rPr>
          <w:rFonts w:ascii="Times New Roman" w:hAnsi="Times New Roman" w:cs="Times New Roman"/>
          <w:bCs/>
          <w:i/>
          <w:iCs/>
        </w:rPr>
        <w:t>“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and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>”</w:t>
      </w:r>
      <w:r w:rsidRPr="00FF5F46">
        <w:rPr>
          <w:rFonts w:ascii="Times New Roman" w:hAnsi="Times New Roman" w:cs="Times New Roman"/>
          <w:bCs/>
        </w:rPr>
        <w:t xml:space="preserve"> e/ou </w:t>
      </w:r>
      <w:r w:rsidRPr="00FF5F46">
        <w:rPr>
          <w:rFonts w:ascii="Times New Roman" w:hAnsi="Times New Roman" w:cs="Times New Roman"/>
          <w:bCs/>
          <w:i/>
          <w:iCs/>
        </w:rPr>
        <w:t>“</w:t>
      </w:r>
      <w:proofErr w:type="spellStart"/>
      <w:r w:rsidRPr="00FF5F46">
        <w:rPr>
          <w:rFonts w:ascii="Times New Roman" w:hAnsi="Times New Roman" w:cs="Times New Roman"/>
          <w:bCs/>
          <w:i/>
          <w:iCs/>
        </w:rPr>
        <w:t>or</w:t>
      </w:r>
      <w:proofErr w:type="spellEnd"/>
      <w:r w:rsidRPr="00FF5F46">
        <w:rPr>
          <w:rFonts w:ascii="Times New Roman" w:hAnsi="Times New Roman" w:cs="Times New Roman"/>
          <w:bCs/>
          <w:i/>
          <w:iCs/>
        </w:rPr>
        <w:t>”</w:t>
      </w:r>
      <w:r w:rsidRPr="00FF5F46">
        <w:rPr>
          <w:rFonts w:ascii="Times New Roman" w:hAnsi="Times New Roman" w:cs="Times New Roman"/>
          <w:bCs/>
        </w:rPr>
        <w:t xml:space="preserve">, adotando um recorte temporal de 10 anos (01 de janeiro de 2014 a 01 de maio de 2024). </w:t>
      </w:r>
      <w:r w:rsidRPr="00FF5F46">
        <w:rPr>
          <w:rFonts w:ascii="Times New Roman" w:hAnsi="Times New Roman" w:cs="Times New Roman"/>
          <w:b/>
        </w:rPr>
        <w:t>Resultados</w:t>
      </w:r>
      <w:r>
        <w:rPr>
          <w:rFonts w:ascii="Times New Roman" w:hAnsi="Times New Roman" w:cs="Times New Roman"/>
          <w:bCs/>
        </w:rPr>
        <w:t xml:space="preserve">: </w:t>
      </w:r>
      <w:r w:rsidRPr="00FF5F46">
        <w:rPr>
          <w:rFonts w:ascii="Times New Roman" w:hAnsi="Times New Roman" w:cs="Times New Roman"/>
          <w:bCs/>
        </w:rPr>
        <w:t xml:space="preserve">Dos 228 estudos localizados, 14 foram tabulados na amostra final. Os procedimentos realizados em consultório utilizaram o peróxido de hidrogênio em concentrações de 30% a 35%, frequentemente associado a um agente físico, como uma fonte de luz, para catalisar a reação de clareamento, além do </w:t>
      </w:r>
      <w:proofErr w:type="spellStart"/>
      <w:r w:rsidRPr="00FF5F46">
        <w:rPr>
          <w:rFonts w:ascii="Times New Roman" w:hAnsi="Times New Roman" w:cs="Times New Roman"/>
          <w:bCs/>
        </w:rPr>
        <w:t>perborato</w:t>
      </w:r>
      <w:proofErr w:type="spellEnd"/>
      <w:r w:rsidRPr="00FF5F46">
        <w:rPr>
          <w:rFonts w:ascii="Times New Roman" w:hAnsi="Times New Roman" w:cs="Times New Roman"/>
          <w:bCs/>
        </w:rPr>
        <w:t xml:space="preserve"> de sódio. Os agentes caseiros </w:t>
      </w:r>
      <w:proofErr w:type="spellStart"/>
      <w:r w:rsidRPr="00FF5F46">
        <w:rPr>
          <w:rFonts w:ascii="Times New Roman" w:hAnsi="Times New Roman" w:cs="Times New Roman"/>
          <w:bCs/>
        </w:rPr>
        <w:t>incluiram</w:t>
      </w:r>
      <w:proofErr w:type="spellEnd"/>
      <w:r w:rsidRPr="00FF5F46">
        <w:rPr>
          <w:rFonts w:ascii="Times New Roman" w:hAnsi="Times New Roman" w:cs="Times New Roman"/>
          <w:bCs/>
        </w:rPr>
        <w:t xml:space="preserve"> o peróxido de hidrogênio a 1,5% ou 3%, e peróxido de carbamida a 10% ou 25%. Algumas das pesquisas envolveram a combinação de agentes clareadores com novas substâncias químicas, variações na concentração, tempo de exposição e fontes de ativação. </w:t>
      </w:r>
      <w:r w:rsidRPr="00FF5F46">
        <w:rPr>
          <w:rFonts w:ascii="Times New Roman" w:hAnsi="Times New Roman" w:cs="Times New Roman"/>
          <w:b/>
        </w:rPr>
        <w:t>Considerações finais</w:t>
      </w:r>
      <w:r>
        <w:rPr>
          <w:rFonts w:ascii="Times New Roman" w:hAnsi="Times New Roman" w:cs="Times New Roman"/>
          <w:bCs/>
        </w:rPr>
        <w:t xml:space="preserve">: </w:t>
      </w:r>
      <w:r w:rsidRPr="00FF5F46">
        <w:rPr>
          <w:rFonts w:ascii="Times New Roman" w:hAnsi="Times New Roman" w:cs="Times New Roman"/>
          <w:bCs/>
        </w:rPr>
        <w:t xml:space="preserve">Em todos os estudos, houve uma redução da sensibilidade, não havendo diferenças significativas entre os grupos testados. </w:t>
      </w:r>
    </w:p>
    <w:p w14:paraId="2E2357DF" w14:textId="77777777" w:rsidR="00FF5F46" w:rsidRDefault="00FF5F46" w:rsidP="009D129B">
      <w:pPr>
        <w:pStyle w:val="Corpodetexto"/>
        <w:spacing w:after="0"/>
        <w:rPr>
          <w:rFonts w:ascii="Times New Roman" w:hAnsi="Times New Roman" w:cs="Times New Roman"/>
          <w:b/>
        </w:rPr>
      </w:pPr>
    </w:p>
    <w:p w14:paraId="6F223B22" w14:textId="674EAAC9" w:rsidR="00FF5F46" w:rsidRDefault="009D129B" w:rsidP="00FF5F46">
      <w:pPr>
        <w:pStyle w:val="Corpodetexto"/>
        <w:spacing w:after="0"/>
        <w:rPr>
          <w:rFonts w:ascii="Times New Roman" w:hAnsi="Times New Roman" w:cs="Times New Roman"/>
        </w:rPr>
      </w:pPr>
      <w:r w:rsidRPr="001B7AA2">
        <w:rPr>
          <w:rFonts w:ascii="Times New Roman" w:hAnsi="Times New Roman" w:cs="Times New Roman"/>
          <w:b/>
        </w:rPr>
        <w:t xml:space="preserve">Palavras-chave: </w:t>
      </w:r>
      <w:r w:rsidR="00FF5F46" w:rsidRPr="00FF5F46">
        <w:rPr>
          <w:rFonts w:ascii="Times New Roman" w:hAnsi="Times New Roman" w:cs="Times New Roman"/>
        </w:rPr>
        <w:t>Clareamento dental</w:t>
      </w:r>
      <w:r w:rsidR="00FF5F46">
        <w:rPr>
          <w:rFonts w:ascii="Times New Roman" w:hAnsi="Times New Roman" w:cs="Times New Roman"/>
        </w:rPr>
        <w:t>;</w:t>
      </w:r>
      <w:r w:rsidR="00FF5F46" w:rsidRPr="00FF5F46">
        <w:rPr>
          <w:rFonts w:ascii="Times New Roman" w:hAnsi="Times New Roman" w:cs="Times New Roman"/>
        </w:rPr>
        <w:t xml:space="preserve"> Dentina</w:t>
      </w:r>
      <w:r w:rsidR="00FF5F46">
        <w:rPr>
          <w:rFonts w:ascii="Times New Roman" w:hAnsi="Times New Roman" w:cs="Times New Roman"/>
        </w:rPr>
        <w:t>;</w:t>
      </w:r>
      <w:r w:rsidR="00FF5F46" w:rsidRPr="00FF5F46">
        <w:rPr>
          <w:rFonts w:ascii="Times New Roman" w:hAnsi="Times New Roman" w:cs="Times New Roman"/>
        </w:rPr>
        <w:t xml:space="preserve"> Sensibilidade da dentina.</w:t>
      </w:r>
    </w:p>
    <w:p w14:paraId="29D44571" w14:textId="77777777" w:rsidR="00FF5F46" w:rsidRPr="00FF5F46" w:rsidRDefault="00FF5F46" w:rsidP="00FF5F46">
      <w:pPr>
        <w:pStyle w:val="Corpodetexto"/>
        <w:spacing w:after="0"/>
        <w:rPr>
          <w:rFonts w:ascii="Times New Roman" w:hAnsi="Times New Roman" w:cs="Times New Roman"/>
        </w:rPr>
      </w:pPr>
    </w:p>
    <w:p w14:paraId="0BCC27C6" w14:textId="0F437460" w:rsidR="009D129B" w:rsidRPr="00FF5F46" w:rsidRDefault="009D129B" w:rsidP="00FF5F46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FF5F46">
        <w:rPr>
          <w:rFonts w:ascii="Times New Roman" w:hAnsi="Times New Roman" w:cs="Times New Roman"/>
          <w:b/>
          <w:bCs/>
        </w:rPr>
        <w:t>INTRODUÇÃO</w:t>
      </w:r>
    </w:p>
    <w:p w14:paraId="1372406E" w14:textId="77777777" w:rsidR="00FF5F46" w:rsidRPr="00FF5F46" w:rsidRDefault="00FF5F46" w:rsidP="00FF5F46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Atualmente, observa-se uma crescente preocupação com a estética, o que leva um número maior de pacientes a buscar tratamento odontológico, especialmente no que diz respeito à cor dos dentes (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Mehta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al.,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2018; Peixoto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al.,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2018).  Um sorriso harmonioso é uma característica marcante para definir uma face como atraente, e fatores como a forma, o tamanho e a cor dos dentes estão intimamente ligados à aparência do sorriso (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Chemin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al.,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2018).</w:t>
      </w:r>
    </w:p>
    <w:p w14:paraId="24714E27" w14:textId="77777777" w:rsidR="009B3406" w:rsidRDefault="00FF5F46" w:rsidP="009B3406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A alterações em alguns desses fatores podem interferir negativamente na vida profissional, causar dificuldades de interação social e diminuir a autoestima do indivíduo. As alterações na cor da estrutura dentária podem ser decorrentes de fatores extrínsecos ou intrínsecos</w:t>
      </w:r>
      <w:r w:rsidR="009B340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. 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O clareamento dental é uma técnica não invasiva que permite ao cirurgião-dentista atender às expectativas dos pacientes que buscam dentes mais claros e um sorriso harmônico, estabelecendo um padrão de apresentação pessoal e beleza (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Moosavi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al.,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2016).</w:t>
      </w:r>
      <w:r w:rsidR="00122722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</w:p>
    <w:p w14:paraId="3D3E4ED4" w14:textId="77777777" w:rsidR="00EF1F9F" w:rsidRDefault="00FF5F46" w:rsidP="00512909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Existem diversos materiais disponíveis no mercado para o clareamento dental. A maioria contém peróxido de hidrogênio em diferentes concentrações para uso em consultório, e o peróxido de carbamida, mais comumente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usado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nas técnicas de clareamento caseiro (Peixoto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al.,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2018). </w:t>
      </w:r>
      <w:bookmarkStart w:id="1" w:name="_Hlk169091013"/>
      <w:r w:rsidR="00512909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Entre os principais efeitos adversos discutidos, estão a sensibilidade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dentinária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e alterações no conteúdo mineral do esmalte dental. </w:t>
      </w:r>
      <w:bookmarkEnd w:id="1"/>
    </w:p>
    <w:p w14:paraId="321E8370" w14:textId="587C8D1C" w:rsidR="009D129B" w:rsidRPr="00FF5F46" w:rsidRDefault="00FF5F46" w:rsidP="00512909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É frequente que pacientes submetidos a esse procedimento em dentes vitais experimentem sensibilidade ou desconforto durante o tratamento, devido à perda mineral e aos efeitos nocivos do peróxido de hidrogênio nos tecidos pulpares.</w:t>
      </w:r>
      <w:r w:rsidR="009B340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Assim, e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ste estudo possui</w:t>
      </w:r>
      <w:r w:rsidR="00B02142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u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lastRenderedPageBreak/>
        <w:t xml:space="preserve">como objetivo </w:t>
      </w:r>
      <w:bookmarkStart w:id="2" w:name="_Hlk169091057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sintetizar </w:t>
      </w:r>
      <w:r w:rsidR="00B02142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dados da 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literatura científica em torno das técnicas e materiais que visam a redução da sensibilidade após clareamento dentário em dentes vitais.</w:t>
      </w:r>
      <w:bookmarkEnd w:id="2"/>
    </w:p>
    <w:p w14:paraId="780188B2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METODOLOGIA</w:t>
      </w:r>
    </w:p>
    <w:p w14:paraId="571344A8" w14:textId="77777777" w:rsidR="00FF5F46" w:rsidRPr="00FF5F46" w:rsidRDefault="00FF5F46" w:rsidP="00FF5F46">
      <w:pPr>
        <w:widowControl/>
        <w:suppressAutoHyphens w:val="0"/>
        <w:spacing w:line="360" w:lineRule="auto"/>
        <w:ind w:firstLine="851"/>
        <w:jc w:val="both"/>
        <w:rPr>
          <w:rFonts w:ascii="Times New Roman" w:eastAsia="Arial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>Trata-se de um estudo caracterizado como revisão de literatura. Para a sua realização, preconizou-se as seis etapas operacionais descritas por Souza, Silva e Carvalho (2010), sendo elas: 1°) elaboração da pergunta norteadora; 2°) localização dos artigos; 3°) coleta das informações; 4°) avaliação dos manuscritos previamente localizados; 5°) análise dos principais achados nos estudos selecionados; 6°) apresentação dos novos dados acerca da temática analisada.</w:t>
      </w:r>
    </w:p>
    <w:p w14:paraId="193DCE34" w14:textId="77777777" w:rsidR="00FF5F46" w:rsidRPr="00FF5F46" w:rsidRDefault="00FF5F46" w:rsidP="00FF5F46">
      <w:pPr>
        <w:widowControl/>
        <w:suppressAutoHyphens w:val="0"/>
        <w:spacing w:line="360" w:lineRule="auto"/>
        <w:ind w:firstLine="851"/>
        <w:jc w:val="both"/>
        <w:rPr>
          <w:rFonts w:ascii="Times New Roman" w:eastAsia="Arial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Assim, a seguinte questão foi formulada para que fosse realizada a busca de estudos na literatura: </w:t>
      </w:r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 xml:space="preserve">“Quais são os materiais e técnicas utilizados na atualidade para a redução de sensibilidade após clareamento </w:t>
      </w:r>
      <w:proofErr w:type="gramStart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dentário?”</w:t>
      </w:r>
      <w:proofErr w:type="gramEnd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 Este tópico foi elaborado usando a estratégia PICO (Santos; Pimenta; Nobre, 2007): População (P): Pacientes submetidos a técnicas de clareamento dentário; Intervenção (I): Alteração da cor dentária; Controle (C): Grupo controle; Desfechos (</w:t>
      </w:r>
      <w:proofErr w:type="spellStart"/>
      <w:r w:rsidRPr="00FF5F46">
        <w:rPr>
          <w:rFonts w:ascii="Times New Roman" w:eastAsia="Arial" w:hAnsi="Times New Roman" w:cs="Times New Roman"/>
          <w:i/>
          <w:kern w:val="0"/>
          <w:szCs w:val="22"/>
          <w:lang w:eastAsia="en-US" w:bidi="ar-SA"/>
        </w:rPr>
        <w:t>Outcomes</w:t>
      </w:r>
      <w:proofErr w:type="spellEnd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 - O): Redução da sensibilidade.</w:t>
      </w:r>
    </w:p>
    <w:p w14:paraId="731C6D51" w14:textId="77777777" w:rsidR="00FF5F46" w:rsidRPr="00FF5F46" w:rsidRDefault="00FF5F46" w:rsidP="00FF5F46">
      <w:pPr>
        <w:widowControl/>
        <w:suppressAutoHyphens w:val="0"/>
        <w:spacing w:line="360" w:lineRule="auto"/>
        <w:ind w:firstLine="851"/>
        <w:jc w:val="both"/>
        <w:rPr>
          <w:rFonts w:ascii="Times New Roman" w:eastAsia="Arial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Para identificar os estudos incluídos nesta revisão, uma busca eletrônica no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PubMed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/MEDLINE,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Scientific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Electronic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Library Online 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(SCIELO) e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Latin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American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and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Caribbean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Latin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American </w:t>
      </w:r>
      <w:proofErr w:type="spellStart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and</w:t>
      </w:r>
      <w:proofErr w:type="spellEnd"/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 xml:space="preserve"> Health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(LILACS) foi idealizada. A busca foi realizada entre 01 de fevereiro 01 de maio de 2024. </w:t>
      </w:r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>Os seguintes descritores em ciências da saúde (</w:t>
      </w:r>
      <w:proofErr w:type="spellStart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>DeCS</w:t>
      </w:r>
      <w:proofErr w:type="spellEnd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) foram utilizados para localização dos estudos primários: </w:t>
      </w:r>
      <w:bookmarkStart w:id="3" w:name="_Hlk163676421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>clareamento dental/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tooth</w:t>
      </w:r>
      <w:proofErr w:type="spellEnd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bleaching</w:t>
      </w:r>
      <w:proofErr w:type="spellEnd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>, sensibilidade da dentina/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dentin</w:t>
      </w:r>
      <w:proofErr w:type="spellEnd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 xml:space="preserve"> </w:t>
      </w:r>
      <w:proofErr w:type="spellStart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sensitivity</w:t>
      </w:r>
      <w:proofErr w:type="spellEnd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 e dentina/</w:t>
      </w:r>
      <w:proofErr w:type="spellStart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dentin</w:t>
      </w:r>
      <w:proofErr w:type="spellEnd"/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,</w:t>
      </w:r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 adaptados para cada pesquisa de banco de dados por meio dos operadores </w:t>
      </w:r>
      <w:r w:rsidRPr="00FF5F46">
        <w:rPr>
          <w:rFonts w:ascii="Times New Roman" w:eastAsia="Arial" w:hAnsi="Times New Roman" w:cs="Times New Roman"/>
          <w:i/>
          <w:iCs/>
          <w:kern w:val="0"/>
          <w:szCs w:val="22"/>
          <w:lang w:eastAsia="en-US" w:bidi="ar-SA"/>
        </w:rPr>
        <w:t>booleanos</w:t>
      </w:r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 xml:space="preserve"> “</w:t>
      </w:r>
      <w:proofErr w:type="spellStart"/>
      <w:r w:rsidRPr="00FF5F46">
        <w:rPr>
          <w:rFonts w:ascii="Times New Roman" w:eastAsia="Arial" w:hAnsi="Times New Roman" w:cs="Times New Roman"/>
          <w:i/>
          <w:kern w:val="0"/>
          <w:szCs w:val="22"/>
          <w:lang w:eastAsia="en-US" w:bidi="ar-SA"/>
        </w:rPr>
        <w:t>and</w:t>
      </w:r>
      <w:proofErr w:type="spellEnd"/>
      <w:r w:rsidRPr="00FF5F46">
        <w:rPr>
          <w:rFonts w:ascii="Times New Roman" w:eastAsia="Arial" w:hAnsi="Times New Roman" w:cs="Times New Roman"/>
          <w:i/>
          <w:kern w:val="0"/>
          <w:szCs w:val="22"/>
          <w:lang w:eastAsia="en-US" w:bidi="ar-SA"/>
        </w:rPr>
        <w:t>”, “</w:t>
      </w:r>
      <w:proofErr w:type="spellStart"/>
      <w:r w:rsidRPr="00FF5F46">
        <w:rPr>
          <w:rFonts w:ascii="Times New Roman" w:eastAsia="Arial" w:hAnsi="Times New Roman" w:cs="Times New Roman"/>
          <w:i/>
          <w:kern w:val="0"/>
          <w:szCs w:val="22"/>
          <w:lang w:eastAsia="en-US" w:bidi="ar-SA"/>
        </w:rPr>
        <w:t>or</w:t>
      </w:r>
      <w:proofErr w:type="spellEnd"/>
      <w:r w:rsidRPr="00FF5F46">
        <w:rPr>
          <w:rFonts w:ascii="Times New Roman" w:eastAsia="Arial" w:hAnsi="Times New Roman" w:cs="Times New Roman"/>
          <w:kern w:val="0"/>
          <w:szCs w:val="22"/>
          <w:lang w:eastAsia="en-US" w:bidi="ar-SA"/>
        </w:rPr>
        <w:t>”</w:t>
      </w:r>
      <w:r w:rsidRPr="00FF5F46">
        <w:rPr>
          <w:rFonts w:ascii="Times New Roman" w:eastAsia="Arial" w:hAnsi="Times New Roman" w:cs="Times New Roman"/>
          <w:i/>
          <w:kern w:val="0"/>
          <w:szCs w:val="22"/>
          <w:lang w:eastAsia="en-US" w:bidi="ar-SA"/>
        </w:rPr>
        <w:t>.</w:t>
      </w:r>
      <w:bookmarkEnd w:id="3"/>
    </w:p>
    <w:p w14:paraId="5B15EE58" w14:textId="1A62E4D3" w:rsidR="00FF5F46" w:rsidRPr="00FF5F46" w:rsidRDefault="00FF5F46" w:rsidP="009B3406">
      <w:pPr>
        <w:widowControl/>
        <w:suppressAutoHyphens w:val="0"/>
        <w:spacing w:line="360" w:lineRule="auto"/>
        <w:ind w:firstLine="851"/>
        <w:jc w:val="both"/>
        <w:rPr>
          <w:rFonts w:ascii="Times New Roman" w:eastAsia="Arial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Foram incluídos ensaios clínicos, publicados em um recorte temporal de 10 anos (01 de janeiro de 2014 a 01 de </w:t>
      </w:r>
      <w:r w:rsidR="00122722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20 de agosto de 2024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), em inglês ou português.</w:t>
      </w:r>
      <w:r w:rsidR="009B340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Foram desconsiderados na amostra final estudos de revisões de literatura, teses e/ou dissertação de mestrado ou doutorado, notas do editor, estudos piloto; estudos em duplicidade, anais de evento, estudos epidemiológicos, indisponíveis na integra, de coorte, transversais, relatos de casos, série de casos e artigos de opinião.</w:t>
      </w:r>
    </w:p>
    <w:p w14:paraId="22C07027" w14:textId="6474D7A4" w:rsidR="00FF5F46" w:rsidRPr="00FF5F46" w:rsidRDefault="00FF5F46" w:rsidP="0088492E">
      <w:pPr>
        <w:widowControl/>
        <w:suppressAutoHyphens w:val="0"/>
        <w:spacing w:line="360" w:lineRule="auto"/>
        <w:ind w:firstLine="851"/>
        <w:jc w:val="both"/>
        <w:rPr>
          <w:rFonts w:ascii="Calibri" w:eastAsia="Arial" w:hAnsi="Calibri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O estudo foi desenvolvido em duas fases. A fase 1 envolveu a análise dos títulos e resumos de todos os artigos obtidos nas bases de dados para selecionar os estudos a serem lidos na íntegra.  A fase 2 </w:t>
      </w:r>
      <w:r w:rsidRPr="00FF5F46">
        <w:rPr>
          <w:rFonts w:ascii="Times New Roman" w:eastAsia="Calibri" w:hAnsi="Times New Roman" w:cs="Times New Roman"/>
          <w:kern w:val="0"/>
          <w:szCs w:val="22"/>
          <w:lang w:val="pt-PT" w:eastAsia="en-US" w:bidi="ar-SA"/>
        </w:rPr>
        <w:t>incluiu a leitura completa dos artigos escolhidos na fase 1 para avaliar a elegibilidade pelos critérios de inclusão e exclusão estabelecidos.</w:t>
      </w:r>
      <w:r w:rsidRPr="00FF5F46">
        <w:rPr>
          <w:rFonts w:ascii="Calibri" w:eastAsia="Calibri" w:hAnsi="Calibri" w:cs="Times New Roman"/>
          <w:vanish/>
          <w:kern w:val="0"/>
          <w:szCs w:val="22"/>
          <w:lang w:eastAsia="en-US" w:bidi="ar-SA"/>
        </w:rPr>
        <w:t>Parte superior do formulário</w:t>
      </w:r>
    </w:p>
    <w:p w14:paraId="610A87CC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lastRenderedPageBreak/>
        <w:t>RESULTADOS E DISCUSSÃO</w:t>
      </w:r>
    </w:p>
    <w:p w14:paraId="03BF67F1" w14:textId="6F6E4912" w:rsidR="00630C87" w:rsidRDefault="00FF5F46" w:rsidP="009B3406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A pesquisa inicial identificou um total de 228 estudos através de diversas fontes de dados. Com base na análise dos títulos e resumos, aplicando todos os critérios de elegibilidade previamente estabelecidos, foi possível selecionar 14 estudos para inclusão na amostra final</w:t>
      </w:r>
      <w:r w:rsidR="00B02142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(Figura 1).</w:t>
      </w:r>
    </w:p>
    <w:p w14:paraId="6C8BB71A" w14:textId="31BB913C" w:rsidR="00FF5F46" w:rsidRPr="00FF5F46" w:rsidRDefault="00FF5F46" w:rsidP="00FF5F46">
      <w:pPr>
        <w:widowControl/>
        <w:suppressAutoHyphens w:val="0"/>
        <w:spacing w:line="360" w:lineRule="auto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</w:pPr>
      <w:r w:rsidRPr="00FF5F4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Figura 1</w:t>
      </w:r>
      <w:r w:rsidRPr="00FF5F46"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 xml:space="preserve"> - Diagrama de fluxo, adaptado de PRISMA (2020), ilustrando a sequência de seleção de estudos </w:t>
      </w:r>
    </w:p>
    <w:p w14:paraId="46FC4AC5" w14:textId="77777777" w:rsidR="00FF5F46" w:rsidRPr="00FF5F46" w:rsidRDefault="00FF5F46" w:rsidP="00FF5F46">
      <w:pPr>
        <w:widowControl/>
        <w:suppressAutoHyphens w:val="0"/>
        <w:spacing w:line="360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</w:pPr>
      <w:r w:rsidRPr="00FF5F46">
        <w:rPr>
          <w:rFonts w:ascii="Times New Roman" w:eastAsia="Calibri" w:hAnsi="Times New Roman" w:cs="Times New Roman"/>
          <w:bCs/>
          <w:noProof/>
          <w:kern w:val="0"/>
          <w:sz w:val="20"/>
          <w:szCs w:val="20"/>
          <w:lang w:eastAsia="pt-BR" w:bidi="ar-SA"/>
        </w:rPr>
        <w:drawing>
          <wp:inline distT="0" distB="0" distL="0" distR="0" wp14:anchorId="2F13AF6E" wp14:editId="41D62919">
            <wp:extent cx="3114675" cy="3381456"/>
            <wp:effectExtent l="0" t="0" r="0" b="9525"/>
            <wp:docPr id="4788657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657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7917" cy="339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1501" w14:textId="6DB03407" w:rsidR="00FF5F46" w:rsidRPr="00FF5F46" w:rsidRDefault="00FF5F46" w:rsidP="00B02142">
      <w:pPr>
        <w:widowControl/>
        <w:suppressAutoHyphens w:val="0"/>
        <w:spacing w:line="360" w:lineRule="auto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</w:pPr>
      <w:r w:rsidRPr="00FF5F4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Fonte:</w:t>
      </w:r>
      <w:r w:rsidRPr="00FF5F46"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 xml:space="preserve"> dados da pesquisa, 2024</w:t>
      </w:r>
    </w:p>
    <w:p w14:paraId="5EF88267" w14:textId="57E16648" w:rsidR="00FF5F46" w:rsidRPr="00FF5F46" w:rsidRDefault="00FF5F46" w:rsidP="0088492E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Com o objetivo de resumir os elementos essenciais de cada estudo tabulado, empregou-se uma estrutura analítica descritiva para examinar o conteúdo de cada artigo.  Isso envolveu uma avaliação abrangente de todos os materiais, permitindo a identificação e criação de categorias resultantes da análise aprofundada das publicações, as quais ajudaram a ilustrar os tópicos de interesse</w:t>
      </w:r>
      <w:r w:rsidR="00122722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(Tabela 1).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</w:p>
    <w:p w14:paraId="7EAF8AAC" w14:textId="77777777" w:rsidR="00FF5F46" w:rsidRPr="00FF5F46" w:rsidRDefault="00FF5F46" w:rsidP="00FF5F46">
      <w:pPr>
        <w:widowControl/>
        <w:suppressAutoHyphens w:val="0"/>
        <w:spacing w:line="36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bookmarkStart w:id="4" w:name="_Hlk169121179"/>
      <w:r w:rsidRPr="00FF5F4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Tabela 1 – </w:t>
      </w:r>
      <w:r w:rsidRPr="00FF5F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Síntese dos estudos selecionados </w:t>
      </w:r>
    </w:p>
    <w:tbl>
      <w:tblPr>
        <w:tblStyle w:val="TabelaSimples2"/>
        <w:tblW w:w="9313" w:type="dxa"/>
        <w:jc w:val="center"/>
        <w:tblLayout w:type="fixed"/>
        <w:tblLook w:val="04E0" w:firstRow="1" w:lastRow="1" w:firstColumn="1" w:lastColumn="0" w:noHBand="0" w:noVBand="1"/>
      </w:tblPr>
      <w:tblGrid>
        <w:gridCol w:w="1989"/>
        <w:gridCol w:w="1686"/>
        <w:gridCol w:w="147"/>
        <w:gridCol w:w="2500"/>
        <w:gridCol w:w="2991"/>
      </w:tblGrid>
      <w:tr w:rsidR="00FF5F46" w:rsidRPr="00FF5F46" w14:paraId="05F12120" w14:textId="77777777" w:rsidTr="00B22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bookmarkEnd w:id="4"/>
          <w:p w14:paraId="2F67DFD9" w14:textId="77777777" w:rsidR="00FF5F46" w:rsidRPr="00FF5F46" w:rsidRDefault="00FF5F46" w:rsidP="00FF5F46">
            <w:pPr>
              <w:widowControl/>
              <w:suppressAutoHyphens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Autor/ano</w:t>
            </w:r>
          </w:p>
        </w:tc>
        <w:tc>
          <w:tcPr>
            <w:tcW w:w="1686" w:type="dxa"/>
          </w:tcPr>
          <w:p w14:paraId="3F0348F2" w14:textId="77777777" w:rsidR="00FF5F46" w:rsidRPr="00FF5F46" w:rsidRDefault="00FF5F46" w:rsidP="00FF5F46">
            <w:pPr>
              <w:widowControl/>
              <w:suppressAutoHyphens w:val="0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Amostra</w:t>
            </w:r>
          </w:p>
        </w:tc>
        <w:tc>
          <w:tcPr>
            <w:tcW w:w="2646" w:type="dxa"/>
            <w:gridSpan w:val="2"/>
          </w:tcPr>
          <w:p w14:paraId="7C123FD5" w14:textId="77777777" w:rsidR="00FF5F46" w:rsidRPr="00FF5F46" w:rsidRDefault="00FF5F46" w:rsidP="00FF5F46">
            <w:pPr>
              <w:widowControl/>
              <w:suppressAutoHyphens w:val="0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Material</w:t>
            </w:r>
          </w:p>
        </w:tc>
        <w:tc>
          <w:tcPr>
            <w:tcW w:w="2991" w:type="dxa"/>
          </w:tcPr>
          <w:p w14:paraId="6327B900" w14:textId="77777777" w:rsidR="00FF5F46" w:rsidRPr="00FF5F46" w:rsidRDefault="00FF5F46" w:rsidP="00FF5F46">
            <w:pPr>
              <w:widowControl/>
              <w:suppressAutoHyphens w:val="0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Desfecho</w:t>
            </w:r>
          </w:p>
        </w:tc>
      </w:tr>
      <w:tr w:rsidR="00FF5F46" w:rsidRPr="00FF5F46" w14:paraId="069E1FA9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0E90803A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5" w:name="_Hlk169116661"/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Takamizawa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2023</w:t>
            </w:r>
            <w:bookmarkEnd w:id="5"/>
          </w:p>
        </w:tc>
        <w:tc>
          <w:tcPr>
            <w:tcW w:w="1686" w:type="dxa"/>
          </w:tcPr>
          <w:p w14:paraId="5893DC01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66 participantes</w:t>
            </w:r>
          </w:p>
        </w:tc>
        <w:tc>
          <w:tcPr>
            <w:tcW w:w="2646" w:type="dxa"/>
            <w:gridSpan w:val="2"/>
          </w:tcPr>
          <w:p w14:paraId="3B6BEF46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Peróxido de hidrogênio a 35%. </w:t>
            </w:r>
          </w:p>
          <w:p w14:paraId="36C73343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13065B39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hidrogênio a 6% foi utilizada para o clareamento caseiro.</w:t>
            </w:r>
          </w:p>
          <w:p w14:paraId="75E650ED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1FBB8F48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A intensidade e o risco absoluto de sensibilidade dentária foram semelhantes em ambos os materiais.</w:t>
            </w:r>
          </w:p>
          <w:p w14:paraId="7974884E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40FE029D" w14:textId="77777777" w:rsidTr="00B22727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7B314BAA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6" w:name="_Hlk169116809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Meireles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2022</w:t>
            </w:r>
            <w:bookmarkEnd w:id="6"/>
          </w:p>
        </w:tc>
        <w:tc>
          <w:tcPr>
            <w:tcW w:w="1686" w:type="dxa"/>
          </w:tcPr>
          <w:p w14:paraId="2D30BE95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40 participantes</w:t>
            </w:r>
          </w:p>
        </w:tc>
        <w:tc>
          <w:tcPr>
            <w:tcW w:w="2646" w:type="dxa"/>
            <w:gridSpan w:val="2"/>
          </w:tcPr>
          <w:p w14:paraId="420C1D7D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carbamida a 10% em clareamento caseiro.</w:t>
            </w:r>
          </w:p>
        </w:tc>
        <w:tc>
          <w:tcPr>
            <w:tcW w:w="2991" w:type="dxa"/>
          </w:tcPr>
          <w:p w14:paraId="65D42990" w14:textId="44710F3F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Mesmo nível de sensibilidade dental em pacientes com ou sem restaurações. </w:t>
            </w:r>
          </w:p>
          <w:p w14:paraId="174B5B65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47DF4418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6BB72177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7" w:name="_Hlk169119699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 xml:space="preserve">Abrantes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</w:p>
        </w:tc>
        <w:tc>
          <w:tcPr>
            <w:tcW w:w="1686" w:type="dxa"/>
          </w:tcPr>
          <w:p w14:paraId="6B8BC9AA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45 participantes</w:t>
            </w:r>
          </w:p>
        </w:tc>
        <w:tc>
          <w:tcPr>
            <w:tcW w:w="2646" w:type="dxa"/>
            <w:gridSpan w:val="2"/>
          </w:tcPr>
          <w:p w14:paraId="6CC46D46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carbamida 37%.</w:t>
            </w:r>
          </w:p>
          <w:p w14:paraId="46A113A3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2C7B1BC6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hidrogênio 35%.</w:t>
            </w:r>
          </w:p>
          <w:p w14:paraId="09E54051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3AE11E8B" w14:textId="2CD70B80" w:rsidR="00FF5F46" w:rsidRPr="00FF5F46" w:rsidRDefault="00FF5F46" w:rsidP="00122722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 clareamento dental em consultório com peróxido de carbamida resultou em menor sensibilidade.</w:t>
            </w:r>
          </w:p>
          <w:p w14:paraId="695DA065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053FA316" w14:textId="77777777" w:rsidTr="00B22727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B441ACB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8" w:name="_Hlk169119729"/>
            <w:bookmarkStart w:id="9" w:name="_Hlk169116841"/>
            <w:bookmarkEnd w:id="7"/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Chemin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  <w:bookmarkEnd w:id="8"/>
          </w:p>
        </w:tc>
        <w:tc>
          <w:tcPr>
            <w:tcW w:w="1686" w:type="dxa"/>
          </w:tcPr>
          <w:p w14:paraId="5EC4C1EC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72 participantes</w:t>
            </w:r>
          </w:p>
        </w:tc>
        <w:tc>
          <w:tcPr>
            <w:tcW w:w="2646" w:type="dxa"/>
            <w:gridSpan w:val="2"/>
          </w:tcPr>
          <w:p w14:paraId="3D507551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hidrogênio 10% aplicado uma vez ao dia por 15 minutos ou aplicado uma vez ao dia por 30 minutos.</w:t>
            </w:r>
          </w:p>
        </w:tc>
        <w:tc>
          <w:tcPr>
            <w:tcW w:w="2991" w:type="dxa"/>
          </w:tcPr>
          <w:p w14:paraId="52B1848F" w14:textId="63549604" w:rsidR="00FF5F46" w:rsidRPr="00FF5F46" w:rsidRDefault="00B02142" w:rsidP="00122722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 sensibilidade dentária do clareamento caseiro com peróxido de hidrogênio a 10% é</w:t>
            </w:r>
            <w:r w:rsidR="00FF5F46"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comparável</w:t>
            </w:r>
            <w:r w:rsidR="00FF5F46"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7F373D82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7E93822A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75602408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0" w:name="_Hlk169119756"/>
            <w:bookmarkStart w:id="11" w:name="_Hlk169117198"/>
            <w:bookmarkEnd w:id="9"/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Kiyuna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  <w:bookmarkEnd w:id="10"/>
          </w:p>
        </w:tc>
        <w:tc>
          <w:tcPr>
            <w:tcW w:w="1686" w:type="dxa"/>
          </w:tcPr>
          <w:p w14:paraId="04534B15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22 participantes</w:t>
            </w:r>
          </w:p>
        </w:tc>
        <w:tc>
          <w:tcPr>
            <w:tcW w:w="2646" w:type="dxa"/>
            <w:gridSpan w:val="2"/>
          </w:tcPr>
          <w:p w14:paraId="0A7427FE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hidrogênio a 20% usado sob aplicação ativa ou passiva.</w:t>
            </w:r>
          </w:p>
          <w:p w14:paraId="252EFA11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163C19E6" w14:textId="409225C8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 aplicação ativa de gel não melhorou a eficácia do clareamento nem a sensibilidade dental.</w:t>
            </w:r>
          </w:p>
          <w:p w14:paraId="1ABA371E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74E133F7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7589C963" w14:textId="77777777" w:rsidTr="00B22727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7BF573C6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2" w:name="_Hlk169116957"/>
            <w:bookmarkEnd w:id="11"/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Donassollo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  <w:bookmarkEnd w:id="12"/>
          </w:p>
        </w:tc>
        <w:tc>
          <w:tcPr>
            <w:tcW w:w="1686" w:type="dxa"/>
          </w:tcPr>
          <w:p w14:paraId="12677023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130 participantes</w:t>
            </w:r>
          </w:p>
        </w:tc>
        <w:tc>
          <w:tcPr>
            <w:tcW w:w="2646" w:type="dxa"/>
            <w:gridSpan w:val="2"/>
          </w:tcPr>
          <w:p w14:paraId="2545B646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hidrogênio a 35%.</w:t>
            </w:r>
          </w:p>
          <w:p w14:paraId="7E6E60CF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6B84ED0B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carbamida a 10%.</w:t>
            </w:r>
          </w:p>
          <w:p w14:paraId="69946D0E" w14:textId="77777777" w:rsidR="00FF5F46" w:rsidRPr="00FF5F46" w:rsidRDefault="00FF5F46" w:rsidP="00B02142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7E289284" w14:textId="1375AC8C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As taxas de sensibilidade dentária foram semelhantes nas duas técnicas testadas.</w:t>
            </w:r>
          </w:p>
        </w:tc>
      </w:tr>
      <w:tr w:rsidR="00FF5F46" w:rsidRPr="00FF5F46" w14:paraId="06C29944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41FFC97C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3" w:name="_Hlk169116734"/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Demirkol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  <w:bookmarkEnd w:id="13"/>
          </w:p>
        </w:tc>
        <w:tc>
          <w:tcPr>
            <w:tcW w:w="1686" w:type="dxa"/>
          </w:tcPr>
          <w:p w14:paraId="0CE170E4" w14:textId="66684BB2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80 participantes</w:t>
            </w:r>
          </w:p>
        </w:tc>
        <w:tc>
          <w:tcPr>
            <w:tcW w:w="2646" w:type="dxa"/>
            <w:gridSpan w:val="2"/>
          </w:tcPr>
          <w:p w14:paraId="3FB4A24F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40% H2O2 foi ativado usando um laser de </w:t>
            </w:r>
            <w:proofErr w:type="spellStart"/>
            <w:proofErr w:type="gramStart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neodímio:ítrio</w:t>
            </w:r>
            <w:proofErr w:type="gramEnd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-alumínio-granada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(</w:t>
            </w:r>
            <w:proofErr w:type="spellStart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Nd:YAG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), um laser de diodo de 810 </w:t>
            </w:r>
            <w:proofErr w:type="spellStart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nm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e um diodo emissor de luz (LED).</w:t>
            </w:r>
          </w:p>
          <w:p w14:paraId="0FC3957B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5D4A4EEC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Houve um aumento estatisticamente significativo da sensibilidade dentária em todos os grupos, com a maior sensibilidade observada no grupo LED. </w:t>
            </w:r>
          </w:p>
        </w:tc>
      </w:tr>
      <w:tr w:rsidR="00FF5F46" w:rsidRPr="00FF5F46" w14:paraId="3DE939D1" w14:textId="77777777" w:rsidTr="00B22727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727E7DE6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4" w:name="_Hlk169120045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Godoy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  <w:bookmarkEnd w:id="14"/>
          </w:p>
        </w:tc>
        <w:tc>
          <w:tcPr>
            <w:tcW w:w="1686" w:type="dxa"/>
          </w:tcPr>
          <w:p w14:paraId="79B0C33B" w14:textId="78987682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30 participantes</w:t>
            </w:r>
          </w:p>
        </w:tc>
        <w:tc>
          <w:tcPr>
            <w:tcW w:w="2646" w:type="dxa"/>
            <w:gridSpan w:val="2"/>
          </w:tcPr>
          <w:p w14:paraId="0D3EB72E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P</w:t>
            </w:r>
            <w:proofErr w:type="spellStart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eróxido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de hidrogênio 35%. </w:t>
            </w:r>
          </w:p>
          <w:p w14:paraId="3A062638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18F50943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Dessensibilizar KF com nitrato de potássio e fluoreto de sódio (PN) 0,2%.</w:t>
            </w:r>
          </w:p>
          <w:p w14:paraId="0B711DCB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0D90AF0B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Oxa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-Gel com oxalato de potássio (PO).</w:t>
            </w:r>
          </w:p>
          <w:p w14:paraId="0297F89D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1B295AAE" w14:textId="50F362B4" w:rsidR="00FF5F46" w:rsidRPr="00FF5F46" w:rsidRDefault="00122722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Não houve diferença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estatistica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entre os grupos avaliados em termo de sensibilidade dentária</w:t>
            </w:r>
            <w:r w:rsidR="00FF5F46"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</w:p>
          <w:p w14:paraId="1C888F2C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66A45810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375BCE8F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5" w:name="_Hlk169120088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Terra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2021</w:t>
            </w:r>
            <w:bookmarkEnd w:id="15"/>
          </w:p>
        </w:tc>
        <w:tc>
          <w:tcPr>
            <w:tcW w:w="1686" w:type="dxa"/>
          </w:tcPr>
          <w:p w14:paraId="5810104D" w14:textId="6EF7847D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92 participantes</w:t>
            </w:r>
          </w:p>
        </w:tc>
        <w:tc>
          <w:tcPr>
            <w:tcW w:w="2646" w:type="dxa"/>
            <w:gridSpan w:val="2"/>
          </w:tcPr>
          <w:p w14:paraId="7B4E3754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hidrogênio a 4% para clareamento caseiro.</w:t>
            </w:r>
          </w:p>
        </w:tc>
        <w:tc>
          <w:tcPr>
            <w:tcW w:w="2991" w:type="dxa"/>
          </w:tcPr>
          <w:p w14:paraId="02AD9E29" w14:textId="54498E45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Um protocolo de quatro semanas de clareamento dental caseiro com 4% de peróxido de hidrogênio por 30 minutos</w:t>
            </w:r>
            <w:r w:rsidR="00B0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apresentou </w:t>
            </w: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baixa intensidade de sensibilidade.</w:t>
            </w:r>
          </w:p>
          <w:p w14:paraId="59993C1F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0311A7A8" w14:textId="77777777" w:rsidTr="00B22727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49D356BF" w14:textId="75D3F0AE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6" w:name="_Hlk169116722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De Oliveira </w:t>
            </w:r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Gallinari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2020</w:t>
            </w:r>
            <w:bookmarkEnd w:id="16"/>
          </w:p>
        </w:tc>
        <w:tc>
          <w:tcPr>
            <w:tcW w:w="1686" w:type="dxa"/>
          </w:tcPr>
          <w:p w14:paraId="4BB3BDAB" w14:textId="474503B5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30 participantes</w:t>
            </w:r>
          </w:p>
        </w:tc>
        <w:tc>
          <w:tcPr>
            <w:tcW w:w="2646" w:type="dxa"/>
            <w:gridSpan w:val="2"/>
          </w:tcPr>
          <w:p w14:paraId="4980329F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carbamida a 10% com ou sem LED violeta.</w:t>
            </w:r>
          </w:p>
          <w:p w14:paraId="5622CE02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1046112D" w14:textId="2391D164" w:rsidR="00FF5F46" w:rsidRPr="00FF5F46" w:rsidRDefault="00122722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</w:t>
            </w:r>
            <w:r w:rsidR="00FF5F46"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sse novo protocolo aumentou a sensibilidade dos dentes.</w:t>
            </w:r>
          </w:p>
          <w:p w14:paraId="6B0D94C8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34E0FC45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7599A31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7" w:name="_Hlk169116647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Martini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2020</w:t>
            </w:r>
            <w:bookmarkEnd w:id="17"/>
          </w:p>
        </w:tc>
        <w:tc>
          <w:tcPr>
            <w:tcW w:w="1686" w:type="dxa"/>
          </w:tcPr>
          <w:p w14:paraId="237D328E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180 participantes</w:t>
            </w:r>
          </w:p>
        </w:tc>
        <w:tc>
          <w:tcPr>
            <w:tcW w:w="2646" w:type="dxa"/>
            <w:gridSpan w:val="2"/>
          </w:tcPr>
          <w:p w14:paraId="15093985" w14:textId="72419249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Gel dessensibilizante foi aplicado por 10 minutos antes do clareamento com água oxigenada a 35%.</w:t>
            </w:r>
          </w:p>
        </w:tc>
        <w:tc>
          <w:tcPr>
            <w:tcW w:w="2991" w:type="dxa"/>
          </w:tcPr>
          <w:p w14:paraId="1DF0652E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 aplicação do agente dessensibilizante não afetou a eficácia do clareamento e não foi eficiente na redução da sensibilidade.</w:t>
            </w:r>
          </w:p>
          <w:p w14:paraId="2A666297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4FE945B6" w14:textId="77777777" w:rsidTr="00B22727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363AAC7F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18" w:name="_Hlk169116494"/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Maran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2018</w:t>
            </w:r>
            <w:bookmarkEnd w:id="18"/>
          </w:p>
        </w:tc>
        <w:tc>
          <w:tcPr>
            <w:tcW w:w="1686" w:type="dxa"/>
          </w:tcPr>
          <w:p w14:paraId="03F85E48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PT" w:eastAsia="en-US" w:bidi="ar-SA"/>
              </w:rPr>
              <w:t>60 participantes</w:t>
            </w:r>
          </w:p>
        </w:tc>
        <w:tc>
          <w:tcPr>
            <w:tcW w:w="2646" w:type="dxa"/>
            <w:gridSpan w:val="2"/>
          </w:tcPr>
          <w:p w14:paraId="6A4590F9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Nitrato de potássio a 3%.</w:t>
            </w:r>
          </w:p>
          <w:p w14:paraId="09D78FBB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2DB1A24C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Fluoreto de sódio a 0,2%.</w:t>
            </w:r>
          </w:p>
          <w:p w14:paraId="12ABFB47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6AD39913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Peróxido de carbamida a 10% sem dessensibilizante.</w:t>
            </w:r>
          </w:p>
          <w:p w14:paraId="52A45647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058EBCAF" w14:textId="701CF6C6" w:rsidR="00FF5F46" w:rsidRPr="00FF5F46" w:rsidRDefault="00FF5F46" w:rsidP="00FF5F46">
            <w:pPr>
              <w:widowControl/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Não foi observada diferença na sensibilidade e alteração de cor</w:t>
            </w:r>
            <w:r w:rsidR="00122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FF5F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FF5F46" w:rsidRPr="00FF5F46" w14:paraId="63FC9B31" w14:textId="77777777" w:rsidTr="00B22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4324438A" w14:textId="77777777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bookmarkStart w:id="19" w:name="_Hlk169116484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lastRenderedPageBreak/>
              <w:t xml:space="preserve">Rodrigues 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kern w:val="0"/>
                <w:sz w:val="20"/>
                <w:szCs w:val="20"/>
                <w:lang w:eastAsia="en-US" w:bidi="ar-SA"/>
              </w:rPr>
              <w:t>et al.,</w:t>
            </w: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 xml:space="preserve"> 2018</w:t>
            </w:r>
            <w:bookmarkEnd w:id="19"/>
          </w:p>
        </w:tc>
        <w:tc>
          <w:tcPr>
            <w:tcW w:w="1686" w:type="dxa"/>
          </w:tcPr>
          <w:p w14:paraId="613FD89A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40 participantes</w:t>
            </w:r>
          </w:p>
        </w:tc>
        <w:tc>
          <w:tcPr>
            <w:tcW w:w="2646" w:type="dxa"/>
            <w:gridSpan w:val="2"/>
          </w:tcPr>
          <w:p w14:paraId="6965731F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Primeira sessão com peróxido de hidrogênio a 38%. </w:t>
            </w:r>
          </w:p>
          <w:p w14:paraId="73FE4AAB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06F78587" w14:textId="02779202" w:rsidR="00FF5F46" w:rsidRDefault="009B340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M</w:t>
            </w:r>
            <w:r w:rsidR="00FF5F46"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oldeira contendo peróxido de carbamida a 10% durante 7 dias consecutivos.</w:t>
            </w:r>
          </w:p>
          <w:p w14:paraId="7D837D3A" w14:textId="5C29F702" w:rsidR="00B02142" w:rsidRPr="00FF5F46" w:rsidRDefault="00B02142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91" w:type="dxa"/>
          </w:tcPr>
          <w:p w14:paraId="386804B2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A eficácia e a sensibilidade dental não diferiram entre realizar uma segunda sessão em consultório e combinar com uma semana de clareamento caseiro.</w:t>
            </w:r>
          </w:p>
          <w:p w14:paraId="0988E66D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F5F46" w:rsidRPr="00FF5F46" w14:paraId="6228B56C" w14:textId="77777777" w:rsidTr="00B021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6CDA9E75" w14:textId="68904204" w:rsidR="00FF5F46" w:rsidRPr="00FF5F46" w:rsidRDefault="00FF5F46" w:rsidP="0088492E">
            <w:pPr>
              <w:widowControl/>
              <w:suppressAutoHyphens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bookmarkStart w:id="20" w:name="_Hlk169119779"/>
            <w:bookmarkStart w:id="21" w:name="_Hlk152008995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 xml:space="preserve">Rezende; Siqueira; </w:t>
            </w:r>
            <w:proofErr w:type="spellStart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>Kossatz</w:t>
            </w:r>
            <w:proofErr w:type="spellEnd"/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>, 2014</w:t>
            </w:r>
            <w:bookmarkEnd w:id="20"/>
          </w:p>
        </w:tc>
        <w:tc>
          <w:tcPr>
            <w:tcW w:w="1833" w:type="dxa"/>
            <w:gridSpan w:val="2"/>
          </w:tcPr>
          <w:p w14:paraId="19FDF1C8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>30 participantes</w:t>
            </w:r>
          </w:p>
        </w:tc>
        <w:tc>
          <w:tcPr>
            <w:tcW w:w="2500" w:type="dxa"/>
          </w:tcPr>
          <w:p w14:paraId="3E314220" w14:textId="77777777" w:rsidR="00FF5F46" w:rsidRPr="00FF5F46" w:rsidRDefault="00FF5F46" w:rsidP="00FF5F46">
            <w:pPr>
              <w:widowControl/>
              <w:suppressAutoHyphens w:val="0"/>
              <w:ind w:left="-109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 xml:space="preserve">Peróxido de hidrogênio a 35% em 2 sessões com intervalo de 1 semana entre elas. </w:t>
            </w:r>
          </w:p>
          <w:p w14:paraId="02C28F82" w14:textId="77777777" w:rsidR="00FF5F46" w:rsidRPr="00FF5F46" w:rsidRDefault="00FF5F46" w:rsidP="00FF5F46">
            <w:pPr>
              <w:widowControl/>
              <w:suppressAutoHyphens w:val="0"/>
              <w:ind w:left="-109" w:firstLine="709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</w:p>
          <w:p w14:paraId="7D082572" w14:textId="77777777" w:rsidR="00FF5F46" w:rsidRPr="00FF5F46" w:rsidRDefault="00FF5F46" w:rsidP="00FF5F46">
            <w:pPr>
              <w:widowControl/>
              <w:suppressAutoHyphens w:val="0"/>
              <w:ind w:left="-109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>Em cada sessão foram realizadas 3 aplicações de 15 minutos do gel clareador.</w:t>
            </w:r>
          </w:p>
        </w:tc>
        <w:tc>
          <w:tcPr>
            <w:tcW w:w="2991" w:type="dxa"/>
          </w:tcPr>
          <w:p w14:paraId="3C918199" w14:textId="77777777" w:rsidR="00FF5F46" w:rsidRPr="00FF5F46" w:rsidRDefault="00FF5F46" w:rsidP="00FF5F46">
            <w:pPr>
              <w:widowControl/>
              <w:suppressAutoHyphens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  <w:r w:rsidRPr="00FF5F4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  <w:t>Não foram encontradas diferenças significativas na frequência ou na intensidade da sensibilidade dentária entre as técnicas empregadas.</w:t>
            </w:r>
          </w:p>
          <w:p w14:paraId="3525ACD0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</w:p>
          <w:p w14:paraId="0163866D" w14:textId="77777777" w:rsidR="00FF5F46" w:rsidRPr="00FF5F46" w:rsidRDefault="00FF5F46" w:rsidP="00FF5F46">
            <w:pPr>
              <w:widowControl/>
              <w:suppressAutoHyphens w:val="0"/>
              <w:ind w:firstLine="709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bookmarkEnd w:id="21"/>
    <w:p w14:paraId="4EC4E86C" w14:textId="157EFD76" w:rsidR="00FF5F46" w:rsidRPr="00FF5F46" w:rsidRDefault="00FF5F46" w:rsidP="00FF5F46">
      <w:pPr>
        <w:widowControl/>
        <w:suppressAutoHyphens w:val="0"/>
        <w:spacing w:line="36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FF5F46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 w:bidi="ar-SA"/>
        </w:rPr>
        <w:t>Fonte</w:t>
      </w:r>
      <w:r w:rsidRPr="00FF5F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 dados da pesquisa, 2024</w:t>
      </w:r>
    </w:p>
    <w:p w14:paraId="731543A9" w14:textId="77777777" w:rsidR="00FF5F46" w:rsidRPr="00FF5F46" w:rsidRDefault="00FF5F46" w:rsidP="00FF5F46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61577F8B" w14:textId="62F3EAB0" w:rsidR="00FF5F46" w:rsidRPr="00FF5F46" w:rsidRDefault="00FF5F46" w:rsidP="00122722">
      <w:pPr>
        <w:widowControl/>
        <w:tabs>
          <w:tab w:val="left" w:pos="1134"/>
        </w:tabs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Autores como Rezende; Siqueira;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Kossatz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(2014), Rodrigues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(2018) e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Maran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FF5F46">
        <w:rPr>
          <w:rFonts w:ascii="Times New Roman" w:eastAsia="Calibri" w:hAnsi="Times New Roman" w:cs="Times New Roman"/>
          <w:i/>
          <w:iCs/>
          <w:kern w:val="0"/>
          <w:szCs w:val="22"/>
          <w:lang w:eastAsia="en-US" w:bidi="ar-SA"/>
        </w:rPr>
        <w:t>et al.</w:t>
      </w: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(2018) reforçaram que o clareamento dental tem se destacado como uma opção eficiente, sendo uma abordagem conservadora em comparação com procedimentos mais invasivos, como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microabrasão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, facetas e coroas. </w:t>
      </w:r>
      <w:bookmarkStart w:id="22" w:name="_Hlk169112523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Nos estudos incluídos, os procedimentos realizados em ambiente clínico geralmente utilizaram o peróxido de hidrogênio em concentrações de 30% a 35%, frequentemente associado a um agente físico, como uma fonte de luz, para catalisar a reação de clareamento, além do </w:t>
      </w:r>
      <w:proofErr w:type="spellStart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perborato</w:t>
      </w:r>
      <w:proofErr w:type="spellEnd"/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de sódio. Já os agentes clareadores caseiros incluíram o peróxido de hidrogênio a 1,5% ou 3%, e peróxido de carbamida a 10% ou 25%. </w:t>
      </w:r>
    </w:p>
    <w:bookmarkEnd w:id="22"/>
    <w:p w14:paraId="36D40F6E" w14:textId="01C880A4" w:rsidR="00FF5F46" w:rsidRPr="00FF5F46" w:rsidRDefault="00B02142" w:rsidP="00FF5F46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O</w:t>
      </w:r>
      <w:r w:rsidR="00FF5F46"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bservou-se que a técnica caseira oferece benefícios como menor agressividade do gel clareador aos tecidos, custo reduzido, menor recorrência de pigmentação a longo prazo e poucas consultas. No entanto, requer cooperação do paciente e pode ser desconfortável para alguns devido ao uso de moldeiras. Por outro lado, o clareamento em consultório produziu resultados mais rápidos, geralmente em uma a três sessões de até 45 minutos cada. </w:t>
      </w:r>
    </w:p>
    <w:p w14:paraId="4DC757EF" w14:textId="48407693" w:rsidR="0088492E" w:rsidRPr="0088492E" w:rsidRDefault="00FF5F46" w:rsidP="00B02142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FF5F4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Com isso, a combinação de técnicas de clareamento em consultório e caseiro proporciona bons resultados estéticos e prolonga a durabilidade do tratamento.</w:t>
      </w:r>
      <w:r w:rsidR="00B02142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="0088492E"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Para Abrantes </w:t>
      </w:r>
      <w:r w:rsidR="0088492E" w:rsidRPr="0088492E">
        <w:rPr>
          <w:rFonts w:ascii="Times New Roman" w:eastAsia="Calibri" w:hAnsi="Times New Roman" w:cs="Times New Roman"/>
          <w:bCs/>
          <w:i/>
          <w:iCs/>
          <w:kern w:val="0"/>
          <w:szCs w:val="22"/>
          <w:lang w:eastAsia="en-US" w:bidi="ar-SA"/>
        </w:rPr>
        <w:t>et al.</w:t>
      </w:r>
      <w:r w:rsidR="0088492E"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(2021), a pressão para se adequar a um padrão social de dentes extremamente brancos é tão intensa que, quando não alcançada, pode causar angústia e tristeza. </w:t>
      </w:r>
      <w:proofErr w:type="spellStart"/>
      <w:r w:rsidR="0088492E"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Chemin</w:t>
      </w:r>
      <w:proofErr w:type="spellEnd"/>
      <w:r w:rsidR="0088492E"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</w:t>
      </w:r>
      <w:r w:rsidR="0088492E" w:rsidRPr="0088492E">
        <w:rPr>
          <w:rFonts w:ascii="Times New Roman" w:eastAsia="Calibri" w:hAnsi="Times New Roman" w:cs="Times New Roman"/>
          <w:bCs/>
          <w:i/>
          <w:iCs/>
          <w:kern w:val="0"/>
          <w:szCs w:val="22"/>
          <w:lang w:eastAsia="en-US" w:bidi="ar-SA"/>
        </w:rPr>
        <w:t>et al.</w:t>
      </w:r>
      <w:r w:rsidR="0088492E"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(2021) complementam citando que a discrepância entre a imagem idealizada e a realidade pode resultar em prejuízos emocionais, comportamentais, cognitivos e produtivos para o indivíduo.</w:t>
      </w:r>
    </w:p>
    <w:p w14:paraId="73855C5D" w14:textId="2932700B" w:rsidR="0088492E" w:rsidRPr="0088492E" w:rsidRDefault="0088492E" w:rsidP="0088492E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</w:pP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Nessa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pespectiva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, para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Kiyuna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</w:t>
      </w:r>
      <w:r w:rsidRPr="0088492E">
        <w:rPr>
          <w:rFonts w:ascii="Times New Roman" w:eastAsia="Calibri" w:hAnsi="Times New Roman" w:cs="Times New Roman"/>
          <w:bCs/>
          <w:i/>
          <w:iCs/>
          <w:kern w:val="0"/>
          <w:szCs w:val="22"/>
          <w:lang w:eastAsia="en-US" w:bidi="ar-SA"/>
        </w:rPr>
        <w:t>et al.</w:t>
      </w: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(2021) e Rezende; Siqueira;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Kossatz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(2014), a sensibilidade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dentinária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é caracterizada por uma dor aguda, súbita e de curta duração, desencadeada por estímulos térmicos, químicos, tácteis e evaporativos, que não pode ser atribuída a nenhuma outra forma de patologia dentária.  </w:t>
      </w:r>
    </w:p>
    <w:p w14:paraId="00A8353C" w14:textId="23BB43B0" w:rsidR="0088492E" w:rsidRPr="0088492E" w:rsidRDefault="0088492E" w:rsidP="00B02142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</w:pP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lastRenderedPageBreak/>
        <w:t xml:space="preserve">Os autores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Maran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</w:t>
      </w:r>
      <w:r w:rsidRPr="0088492E">
        <w:rPr>
          <w:rFonts w:ascii="Times New Roman" w:eastAsia="Calibri" w:hAnsi="Times New Roman" w:cs="Times New Roman"/>
          <w:bCs/>
          <w:i/>
          <w:iCs/>
          <w:kern w:val="0"/>
          <w:szCs w:val="22"/>
          <w:lang w:eastAsia="en-US" w:bidi="ar-SA"/>
        </w:rPr>
        <w:t>et al</w:t>
      </w: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. (2018) e Martini </w:t>
      </w:r>
      <w:r w:rsidRPr="0088492E">
        <w:rPr>
          <w:rFonts w:ascii="Times New Roman" w:eastAsia="Calibri" w:hAnsi="Times New Roman" w:cs="Times New Roman"/>
          <w:bCs/>
          <w:i/>
          <w:iCs/>
          <w:kern w:val="0"/>
          <w:szCs w:val="22"/>
          <w:lang w:eastAsia="en-US" w:bidi="ar-SA"/>
        </w:rPr>
        <w:t>et al.</w:t>
      </w: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(2020) destacaram que os agentes dessensibilizantes atuam obliterando os túbulos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dentinários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ou aumentando o limiar de excitação dos nervos pulpares. Para Oliveira </w:t>
      </w:r>
      <w:proofErr w:type="spellStart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Gallinari</w:t>
      </w:r>
      <w:proofErr w:type="spellEnd"/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</w:t>
      </w:r>
      <w:r w:rsidRPr="0088492E">
        <w:rPr>
          <w:rFonts w:ascii="Times New Roman" w:eastAsia="Calibri" w:hAnsi="Times New Roman" w:cs="Times New Roman"/>
          <w:bCs/>
          <w:i/>
          <w:iCs/>
          <w:kern w:val="0"/>
          <w:szCs w:val="22"/>
          <w:lang w:eastAsia="en-US" w:bidi="ar-SA"/>
        </w:rPr>
        <w:t>et al.</w:t>
      </w: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 (2020), o fluoreto de sódio é comumente utilizado para diminuir a permeabilidade da dentina, enquanto o nitrato de potássio é empregado para ação neural. </w:t>
      </w:r>
    </w:p>
    <w:p w14:paraId="46E089CF" w14:textId="692F9F01" w:rsidR="00FF5F46" w:rsidRPr="00FF5F46" w:rsidRDefault="0088492E" w:rsidP="0088492E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</w:pP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 xml:space="preserve">De maneira significativa, esta análise integrou e situou resultados relevantes para a odontologia, além de realizar uma pesquisa em diversas bases de dados para aprofundar a busca de informações literárias.  Assim, compreender melhor os efeitos podem fornecer informações aos cirurgiões-dentistas sobre os efeitos desses materiais em sua prática clínica rotineira. </w:t>
      </w:r>
    </w:p>
    <w:p w14:paraId="344B78BE" w14:textId="63D9D9B0" w:rsidR="0088492E" w:rsidRPr="0088492E" w:rsidRDefault="009D129B" w:rsidP="0088492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CONSIDERAÇÕES FINAIS</w:t>
      </w:r>
      <w:bookmarkStart w:id="23" w:name="_Hlk169090939"/>
    </w:p>
    <w:p w14:paraId="4E63D090" w14:textId="13322197" w:rsidR="0088492E" w:rsidRPr="0088492E" w:rsidRDefault="0088492E" w:rsidP="0088492E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É </w:t>
      </w:r>
      <w:r w:rsidRPr="0088492E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possível inferir que os materiais avaliados demonstraram eficácia similar dentro dos métodos utilizados, obtendo resultados significativos no clareamento dental e redução da sensibilidade.</w:t>
      </w:r>
      <w:bookmarkEnd w:id="23"/>
      <w:r w:rsidRPr="0088492E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</w:t>
      </w:r>
      <w:r w:rsidRPr="0088492E">
        <w:rPr>
          <w:rFonts w:ascii="Times New Roman" w:eastAsia="Calibri" w:hAnsi="Times New Roman" w:cs="Times New Roman"/>
          <w:bCs/>
          <w:kern w:val="0"/>
          <w:szCs w:val="22"/>
          <w:lang w:eastAsia="en-US" w:bidi="ar-SA"/>
        </w:rPr>
        <w:t>O fato de a sensibilidade ter sido avaliada imediatamente após o clareamento pôde ter influenciado nos resultados obtidos dos estudos. Assim, sugere-se que mais estudos clínicos sejam realizados para analisar a sensibilidade dentária desses produtos nesses períodos.</w:t>
      </w:r>
    </w:p>
    <w:p w14:paraId="741E74FB" w14:textId="77777777" w:rsidR="009D129B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REFERÊNCIAS</w:t>
      </w:r>
    </w:p>
    <w:p w14:paraId="52B09D70" w14:textId="77777777" w:rsidR="0088492E" w:rsidRPr="0088492E" w:rsidRDefault="0088492E" w:rsidP="0088492E"/>
    <w:p w14:paraId="727D4946" w14:textId="2A8C29D5" w:rsidR="0088492E" w:rsidRPr="0088492E" w:rsidRDefault="0088492E" w:rsidP="0088492E">
      <w:pPr>
        <w:spacing w:after="240"/>
        <w:rPr>
          <w:rFonts w:ascii="Times New Roman" w:hAnsi="Times New Roman" w:cs="Times New Roman"/>
          <w:color w:val="222222"/>
          <w:shd w:val="clear" w:color="auto" w:fill="FFFFFF"/>
          <w:lang w:val="de-DE"/>
        </w:rPr>
      </w:pPr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ABRANTES, Priscila Silva </w:t>
      </w:r>
      <w:r w:rsidRPr="008849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 al</w:t>
      </w:r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Efficacy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longevity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bleaching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sensitivity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carbamide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hydrogen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peroxides for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in-office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bleaching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: A 6-month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randomized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double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blind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split-mouth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clinical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trial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  <w:lang w:val="de-DE"/>
        </w:rPr>
        <w:t>American journal of dentistry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de-DE"/>
        </w:rPr>
        <w:t>, v. 34, n. 1, p. 17-22, 2021.</w:t>
      </w:r>
    </w:p>
    <w:p w14:paraId="4B70F811" w14:textId="77777777" w:rsidR="0088492E" w:rsidRPr="0088492E" w:rsidRDefault="0088492E" w:rsidP="0088492E">
      <w:pPr>
        <w:spacing w:after="240"/>
        <w:rPr>
          <w:rFonts w:ascii="Times New Roman" w:hAnsi="Times New Roman" w:cs="Times New Roman"/>
          <w:color w:val="222222"/>
          <w:shd w:val="clear" w:color="auto" w:fill="FFFFFF"/>
          <w:lang w:val="it-IT"/>
        </w:rPr>
      </w:pPr>
      <w:r w:rsidRPr="0088492E">
        <w:rPr>
          <w:rFonts w:ascii="Times New Roman" w:hAnsi="Times New Roman" w:cs="Times New Roman"/>
          <w:color w:val="222222"/>
          <w:shd w:val="clear" w:color="auto" w:fill="FFFFFF"/>
          <w:lang w:val="de-DE"/>
        </w:rPr>
        <w:t xml:space="preserve">CHEMIN, K. </w:t>
      </w:r>
      <w:r w:rsidRPr="0088492E">
        <w:rPr>
          <w:rFonts w:ascii="Times New Roman" w:hAnsi="Times New Roman" w:cs="Times New Roman"/>
          <w:i/>
          <w:iCs/>
          <w:color w:val="222222"/>
          <w:shd w:val="clear" w:color="auto" w:fill="FFFFFF"/>
          <w:lang w:val="de-DE"/>
        </w:rPr>
        <w:t>et al.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de-DE"/>
        </w:rPr>
        <w:t xml:space="preserve"> 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Evaluation of at-home bleaching times on effectiveness and sensitivity with 10% hydrogen peroxide: a randomized controlled double-blind clinical trial. </w:t>
      </w:r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  <w:lang w:val="it-IT"/>
        </w:rPr>
        <w:t>Operative dentistry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, v. 46, n. 4, p. 385-394, 2021.</w:t>
      </w:r>
    </w:p>
    <w:p w14:paraId="47E984E8" w14:textId="77777777" w:rsidR="0088492E" w:rsidRPr="0088492E" w:rsidRDefault="0088492E" w:rsidP="0088492E">
      <w:pPr>
        <w:spacing w:after="240"/>
        <w:rPr>
          <w:rFonts w:ascii="Times New Roman" w:hAnsi="Times New Roman" w:cs="Times New Roman"/>
          <w:color w:val="222222"/>
          <w:shd w:val="clear" w:color="auto" w:fill="FFFFFF"/>
          <w:lang w:val="de-DE"/>
        </w:rPr>
      </w:pPr>
      <w:r w:rsidRPr="0088492E"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DE OLIVEIRA GALLINARI, Marjorie </w:t>
      </w:r>
      <w:r w:rsidRPr="0088492E">
        <w:rPr>
          <w:rFonts w:ascii="Times New Roman" w:hAnsi="Times New Roman" w:cs="Times New Roman"/>
          <w:i/>
          <w:iCs/>
          <w:color w:val="222222"/>
          <w:shd w:val="clear" w:color="auto" w:fill="FFFFFF"/>
          <w:lang w:val="it-IT"/>
        </w:rPr>
        <w:t>et al.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 Evaluation of the color change and tooth sensitivity in treatments that associate violet LED with carbamide peroxide 10%: A randomized clinical trial of a split-mouth design. </w:t>
      </w:r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  <w:lang w:val="de-DE"/>
        </w:rPr>
        <w:t>Photodiagnosis and photodynamic therapy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de-DE"/>
        </w:rPr>
        <w:t>, v. 30, p. 101679, 2020.</w:t>
      </w:r>
    </w:p>
    <w:p w14:paraId="649CA53A" w14:textId="77777777" w:rsidR="0088492E" w:rsidRPr="0088492E" w:rsidRDefault="0088492E" w:rsidP="0088492E">
      <w:pPr>
        <w:spacing w:after="240"/>
        <w:rPr>
          <w:rFonts w:ascii="Times New Roman" w:hAnsi="Times New Roman" w:cs="Times New Roman"/>
          <w:color w:val="222222"/>
          <w:shd w:val="clear" w:color="auto" w:fill="FFFFFF"/>
          <w:lang w:val="it-IT"/>
        </w:rPr>
      </w:pPr>
      <w:r w:rsidRPr="0088492E">
        <w:rPr>
          <w:rFonts w:ascii="Times New Roman" w:hAnsi="Times New Roman" w:cs="Times New Roman"/>
          <w:color w:val="222222"/>
          <w:shd w:val="clear" w:color="auto" w:fill="FFFFFF"/>
          <w:lang w:val="de-DE"/>
        </w:rPr>
        <w:t>DEMIRKOL, N</w:t>
      </w:r>
      <w:r w:rsidRPr="0088492E">
        <w:rPr>
          <w:rFonts w:ascii="Times New Roman" w:hAnsi="Times New Roman" w:cs="Times New Roman"/>
          <w:i/>
          <w:iCs/>
          <w:color w:val="222222"/>
          <w:shd w:val="clear" w:color="auto" w:fill="FFFFFF"/>
          <w:lang w:val="de-DE"/>
        </w:rPr>
        <w:t>. et al.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de-DE"/>
        </w:rPr>
        <w:t xml:space="preserve"> Effectiveness of in-office bleaching treatment with different activation techniques on tooth color changes and sensitivity: A randomized clinical trial. </w:t>
      </w:r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  <w:lang w:val="it-IT"/>
        </w:rPr>
        <w:t>American Journal of Dentistry</w:t>
      </w:r>
      <w:r w:rsidRPr="0088492E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, v. 34, n. 1, p. 23-30, 2021.</w:t>
      </w:r>
    </w:p>
    <w:p w14:paraId="53395EB4" w14:textId="0F011FA7" w:rsidR="0088492E" w:rsidRPr="009B3406" w:rsidRDefault="0088492E" w:rsidP="0088492E">
      <w:pPr>
        <w:spacing w:after="240"/>
        <w:rPr>
          <w:rFonts w:ascii="Times New Roman" w:hAnsi="Times New Roman" w:cs="Times New Roman"/>
          <w:color w:val="222222"/>
          <w:shd w:val="clear" w:color="auto" w:fill="FFFFFF"/>
        </w:rPr>
      </w:pPr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GODOY, Carlos Em </w:t>
      </w:r>
      <w:r w:rsidRPr="008849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 al.</w:t>
      </w:r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Effect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two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desensitizing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agents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applied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previous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to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in-office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bleaching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on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degree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whitening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dentin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sensitivity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: A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randomized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controlled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double-blind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clinical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trial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American </w:t>
      </w:r>
      <w:proofErr w:type="spellStart"/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journal</w:t>
      </w:r>
      <w:proofErr w:type="spellEnd"/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of</w:t>
      </w:r>
      <w:proofErr w:type="spellEnd"/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88492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dentistry</w:t>
      </w:r>
      <w:proofErr w:type="spellEnd"/>
      <w:r w:rsidRPr="0088492E">
        <w:rPr>
          <w:rFonts w:ascii="Times New Roman" w:hAnsi="Times New Roman" w:cs="Times New Roman"/>
          <w:color w:val="222222"/>
          <w:shd w:val="clear" w:color="auto" w:fill="FFFFFF"/>
        </w:rPr>
        <w:t>, v. 34, n. 2, p. 70-74, 2021.</w:t>
      </w:r>
    </w:p>
    <w:sectPr w:rsidR="0088492E" w:rsidRPr="009B3406" w:rsidSect="00E37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186F" w14:textId="77777777" w:rsidR="00480C0B" w:rsidRDefault="00480C0B">
      <w:r>
        <w:separator/>
      </w:r>
    </w:p>
  </w:endnote>
  <w:endnote w:type="continuationSeparator" w:id="0">
    <w:p w14:paraId="4E44EA00" w14:textId="77777777" w:rsidR="00480C0B" w:rsidRDefault="0048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372" w14:textId="600286B8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53552AD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918970" cy="704850"/>
          <wp:effectExtent l="0" t="0" r="0" b="0"/>
          <wp:wrapSquare wrapText="bothSides"/>
          <wp:docPr id="1313754495" name="Imagem 131375449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125C" w14:textId="77777777" w:rsidR="00025B60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1687934699" name="Imagem 1687934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986341419" name="Imagem 98634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A2BA" w14:textId="77777777" w:rsidR="00480C0B" w:rsidRDefault="00480C0B">
      <w:r>
        <w:separator/>
      </w:r>
    </w:p>
  </w:footnote>
  <w:footnote w:type="continuationSeparator" w:id="0">
    <w:p w14:paraId="5E233B3A" w14:textId="77777777" w:rsidR="00480C0B" w:rsidRDefault="0048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B8CE" w14:textId="2A4DF8EC" w:rsidR="000363D3" w:rsidRDefault="00577080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drawing>
        <wp:anchor distT="0" distB="0" distL="114300" distR="114300" simplePos="0" relativeHeight="251675648" behindDoc="0" locked="0" layoutInCell="1" allowOverlap="1" wp14:anchorId="5B05A424" wp14:editId="25C4FB69">
          <wp:simplePos x="0" y="0"/>
          <wp:positionH relativeFrom="column">
            <wp:posOffset>481965</wp:posOffset>
          </wp:positionH>
          <wp:positionV relativeFrom="paragraph">
            <wp:posOffset>-131445</wp:posOffset>
          </wp:positionV>
          <wp:extent cx="1976400" cy="718922"/>
          <wp:effectExtent l="0" t="0" r="5080" b="5080"/>
          <wp:wrapSquare wrapText="bothSides"/>
          <wp:docPr id="149668825" name="Imagem 149668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718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E370D8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574878">
      <w:rPr>
        <w:rFonts w:ascii="Arial" w:hAnsi="Arial" w:cs="Arial"/>
        <w:b/>
        <w:bCs/>
        <w:color w:val="000000"/>
        <w:kern w:val="24"/>
        <w:sz w:val="20"/>
        <w:szCs w:val="40"/>
      </w:rPr>
      <w:t>4</w:t>
    </w:r>
  </w:p>
  <w:p w14:paraId="41AC9B8A" w14:textId="700FCF61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577080"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8F8A" w14:textId="77777777" w:rsidR="00025B60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1038524889" name="Imagem 1038524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949581676" name="Imagem 1949581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025B6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025B6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025B60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1626E"/>
    <w:rsid w:val="00024325"/>
    <w:rsid w:val="00025B60"/>
    <w:rsid w:val="000363D3"/>
    <w:rsid w:val="00055B7F"/>
    <w:rsid w:val="000F57F7"/>
    <w:rsid w:val="00122722"/>
    <w:rsid w:val="00134253"/>
    <w:rsid w:val="001857B5"/>
    <w:rsid w:val="001B7AA2"/>
    <w:rsid w:val="001D5AF0"/>
    <w:rsid w:val="00260DCC"/>
    <w:rsid w:val="002C73D2"/>
    <w:rsid w:val="003038D7"/>
    <w:rsid w:val="003D5198"/>
    <w:rsid w:val="00445801"/>
    <w:rsid w:val="00480C0B"/>
    <w:rsid w:val="00504745"/>
    <w:rsid w:val="00512909"/>
    <w:rsid w:val="00540381"/>
    <w:rsid w:val="00574878"/>
    <w:rsid w:val="00577080"/>
    <w:rsid w:val="005E7D8E"/>
    <w:rsid w:val="005F28FC"/>
    <w:rsid w:val="00630C87"/>
    <w:rsid w:val="0067252D"/>
    <w:rsid w:val="006D0812"/>
    <w:rsid w:val="00755CFF"/>
    <w:rsid w:val="00776C29"/>
    <w:rsid w:val="008377EE"/>
    <w:rsid w:val="00861497"/>
    <w:rsid w:val="0088492E"/>
    <w:rsid w:val="008D6320"/>
    <w:rsid w:val="009273EA"/>
    <w:rsid w:val="009B3406"/>
    <w:rsid w:val="009D0E45"/>
    <w:rsid w:val="009D129B"/>
    <w:rsid w:val="009F520E"/>
    <w:rsid w:val="00A36C34"/>
    <w:rsid w:val="00A5187E"/>
    <w:rsid w:val="00A90C29"/>
    <w:rsid w:val="00A957DE"/>
    <w:rsid w:val="00AA33ED"/>
    <w:rsid w:val="00AA3D46"/>
    <w:rsid w:val="00B02142"/>
    <w:rsid w:val="00B708B5"/>
    <w:rsid w:val="00B9318B"/>
    <w:rsid w:val="00B933E4"/>
    <w:rsid w:val="00BC1C81"/>
    <w:rsid w:val="00C0389C"/>
    <w:rsid w:val="00CC6723"/>
    <w:rsid w:val="00CF477C"/>
    <w:rsid w:val="00D02558"/>
    <w:rsid w:val="00DA5B1B"/>
    <w:rsid w:val="00DD331D"/>
    <w:rsid w:val="00E370D8"/>
    <w:rsid w:val="00E7672B"/>
    <w:rsid w:val="00ED2B71"/>
    <w:rsid w:val="00EF1F9F"/>
    <w:rsid w:val="00FA5C9E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5F46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FF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DFB38962840498059CC1823B6B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BCEFC-B868-4E56-AD0F-72C32B9AAC68}"/>
      </w:docPartPr>
      <w:docPartBody>
        <w:p w:rsidR="00D570D3" w:rsidRDefault="005509D5" w:rsidP="005509D5">
          <w:pPr>
            <w:pStyle w:val="F63DFB38962840498059CC1823B6B776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3A321F323F324FB383CE0215A7A5D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89BC7-1B25-4985-B9B2-521DD5D34EA3}"/>
      </w:docPartPr>
      <w:docPartBody>
        <w:p w:rsidR="00D570D3" w:rsidRDefault="005509D5" w:rsidP="005509D5">
          <w:pPr>
            <w:pStyle w:val="3A321F323F324FB383CE0215A7A5DE41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4750E"/>
    <w:rsid w:val="001861B5"/>
    <w:rsid w:val="001C2A97"/>
    <w:rsid w:val="002202E3"/>
    <w:rsid w:val="002A3AF6"/>
    <w:rsid w:val="0039040C"/>
    <w:rsid w:val="005509D5"/>
    <w:rsid w:val="007A46EA"/>
    <w:rsid w:val="007D7C49"/>
    <w:rsid w:val="00884966"/>
    <w:rsid w:val="009A1F44"/>
    <w:rsid w:val="00CB6916"/>
    <w:rsid w:val="00CC6723"/>
    <w:rsid w:val="00D14019"/>
    <w:rsid w:val="00D570D3"/>
    <w:rsid w:val="00E06189"/>
    <w:rsid w:val="00ED651C"/>
    <w:rsid w:val="00EF5936"/>
    <w:rsid w:val="00F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9D5"/>
    <w:rPr>
      <w:color w:val="808080"/>
    </w:rPr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0398-C50E-435D-9FE7-85F5871E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2532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Familia</cp:lastModifiedBy>
  <cp:revision>2</cp:revision>
  <dcterms:created xsi:type="dcterms:W3CDTF">2024-09-23T23:59:00Z</dcterms:created>
  <dcterms:modified xsi:type="dcterms:W3CDTF">2024-09-23T23:59:00Z</dcterms:modified>
</cp:coreProperties>
</file>