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6EF0C" w14:textId="6257DB0C" w:rsidR="006B4BCA" w:rsidRDefault="006B4BCA" w:rsidP="00E3782C">
      <w:pPr>
        <w:pStyle w:val="Ttulo1"/>
        <w:spacing w:before="251" w:line="242" w:lineRule="auto"/>
        <w:ind w:left="75" w:right="214"/>
        <w:jc w:val="center"/>
        <w:rPr>
          <w:sz w:val="32"/>
          <w:szCs w:val="32"/>
        </w:rPr>
      </w:pPr>
      <w:bookmarkStart w:id="0" w:name="1Primeiro_Autor_com_nome_completo,_2Segu"/>
      <w:bookmarkEnd w:id="0"/>
      <w:r w:rsidRPr="006B4BCA">
        <w:rPr>
          <w:sz w:val="32"/>
          <w:szCs w:val="32"/>
        </w:rPr>
        <w:t>ELETROMOBILIDADE COMO POLÍTICA PÚBLICA: TRIBUTAÇÃO E DESCARBONIZAÇÃO DO SETOR DE TRANSPORTES</w:t>
      </w:r>
    </w:p>
    <w:p w14:paraId="58281A71" w14:textId="44C76914" w:rsidR="00E3782C" w:rsidRPr="005F70B0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5F70B0">
        <w:rPr>
          <w:sz w:val="24"/>
          <w:szCs w:val="24"/>
          <w:vertAlign w:val="superscript"/>
        </w:rPr>
        <w:t>1</w:t>
      </w:r>
      <w:r w:rsidR="000F4134" w:rsidRPr="000F4134">
        <w:rPr>
          <w:sz w:val="24"/>
          <w:szCs w:val="24"/>
          <w:lang w:val="pt-BR"/>
        </w:rPr>
        <w:t>Paula Beatriz Maioli Sposito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bookmarkStart w:id="1" w:name="_Ref233989493"/>
      <w:bookmarkStart w:id="2" w:name="_Ref233989494"/>
      <w:r w:rsidR="000F4134" w:rsidRPr="000F4134">
        <w:rPr>
          <w:rFonts w:eastAsia="Arial Unicode MS"/>
          <w:bCs w:val="0"/>
          <w:kern w:val="2"/>
          <w:lang w:val="pt-BR" w:eastAsia="zh-CN" w:bidi="hi-IN"/>
        </w:rPr>
        <w:t xml:space="preserve"> </w:t>
      </w:r>
      <w:r w:rsidR="000F4134" w:rsidRPr="000F4134">
        <w:rPr>
          <w:sz w:val="24"/>
          <w:szCs w:val="24"/>
          <w:lang w:val="pt-BR"/>
        </w:rPr>
        <w:t>Lucas Guedes Ferreira de Brito</w:t>
      </w:r>
      <w:bookmarkEnd w:id="1"/>
      <w:bookmarkEnd w:id="2"/>
      <w:r w:rsidRPr="005F70B0">
        <w:rPr>
          <w:sz w:val="24"/>
          <w:szCs w:val="24"/>
        </w:rPr>
        <w:t>,</w:t>
      </w:r>
      <w:r w:rsidRPr="005F70B0">
        <w:rPr>
          <w:spacing w:val="-3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3</w:t>
      </w:r>
      <w:r w:rsidR="000F4134" w:rsidRPr="000F4134">
        <w:rPr>
          <w:sz w:val="24"/>
          <w:szCs w:val="24"/>
          <w:lang w:val="pt-BR"/>
        </w:rPr>
        <w:t>André Serotini</w:t>
      </w:r>
      <w:r w:rsidR="000F4134" w:rsidRPr="000F4134">
        <w:rPr>
          <w:sz w:val="24"/>
          <w:szCs w:val="24"/>
        </w:rPr>
        <w:t xml:space="preserve"> </w:t>
      </w:r>
    </w:p>
    <w:p w14:paraId="158B3CEA" w14:textId="31E60C20" w:rsidR="00E3782C" w:rsidRPr="000F4134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  <w:lang w:val="pt-BR"/>
        </w:rPr>
      </w:pPr>
      <w:r w:rsidRPr="005F70B0">
        <w:rPr>
          <w:i/>
          <w:sz w:val="24"/>
          <w:szCs w:val="24"/>
          <w:vertAlign w:val="superscript"/>
        </w:rPr>
        <w:t>1</w:t>
      </w:r>
      <w:r w:rsidR="000F4134" w:rsidRPr="000F4134">
        <w:rPr>
          <w:i/>
          <w:sz w:val="24"/>
          <w:szCs w:val="24"/>
          <w:lang w:val="pt-BR"/>
        </w:rPr>
        <w:t>Universidade Estadual de Minas Gerais – UEMG, Frutal/MG</w:t>
      </w:r>
      <w:r w:rsidRPr="005F70B0">
        <w:rPr>
          <w:i/>
          <w:sz w:val="24"/>
          <w:szCs w:val="24"/>
        </w:rPr>
        <w:t>, e-mail:</w:t>
      </w:r>
      <w:r w:rsidR="000F4134">
        <w:rPr>
          <w:i/>
          <w:spacing w:val="-4"/>
          <w:sz w:val="24"/>
          <w:szCs w:val="24"/>
        </w:rPr>
        <w:t xml:space="preserve"> </w:t>
      </w:r>
      <w:r w:rsidR="000F4134" w:rsidRPr="000F4134">
        <w:rPr>
          <w:i/>
          <w:sz w:val="24"/>
          <w:szCs w:val="24"/>
        </w:rPr>
        <w:t>paulabmaioli@gmail.com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2</w:t>
      </w:r>
      <w:r w:rsidR="000F4134" w:rsidRPr="000F4134">
        <w:rPr>
          <w:i/>
          <w:sz w:val="24"/>
          <w:szCs w:val="24"/>
          <w:lang w:val="pt-BR"/>
        </w:rPr>
        <w:t>Universidade Estadual de Minas Gerais – UEMG, Frutal/MG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r w:rsidR="000F4134" w:rsidRPr="000F4134">
        <w:rPr>
          <w:i/>
          <w:sz w:val="24"/>
          <w:szCs w:val="24"/>
          <w:lang w:val="pt-BR"/>
        </w:rPr>
        <w:t>lucasguedesfrutal2015@gmail.com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3</w:t>
      </w:r>
      <w:r w:rsidR="000F4134" w:rsidRPr="000F4134">
        <w:rPr>
          <w:i/>
          <w:sz w:val="24"/>
          <w:szCs w:val="24"/>
          <w:lang w:val="pt-BR"/>
        </w:rPr>
        <w:t>Universidade Estadual de Minas Gerais – UEMG, Frutal/MG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r w:rsidR="000F4134" w:rsidRPr="000F4134">
        <w:rPr>
          <w:i/>
          <w:spacing w:val="-2"/>
          <w:sz w:val="24"/>
          <w:szCs w:val="24"/>
          <w:lang w:val="pt-BR"/>
        </w:rPr>
        <w:t>andre.serotini@uemg.br</w:t>
      </w:r>
      <w:r w:rsidR="000F4134">
        <w:rPr>
          <w:i/>
          <w:spacing w:val="-2"/>
          <w:sz w:val="24"/>
          <w:szCs w:val="24"/>
          <w:lang w:val="pt-BR"/>
        </w:rPr>
        <w:t>.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79BF57A" w14:textId="77777777" w:rsidR="00E24032" w:rsidRDefault="00E3782C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5F70B0">
        <w:rPr>
          <w:b/>
          <w:bCs/>
          <w:i/>
          <w:spacing w:val="-2"/>
          <w:sz w:val="24"/>
          <w:szCs w:val="24"/>
        </w:rPr>
        <w:t>Grupo</w:t>
      </w:r>
      <w:r w:rsidR="00E24032">
        <w:rPr>
          <w:b/>
          <w:bCs/>
          <w:i/>
          <w:spacing w:val="-2"/>
          <w:sz w:val="24"/>
          <w:szCs w:val="24"/>
        </w:rPr>
        <w:t xml:space="preserve"> </w:t>
      </w:r>
      <w:r w:rsidR="00E24032" w:rsidRPr="00E24032">
        <w:rPr>
          <w:b/>
          <w:bCs/>
          <w:i/>
          <w:spacing w:val="-2"/>
          <w:sz w:val="24"/>
          <w:szCs w:val="24"/>
        </w:rPr>
        <w:t>4</w:t>
      </w:r>
    </w:p>
    <w:p w14:paraId="125F6DD1" w14:textId="56C9D277" w:rsidR="009C4B75" w:rsidRPr="005F70B0" w:rsidRDefault="00E24032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E24032">
        <w:rPr>
          <w:b/>
          <w:bCs/>
          <w:i/>
          <w:spacing w:val="-2"/>
          <w:sz w:val="24"/>
          <w:szCs w:val="24"/>
        </w:rPr>
        <w:t>Gestão Ambiental e Politícas Ambientais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49156679" w14:textId="77777777" w:rsidR="000F4134" w:rsidRPr="000F4134" w:rsidRDefault="000F4134" w:rsidP="000F4134">
      <w:pPr>
        <w:ind w:right="210"/>
        <w:jc w:val="both"/>
        <w:rPr>
          <w:iCs/>
          <w:sz w:val="24"/>
          <w:szCs w:val="24"/>
          <w:lang w:val="pt-BR"/>
        </w:rPr>
      </w:pPr>
      <w:r w:rsidRPr="000F4134">
        <w:rPr>
          <w:iCs/>
          <w:sz w:val="24"/>
          <w:szCs w:val="24"/>
          <w:lang w:val="pt-BR"/>
        </w:rPr>
        <w:t>Este trabalho analisa a construção política e jurídica da eletromobilidade como instrumento da transição energética global, com foco na descarbonização do setor de transportes. Parte-se da constatação de que a matriz energética mundial permanece fortemente dependente de combustíveis fósseis e de que o setor de transportes figura entre os principais emissores de dióxido de carbono, o que o tornou alvo prioritário de políticas públicas orientadas pelo Acordo de Paris (2015). O estudo examina como Estados nacionais têm se valido da extrafiscalidade tributária, mediante isenções e reduções de impostos, para promover a substituição da frota veicular movida a combustíveis fósseis por veículos elétricos. Por meio de análise comparada, são investigadas as experiências do Brasil (Programa Mover, IPI e IPVA), da Noruega, da China e dos Estados Unidos (</w:t>
      </w:r>
      <w:r w:rsidRPr="000F4134">
        <w:rPr>
          <w:i/>
          <w:sz w:val="24"/>
          <w:szCs w:val="24"/>
          <w:lang w:val="pt-BR"/>
        </w:rPr>
        <w:t>Inflation Reduction Act</w:t>
      </w:r>
      <w:r w:rsidRPr="000F4134">
        <w:rPr>
          <w:iCs/>
          <w:sz w:val="24"/>
          <w:szCs w:val="24"/>
          <w:lang w:val="pt-BR"/>
        </w:rPr>
        <w:t>). Conclui-se que, embora a tributação extrafiscal seja um elemento comum às políticas analisadas, as justificativas que fundamentam sua adoção variam significativamente, associando-se não apenas à mitigação climática, mas também à segurança energética, à reindustrialização e à competitividade internacional.</w:t>
      </w:r>
    </w:p>
    <w:p w14:paraId="29E94CAF" w14:textId="7DCD53D1" w:rsidR="00E3782C" w:rsidRPr="000F4134" w:rsidRDefault="00E3782C" w:rsidP="00E3782C">
      <w:pPr>
        <w:ind w:right="209"/>
        <w:jc w:val="both"/>
        <w:rPr>
          <w:iCs/>
          <w:sz w:val="24"/>
          <w:szCs w:val="24"/>
          <w:lang w:val="pt-BR"/>
        </w:rPr>
      </w:pPr>
    </w:p>
    <w:p w14:paraId="0F7CD38A" w14:textId="035F61B2" w:rsidR="009C4B75" w:rsidRDefault="00E3782C" w:rsidP="006B4BCA">
      <w:pPr>
        <w:widowControl/>
        <w:suppressAutoHyphens/>
        <w:autoSpaceDE/>
        <w:autoSpaceDN/>
        <w:jc w:val="both"/>
        <w:rPr>
          <w:rFonts w:eastAsia="Calibri"/>
          <w:sz w:val="24"/>
          <w:szCs w:val="24"/>
        </w:rPr>
      </w:pPr>
      <w:r w:rsidRPr="005F70B0">
        <w:rPr>
          <w:b/>
          <w:sz w:val="24"/>
          <w:szCs w:val="24"/>
        </w:rPr>
        <w:t>Palavras-chave:</w:t>
      </w:r>
      <w:r w:rsidR="006B4BCA">
        <w:rPr>
          <w:b/>
          <w:spacing w:val="-2"/>
          <w:sz w:val="24"/>
          <w:szCs w:val="24"/>
        </w:rPr>
        <w:t xml:space="preserve"> </w:t>
      </w:r>
      <w:r w:rsidR="006B4BCA" w:rsidRPr="009E1855">
        <w:rPr>
          <w:rFonts w:eastAsia="Calibri"/>
          <w:sz w:val="24"/>
          <w:szCs w:val="24"/>
        </w:rPr>
        <w:t>Extrafiscalidade</w:t>
      </w:r>
      <w:r w:rsidR="006B4BCA" w:rsidRPr="006507A7">
        <w:rPr>
          <w:rFonts w:eastAsia="Calibri"/>
          <w:sz w:val="24"/>
          <w:szCs w:val="24"/>
          <w:lang w:val="pt-BR"/>
        </w:rPr>
        <w:t>.</w:t>
      </w:r>
      <w:r w:rsidR="006B4BCA">
        <w:rPr>
          <w:rFonts w:eastAsia="Calibri"/>
          <w:sz w:val="24"/>
          <w:szCs w:val="24"/>
          <w:lang w:val="pt-BR"/>
        </w:rPr>
        <w:t xml:space="preserve"> </w:t>
      </w:r>
      <w:r w:rsidR="006B4BCA" w:rsidRPr="006507A7">
        <w:rPr>
          <w:rFonts w:eastAsia="Calibri"/>
          <w:sz w:val="24"/>
          <w:szCs w:val="24"/>
        </w:rPr>
        <w:t>Governança climática</w:t>
      </w:r>
      <w:r w:rsidR="006B4BCA">
        <w:rPr>
          <w:rFonts w:eastAsia="Calibri"/>
          <w:sz w:val="24"/>
          <w:szCs w:val="24"/>
        </w:rPr>
        <w:t xml:space="preserve">. </w:t>
      </w:r>
      <w:r w:rsidR="006B4BCA" w:rsidRPr="006507A7">
        <w:rPr>
          <w:rFonts w:eastAsia="Calibri"/>
          <w:sz w:val="24"/>
          <w:szCs w:val="24"/>
        </w:rPr>
        <w:t>Mudanças climáticas</w:t>
      </w:r>
      <w:r w:rsidR="006B4BCA">
        <w:rPr>
          <w:rFonts w:eastAsia="Calibri"/>
          <w:sz w:val="24"/>
          <w:szCs w:val="24"/>
        </w:rPr>
        <w:t xml:space="preserve">. </w:t>
      </w:r>
      <w:r w:rsidR="006B4BCA" w:rsidRPr="006507A7">
        <w:rPr>
          <w:rFonts w:eastAsia="Calibri"/>
          <w:sz w:val="24"/>
          <w:szCs w:val="24"/>
        </w:rPr>
        <w:t>Sustentabilidade</w:t>
      </w:r>
      <w:r w:rsidR="006B4BCA">
        <w:rPr>
          <w:rFonts w:eastAsia="Calibri"/>
          <w:sz w:val="24"/>
          <w:szCs w:val="24"/>
        </w:rPr>
        <w:t xml:space="preserve">. </w:t>
      </w:r>
      <w:r w:rsidR="006B4BCA" w:rsidRPr="006507A7">
        <w:rPr>
          <w:rFonts w:eastAsia="Calibri"/>
          <w:sz w:val="24"/>
          <w:szCs w:val="24"/>
        </w:rPr>
        <w:t>Tributação verde</w:t>
      </w:r>
      <w:r w:rsidR="006B4BCA">
        <w:rPr>
          <w:rFonts w:eastAsia="Calibri"/>
          <w:sz w:val="24"/>
          <w:szCs w:val="24"/>
        </w:rPr>
        <w:t>.</w:t>
      </w:r>
    </w:p>
    <w:p w14:paraId="7995640F" w14:textId="77777777" w:rsidR="006B4BCA" w:rsidRDefault="006B4BCA" w:rsidP="006B4BCA">
      <w:pPr>
        <w:widowControl/>
        <w:suppressAutoHyphens/>
        <w:autoSpaceDE/>
        <w:autoSpaceDN/>
        <w:jc w:val="both"/>
        <w:rPr>
          <w:rFonts w:eastAsia="Calibri"/>
          <w:sz w:val="24"/>
          <w:szCs w:val="24"/>
        </w:rPr>
      </w:pPr>
    </w:p>
    <w:p w14:paraId="0CDC2571" w14:textId="77777777" w:rsidR="006B4BCA" w:rsidRPr="006B4BCA" w:rsidRDefault="006B4BCA" w:rsidP="006B4BCA">
      <w:pPr>
        <w:widowControl/>
        <w:suppressAutoHyphens/>
        <w:autoSpaceDE/>
        <w:autoSpaceDN/>
        <w:jc w:val="both"/>
        <w:rPr>
          <w:rFonts w:eastAsia="Calibri"/>
          <w:sz w:val="24"/>
          <w:szCs w:val="24"/>
          <w:lang w:val="pt-BR"/>
        </w:rPr>
      </w:pPr>
    </w:p>
    <w:p w14:paraId="5878A4D9" w14:textId="36E1CCDC" w:rsidR="00E3782C" w:rsidRPr="005F70B0" w:rsidRDefault="00E3782C" w:rsidP="006B4BCA">
      <w:pPr>
        <w:spacing w:line="360" w:lineRule="auto"/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2933B644" w14:textId="77777777" w:rsidR="006B4BCA" w:rsidRPr="006B4BCA" w:rsidRDefault="006B4BCA" w:rsidP="006B4BCA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6B4BCA">
        <w:rPr>
          <w:sz w:val="24"/>
          <w:szCs w:val="24"/>
        </w:rPr>
        <w:t>A matriz energética mundial consolidou-se, desde a Revolução Industrial, sobre bases fósseis, primeiro com o carvão mineral e, posteriormente, com o petróleo, associando desenvolvimento econômico e consumo de combustíveis fósseis de maneira praticamente indissociável. Segundo dados da Agência Internacional de Energia (IEA), o petróleo ainda respondia por 30,2% da matriz energética mundial em 2023, seguido do carvão mineral, com 27,8%, evidenciando que, a despeito da expansão das fontes renováveis, a dependência de combustíveis não renováveis permanece elevada em escala global.</w:t>
      </w:r>
    </w:p>
    <w:p w14:paraId="3FE41E47" w14:textId="77777777" w:rsidR="006B4BCA" w:rsidRPr="006B4BCA" w:rsidRDefault="006B4BCA" w:rsidP="006B4BCA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6B4BCA">
        <w:rPr>
          <w:sz w:val="24"/>
          <w:szCs w:val="24"/>
        </w:rPr>
        <w:t xml:space="preserve">Nesse cenário, a intensificação dos impactos das ações antrópicas sobre o aquecimento global deslocou o debate energético para além do campo estritamente ambiental, inserindo-o </w:t>
      </w:r>
      <w:r w:rsidRPr="006B4BCA">
        <w:rPr>
          <w:sz w:val="24"/>
          <w:szCs w:val="24"/>
        </w:rPr>
        <w:lastRenderedPageBreak/>
        <w:t>nas agendas econômica, política e jurídica dos Estados, sobretudo a partir do Acordo de Paris de 2015. O setor de transportes assumiu papel de destaque nesse processo: conforme estimativas da IEA, ele é responsável por aproximadamente um quarto das emissões globais de dióxido de carbono associadas ao consumo de energia, e, no Brasil, representa cerca de 33,2% do consumo energético nacional, segundo o Balanço Energético Nacional (BEN 2025), superando inclusive o setor industrial.</w:t>
      </w:r>
    </w:p>
    <w:p w14:paraId="16FDABA8" w14:textId="2D6A5FE3" w:rsidR="009C4B75" w:rsidRDefault="006B4BCA" w:rsidP="006B4BCA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6B4BCA">
        <w:rPr>
          <w:sz w:val="24"/>
          <w:szCs w:val="24"/>
        </w:rPr>
        <w:t>Diante desse quadro, a eletromobilidade consolidou-se como estratégia central de descarbonização do setor de transportes, sendo compreendida não apenas como resposta à crise climática, mas também como instrumento de redução da dependência geopolítica do petróleo, de estímulo à inovação tecnológica e de fortalecimento de cadeias produtivas estratégicas. O presente trabalho tem como objetivo analisar a construção política e jurídica da eletromobilidade como instrumento da transição energética, com ênfase no papel dos incentivos fiscais na indução da substituição da frota veicular convencional por veículos elétricos, a partir de uma perspectiva comparada entre Brasil, Noruega, China e Estados Unidos.</w:t>
      </w:r>
    </w:p>
    <w:p w14:paraId="0008B28A" w14:textId="77777777" w:rsidR="006B4BCA" w:rsidRPr="005F70B0" w:rsidRDefault="006B4BCA" w:rsidP="006B4BCA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08760B7" w14:textId="653A6907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52C4026F" w14:textId="418FF5D7" w:rsidR="006B4BCA" w:rsidRDefault="006B4BCA" w:rsidP="006B4BCA">
      <w:pPr>
        <w:spacing w:line="360" w:lineRule="auto"/>
        <w:ind w:firstLine="709"/>
        <w:jc w:val="both"/>
      </w:pPr>
      <w:r>
        <w:rPr>
          <w:sz w:val="24"/>
          <w:szCs w:val="24"/>
        </w:rPr>
        <w:t xml:space="preserve">O estudo adota abordagem qualitativa e de caráter jurídico-descritivo, valendo-se do método dedutivo para relacionar o contexto global da transição energética às políticas públicas nacionais voltadas à eletromobilidade. A pesquisa é do tipo bibliográfica e documental, fundamentada na análise de relatórios técnicos de organismos internacionais e nacionais, notadamente a Agência Internacional de Energia (IEA) e a Empresa de Pesquisa Energética (EPE), por meio do Balanço Energético Nacional (BEN 2025), bem como na legislação pertinente, em especial a Lei nº 14.902/2024, que institui o Programa Mobilidade Verde e Inovação (Programa Mover), e o </w:t>
      </w:r>
      <w:r w:rsidRPr="006B4BCA">
        <w:rPr>
          <w:i/>
          <w:iCs/>
          <w:sz w:val="24"/>
          <w:szCs w:val="24"/>
        </w:rPr>
        <w:t>Inflation Reduction Act</w:t>
      </w:r>
      <w:r>
        <w:rPr>
          <w:sz w:val="24"/>
          <w:szCs w:val="24"/>
        </w:rPr>
        <w:t xml:space="preserve"> (IRA) norte-americano de 2022.</w:t>
      </w:r>
    </w:p>
    <w:p w14:paraId="449E3916" w14:textId="77777777" w:rsidR="006B4BCA" w:rsidRDefault="006B4BCA" w:rsidP="006B4BCA">
      <w:pPr>
        <w:spacing w:line="360" w:lineRule="auto"/>
        <w:ind w:firstLine="709"/>
        <w:jc w:val="both"/>
      </w:pPr>
      <w:r>
        <w:rPr>
          <w:sz w:val="24"/>
          <w:szCs w:val="24"/>
        </w:rPr>
        <w:t>Complementarmente, recorreu-se à revisão da literatura especializada em direito ambiental, direito tributário e política energética, com destaque para as contribuições de Yergin (2019; 2023), Tolmasquim (2007), Goldemberg e Yergin (2023), Barbosa e Nóbrega (2025) e Costa (2019). A técnica de análise comparada foi empregada para confrontar os modelos de incentivo fiscal adotados pelo Brasil, pela Noruega, pela China e pelos Estados Unidos, permitindo identificar convergências e divergências quanto aos fundamentos jurídicos e às finalidades das políticas de eletromobilidade em cada jurisdição.</w:t>
      </w:r>
    </w:p>
    <w:p w14:paraId="6AB1C1F9" w14:textId="77777777" w:rsidR="00E3782C" w:rsidRPr="005F70B0" w:rsidRDefault="00E3782C" w:rsidP="00E3782C">
      <w:pPr>
        <w:pStyle w:val="Corpodetexto"/>
        <w:spacing w:before="1" w:line="360" w:lineRule="auto"/>
        <w:rPr>
          <w:sz w:val="24"/>
          <w:szCs w:val="24"/>
        </w:rPr>
      </w:pPr>
    </w:p>
    <w:p w14:paraId="71573541" w14:textId="4E79BD08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408833BC" w14:textId="77777777" w:rsidR="006B4BCA" w:rsidRPr="006B4BCA" w:rsidRDefault="006B4BCA" w:rsidP="006B4BCA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6B4BCA">
        <w:rPr>
          <w:sz w:val="24"/>
          <w:szCs w:val="24"/>
        </w:rPr>
        <w:lastRenderedPageBreak/>
        <w:t>O Acordo de Paris estabeleceu compromissos voluntários de descarbonização que consolidaram o que se pode denominar governança climática global, compreendida como o conjunto de mecanismos, instituições, normas e compromissos internacionais destinados ao enfrentamento das mudanças climáticas em escala mundial. Nesse arranjo, o setor de transportes assumiu centralidade em razão de sua elevada contribuição às emissões de dióxido de carbono, o que justifica sua priorização nas políticas públicas de descarbonização, tanto em âmbito internacional quanto nacional.</w:t>
      </w:r>
    </w:p>
    <w:p w14:paraId="443594A1" w14:textId="77777777" w:rsidR="006B4BCA" w:rsidRPr="006B4BCA" w:rsidRDefault="006B4BCA" w:rsidP="006B4BCA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6B4BCA">
        <w:rPr>
          <w:sz w:val="24"/>
          <w:szCs w:val="24"/>
        </w:rPr>
        <w:t>A pesquisa identificou que a eletrificação do transporte não se limita a uma resposta ambiental, mas integra estratégias mais amplas de desenvolvimento econômico, segurança energética e competitividade industrial, na medida em que reduz a dependência geopolítica do petróleo e estimula a inovação tecnológica e o fortalecimento de cadeias produtivas nacionais.</w:t>
      </w:r>
    </w:p>
    <w:p w14:paraId="7CB1916B" w14:textId="77777777" w:rsidR="006B4BCA" w:rsidRPr="006B4BCA" w:rsidRDefault="006B4BCA" w:rsidP="006B4BCA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6B4BCA">
        <w:rPr>
          <w:sz w:val="24"/>
          <w:szCs w:val="24"/>
        </w:rPr>
        <w:t>A análise evidenciou que a extrafiscalidade tributária constitui o principal instrumento jurídico empregado pelos Estados para promover a eletromobilidade, ao utilizar a tributação não apenas com finalidade arrecadatória, mas como mecanismo de indução de comportamentos socialmente desejáveis. No Brasil, o Programa Mover (Lei nº 14.902/2024) substituiu o Programa Rota 2030 e articula descarbonização, inovação tecnológica e competitividade industrial, operacionalizando-se principalmente por meio da isenção do IPI para veículos elétricos fabricados nacionalmente até 31 de dezembro de 2026, condicionada à homologação do Inmetro e a um mínimo de 40% de conteúdo local. Em âmbito estadual, verificou-se heterogeneidade nas políticas de IPVA, com Estados como Rio Grande do Sul, Pernambuco, Paraíba, Rio Grande do Norte e o Distrito Federal adotando isenção integral, enquanto Rio de Janeiro, Bahia e Minas Gerais optaram por modelos de redução ou condicionamento do benefício.</w:t>
      </w:r>
    </w:p>
    <w:p w14:paraId="4324A98F" w14:textId="77777777" w:rsidR="006B4BCA" w:rsidRPr="006B4BCA" w:rsidRDefault="006B4BCA" w:rsidP="006B4BCA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6B4BCA">
        <w:rPr>
          <w:sz w:val="24"/>
          <w:szCs w:val="24"/>
        </w:rPr>
        <w:t>No plano internacional, a Noruega destacou-se como o país de maior penetração de veículos elétricos, tendo atingido 45% das vendas de veículos já em 2019, resultado atribuído a um extenso pacote de incentivos que combina isenção de impostos de compra e de circulação, benefícios em pedágios e estacionamentos, acesso a faixas de ônibus e tributação elevada sobre veículos convencionais, configurando uma lógica de indução por incentivo e desincentivo simultâneos ("</w:t>
      </w:r>
      <w:r w:rsidRPr="006B4BCA">
        <w:rPr>
          <w:i/>
          <w:iCs/>
          <w:sz w:val="24"/>
          <w:szCs w:val="24"/>
        </w:rPr>
        <w:t>carrot and stick</w:t>
      </w:r>
      <w:r w:rsidRPr="006B4BCA">
        <w:rPr>
          <w:sz w:val="24"/>
          <w:szCs w:val="24"/>
        </w:rPr>
        <w:t xml:space="preserve">"). A China, por sua vez, associou o desenvolvimento da eletromobilidade a três objetivos estratégicos — redução da poluição atmosférica, segurança energética e competitividade industrial —, mantendo benefícios tributários relevantes voltados à cadeia produtiva mesmo após a extinção de subsídios diretos em 2022. Já os Estados Unidos, por meio do </w:t>
      </w:r>
      <w:r w:rsidRPr="006B4BCA">
        <w:rPr>
          <w:i/>
          <w:iCs/>
          <w:sz w:val="24"/>
          <w:szCs w:val="24"/>
        </w:rPr>
        <w:t>Inflation Reduction Act</w:t>
      </w:r>
      <w:r w:rsidRPr="006B4BCA">
        <w:rPr>
          <w:sz w:val="24"/>
          <w:szCs w:val="24"/>
        </w:rPr>
        <w:t xml:space="preserve"> de 2022, instituíram crédito fiscal de até US$ 7.500 por </w:t>
      </w:r>
      <w:r w:rsidRPr="006B4BCA">
        <w:rPr>
          <w:sz w:val="24"/>
          <w:szCs w:val="24"/>
        </w:rPr>
        <w:lastRenderedPageBreak/>
        <w:t>veículo elétrico, condicionado ao atendimento de requisitos de origem de minerais críticos e de componentes de bateria, associando a política climática a objetivos de reindustrialização e de reorganização de cadeias globais de suprimento.</w:t>
      </w:r>
    </w:p>
    <w:p w14:paraId="6B477840" w14:textId="6F51750C" w:rsidR="00243512" w:rsidRPr="005F70B0" w:rsidRDefault="006B4BCA" w:rsidP="006B4BCA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6B4BCA">
        <w:rPr>
          <w:sz w:val="24"/>
          <w:szCs w:val="24"/>
        </w:rPr>
        <w:t>A comparação entre as quatro jurisdições revela que, não obstante a utilização recorrente da tributação como instrumento de indução da mobilidade elétrica, as justificativas subjacentes a essas políticas variam conforme as prioridades estratégicas de cada Estado: enquanto alguns países priorizam a mitigação climática, outros associam os benefícios fiscais a metas de fortalecimento industrial, inovação tecnológica, segurança energética e reorganização de cadeias produtivas globais.</w:t>
      </w:r>
    </w:p>
    <w:p w14:paraId="021079D3" w14:textId="77777777" w:rsidR="00243512" w:rsidRPr="005F70B0" w:rsidRDefault="00243512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1C25DF7A" w14:textId="1399DA00" w:rsidR="00243512" w:rsidRPr="005F70B0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Conclusão ou Considerações Finais</w:t>
      </w:r>
    </w:p>
    <w:p w14:paraId="6AA21B32" w14:textId="77777777" w:rsidR="006B4BCA" w:rsidRPr="006B4BCA" w:rsidRDefault="006B4BCA" w:rsidP="006B4BCA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6B4BCA">
        <w:rPr>
          <w:sz w:val="24"/>
          <w:szCs w:val="24"/>
        </w:rPr>
        <w:t>A pesquisa demonstrou que a eletromobilidade se consolidou como instrumento central da transição energética contemporânea, particularmente voltado à descarbonização do setor de transportes, historicamente responsável por parcela significativa das emissões globais de dióxido de carbono. Sua construção como política pública resulta da convergência entre compromissos climáticos internacionais, notadamente o Acordo de Paris, e interesses econômicos e geopolíticos relacionados à segurança energética e à competitividade industrial dos Estados.</w:t>
      </w:r>
    </w:p>
    <w:p w14:paraId="6E7340C5" w14:textId="67FA432D" w:rsidR="00624629" w:rsidRPr="006B4BCA" w:rsidRDefault="006B4BCA" w:rsidP="006B4BCA">
      <w:pPr>
        <w:pStyle w:val="Corpodetexto"/>
        <w:spacing w:line="360" w:lineRule="auto"/>
        <w:ind w:firstLine="709"/>
        <w:jc w:val="both"/>
        <w:rPr>
          <w:sz w:val="24"/>
          <w:szCs w:val="24"/>
          <w:lang w:val="pt-BR"/>
        </w:rPr>
      </w:pPr>
      <w:r w:rsidRPr="006B4BCA">
        <w:rPr>
          <w:sz w:val="24"/>
          <w:szCs w:val="24"/>
        </w:rPr>
        <w:t>Constatou-se que os incentivos fiscais, fundamentados na extrafiscalidade tributária, constituem o principal mecanismo jurídico de indução da eletromobilidade nas experiências analisadas — Brasil, Noruega, China e Estados Unidos —, ainda que as motivações que sustentam sua adoção sejam heterogêneas. Essa diversidade de fundamentos evidencia que a construção jurídico-política da mobilidade elétrica não se limita a uma resposta técnica à crise climática, mas reflete escolhas estratégicas de cada Estado quanto ao seu modelo de desenvolvimento energético, industrial e tecnológico. Conclui-se, assim, que a consolidação da eletromobilidade como política pública depende da articulação entre instrumentos tributários, marcos regulatórios e objetivos de desenvolvimento nacional, configurando-a como elemento estruturante — e não meramente acessório — da transição energética global.</w:t>
      </w:r>
    </w:p>
    <w:p w14:paraId="6B9247C2" w14:textId="77777777" w:rsidR="006B4BCA" w:rsidRDefault="006B4BCA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</w:p>
    <w:p w14:paraId="58B32154" w14:textId="3A51B4CF" w:rsidR="00624629" w:rsidRPr="005F70B0" w:rsidRDefault="00624629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Agradecimentos</w:t>
      </w:r>
    </w:p>
    <w:p w14:paraId="3A046AE1" w14:textId="16BB9F14" w:rsidR="000F4134" w:rsidRPr="00947F74" w:rsidRDefault="00624629" w:rsidP="000F4134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4"/>
        </w:rPr>
      </w:pPr>
      <w:r w:rsidRPr="005F70B0">
        <w:rPr>
          <w:sz w:val="24"/>
          <w:szCs w:val="24"/>
        </w:rPr>
        <w:tab/>
      </w:r>
      <w:r w:rsidR="000F4134">
        <w:rPr>
          <w:rFonts w:eastAsia="Calibri"/>
          <w:sz w:val="24"/>
        </w:rPr>
        <w:t>Os autores</w:t>
      </w:r>
      <w:r w:rsidR="000F4134" w:rsidRPr="00947F74">
        <w:rPr>
          <w:rFonts w:eastAsia="Calibri"/>
          <w:sz w:val="24"/>
        </w:rPr>
        <w:t xml:space="preserve"> agradece</w:t>
      </w:r>
      <w:r w:rsidR="000F4134">
        <w:rPr>
          <w:rFonts w:eastAsia="Calibri"/>
          <w:sz w:val="24"/>
        </w:rPr>
        <w:t>m</w:t>
      </w:r>
      <w:r w:rsidR="000F4134" w:rsidRPr="00947F74">
        <w:rPr>
          <w:rFonts w:eastAsia="Calibri"/>
          <w:sz w:val="24"/>
        </w:rPr>
        <w:t xml:space="preserve"> à Coordenação de Aperfeiçoamento de Pessoal de Nível Superior (CAPES) pela concessão da bolsa de estudos que viabiliza o desenvolvimento desta pesquisa. </w:t>
      </w:r>
      <w:r w:rsidR="000F4134" w:rsidRPr="00947F74">
        <w:rPr>
          <w:rFonts w:eastAsia="Calibri"/>
          <w:sz w:val="24"/>
        </w:rPr>
        <w:lastRenderedPageBreak/>
        <w:t>Agradece, igualmente, ao Programa de Apoio à Pós-Graduação (PROAP/CAPES) pelo suporte institucional e financeiro oferecido ao Programa de Pós-Graduação, fundamental para o fortalecimento das atividades de pesquisa e produção científica.</w:t>
      </w:r>
    </w:p>
    <w:p w14:paraId="29AC6C40" w14:textId="5685178C" w:rsidR="009C4B75" w:rsidRDefault="009C4B75" w:rsidP="009C4B75">
      <w:pPr>
        <w:pStyle w:val="Corpodetexto"/>
        <w:spacing w:line="360" w:lineRule="auto"/>
        <w:jc w:val="both"/>
        <w:rPr>
          <w:sz w:val="24"/>
          <w:szCs w:val="24"/>
        </w:rPr>
      </w:pPr>
    </w:p>
    <w:p w14:paraId="46C53EB6" w14:textId="178C0EC9" w:rsidR="00624629" w:rsidRPr="005F70B0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27C62D12" w14:textId="77777777" w:rsidR="000F4134" w:rsidRPr="00F33D96" w:rsidRDefault="000F4134" w:rsidP="000F4134">
      <w:pPr>
        <w:rPr>
          <w:sz w:val="24"/>
          <w:szCs w:val="24"/>
        </w:rPr>
      </w:pPr>
      <w:r w:rsidRPr="00F33D96">
        <w:rPr>
          <w:sz w:val="24"/>
          <w:szCs w:val="24"/>
        </w:rPr>
        <w:t>ABREU, Carlos. Isenção de IPI para Carro Elétrico:</w:t>
      </w:r>
      <w:r w:rsidRPr="00F33D96">
        <w:rPr>
          <w:b/>
          <w:bCs/>
          <w:sz w:val="24"/>
          <w:szCs w:val="24"/>
        </w:rPr>
        <w:t xml:space="preserve"> Como Fica em 2026</w:t>
      </w:r>
      <w:r w:rsidRPr="00F33D96">
        <w:rPr>
          <w:sz w:val="24"/>
          <w:szCs w:val="24"/>
        </w:rPr>
        <w:t>. Disponível em: https://consultadeplaca.net/blog/isencao-ipi-carro-eletrico-nacional-2026. Acesso em: 02 jul 2027.</w:t>
      </w:r>
    </w:p>
    <w:p w14:paraId="78BBC4DB" w14:textId="77777777" w:rsidR="000F4134" w:rsidRPr="00F33D96" w:rsidRDefault="000F4134" w:rsidP="000F4134">
      <w:pPr>
        <w:rPr>
          <w:sz w:val="24"/>
          <w:szCs w:val="24"/>
        </w:rPr>
      </w:pPr>
    </w:p>
    <w:p w14:paraId="567C0409" w14:textId="77777777" w:rsidR="000F4134" w:rsidRPr="00F33D96" w:rsidRDefault="000F4134" w:rsidP="000F4134">
      <w:pPr>
        <w:rPr>
          <w:color w:val="000000" w:themeColor="text1"/>
          <w:sz w:val="24"/>
          <w:szCs w:val="24"/>
        </w:rPr>
      </w:pPr>
      <w:r w:rsidRPr="00F33D96">
        <w:rPr>
          <w:b/>
          <w:bCs/>
          <w:color w:val="000000" w:themeColor="text1"/>
          <w:sz w:val="24"/>
          <w:szCs w:val="24"/>
        </w:rPr>
        <w:t>BRASIL.</w:t>
      </w:r>
      <w:r w:rsidRPr="00F33D96">
        <w:rPr>
          <w:color w:val="000000" w:themeColor="text1"/>
          <w:sz w:val="24"/>
          <w:szCs w:val="24"/>
        </w:rPr>
        <w:t xml:space="preserve"> Decreto nº 9.203, de 22 de novembro de 2017. Dispõe sobre a política de governança da administração pública federal direta, autárquica e fundacional. Brasília, DF: Presidência da República, 2017. Disponível em:</w:t>
      </w:r>
      <w:r w:rsidRPr="00F33D96">
        <w:rPr>
          <w:sz w:val="24"/>
          <w:szCs w:val="24"/>
        </w:rPr>
        <w:t xml:space="preserve"> </w:t>
      </w:r>
      <w:r w:rsidRPr="00F33D96">
        <w:rPr>
          <w:color w:val="000000" w:themeColor="text1"/>
          <w:sz w:val="24"/>
          <w:szCs w:val="24"/>
        </w:rPr>
        <w:t>https://www.planalto.gov.br/ccivil_03/_ato2015-2018/2017/decreto/d9203.htm. Acesso em: 30 jun 2026.</w:t>
      </w:r>
    </w:p>
    <w:p w14:paraId="6EB3BE7C" w14:textId="77777777" w:rsidR="000F4134" w:rsidRPr="00F33D96" w:rsidRDefault="000F4134" w:rsidP="000F4134">
      <w:pPr>
        <w:rPr>
          <w:color w:val="000000" w:themeColor="text1"/>
          <w:sz w:val="24"/>
          <w:szCs w:val="24"/>
        </w:rPr>
      </w:pPr>
    </w:p>
    <w:p w14:paraId="009F8680" w14:textId="77777777" w:rsidR="000F4134" w:rsidRPr="00F33D96" w:rsidRDefault="000F4134" w:rsidP="000F4134">
      <w:pPr>
        <w:rPr>
          <w:color w:val="000000" w:themeColor="text1"/>
          <w:sz w:val="24"/>
          <w:szCs w:val="24"/>
        </w:rPr>
      </w:pPr>
      <w:r w:rsidRPr="00F33D96">
        <w:rPr>
          <w:b/>
          <w:bCs/>
          <w:color w:val="000000" w:themeColor="text1"/>
          <w:sz w:val="24"/>
          <w:szCs w:val="24"/>
        </w:rPr>
        <w:t>BRASIL</w:t>
      </w:r>
      <w:r w:rsidRPr="00F33D96">
        <w:rPr>
          <w:color w:val="000000" w:themeColor="text1"/>
          <w:sz w:val="24"/>
          <w:szCs w:val="24"/>
        </w:rPr>
        <w:t xml:space="preserve">. </w:t>
      </w:r>
      <w:hyperlink r:id="rId7" w:history="1">
        <w:r w:rsidRPr="00F33D96">
          <w:rPr>
            <w:rStyle w:val="Hyperlink"/>
            <w:color w:val="000000" w:themeColor="text1"/>
            <w:sz w:val="24"/>
            <w:szCs w:val="24"/>
          </w:rPr>
          <w:t>Lei Nº 14.902, de 27 de junho De 2024</w:t>
        </w:r>
      </w:hyperlink>
      <w:r w:rsidRPr="00F33D96">
        <w:rPr>
          <w:color w:val="000000" w:themeColor="text1"/>
          <w:sz w:val="24"/>
          <w:szCs w:val="24"/>
        </w:rPr>
        <w:t>. Institui o Programa Mobilidade Verde e Inovação (Programa Mover); altera o Decreto-Lei nº 1.804, de 3 de setembro de 1980; e revoga dispositivos da Lei nº 13.755, de 10 de dezembro de 2018. Disponível em: https://www.planalto.gov.br/ccivil_03/_ato2023-2026/2024/lei/l14902.htm. Acesso em: 02 jul 2026.</w:t>
      </w:r>
    </w:p>
    <w:p w14:paraId="02F77BE6" w14:textId="77777777" w:rsidR="000F4134" w:rsidRPr="00F33D96" w:rsidRDefault="000F4134" w:rsidP="000F4134">
      <w:pPr>
        <w:rPr>
          <w:color w:val="000000" w:themeColor="text1"/>
          <w:sz w:val="24"/>
          <w:szCs w:val="24"/>
        </w:rPr>
      </w:pPr>
    </w:p>
    <w:p w14:paraId="6B58DE26" w14:textId="77777777" w:rsidR="000F4134" w:rsidRPr="00F33D96" w:rsidRDefault="000F4134" w:rsidP="000F4134">
      <w:pPr>
        <w:rPr>
          <w:color w:val="000000" w:themeColor="text1"/>
          <w:sz w:val="24"/>
          <w:szCs w:val="24"/>
        </w:rPr>
      </w:pPr>
      <w:r w:rsidRPr="00F33D96">
        <w:rPr>
          <w:color w:val="000000" w:themeColor="text1"/>
          <w:sz w:val="24"/>
          <w:szCs w:val="24"/>
        </w:rPr>
        <w:t xml:space="preserve">EMPRESA DE PESQUISA ENERGÉTICA (EPE). </w:t>
      </w:r>
      <w:r w:rsidRPr="00F33D96">
        <w:rPr>
          <w:b/>
          <w:bCs/>
          <w:color w:val="000000" w:themeColor="text1"/>
          <w:sz w:val="24"/>
          <w:szCs w:val="24"/>
        </w:rPr>
        <w:t xml:space="preserve">Relatório Síntese do Balanço Energético Nacional </w:t>
      </w:r>
      <w:r w:rsidRPr="00F33D96">
        <w:rPr>
          <w:color w:val="000000" w:themeColor="text1"/>
          <w:sz w:val="24"/>
          <w:szCs w:val="24"/>
        </w:rPr>
        <w:t>– BEN 2025: ano base 2024. Rio de Janeiro: EPE, 2025. Disponível em: https://www.epe.gov.br/pt/publicacoes-dados-abertos/publicacoes/balanco-energetico-nacional-2025. Acesso em: 30 jun 2026.</w:t>
      </w:r>
    </w:p>
    <w:p w14:paraId="4B4F5AF7" w14:textId="77777777" w:rsidR="000F4134" w:rsidRPr="00F33D96" w:rsidRDefault="000F4134" w:rsidP="000F4134">
      <w:pPr>
        <w:rPr>
          <w:sz w:val="24"/>
          <w:szCs w:val="24"/>
        </w:rPr>
      </w:pPr>
    </w:p>
    <w:p w14:paraId="3E618A53" w14:textId="77777777" w:rsidR="000F4134" w:rsidRPr="00F33D96" w:rsidRDefault="000F4134" w:rsidP="000F4134">
      <w:pPr>
        <w:rPr>
          <w:sz w:val="24"/>
          <w:szCs w:val="24"/>
        </w:rPr>
      </w:pPr>
      <w:r w:rsidRPr="00F33D96">
        <w:rPr>
          <w:sz w:val="24"/>
          <w:szCs w:val="24"/>
          <w:lang w:val="pt-BR"/>
        </w:rPr>
        <w:t xml:space="preserve">GOVERNMENT.NO. </w:t>
      </w:r>
      <w:r w:rsidRPr="00F33D96">
        <w:rPr>
          <w:b/>
          <w:bCs/>
          <w:sz w:val="24"/>
          <w:szCs w:val="24"/>
          <w:lang w:val="pt-BR"/>
        </w:rPr>
        <w:t>Normal is electric</w:t>
      </w:r>
      <w:r w:rsidRPr="00F33D96">
        <w:rPr>
          <w:sz w:val="24"/>
          <w:szCs w:val="24"/>
          <w:lang w:val="pt-BR"/>
        </w:rPr>
        <w:t>. Publicado em 15/01/2025. Disponível em: https://www.regjeringen.no/en/topics/transport-and-communications/veg/faktaartikler-vei-og-ts/norway-is-electric/id2677481/?utm_source=chatgpt.com&amp;__cf_chl_f_tk=TN6O9vKS4_n80g0eNXKXKQ6qpZPxrVg3WsVwsWXxDYE-1783101046-1.0.1.1-HllBtNBNSFEq.P82HO.MW_AwMoTTpBEjeuYxmubOHWM</w:t>
      </w:r>
      <w:r w:rsidRPr="00F33D96">
        <w:rPr>
          <w:sz w:val="24"/>
          <w:szCs w:val="24"/>
        </w:rPr>
        <w:t>. Acesso em: 03 jun 2026.</w:t>
      </w:r>
    </w:p>
    <w:p w14:paraId="3F046EC4" w14:textId="77777777" w:rsidR="000F4134" w:rsidRPr="00F33D96" w:rsidRDefault="000F4134" w:rsidP="000F4134">
      <w:pPr>
        <w:rPr>
          <w:sz w:val="24"/>
          <w:szCs w:val="24"/>
        </w:rPr>
      </w:pPr>
    </w:p>
    <w:p w14:paraId="281A1C29" w14:textId="77777777" w:rsidR="000F4134" w:rsidRPr="00F33D96" w:rsidRDefault="000F4134" w:rsidP="000F4134">
      <w:pPr>
        <w:tabs>
          <w:tab w:val="center" w:pos="4535"/>
        </w:tabs>
        <w:rPr>
          <w:rFonts w:eastAsiaTheme="minorHAnsi"/>
          <w:sz w:val="24"/>
          <w:szCs w:val="24"/>
        </w:rPr>
      </w:pPr>
      <w:r w:rsidRPr="00F33D96">
        <w:rPr>
          <w:sz w:val="24"/>
          <w:szCs w:val="24"/>
        </w:rPr>
        <w:t>IEA - Agência Internacional de Energia.</w:t>
      </w:r>
      <w:r w:rsidRPr="00F33D96">
        <w:rPr>
          <w:rFonts w:ascii="Arial" w:hAnsi="Arial" w:cs="Arial"/>
          <w:b/>
          <w:bCs/>
          <w:color w:val="000000"/>
          <w:spacing w:val="-5"/>
          <w:kern w:val="36"/>
          <w:sz w:val="24"/>
          <w:szCs w:val="24"/>
          <w:lang w:eastAsia="pt-BR"/>
        </w:rPr>
        <w:t xml:space="preserve"> </w:t>
      </w:r>
      <w:r w:rsidRPr="00F33D96">
        <w:rPr>
          <w:rFonts w:eastAsiaTheme="minorHAnsi"/>
          <w:sz w:val="24"/>
          <w:szCs w:val="24"/>
        </w:rPr>
        <w:t>Lei de Redução da Inflação de 2022:</w:t>
      </w:r>
      <w:r w:rsidRPr="00F33D96">
        <w:rPr>
          <w:rFonts w:eastAsiaTheme="minorHAnsi"/>
          <w:b/>
          <w:bCs/>
          <w:sz w:val="24"/>
          <w:szCs w:val="24"/>
        </w:rPr>
        <w:t xml:space="preserve"> Art. 13401 Crédito para Veículos Limpos</w:t>
      </w:r>
      <w:r w:rsidRPr="00F33D96">
        <w:rPr>
          <w:sz w:val="24"/>
          <w:szCs w:val="24"/>
        </w:rPr>
        <w:t>. Publicado em: 23 fev 2026. Disponível em: https://www.iea.org/policies/16277-inflation-reduction-act-2022-sec-13401-clean-vehicle-credit?utm_source=chatgpt.com&amp;__cf_chl_f_tk=xvJMMHWlb1kUhVV_mLsKBRvP1PRshPK4FVwKTiOwP4I-1783103071-1.0.1.1-X5bWtXuWenBV6o58PM1ULQk1GHxoeZkQo3pcCKYxVLw. Acesso em: 03 jul 2026.</w:t>
      </w:r>
    </w:p>
    <w:p w14:paraId="0CB72B43" w14:textId="77777777" w:rsidR="000F4134" w:rsidRPr="00F33D96" w:rsidRDefault="000F4134" w:rsidP="000F4134">
      <w:pPr>
        <w:tabs>
          <w:tab w:val="center" w:pos="4535"/>
        </w:tabs>
        <w:rPr>
          <w:sz w:val="24"/>
          <w:szCs w:val="24"/>
          <w:lang w:val="pt-BR"/>
        </w:rPr>
      </w:pPr>
      <w:r w:rsidRPr="00F33D96">
        <w:rPr>
          <w:sz w:val="24"/>
          <w:szCs w:val="24"/>
        </w:rPr>
        <w:tab/>
      </w:r>
    </w:p>
    <w:p w14:paraId="6A035F10" w14:textId="77777777" w:rsidR="000F4134" w:rsidRPr="00F33D96" w:rsidRDefault="000F4134" w:rsidP="000F4134">
      <w:pPr>
        <w:rPr>
          <w:sz w:val="24"/>
          <w:szCs w:val="24"/>
        </w:rPr>
      </w:pPr>
      <w:r w:rsidRPr="00F33D96">
        <w:rPr>
          <w:sz w:val="24"/>
          <w:szCs w:val="24"/>
        </w:rPr>
        <w:t xml:space="preserve">IEA - Agência Internacional de Energia. Navegador de Dados de Estatísticas de Energia: </w:t>
      </w:r>
      <w:r w:rsidRPr="00F33D96">
        <w:rPr>
          <w:b/>
          <w:bCs/>
          <w:sz w:val="24"/>
          <w:szCs w:val="24"/>
        </w:rPr>
        <w:t>oferta total de energia (TES) por fonte, mundo 1990-2022</w:t>
      </w:r>
      <w:r w:rsidRPr="00F33D96">
        <w:rPr>
          <w:sz w:val="24"/>
          <w:szCs w:val="24"/>
        </w:rPr>
        <w:t>. Balanços Energéticos Mundiais. Disponível em: https://www.iea.org/data-and-statistics/data-tools/energy-statistics-data-browser. Acesso em: 20 jun 2026.</w:t>
      </w:r>
    </w:p>
    <w:p w14:paraId="1E62CBB8" w14:textId="77777777" w:rsidR="000F4134" w:rsidRPr="00F33D96" w:rsidRDefault="000F4134" w:rsidP="000F4134">
      <w:pPr>
        <w:rPr>
          <w:sz w:val="24"/>
          <w:szCs w:val="24"/>
        </w:rPr>
      </w:pPr>
    </w:p>
    <w:p w14:paraId="4F2E22B1" w14:textId="77777777" w:rsidR="000F4134" w:rsidRPr="00F33D96" w:rsidRDefault="000F4134" w:rsidP="000F4134">
      <w:pPr>
        <w:rPr>
          <w:rFonts w:eastAsiaTheme="minorHAnsi"/>
          <w:sz w:val="24"/>
          <w:szCs w:val="24"/>
        </w:rPr>
      </w:pPr>
      <w:r w:rsidRPr="00F33D96">
        <w:rPr>
          <w:sz w:val="24"/>
          <w:szCs w:val="24"/>
        </w:rPr>
        <w:t xml:space="preserve">NORWEGIAN EV ASSOCIATION. </w:t>
      </w:r>
      <w:r w:rsidRPr="00F33D96">
        <w:rPr>
          <w:rFonts w:eastAsiaTheme="minorHAnsi"/>
          <w:b/>
          <w:bCs/>
          <w:sz w:val="24"/>
          <w:szCs w:val="24"/>
        </w:rPr>
        <w:t>Norwegian EV policy</w:t>
      </w:r>
      <w:r w:rsidRPr="00F33D96">
        <w:rPr>
          <w:sz w:val="24"/>
          <w:szCs w:val="24"/>
        </w:rPr>
        <w:t xml:space="preserve">. Disponível em: </w:t>
      </w:r>
      <w:r w:rsidRPr="00F33D96">
        <w:rPr>
          <w:sz w:val="24"/>
          <w:szCs w:val="24"/>
        </w:rPr>
        <w:lastRenderedPageBreak/>
        <w:t>https://elbil.no/english/norwegian-ev-policy/?utm_source=chatgpt.com. Acesso em: 03 jul 2026.</w:t>
      </w:r>
    </w:p>
    <w:p w14:paraId="37F5B9C4" w14:textId="77777777" w:rsidR="000F4134" w:rsidRPr="00F33D96" w:rsidRDefault="000F4134" w:rsidP="000F4134">
      <w:pPr>
        <w:rPr>
          <w:sz w:val="24"/>
          <w:szCs w:val="24"/>
        </w:rPr>
      </w:pPr>
    </w:p>
    <w:p w14:paraId="68E46965" w14:textId="77777777" w:rsidR="000F4134" w:rsidRPr="00F33D96" w:rsidRDefault="000F4134" w:rsidP="000F4134">
      <w:pPr>
        <w:rPr>
          <w:color w:val="000000" w:themeColor="text1"/>
          <w:sz w:val="24"/>
          <w:szCs w:val="24"/>
          <w:lang w:val="en-US"/>
        </w:rPr>
      </w:pPr>
      <w:r w:rsidRPr="00F33D96">
        <w:rPr>
          <w:color w:val="000000" w:themeColor="text1"/>
          <w:sz w:val="24"/>
          <w:szCs w:val="24"/>
        </w:rPr>
        <w:t xml:space="preserve">ORGANIZAÇÃO DAS NAÇÕES UNIDAS (ONU). </w:t>
      </w:r>
      <w:r w:rsidRPr="00F33D96">
        <w:rPr>
          <w:b/>
          <w:bCs/>
          <w:i/>
          <w:iCs/>
          <w:color w:val="000000" w:themeColor="text1"/>
          <w:sz w:val="24"/>
          <w:szCs w:val="24"/>
        </w:rPr>
        <w:t>Acordo de Paris</w:t>
      </w:r>
      <w:r w:rsidRPr="00F33D96">
        <w:rPr>
          <w:color w:val="000000" w:themeColor="text1"/>
          <w:sz w:val="24"/>
          <w:szCs w:val="24"/>
        </w:rPr>
        <w:t xml:space="preserve">. Paris, 2015. Disponível em: https://brasil.un.org/pt-br/88191-acordo-de-paris. </w:t>
      </w:r>
      <w:r w:rsidRPr="00F33D96">
        <w:rPr>
          <w:color w:val="000000" w:themeColor="text1"/>
          <w:sz w:val="24"/>
          <w:szCs w:val="24"/>
          <w:lang w:val="en-US"/>
        </w:rPr>
        <w:t>Acesso em: 30 jun 2026</w:t>
      </w:r>
    </w:p>
    <w:p w14:paraId="1DAC35B0" w14:textId="77777777" w:rsidR="000F4134" w:rsidRPr="00F33D96" w:rsidRDefault="000F4134" w:rsidP="000F4134">
      <w:pPr>
        <w:rPr>
          <w:color w:val="000000" w:themeColor="text1"/>
          <w:sz w:val="24"/>
          <w:szCs w:val="24"/>
          <w:lang w:val="en-US"/>
        </w:rPr>
      </w:pPr>
    </w:p>
    <w:p w14:paraId="72946D49" w14:textId="77777777" w:rsidR="000F4134" w:rsidRPr="00F33D96" w:rsidRDefault="000F4134" w:rsidP="000F4134">
      <w:pPr>
        <w:rPr>
          <w:color w:val="000000" w:themeColor="text1"/>
          <w:sz w:val="24"/>
          <w:szCs w:val="24"/>
          <w:lang w:val="pt-BR"/>
        </w:rPr>
      </w:pPr>
      <w:r w:rsidRPr="00F33D96">
        <w:rPr>
          <w:color w:val="000000" w:themeColor="text1"/>
          <w:sz w:val="24"/>
          <w:szCs w:val="24"/>
          <w:lang w:val="en-US"/>
        </w:rPr>
        <w:t xml:space="preserve">PHILLIPS, Steven R., HEMMERSBAUGH, Paul, LARSON, Matthew, LOUD, Ted. </w:t>
      </w:r>
      <w:r w:rsidRPr="00F33D96">
        <w:rPr>
          <w:rFonts w:eastAsiaTheme="minorHAnsi"/>
          <w:color w:val="000000" w:themeColor="text1"/>
          <w:sz w:val="24"/>
          <w:szCs w:val="24"/>
          <w:lang w:val="pt-BR"/>
        </w:rPr>
        <w:t>A Lei de Redução da Inflação busca impulsionar o mercado de veículos elétricos.</w:t>
      </w:r>
      <w:r w:rsidRPr="00F33D96">
        <w:rPr>
          <w:color w:val="000000" w:themeColor="text1"/>
          <w:sz w:val="24"/>
          <w:szCs w:val="24"/>
        </w:rPr>
        <w:t xml:space="preserve"> </w:t>
      </w:r>
      <w:r w:rsidRPr="00F33D96">
        <w:rPr>
          <w:b/>
          <w:bCs/>
          <w:color w:val="000000" w:themeColor="text1"/>
          <w:sz w:val="24"/>
          <w:szCs w:val="24"/>
          <w:lang w:val="pt-BR"/>
        </w:rPr>
        <w:t>Créditos fiscais substanciais e outros incentivos para energias renováveis ​​e veículos elétricos.</w:t>
      </w:r>
      <w:r w:rsidRPr="00F33D96">
        <w:rPr>
          <w:b/>
          <w:bCs/>
          <w:color w:val="000000" w:themeColor="text1"/>
          <w:sz w:val="24"/>
          <w:szCs w:val="24"/>
        </w:rPr>
        <w:t xml:space="preserve"> </w:t>
      </w:r>
      <w:r w:rsidRPr="00F33D96">
        <w:rPr>
          <w:color w:val="000000" w:themeColor="text1"/>
          <w:sz w:val="24"/>
          <w:szCs w:val="24"/>
        </w:rPr>
        <w:t>Publicado em: 18 ago 2022. Disponível em: https://www.dlapiper.com/en/insights/publications/2022/08/inflation-reduction-act-seeks-to-jumpstart-electric-vehicle-market?utm_source=chatgpt.com. Acesso em: 03 jul 2026.</w:t>
      </w:r>
    </w:p>
    <w:p w14:paraId="43318D3E" w14:textId="77777777" w:rsidR="000F4134" w:rsidRPr="00F33D96" w:rsidRDefault="000F4134" w:rsidP="000F4134">
      <w:pPr>
        <w:rPr>
          <w:color w:val="000000" w:themeColor="text1"/>
          <w:sz w:val="24"/>
          <w:szCs w:val="24"/>
          <w:lang w:val="pt-BR"/>
        </w:rPr>
      </w:pPr>
    </w:p>
    <w:p w14:paraId="5F0469F3" w14:textId="77777777" w:rsidR="000F4134" w:rsidRPr="00F33D96" w:rsidRDefault="000F4134" w:rsidP="000F4134">
      <w:pPr>
        <w:rPr>
          <w:sz w:val="24"/>
          <w:szCs w:val="24"/>
        </w:rPr>
      </w:pPr>
      <w:r w:rsidRPr="00F33D96">
        <w:rPr>
          <w:sz w:val="24"/>
          <w:szCs w:val="24"/>
        </w:rPr>
        <w:t xml:space="preserve">TOLMASQUIM, Mauricio Tiomno. Matriz energética brasileira: </w:t>
      </w:r>
      <w:r w:rsidRPr="00F33D96">
        <w:rPr>
          <w:b/>
          <w:bCs/>
          <w:sz w:val="24"/>
          <w:szCs w:val="24"/>
        </w:rPr>
        <w:t>uma prospectiva</w:t>
      </w:r>
      <w:r w:rsidRPr="00F33D96">
        <w:rPr>
          <w:sz w:val="24"/>
          <w:szCs w:val="24"/>
        </w:rPr>
        <w:t>. Novos Estudos CEBRAP, 2007. Disponível em: https://www.scielo.br/j/nec/a/HHYKXDgchzv4n4gNfRhqnwK/?format=html&amp;lang=pt. Acesso em: 30 jun 2026.</w:t>
      </w:r>
    </w:p>
    <w:p w14:paraId="476174BB" w14:textId="77777777" w:rsidR="000F4134" w:rsidRPr="00F33D96" w:rsidRDefault="000F4134" w:rsidP="000F4134">
      <w:pPr>
        <w:rPr>
          <w:sz w:val="24"/>
          <w:szCs w:val="24"/>
        </w:rPr>
      </w:pPr>
    </w:p>
    <w:p w14:paraId="00C80187" w14:textId="77777777" w:rsidR="000F4134" w:rsidRPr="00F33D96" w:rsidRDefault="000F4134" w:rsidP="000F4134">
      <w:pPr>
        <w:rPr>
          <w:sz w:val="24"/>
          <w:szCs w:val="24"/>
        </w:rPr>
      </w:pPr>
      <w:r w:rsidRPr="00F33D96">
        <w:rPr>
          <w:sz w:val="24"/>
          <w:szCs w:val="24"/>
        </w:rPr>
        <w:t xml:space="preserve">YERGIN, Daniel. O novo mapa: </w:t>
      </w:r>
      <w:r w:rsidRPr="00F33D96">
        <w:rPr>
          <w:b/>
          <w:bCs/>
          <w:sz w:val="24"/>
          <w:szCs w:val="24"/>
        </w:rPr>
        <w:t>energia, clima e o conflito entre nações</w:t>
      </w:r>
      <w:r w:rsidRPr="00F33D96">
        <w:rPr>
          <w:sz w:val="24"/>
          <w:szCs w:val="24"/>
        </w:rPr>
        <w:t>. Tradução: Francisco Araújo Costa. Porto Alegre. Bookman, 2023.</w:t>
      </w:r>
    </w:p>
    <w:p w14:paraId="13EF587C" w14:textId="77777777" w:rsidR="000F4134" w:rsidRPr="00F33D96" w:rsidRDefault="000F4134" w:rsidP="000F4134">
      <w:pPr>
        <w:rPr>
          <w:sz w:val="24"/>
          <w:szCs w:val="24"/>
        </w:rPr>
      </w:pPr>
    </w:p>
    <w:p w14:paraId="3267EE0C" w14:textId="56AC540C" w:rsidR="000815CB" w:rsidRDefault="000F4134" w:rsidP="000F4134">
      <w:pPr>
        <w:rPr>
          <w:sz w:val="24"/>
          <w:szCs w:val="24"/>
          <w:lang w:val="pt-BR"/>
        </w:rPr>
      </w:pPr>
      <w:r w:rsidRPr="00F33D96">
        <w:rPr>
          <w:sz w:val="24"/>
          <w:szCs w:val="24"/>
          <w:lang w:val="pt-BR"/>
        </w:rPr>
        <w:t xml:space="preserve">XINHUA. </w:t>
      </w:r>
      <w:r w:rsidRPr="00F33D96">
        <w:rPr>
          <w:b/>
          <w:bCs/>
          <w:sz w:val="24"/>
          <w:szCs w:val="24"/>
          <w:lang w:val="pt-BR"/>
        </w:rPr>
        <w:t xml:space="preserve">China extends preferential purchase tax policy for NEVs. </w:t>
      </w:r>
      <w:r w:rsidRPr="00F33D96">
        <w:rPr>
          <w:sz w:val="24"/>
          <w:szCs w:val="24"/>
          <w:lang w:val="pt-BR"/>
        </w:rPr>
        <w:t>Publicado em: 21 jun 2023. Disponível em: https://english.www.gov.cn/news/202306/21/content_WS64929394c6d0868f4e8dd11c.html?utm_source=chatgpt.com</w:t>
      </w:r>
      <w:r w:rsidRPr="00F33D96">
        <w:rPr>
          <w:sz w:val="24"/>
          <w:szCs w:val="24"/>
        </w:rPr>
        <w:t>. Acesso em: 03 jul 2026.</w:t>
      </w:r>
    </w:p>
    <w:p w14:paraId="1128A383" w14:textId="77777777" w:rsidR="000F4134" w:rsidRDefault="000F4134" w:rsidP="000F4134">
      <w:pPr>
        <w:rPr>
          <w:sz w:val="24"/>
          <w:szCs w:val="24"/>
          <w:lang w:val="pt-BR"/>
        </w:rPr>
      </w:pPr>
    </w:p>
    <w:p w14:paraId="4BC8E260" w14:textId="77777777" w:rsidR="000F4134" w:rsidRPr="00947F74" w:rsidRDefault="000F4134" w:rsidP="000F4134">
      <w:pPr>
        <w:widowControl/>
        <w:suppressAutoHyphens/>
        <w:autoSpaceDE/>
        <w:autoSpaceDN/>
        <w:spacing w:line="360" w:lineRule="auto"/>
        <w:jc w:val="both"/>
        <w:rPr>
          <w:rFonts w:eastAsia="Calibri"/>
          <w:sz w:val="24"/>
          <w:szCs w:val="24"/>
          <w:lang w:val="pt-BR"/>
        </w:rPr>
      </w:pPr>
      <w:r w:rsidRPr="00947F74">
        <w:rPr>
          <w:rFonts w:eastAsia="Calibri"/>
          <w:sz w:val="24"/>
          <w:szCs w:val="24"/>
        </w:rPr>
        <w:t>Declaração sobre o uso de Inteligência Artificial: Este artigo utilizou ferramentas de inteligência artificial exclusivamente como instrumento de apoio à pesquisa e à redação, especialmente para o levantamento e organização de referências bibliográficas, bem como para auxiliar na revisão da fluidez textual, da coerência e da estrutura linguística do manuscrito. Todas as ideias, análises, interpretações, argumentos desenvolvidos e conclusões apresentadas são integralmente de autoria da autora, que realizou a validação crítica de todas as informações, assumindo total responsabilidade pelo conteúdo científico do trabalho.</w:t>
      </w:r>
    </w:p>
    <w:p w14:paraId="5786070A" w14:textId="77777777" w:rsidR="000F4134" w:rsidRPr="000F4134" w:rsidRDefault="000F4134" w:rsidP="000F4134">
      <w:pPr>
        <w:rPr>
          <w:sz w:val="24"/>
          <w:szCs w:val="24"/>
          <w:lang w:val="pt-BR"/>
        </w:rPr>
      </w:pPr>
    </w:p>
    <w:p w14:paraId="1935BD3C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3DA96F41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281DDCE4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1CAFED39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sectPr w:rsidR="000815CB" w:rsidSect="008913F4">
      <w:headerReference w:type="default" r:id="rId8"/>
      <w:footerReference w:type="default" r:id="rId9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226CE" w14:textId="77777777" w:rsidR="00157AC0" w:rsidRDefault="00157AC0">
      <w:r>
        <w:separator/>
      </w:r>
    </w:p>
  </w:endnote>
  <w:endnote w:type="continuationSeparator" w:id="0">
    <w:p w14:paraId="26DC7D22" w14:textId="77777777" w:rsidR="00157AC0" w:rsidRDefault="00157AC0">
      <w:r>
        <w:continuationSeparator/>
      </w:r>
    </w:p>
  </w:endnote>
  <w:endnote w:type="continuationNotice" w:id="1">
    <w:p w14:paraId="622A7F8F" w14:textId="77777777" w:rsidR="005C2593" w:rsidRDefault="005C25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1BCBC" w14:textId="77777777" w:rsidR="00157AC0" w:rsidRDefault="00157AC0">
      <w:r>
        <w:separator/>
      </w:r>
    </w:p>
  </w:footnote>
  <w:footnote w:type="continuationSeparator" w:id="0">
    <w:p w14:paraId="734AB02C" w14:textId="77777777" w:rsidR="00157AC0" w:rsidRDefault="00157AC0">
      <w:r>
        <w:continuationSeparator/>
      </w:r>
    </w:p>
  </w:footnote>
  <w:footnote w:type="continuationNotice" w:id="1">
    <w:p w14:paraId="6F81B308" w14:textId="77777777" w:rsidR="005C2593" w:rsidRDefault="005C25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8240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9817059">
    <w:abstractNumId w:val="0"/>
  </w:num>
  <w:num w:numId="2" w16cid:durableId="949705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27DD6"/>
    <w:rsid w:val="000449F4"/>
    <w:rsid w:val="000815CB"/>
    <w:rsid w:val="000F4134"/>
    <w:rsid w:val="00157AC0"/>
    <w:rsid w:val="00171054"/>
    <w:rsid w:val="001C5BCC"/>
    <w:rsid w:val="00243512"/>
    <w:rsid w:val="0036697E"/>
    <w:rsid w:val="005259CE"/>
    <w:rsid w:val="00584E20"/>
    <w:rsid w:val="005C2593"/>
    <w:rsid w:val="005F70B0"/>
    <w:rsid w:val="00624629"/>
    <w:rsid w:val="00694319"/>
    <w:rsid w:val="006B4BCA"/>
    <w:rsid w:val="006F3F96"/>
    <w:rsid w:val="007561D8"/>
    <w:rsid w:val="008858BD"/>
    <w:rsid w:val="008913F4"/>
    <w:rsid w:val="009C4B75"/>
    <w:rsid w:val="00A33E6F"/>
    <w:rsid w:val="00AD22F1"/>
    <w:rsid w:val="00AF5124"/>
    <w:rsid w:val="00C44CDC"/>
    <w:rsid w:val="00C538C1"/>
    <w:rsid w:val="00C60F3C"/>
    <w:rsid w:val="00CB7608"/>
    <w:rsid w:val="00E24032"/>
    <w:rsid w:val="00E3782C"/>
    <w:rsid w:val="00EA25BE"/>
    <w:rsid w:val="00EB577C"/>
    <w:rsid w:val="00F135CC"/>
    <w:rsid w:val="00FD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rsid w:val="000F413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egislacao.planalto.gov.br/legisla/legislacao.nsf/Viw_Identificacao/lei%2014.902-2024?OpenDocum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2329</Words>
  <Characters>12581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PAULA BEATRIZ MAIOLI</cp:lastModifiedBy>
  <cp:revision>4</cp:revision>
  <dcterms:created xsi:type="dcterms:W3CDTF">2026-07-20T02:41:00Z</dcterms:created>
  <dcterms:modified xsi:type="dcterms:W3CDTF">2026-07-20T02:44:00Z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