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87A" w:rsidRDefault="004C51E8">
      <w:pPr>
        <w:spacing w:after="0" w:line="360" w:lineRule="auto"/>
        <w:jc w:val="both"/>
        <w:rPr>
          <w:rFonts w:ascii="Candara" w:hAnsi="Candara"/>
          <w:sz w:val="36"/>
          <w:szCs w:val="36"/>
        </w:rPr>
      </w:pPr>
      <w:r>
        <w:rPr>
          <w:rFonts w:ascii="Candara" w:hAnsi="Candara" w:cs="Arial"/>
          <w:sz w:val="36"/>
          <w:szCs w:val="36"/>
        </w:rPr>
        <w:tab/>
        <w:t>A importância do Fundo Constitucional de Financiamento do Centro-Oeste (FCO) para o desenvolvimento do turismo em Mato Grosso do Sul: Uma análise do FCO destinado a projetos no setor do turismo no período de 2015 a 2021</w:t>
      </w:r>
    </w:p>
    <w:p w:rsidR="00BB087A" w:rsidRDefault="004C51E8">
      <w:pPr>
        <w:spacing w:after="0" w:line="240" w:lineRule="auto"/>
        <w:jc w:val="right"/>
        <w:rPr>
          <w:rFonts w:ascii="Candara" w:hAnsi="Candara"/>
          <w:b/>
          <w:bCs/>
        </w:rPr>
      </w:pPr>
      <w:proofErr w:type="spellStart"/>
      <w:r>
        <w:rPr>
          <w:rFonts w:ascii="Candara" w:hAnsi="Candara" w:cs="Arial"/>
          <w:b/>
          <w:bCs/>
        </w:rPr>
        <w:t>Rosele</w:t>
      </w:r>
      <w:proofErr w:type="spellEnd"/>
      <w:r>
        <w:rPr>
          <w:rFonts w:ascii="Candara" w:hAnsi="Candara" w:cs="Arial"/>
          <w:b/>
          <w:bCs/>
        </w:rPr>
        <w:t xml:space="preserve"> Marques Vieira</w:t>
      </w:r>
      <w:r>
        <w:rPr>
          <w:rStyle w:val="Refdenotaderodap"/>
          <w:rFonts w:ascii="Candara" w:hAnsi="Candara" w:cs="Arial"/>
          <w:b/>
          <w:bCs/>
        </w:rPr>
        <w:footnoteReference w:id="1"/>
      </w:r>
    </w:p>
    <w:p w:rsidR="00BB087A" w:rsidRDefault="004C51E8">
      <w:pPr>
        <w:spacing w:after="0" w:line="240" w:lineRule="auto"/>
        <w:jc w:val="right"/>
        <w:rPr>
          <w:rFonts w:ascii="Candara" w:hAnsi="Candara"/>
          <w:b/>
          <w:bCs/>
        </w:rPr>
      </w:pPr>
      <w:r>
        <w:rPr>
          <w:rFonts w:ascii="Candara" w:hAnsi="Candara" w:cs="Arial"/>
          <w:b/>
          <w:bCs/>
        </w:rPr>
        <w:t xml:space="preserve">Jane </w:t>
      </w:r>
      <w:proofErr w:type="spellStart"/>
      <w:r>
        <w:rPr>
          <w:rFonts w:ascii="Candara" w:hAnsi="Candara" w:cs="Arial"/>
          <w:b/>
          <w:bCs/>
        </w:rPr>
        <w:t>Kelis</w:t>
      </w:r>
      <w:proofErr w:type="spellEnd"/>
      <w:r>
        <w:rPr>
          <w:rFonts w:ascii="Candara" w:hAnsi="Candara" w:cs="Arial"/>
          <w:b/>
          <w:bCs/>
        </w:rPr>
        <w:t xml:space="preserve"> Martins Lima</w:t>
      </w:r>
      <w:r>
        <w:rPr>
          <w:rStyle w:val="Refdenotaderodap"/>
          <w:rFonts w:ascii="Candara" w:hAnsi="Candara" w:cs="Arial"/>
          <w:b/>
          <w:bCs/>
        </w:rPr>
        <w:footnoteReference w:id="2"/>
      </w:r>
    </w:p>
    <w:p w:rsidR="00BB087A" w:rsidRDefault="004C51E8">
      <w:pPr>
        <w:spacing w:after="0" w:line="240" w:lineRule="auto"/>
        <w:jc w:val="right"/>
        <w:rPr>
          <w:rFonts w:ascii="Candara" w:hAnsi="Candara"/>
          <w:b/>
        </w:rPr>
      </w:pPr>
      <w:r>
        <w:rPr>
          <w:rFonts w:ascii="Candara" w:hAnsi="Candara" w:cs="Arial"/>
          <w:b/>
          <w:bCs/>
        </w:rPr>
        <w:t>Claudia Vera da Silveira</w:t>
      </w:r>
      <w:r>
        <w:rPr>
          <w:rStyle w:val="Refdenotaderodap"/>
          <w:rFonts w:ascii="Candara" w:hAnsi="Candara" w:cs="Arial"/>
          <w:b/>
          <w:bCs/>
        </w:rPr>
        <w:footnoteReference w:id="3"/>
      </w:r>
    </w:p>
    <w:p w:rsidR="00BB087A" w:rsidRDefault="00BB087A">
      <w:pPr>
        <w:spacing w:after="0" w:line="240" w:lineRule="auto"/>
        <w:jc w:val="right"/>
        <w:rPr>
          <w:rFonts w:ascii="Candara" w:hAnsi="Candara"/>
          <w:b/>
          <w:bCs/>
        </w:rPr>
      </w:pPr>
    </w:p>
    <w:p w:rsidR="00BB087A" w:rsidRDefault="004C51E8">
      <w:pPr>
        <w:tabs>
          <w:tab w:val="left" w:pos="7605"/>
        </w:tabs>
        <w:spacing w:after="0" w:line="240" w:lineRule="auto"/>
        <w:jc w:val="both"/>
        <w:rPr>
          <w:rFonts w:ascii="Arial" w:hAnsi="Arial" w:cs="Arial"/>
          <w:lang w:eastAsia="pt-BR"/>
        </w:rPr>
      </w:pPr>
      <w:r>
        <w:rPr>
          <w:rFonts w:ascii="Candara" w:hAnsi="Candara" w:cs="Arial"/>
          <w:b/>
        </w:rPr>
        <w:t xml:space="preserve">Resumo: </w:t>
      </w:r>
      <w:r>
        <w:rPr>
          <w:rFonts w:ascii="Candara" w:hAnsi="Candara" w:cs="Arial"/>
          <w:lang w:eastAsia="pt-BR"/>
        </w:rPr>
        <w:t>O objetivo geral do trabalho é analisar o Fundo Constitucional de Financiamento do Centro-Oeste (FCO) com foco no desenvolvimento do turismo em Mato Grosso do Sul. A metodologia adotada foi a pesquisa bibliográfica e documental, revisão de literatura e análise de dados secundários referente ao FCO no período de 2015 a 2021, disponíveis na página do Banco do Brasil e da Superintendência do Desenvolvimento do Centro-Oeste (SUDECO). Os resultados da pesquisa evidenciam a relevância do FCO para o desenvolvimento regional e em especial para o setor de turismo, haja vista que o financiamento governamental, permite a consolidação das atividades turísticas, além de promover políticas de proteção ambiental e desenvolvimento sustentável em concomitância como desenvolvimento econômico da região explorada, ademais a utilização destes recursos financeiros gera efeitos de encadeamentos em outros setores, como construção civil, comércio e serviços, desta forma cria empregos e renda para população.</w:t>
      </w:r>
    </w:p>
    <w:p w:rsidR="00BB087A" w:rsidRDefault="00BB087A">
      <w:pPr>
        <w:spacing w:after="0"/>
        <w:jc w:val="both"/>
        <w:rPr>
          <w:rFonts w:cs="Arial"/>
          <w:b/>
        </w:rPr>
      </w:pPr>
    </w:p>
    <w:p w:rsidR="00BB087A" w:rsidRDefault="004C51E8">
      <w:pPr>
        <w:spacing w:after="0"/>
        <w:jc w:val="both"/>
        <w:rPr>
          <w:rFonts w:ascii="Candara" w:hAnsi="Candara"/>
        </w:rPr>
      </w:pPr>
      <w:r>
        <w:rPr>
          <w:rFonts w:ascii="Candara" w:hAnsi="Candara" w:cs="Arial"/>
          <w:b/>
        </w:rPr>
        <w:lastRenderedPageBreak/>
        <w:t xml:space="preserve">Palavras-chaves: </w:t>
      </w:r>
      <w:r>
        <w:rPr>
          <w:rFonts w:ascii="Candara" w:hAnsi="Candara" w:cs="Arial"/>
          <w:color w:val="000000"/>
          <w:shd w:val="clear" w:color="auto" w:fill="FFFFFF"/>
        </w:rPr>
        <w:t>Política Pública; Desenvolvimento; Fundo Constitucional do Centro-Oeste; Turismo.</w:t>
      </w:r>
    </w:p>
    <w:p w:rsidR="00BB087A" w:rsidRDefault="00BB087A">
      <w:pPr>
        <w:jc w:val="both"/>
        <w:rPr>
          <w:rFonts w:ascii="Arial" w:hAnsi="Arial" w:cs="Arial"/>
          <w:shd w:val="clear" w:color="auto" w:fill="FFFFFF"/>
        </w:rPr>
      </w:pPr>
    </w:p>
    <w:p w:rsidR="00BB087A" w:rsidRDefault="004C51E8">
      <w:pPr>
        <w:spacing w:after="0" w:line="360" w:lineRule="auto"/>
        <w:jc w:val="both"/>
        <w:rPr>
          <w:rFonts w:ascii="Candara" w:hAnsi="Candara" w:cs="Arial"/>
          <w:sz w:val="36"/>
          <w:szCs w:val="36"/>
        </w:rPr>
      </w:pPr>
      <w:r>
        <w:rPr>
          <w:rFonts w:ascii="Candara" w:hAnsi="Candara" w:cs="Arial"/>
          <w:sz w:val="36"/>
          <w:szCs w:val="36"/>
        </w:rPr>
        <w:tab/>
        <w:t xml:space="preserve">The </w:t>
      </w:r>
      <w:proofErr w:type="spellStart"/>
      <w:r>
        <w:rPr>
          <w:rFonts w:ascii="Candara" w:hAnsi="Candara" w:cs="Arial"/>
          <w:sz w:val="36"/>
          <w:szCs w:val="36"/>
        </w:rPr>
        <w:t>Importance</w:t>
      </w:r>
      <w:proofErr w:type="spellEnd"/>
      <w:r>
        <w:rPr>
          <w:rFonts w:ascii="Candara" w:hAnsi="Candara" w:cs="Arial"/>
          <w:sz w:val="36"/>
          <w:szCs w:val="36"/>
        </w:rPr>
        <w:t xml:space="preserve"> </w:t>
      </w:r>
      <w:proofErr w:type="spellStart"/>
      <w:r>
        <w:rPr>
          <w:rFonts w:ascii="Candara" w:hAnsi="Candara" w:cs="Arial"/>
          <w:sz w:val="36"/>
          <w:szCs w:val="36"/>
        </w:rPr>
        <w:t>of</w:t>
      </w:r>
      <w:proofErr w:type="spellEnd"/>
      <w:r>
        <w:rPr>
          <w:rFonts w:ascii="Candara" w:hAnsi="Candara" w:cs="Arial"/>
          <w:sz w:val="36"/>
          <w:szCs w:val="36"/>
        </w:rPr>
        <w:t xml:space="preserve"> </w:t>
      </w:r>
      <w:proofErr w:type="spellStart"/>
      <w:r>
        <w:rPr>
          <w:rFonts w:ascii="Candara" w:hAnsi="Candara" w:cs="Arial"/>
          <w:sz w:val="36"/>
          <w:szCs w:val="36"/>
        </w:rPr>
        <w:t>the</w:t>
      </w:r>
      <w:proofErr w:type="spellEnd"/>
      <w:r>
        <w:rPr>
          <w:rFonts w:ascii="Candara" w:hAnsi="Candara" w:cs="Arial"/>
          <w:sz w:val="36"/>
          <w:szCs w:val="36"/>
        </w:rPr>
        <w:t xml:space="preserve"> </w:t>
      </w:r>
      <w:proofErr w:type="spellStart"/>
      <w:r>
        <w:rPr>
          <w:rFonts w:ascii="Candara" w:hAnsi="Candara" w:cs="Arial"/>
          <w:sz w:val="36"/>
          <w:szCs w:val="36"/>
        </w:rPr>
        <w:t>Constitutional</w:t>
      </w:r>
      <w:proofErr w:type="spellEnd"/>
      <w:r>
        <w:rPr>
          <w:rFonts w:ascii="Candara" w:hAnsi="Candara" w:cs="Arial"/>
          <w:sz w:val="36"/>
          <w:szCs w:val="36"/>
        </w:rPr>
        <w:t xml:space="preserve"> </w:t>
      </w:r>
      <w:proofErr w:type="spellStart"/>
      <w:r>
        <w:rPr>
          <w:rFonts w:ascii="Candara" w:hAnsi="Candara" w:cs="Arial"/>
          <w:sz w:val="36"/>
          <w:szCs w:val="36"/>
        </w:rPr>
        <w:t>Fund</w:t>
      </w:r>
      <w:proofErr w:type="spellEnd"/>
      <w:r>
        <w:rPr>
          <w:rFonts w:ascii="Candara" w:hAnsi="Candara" w:cs="Arial"/>
          <w:sz w:val="36"/>
          <w:szCs w:val="36"/>
        </w:rPr>
        <w:t xml:space="preserve"> for </w:t>
      </w:r>
      <w:proofErr w:type="spellStart"/>
      <w:r>
        <w:rPr>
          <w:rFonts w:ascii="Candara" w:hAnsi="Candara" w:cs="Arial"/>
          <w:sz w:val="36"/>
          <w:szCs w:val="36"/>
        </w:rPr>
        <w:t>the</w:t>
      </w:r>
      <w:proofErr w:type="spellEnd"/>
      <w:r>
        <w:rPr>
          <w:rFonts w:ascii="Candara" w:hAnsi="Candara" w:cs="Arial"/>
          <w:sz w:val="36"/>
          <w:szCs w:val="36"/>
        </w:rPr>
        <w:t xml:space="preserve"> </w:t>
      </w:r>
      <w:proofErr w:type="spellStart"/>
      <w:r>
        <w:rPr>
          <w:rFonts w:ascii="Candara" w:hAnsi="Candara" w:cs="Arial"/>
          <w:sz w:val="36"/>
          <w:szCs w:val="36"/>
        </w:rPr>
        <w:t>Financing</w:t>
      </w:r>
      <w:proofErr w:type="spellEnd"/>
      <w:r>
        <w:rPr>
          <w:rFonts w:ascii="Candara" w:hAnsi="Candara" w:cs="Arial"/>
          <w:sz w:val="36"/>
          <w:szCs w:val="36"/>
        </w:rPr>
        <w:t xml:space="preserve"> </w:t>
      </w:r>
      <w:proofErr w:type="spellStart"/>
      <w:r>
        <w:rPr>
          <w:rFonts w:ascii="Candara" w:hAnsi="Candara" w:cs="Arial"/>
          <w:sz w:val="36"/>
          <w:szCs w:val="36"/>
        </w:rPr>
        <w:t>of</w:t>
      </w:r>
      <w:proofErr w:type="spellEnd"/>
      <w:r>
        <w:rPr>
          <w:rFonts w:ascii="Candara" w:hAnsi="Candara" w:cs="Arial"/>
          <w:sz w:val="36"/>
          <w:szCs w:val="36"/>
        </w:rPr>
        <w:t xml:space="preserve"> </w:t>
      </w:r>
      <w:proofErr w:type="spellStart"/>
      <w:r>
        <w:rPr>
          <w:rFonts w:ascii="Candara" w:hAnsi="Candara" w:cs="Arial"/>
          <w:sz w:val="36"/>
          <w:szCs w:val="36"/>
        </w:rPr>
        <w:t>the</w:t>
      </w:r>
      <w:proofErr w:type="spellEnd"/>
      <w:r>
        <w:rPr>
          <w:rFonts w:ascii="Candara" w:hAnsi="Candara" w:cs="Arial"/>
          <w:sz w:val="36"/>
          <w:szCs w:val="36"/>
        </w:rPr>
        <w:t xml:space="preserve"> Central-West (FCO) for </w:t>
      </w:r>
      <w:proofErr w:type="spellStart"/>
      <w:r>
        <w:rPr>
          <w:rFonts w:ascii="Candara" w:hAnsi="Candara" w:cs="Arial"/>
          <w:sz w:val="36"/>
          <w:szCs w:val="36"/>
        </w:rPr>
        <w:t>the</w:t>
      </w:r>
      <w:proofErr w:type="spellEnd"/>
      <w:r>
        <w:rPr>
          <w:rFonts w:ascii="Candara" w:hAnsi="Candara" w:cs="Arial"/>
          <w:sz w:val="36"/>
          <w:szCs w:val="36"/>
        </w:rPr>
        <w:t xml:space="preserve"> </w:t>
      </w:r>
      <w:proofErr w:type="spellStart"/>
      <w:r>
        <w:rPr>
          <w:rFonts w:ascii="Candara" w:hAnsi="Candara" w:cs="Arial"/>
          <w:sz w:val="36"/>
          <w:szCs w:val="36"/>
        </w:rPr>
        <w:t>Development</w:t>
      </w:r>
      <w:proofErr w:type="spellEnd"/>
      <w:r>
        <w:rPr>
          <w:rFonts w:ascii="Candara" w:hAnsi="Candara" w:cs="Arial"/>
          <w:sz w:val="36"/>
          <w:szCs w:val="36"/>
        </w:rPr>
        <w:t xml:space="preserve"> </w:t>
      </w:r>
      <w:proofErr w:type="spellStart"/>
      <w:r>
        <w:rPr>
          <w:rFonts w:ascii="Candara" w:hAnsi="Candara" w:cs="Arial"/>
          <w:sz w:val="36"/>
          <w:szCs w:val="36"/>
        </w:rPr>
        <w:t>of</w:t>
      </w:r>
      <w:proofErr w:type="spellEnd"/>
      <w:r>
        <w:rPr>
          <w:rFonts w:ascii="Candara" w:hAnsi="Candara" w:cs="Arial"/>
          <w:sz w:val="36"/>
          <w:szCs w:val="36"/>
        </w:rPr>
        <w:t xml:space="preserve"> </w:t>
      </w:r>
      <w:proofErr w:type="spellStart"/>
      <w:r>
        <w:rPr>
          <w:rFonts w:ascii="Candara" w:hAnsi="Candara" w:cs="Arial"/>
          <w:sz w:val="36"/>
          <w:szCs w:val="36"/>
        </w:rPr>
        <w:t>Tourism</w:t>
      </w:r>
      <w:proofErr w:type="spellEnd"/>
      <w:r>
        <w:rPr>
          <w:rFonts w:ascii="Candara" w:hAnsi="Candara" w:cs="Arial"/>
          <w:sz w:val="36"/>
          <w:szCs w:val="36"/>
        </w:rPr>
        <w:t xml:space="preserve"> in Mato Grosso do Sul: </w:t>
      </w:r>
      <w:proofErr w:type="spellStart"/>
      <w:r>
        <w:rPr>
          <w:rFonts w:ascii="Candara" w:hAnsi="Candara" w:cs="Arial"/>
          <w:sz w:val="36"/>
          <w:szCs w:val="36"/>
        </w:rPr>
        <w:t>An</w:t>
      </w:r>
      <w:proofErr w:type="spellEnd"/>
      <w:r>
        <w:rPr>
          <w:rFonts w:ascii="Candara" w:hAnsi="Candara" w:cs="Arial"/>
          <w:sz w:val="36"/>
          <w:szCs w:val="36"/>
        </w:rPr>
        <w:t xml:space="preserve"> </w:t>
      </w:r>
      <w:proofErr w:type="spellStart"/>
      <w:r>
        <w:rPr>
          <w:rFonts w:ascii="Candara" w:hAnsi="Candara" w:cs="Arial"/>
          <w:sz w:val="36"/>
          <w:szCs w:val="36"/>
        </w:rPr>
        <w:t>Analysis</w:t>
      </w:r>
      <w:proofErr w:type="spellEnd"/>
      <w:r>
        <w:rPr>
          <w:rFonts w:ascii="Candara" w:hAnsi="Candara" w:cs="Arial"/>
          <w:sz w:val="36"/>
          <w:szCs w:val="36"/>
        </w:rPr>
        <w:t xml:space="preserve"> </w:t>
      </w:r>
      <w:proofErr w:type="spellStart"/>
      <w:r>
        <w:rPr>
          <w:rFonts w:ascii="Candara" w:hAnsi="Candara" w:cs="Arial"/>
          <w:sz w:val="36"/>
          <w:szCs w:val="36"/>
        </w:rPr>
        <w:t>of</w:t>
      </w:r>
      <w:proofErr w:type="spellEnd"/>
      <w:r>
        <w:rPr>
          <w:rFonts w:ascii="Candara" w:hAnsi="Candara" w:cs="Arial"/>
          <w:sz w:val="36"/>
          <w:szCs w:val="36"/>
        </w:rPr>
        <w:t xml:space="preserve"> </w:t>
      </w:r>
      <w:proofErr w:type="spellStart"/>
      <w:r>
        <w:rPr>
          <w:rFonts w:ascii="Candara" w:hAnsi="Candara" w:cs="Arial"/>
          <w:sz w:val="36"/>
          <w:szCs w:val="36"/>
        </w:rPr>
        <w:t>the</w:t>
      </w:r>
      <w:proofErr w:type="spellEnd"/>
      <w:r>
        <w:rPr>
          <w:rFonts w:ascii="Candara" w:hAnsi="Candara" w:cs="Arial"/>
          <w:sz w:val="36"/>
          <w:szCs w:val="36"/>
        </w:rPr>
        <w:t xml:space="preserve"> FCO </w:t>
      </w:r>
      <w:proofErr w:type="spellStart"/>
      <w:r>
        <w:rPr>
          <w:rFonts w:ascii="Candara" w:hAnsi="Candara" w:cs="Arial"/>
          <w:sz w:val="36"/>
          <w:szCs w:val="36"/>
        </w:rPr>
        <w:t>Allocated</w:t>
      </w:r>
      <w:proofErr w:type="spellEnd"/>
      <w:r>
        <w:rPr>
          <w:rFonts w:ascii="Candara" w:hAnsi="Candara" w:cs="Arial"/>
          <w:sz w:val="36"/>
          <w:szCs w:val="36"/>
        </w:rPr>
        <w:t xml:space="preserve"> </w:t>
      </w:r>
      <w:proofErr w:type="spellStart"/>
      <w:r>
        <w:rPr>
          <w:rFonts w:ascii="Candara" w:hAnsi="Candara" w:cs="Arial"/>
          <w:sz w:val="36"/>
          <w:szCs w:val="36"/>
        </w:rPr>
        <w:t>to</w:t>
      </w:r>
      <w:proofErr w:type="spellEnd"/>
      <w:r>
        <w:rPr>
          <w:rFonts w:ascii="Candara" w:hAnsi="Candara" w:cs="Arial"/>
          <w:sz w:val="36"/>
          <w:szCs w:val="36"/>
        </w:rPr>
        <w:t xml:space="preserve"> </w:t>
      </w:r>
      <w:proofErr w:type="spellStart"/>
      <w:r>
        <w:rPr>
          <w:rFonts w:ascii="Candara" w:hAnsi="Candara" w:cs="Arial"/>
          <w:sz w:val="36"/>
          <w:szCs w:val="36"/>
        </w:rPr>
        <w:t>Tourism</w:t>
      </w:r>
      <w:proofErr w:type="spellEnd"/>
      <w:r>
        <w:rPr>
          <w:rFonts w:ascii="Candara" w:hAnsi="Candara" w:cs="Arial"/>
          <w:sz w:val="36"/>
          <w:szCs w:val="36"/>
        </w:rPr>
        <w:t xml:space="preserve"> </w:t>
      </w:r>
      <w:proofErr w:type="spellStart"/>
      <w:r>
        <w:rPr>
          <w:rFonts w:ascii="Candara" w:hAnsi="Candara" w:cs="Arial"/>
          <w:sz w:val="36"/>
          <w:szCs w:val="36"/>
        </w:rPr>
        <w:t>Projects</w:t>
      </w:r>
      <w:proofErr w:type="spellEnd"/>
      <w:r>
        <w:rPr>
          <w:rFonts w:ascii="Candara" w:hAnsi="Candara" w:cs="Arial"/>
          <w:sz w:val="36"/>
          <w:szCs w:val="36"/>
        </w:rPr>
        <w:t xml:space="preserve"> in </w:t>
      </w:r>
      <w:proofErr w:type="spellStart"/>
      <w:r>
        <w:rPr>
          <w:rFonts w:ascii="Candara" w:hAnsi="Candara" w:cs="Arial"/>
          <w:sz w:val="36"/>
          <w:szCs w:val="36"/>
        </w:rPr>
        <w:t>the</w:t>
      </w:r>
      <w:proofErr w:type="spellEnd"/>
      <w:r>
        <w:rPr>
          <w:rFonts w:ascii="Candara" w:hAnsi="Candara" w:cs="Arial"/>
          <w:sz w:val="36"/>
          <w:szCs w:val="36"/>
        </w:rPr>
        <w:t xml:space="preserve"> </w:t>
      </w:r>
      <w:proofErr w:type="spellStart"/>
      <w:r>
        <w:rPr>
          <w:rFonts w:ascii="Candara" w:hAnsi="Candara" w:cs="Arial"/>
          <w:sz w:val="36"/>
          <w:szCs w:val="36"/>
        </w:rPr>
        <w:t>Period</w:t>
      </w:r>
      <w:proofErr w:type="spellEnd"/>
      <w:r>
        <w:rPr>
          <w:rFonts w:ascii="Candara" w:hAnsi="Candara" w:cs="Arial"/>
          <w:sz w:val="36"/>
          <w:szCs w:val="36"/>
        </w:rPr>
        <w:t xml:space="preserve"> </w:t>
      </w:r>
      <w:proofErr w:type="spellStart"/>
      <w:r>
        <w:rPr>
          <w:rFonts w:ascii="Candara" w:hAnsi="Candara" w:cs="Arial"/>
          <w:sz w:val="36"/>
          <w:szCs w:val="36"/>
        </w:rPr>
        <w:t>from</w:t>
      </w:r>
      <w:proofErr w:type="spellEnd"/>
      <w:r>
        <w:rPr>
          <w:rFonts w:ascii="Candara" w:hAnsi="Candara" w:cs="Arial"/>
          <w:sz w:val="36"/>
          <w:szCs w:val="36"/>
        </w:rPr>
        <w:t xml:space="preserve"> 2015 </w:t>
      </w:r>
      <w:proofErr w:type="spellStart"/>
      <w:r>
        <w:rPr>
          <w:rFonts w:ascii="Candara" w:hAnsi="Candara" w:cs="Arial"/>
          <w:sz w:val="36"/>
          <w:szCs w:val="36"/>
        </w:rPr>
        <w:t>to</w:t>
      </w:r>
      <w:proofErr w:type="spellEnd"/>
      <w:r>
        <w:rPr>
          <w:rFonts w:ascii="Candara" w:hAnsi="Candara" w:cs="Arial"/>
          <w:sz w:val="36"/>
          <w:szCs w:val="36"/>
        </w:rPr>
        <w:t xml:space="preserve"> 2021</w:t>
      </w:r>
    </w:p>
    <w:p w:rsidR="00BB087A" w:rsidRDefault="00BB087A">
      <w:pPr>
        <w:spacing w:after="0" w:line="360" w:lineRule="auto"/>
        <w:jc w:val="both"/>
        <w:rPr>
          <w:rFonts w:ascii="Candara" w:hAnsi="Candara" w:cs="Arial"/>
          <w:sz w:val="36"/>
          <w:szCs w:val="36"/>
        </w:rPr>
      </w:pPr>
    </w:p>
    <w:p w:rsidR="00BB087A" w:rsidRDefault="004C51E8">
      <w:pPr>
        <w:spacing w:after="0" w:line="240" w:lineRule="auto"/>
        <w:jc w:val="both"/>
        <w:rPr>
          <w:rFonts w:ascii="Candara" w:hAnsi="Candara"/>
        </w:rPr>
      </w:pPr>
      <w:r>
        <w:rPr>
          <w:rFonts w:ascii="Candara" w:hAnsi="Candara" w:cs="Arial"/>
          <w:b/>
          <w:bCs/>
          <w:lang w:val="en-US"/>
        </w:rPr>
        <w:t xml:space="preserve">Abstract: </w:t>
      </w:r>
      <w:r>
        <w:rPr>
          <w:rFonts w:ascii="Candara" w:hAnsi="Candara" w:cs="Arial"/>
          <w:lang w:val="en-US"/>
        </w:rPr>
        <w:t xml:space="preserve">The general objective of the work is to analyze the Central-West Constitutional Financing Fund (FCO) with a focus on the development of tourism in </w:t>
      </w:r>
      <w:proofErr w:type="spellStart"/>
      <w:r>
        <w:rPr>
          <w:rFonts w:ascii="Candara" w:hAnsi="Candara" w:cs="Arial"/>
          <w:lang w:val="en-US"/>
        </w:rPr>
        <w:t>Mato</w:t>
      </w:r>
      <w:proofErr w:type="spellEnd"/>
      <w:r>
        <w:rPr>
          <w:rFonts w:ascii="Candara" w:hAnsi="Candara" w:cs="Arial"/>
          <w:lang w:val="en-US"/>
        </w:rPr>
        <w:t xml:space="preserve"> Grosso do </w:t>
      </w:r>
      <w:proofErr w:type="spellStart"/>
      <w:r>
        <w:rPr>
          <w:rFonts w:ascii="Candara" w:hAnsi="Candara" w:cs="Arial"/>
          <w:lang w:val="en-US"/>
        </w:rPr>
        <w:t>Sul</w:t>
      </w:r>
      <w:proofErr w:type="spellEnd"/>
      <w:r>
        <w:rPr>
          <w:rFonts w:ascii="Candara" w:hAnsi="Candara" w:cs="Arial"/>
          <w:lang w:val="en-US"/>
        </w:rPr>
        <w:t xml:space="preserve">. The methodology adopted was bibliographic and documentary research, literature review and secondary data analysis regarding to the FCO in the period from 2015 to 2021, available on the website of Banco do </w:t>
      </w:r>
      <w:proofErr w:type="spellStart"/>
      <w:r>
        <w:rPr>
          <w:rFonts w:ascii="Candara" w:hAnsi="Candara" w:cs="Arial"/>
          <w:lang w:val="en-US"/>
        </w:rPr>
        <w:t>Brasil</w:t>
      </w:r>
      <w:proofErr w:type="spellEnd"/>
      <w:r>
        <w:rPr>
          <w:rFonts w:ascii="Candara" w:hAnsi="Candara" w:cs="Arial"/>
          <w:lang w:val="en-US"/>
        </w:rPr>
        <w:t xml:space="preserve"> and the Central-West Development </w:t>
      </w:r>
      <w:proofErr w:type="spellStart"/>
      <w:r>
        <w:rPr>
          <w:rFonts w:ascii="Candara" w:hAnsi="Candara" w:cs="Arial"/>
          <w:lang w:val="en-US"/>
        </w:rPr>
        <w:t>Superintendency</w:t>
      </w:r>
      <w:proofErr w:type="spellEnd"/>
      <w:r>
        <w:rPr>
          <w:rFonts w:ascii="Candara" w:hAnsi="Candara" w:cs="Arial"/>
          <w:lang w:val="en-US"/>
        </w:rPr>
        <w:t xml:space="preserve"> (SUDECO). </w:t>
      </w:r>
      <w:proofErr w:type="gramStart"/>
      <w:r>
        <w:rPr>
          <w:rFonts w:ascii="Candara" w:hAnsi="Candara" w:cs="Arial"/>
          <w:lang w:val="en-US"/>
        </w:rPr>
        <w:t>The research results highlight the relevance of the FCO for regional development and in particular for the tourism sector, given that government financing allows the consolidation of tourist activities, in addition to promoting environmental protection policies and sustainable development at the same time as development economy of the explored region, in addition, the use of these financial resources generates chain effects in other sectors, such as civil construction, commerce and services, thus creating jobs and income for the population.</w:t>
      </w:r>
      <w:proofErr w:type="gramEnd"/>
    </w:p>
    <w:p w:rsidR="00BB087A" w:rsidRDefault="00BB087A">
      <w:pPr>
        <w:spacing w:after="0" w:line="240" w:lineRule="auto"/>
        <w:jc w:val="both"/>
        <w:rPr>
          <w:rFonts w:ascii="Candara" w:hAnsi="Candara" w:cs="Arial"/>
          <w:b/>
          <w:bCs/>
          <w:lang w:val="en-US"/>
        </w:rPr>
      </w:pPr>
    </w:p>
    <w:p w:rsidR="00BB087A" w:rsidRDefault="004C51E8">
      <w:pPr>
        <w:spacing w:after="0" w:line="240" w:lineRule="auto"/>
        <w:jc w:val="both"/>
        <w:rPr>
          <w:rFonts w:ascii="Candara" w:hAnsi="Candara"/>
        </w:rPr>
      </w:pPr>
      <w:r>
        <w:rPr>
          <w:rFonts w:ascii="Candara" w:hAnsi="Candara" w:cs="Arial"/>
          <w:b/>
          <w:bCs/>
          <w:lang w:val="en-US"/>
        </w:rPr>
        <w:t xml:space="preserve">Key Words: </w:t>
      </w:r>
      <w:r>
        <w:rPr>
          <w:rFonts w:ascii="Candara" w:hAnsi="Candara" w:cs="Arial"/>
          <w:lang w:val="en-US"/>
        </w:rPr>
        <w:t>Public policy; Development; Central-West Constitutional Fund; Tourism.</w:t>
      </w:r>
    </w:p>
    <w:p w:rsidR="00BB087A" w:rsidRDefault="00BB087A">
      <w:pPr>
        <w:spacing w:after="0" w:line="240" w:lineRule="auto"/>
        <w:jc w:val="both"/>
        <w:rPr>
          <w:rFonts w:ascii="Candara" w:hAnsi="Candara"/>
        </w:rPr>
      </w:pPr>
    </w:p>
    <w:p w:rsidR="00BB087A" w:rsidRDefault="00BB087A">
      <w:pPr>
        <w:spacing w:after="0" w:line="240" w:lineRule="auto"/>
        <w:jc w:val="both"/>
        <w:rPr>
          <w:rFonts w:ascii="Candara" w:hAnsi="Candara"/>
        </w:rPr>
      </w:pPr>
    </w:p>
    <w:p w:rsidR="00542451" w:rsidRDefault="00542451">
      <w:pPr>
        <w:spacing w:after="0" w:line="240" w:lineRule="auto"/>
        <w:jc w:val="both"/>
        <w:rPr>
          <w:rFonts w:ascii="Candara" w:hAnsi="Candara"/>
        </w:rPr>
      </w:pPr>
    </w:p>
    <w:p w:rsidR="00542451" w:rsidRDefault="00542451">
      <w:pPr>
        <w:spacing w:after="0" w:line="240" w:lineRule="auto"/>
        <w:jc w:val="both"/>
        <w:rPr>
          <w:rFonts w:ascii="Candara" w:hAnsi="Candara"/>
        </w:rPr>
      </w:pPr>
    </w:p>
    <w:p w:rsidR="00542451" w:rsidRDefault="00542451">
      <w:pPr>
        <w:spacing w:after="0" w:line="240" w:lineRule="auto"/>
        <w:jc w:val="both"/>
        <w:rPr>
          <w:rFonts w:ascii="Candara" w:hAnsi="Candara"/>
        </w:rPr>
      </w:pPr>
    </w:p>
    <w:p w:rsidR="00542451" w:rsidRDefault="00542451">
      <w:pPr>
        <w:spacing w:after="0" w:line="240" w:lineRule="auto"/>
        <w:jc w:val="both"/>
        <w:rPr>
          <w:rFonts w:ascii="Candara" w:hAnsi="Candara"/>
        </w:rPr>
      </w:pPr>
    </w:p>
    <w:p w:rsidR="00BB087A" w:rsidRDefault="00BB087A">
      <w:pPr>
        <w:pStyle w:val="PargrafodaLista"/>
        <w:spacing w:after="0" w:line="240" w:lineRule="auto"/>
        <w:ind w:left="0"/>
        <w:contextualSpacing w:val="0"/>
        <w:jc w:val="both"/>
        <w:rPr>
          <w:rFonts w:ascii="Candara" w:hAnsi="Candara" w:cs="Arial"/>
          <w:b/>
        </w:rPr>
      </w:pPr>
    </w:p>
    <w:p w:rsidR="00BB087A" w:rsidRDefault="004C51E8">
      <w:pPr>
        <w:pStyle w:val="PargrafodaLista"/>
        <w:spacing w:after="119" w:line="360" w:lineRule="auto"/>
        <w:ind w:left="0"/>
        <w:jc w:val="both"/>
        <w:rPr>
          <w:rFonts w:ascii="Candara" w:hAnsi="Candara"/>
          <w:sz w:val="28"/>
          <w:szCs w:val="28"/>
        </w:rPr>
      </w:pPr>
      <w:r>
        <w:rPr>
          <w:rFonts w:ascii="Candara" w:hAnsi="Candara" w:cs="Arial"/>
          <w:b/>
          <w:sz w:val="28"/>
          <w:szCs w:val="28"/>
        </w:rPr>
        <w:lastRenderedPageBreak/>
        <w:tab/>
      </w:r>
      <w:r>
        <w:rPr>
          <w:rFonts w:ascii="Candara" w:hAnsi="Candara" w:cs="Arial"/>
          <w:sz w:val="28"/>
          <w:szCs w:val="28"/>
        </w:rPr>
        <w:t xml:space="preserve">1 Introdução </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O Fundo Constitucional de Financiamento do Centro-Oeste (FCO) é um programa de crédito criado pelo governo federal do Brasil </w:t>
      </w:r>
      <w:r>
        <w:rPr>
          <w:rFonts w:ascii="Candara" w:hAnsi="Candara" w:cs="Arial"/>
          <w:color w:val="000000"/>
          <w:sz w:val="24"/>
          <w:szCs w:val="24"/>
          <w:shd w:val="clear" w:color="auto" w:fill="FFFFFF"/>
        </w:rPr>
        <w:t xml:space="preserve">através da Lei nº 7.827, de 1989, que regulamentou o art. 159, inciso I, alínea “C”, da Constituição Federal com os objetivos de </w:t>
      </w:r>
      <w:r>
        <w:rPr>
          <w:rFonts w:ascii="Candara" w:hAnsi="Candara" w:cs="Arial"/>
          <w:sz w:val="24"/>
          <w:szCs w:val="24"/>
        </w:rPr>
        <w:t>promover o desenvolvimento econômico e social da região Centro-Oeste, reduzir as desigualdades regionais, fortalecer os setores produtivos e estimular a economia local, abrangendo diversos setores, incluindo o turismo. O fundo oferece condições financeiras favoráveis para empreendedores, empresários e produtores rurais, que incentivam a criação e expansão de negócios, a geração de emprego e renda e o aumento da competitividade.</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A importância do FCO para o desenvolvimento do turismo em Mato Grosso do Sul pode ser destacada por diversos motivos, exemplificado por Oliveira (2023) ao citar que, com esse apoio, é possível financiar projetos de infraestrutura turística, como construção e melhorias de estradas, aeroportos, portos, hotéis, centros de convenções e outras instalações que são essenciais para o desenvolvimento do setor.</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As empresas do setor de turismo, como agências de viagens, restaurantes, parques temáticos e atividades de lazer, de acordo com Pires (2017), podem se beneficiar do FCO para expandir suas operações, melhorar a qualidade de seus serviços e contribuir para a diversificação da oferta turística no estado. Além disso, o FCO pode ser direcionado para projetos que promovam práticas sustentáveis no turismo, preservando a biodiversidade e os recursos naturais de Mato Grosso do Sul. Com investimentos adequados, o estado pode promover suas atrações turísticas, aumentando o fluxo de visitantes, beneficiando assim empresas do setor, o comércio e prestadores de serviços.</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lastRenderedPageBreak/>
        <w:t xml:space="preserve">De acordo com </w:t>
      </w:r>
      <w:proofErr w:type="spellStart"/>
      <w:r>
        <w:rPr>
          <w:rFonts w:ascii="Candara" w:hAnsi="Candara" w:cs="Arial"/>
          <w:sz w:val="24"/>
          <w:szCs w:val="24"/>
        </w:rPr>
        <w:t>Simonetti</w:t>
      </w:r>
      <w:proofErr w:type="spellEnd"/>
      <w:r>
        <w:rPr>
          <w:rFonts w:ascii="Candara" w:hAnsi="Candara" w:cs="Arial"/>
          <w:sz w:val="24"/>
          <w:szCs w:val="24"/>
        </w:rPr>
        <w:t xml:space="preserve"> (2007), o investimento por meio do FCO no setor turístico gera empregos diretos e indiretos, contribuindo para o fortalecimento da economia local e proporcionando oportunidades de renda para a população. Ao desenvolver o turismo, Mato Grosso do Sul pode diversificar sua base econômica, reduzindo a dependência de setores tradicionais. Isso torna a região mais </w:t>
      </w:r>
      <w:proofErr w:type="spellStart"/>
      <w:r>
        <w:rPr>
          <w:rFonts w:ascii="Candara" w:hAnsi="Candara" w:cs="Arial"/>
          <w:sz w:val="24"/>
          <w:szCs w:val="24"/>
        </w:rPr>
        <w:t>resiliente</w:t>
      </w:r>
      <w:proofErr w:type="spellEnd"/>
      <w:r>
        <w:rPr>
          <w:rFonts w:ascii="Candara" w:hAnsi="Candara" w:cs="Arial"/>
          <w:sz w:val="24"/>
          <w:szCs w:val="24"/>
        </w:rPr>
        <w:t xml:space="preserve"> a flutuações econômicas e contribui para um desenvolvimento mais equilibrado.</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Dessa forma, como enfatiza </w:t>
      </w:r>
      <w:proofErr w:type="spellStart"/>
      <w:r>
        <w:rPr>
          <w:rFonts w:ascii="Candara" w:hAnsi="Candara" w:cs="Arial"/>
          <w:sz w:val="24"/>
          <w:szCs w:val="24"/>
        </w:rPr>
        <w:t>Simonetti</w:t>
      </w:r>
      <w:proofErr w:type="spellEnd"/>
      <w:r>
        <w:rPr>
          <w:rFonts w:ascii="Candara" w:hAnsi="Candara" w:cs="Arial"/>
          <w:sz w:val="24"/>
          <w:szCs w:val="24"/>
        </w:rPr>
        <w:t xml:space="preserve"> (2007), é importante que os recursos do FCO sejam alocados de maneira estratégica, considerando as especificidades locais e as demandas do setor turístico em Mato Grosso do Sul. Além disso, parcerias entre o governo, setor privado e comunidade local são essenciais para maximizar os impactos positivos do financiamento do FCO no desenvolvimento do turismo regional. </w:t>
      </w:r>
    </w:p>
    <w:p w:rsidR="00BB087A" w:rsidRDefault="004C51E8">
      <w:pPr>
        <w:spacing w:after="0" w:line="360" w:lineRule="auto"/>
        <w:ind w:firstLine="850"/>
        <w:jc w:val="both"/>
      </w:pPr>
      <w:r>
        <w:rPr>
          <w:rFonts w:ascii="Candara" w:hAnsi="Candara" w:cs="Arial"/>
          <w:sz w:val="24"/>
          <w:szCs w:val="24"/>
        </w:rPr>
        <w:t xml:space="preserve">Diante do exposto, a proposta é entender a relação entre o desenvolvimento regional e o financiamento dos projetos turísticos de 2015 até 2021 no Estado, ou seja, o impacto dos recursos destinados aos projetos que visam o desenvolvimento do turismo. De forma geral, </w:t>
      </w:r>
      <w:r>
        <w:rPr>
          <w:rFonts w:ascii="Candara" w:hAnsi="Candara" w:cs="Arial"/>
          <w:sz w:val="24"/>
          <w:szCs w:val="24"/>
          <w:lang w:eastAsia="pt-BR"/>
        </w:rPr>
        <w:t>propõe-se a analisar o Fundo Constitucional de Financiamento do Centro-Oeste (FCO) com foco no desenvolvimento do turismo regional em Mato Grosso do Sul e p</w:t>
      </w:r>
      <w:r>
        <w:rPr>
          <w:rFonts w:ascii="Candara" w:hAnsi="Candara" w:cs="Arial"/>
          <w:sz w:val="24"/>
          <w:szCs w:val="24"/>
        </w:rPr>
        <w:t xml:space="preserve">ara alcançar essa compreensão, serão considerados os objetivos específicos que comporão esta pesquisa: </w:t>
      </w:r>
      <w:r>
        <w:rPr>
          <w:rFonts w:ascii="Candara" w:hAnsi="Candara" w:cs="Arial"/>
          <w:bCs/>
          <w:sz w:val="24"/>
          <w:szCs w:val="24"/>
        </w:rPr>
        <w:t xml:space="preserve">apresentar o FCO como uma política pública importante para o desenvolvimento regional; </w:t>
      </w:r>
      <w:r>
        <w:rPr>
          <w:rStyle w:val="Forte"/>
          <w:rFonts w:ascii="Candara" w:hAnsi="Candara" w:cs="Arial"/>
          <w:b w:val="0"/>
          <w:sz w:val="24"/>
          <w:szCs w:val="24"/>
        </w:rPr>
        <w:t>identificar</w:t>
      </w:r>
      <w:r>
        <w:rPr>
          <w:rFonts w:ascii="Candara" w:hAnsi="Candara" w:cs="Arial"/>
          <w:bCs/>
          <w:sz w:val="24"/>
          <w:szCs w:val="24"/>
        </w:rPr>
        <w:t xml:space="preserve"> os recursos do FCO direcionados para projetos no setor do turismo em Mato Grosso do Sul no período de 2015 a 2021; </w:t>
      </w:r>
      <w:r>
        <w:rPr>
          <w:rStyle w:val="Forte"/>
          <w:rFonts w:ascii="Candara" w:hAnsi="Candara" w:cs="Arial"/>
          <w:b w:val="0"/>
          <w:sz w:val="24"/>
          <w:szCs w:val="24"/>
        </w:rPr>
        <w:t>destacar a relevância d</w:t>
      </w:r>
      <w:r>
        <w:rPr>
          <w:rFonts w:ascii="Candara" w:hAnsi="Candara" w:cs="Arial"/>
          <w:bCs/>
          <w:sz w:val="24"/>
          <w:szCs w:val="24"/>
        </w:rPr>
        <w:t>os financiamentos do FCO em termos de desenvolvimento, geração de emprego e renda.</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lastRenderedPageBreak/>
        <w:t xml:space="preserve">A metodologia adotada foi a pesquisa bibliográfica e documental, com revisão de literatura e análise de dados secundários referente ao FCO, disponíveis em relatórios do Banco do Brasil e da Superintendência do Desenvolvimento do Centro-Oeste (SUDECO). A partir do aporte teórico, intenta-se apresentar uma análise consistente com a realidade sul-mato-grossense e os investimentos setoriais que contribuem e que possam possibilitar o planejamento para investimentos que promovam crescimento econômico na região. </w:t>
      </w:r>
    </w:p>
    <w:p w:rsidR="00BB087A" w:rsidRDefault="004C51E8">
      <w:pPr>
        <w:spacing w:after="119" w:line="360" w:lineRule="auto"/>
        <w:ind w:firstLine="850"/>
        <w:jc w:val="both"/>
        <w:rPr>
          <w:rFonts w:ascii="Candara" w:hAnsi="Candara"/>
          <w:sz w:val="24"/>
          <w:szCs w:val="24"/>
        </w:rPr>
      </w:pPr>
      <w:r>
        <w:rPr>
          <w:rFonts w:ascii="Candara" w:hAnsi="Candara" w:cs="Arial"/>
          <w:sz w:val="24"/>
          <w:szCs w:val="24"/>
        </w:rPr>
        <w:t>O artigo está estruturado em seis seções, incluindo esta introdução. A seção dois é composta pela metodologia. Na seção três apresenta-se uma breve revisão de literatura. Na seção 4 consta a análise dos resultados. Na seção cinco tem-se as considerações finais. Por fim, são elencadas as referências bibliográficas utilizadas na pesquisa.</w:t>
      </w:r>
    </w:p>
    <w:p w:rsidR="00BB087A" w:rsidRDefault="004C51E8">
      <w:pPr>
        <w:spacing w:after="119" w:line="360" w:lineRule="auto"/>
        <w:jc w:val="both"/>
        <w:rPr>
          <w:rFonts w:ascii="Candara" w:hAnsi="Candara"/>
        </w:rPr>
      </w:pPr>
      <w:r>
        <w:rPr>
          <w:rFonts w:ascii="Candara" w:hAnsi="Candara" w:cs="Arial"/>
          <w:sz w:val="28"/>
          <w:szCs w:val="28"/>
        </w:rPr>
        <w:tab/>
        <w:t>2 METODOLOGIA</w:t>
      </w:r>
    </w:p>
    <w:p w:rsidR="003036E6" w:rsidRPr="003036E6" w:rsidRDefault="003036E6" w:rsidP="003036E6">
      <w:pPr>
        <w:spacing w:after="120" w:line="360" w:lineRule="auto"/>
        <w:ind w:firstLine="851"/>
        <w:jc w:val="both"/>
        <w:rPr>
          <w:rFonts w:ascii="Candara" w:hAnsi="Candara" w:cs="Times New Roman"/>
          <w:sz w:val="24"/>
          <w:szCs w:val="24"/>
        </w:rPr>
      </w:pPr>
      <w:r w:rsidRPr="003036E6">
        <w:rPr>
          <w:rFonts w:ascii="Candara" w:hAnsi="Candara" w:cs="Times New Roman"/>
          <w:sz w:val="24"/>
          <w:szCs w:val="24"/>
        </w:rPr>
        <w:t>A metodologia adotada foi a pesquisa bibliográfica, revisão de literatura e análise de dados referente ao</w:t>
      </w:r>
      <w:r w:rsidRPr="003036E6">
        <w:rPr>
          <w:rFonts w:ascii="Candara" w:hAnsi="Candara"/>
          <w:sz w:val="24"/>
          <w:szCs w:val="24"/>
        </w:rPr>
        <w:t xml:space="preserve"> </w:t>
      </w:r>
      <w:r w:rsidRPr="003036E6">
        <w:rPr>
          <w:rFonts w:ascii="Candara" w:hAnsi="Candara"/>
          <w:sz w:val="24"/>
          <w:szCs w:val="24"/>
        </w:rPr>
        <w:t>Fundo Constitucional de Financiamento do Centro-Oeste</w:t>
      </w:r>
      <w:r w:rsidR="004C787C">
        <w:rPr>
          <w:rFonts w:ascii="Candara" w:hAnsi="Candara"/>
          <w:sz w:val="24"/>
          <w:szCs w:val="24"/>
        </w:rPr>
        <w:t xml:space="preserve"> </w:t>
      </w:r>
      <w:r w:rsidRPr="003036E6">
        <w:rPr>
          <w:rFonts w:ascii="Candara" w:hAnsi="Candara"/>
          <w:sz w:val="24"/>
          <w:szCs w:val="24"/>
        </w:rPr>
        <w:t xml:space="preserve">(FCO) </w:t>
      </w:r>
      <w:r w:rsidRPr="003036E6">
        <w:rPr>
          <w:rFonts w:ascii="Candara" w:hAnsi="Candara" w:cs="Times New Roman"/>
          <w:sz w:val="24"/>
          <w:szCs w:val="24"/>
        </w:rPr>
        <w:t>no período de 2015 a 2021, disponíveis na página da Superintendência de</w:t>
      </w:r>
      <w:r>
        <w:rPr>
          <w:rFonts w:ascii="Candara" w:hAnsi="Candara" w:cs="Times New Roman"/>
          <w:sz w:val="24"/>
          <w:szCs w:val="24"/>
        </w:rPr>
        <w:t xml:space="preserve"> d</w:t>
      </w:r>
      <w:r w:rsidRPr="003036E6">
        <w:rPr>
          <w:rFonts w:ascii="Candara" w:hAnsi="Candara" w:cs="Times New Roman"/>
          <w:sz w:val="24"/>
          <w:szCs w:val="24"/>
        </w:rPr>
        <w:t>esenvolvimento do Centro-Oeste (SUDECO).</w:t>
      </w:r>
      <w:r w:rsidR="004C787C" w:rsidRPr="004C787C">
        <w:rPr>
          <w:rFonts w:ascii="Candara" w:hAnsi="Candara" w:cs="Arial"/>
          <w:sz w:val="24"/>
          <w:szCs w:val="24"/>
        </w:rPr>
        <w:t xml:space="preserve"> </w:t>
      </w:r>
      <w:r w:rsidR="004C787C">
        <w:rPr>
          <w:rFonts w:ascii="Candara" w:hAnsi="Candara" w:cs="Arial"/>
          <w:sz w:val="24"/>
          <w:szCs w:val="24"/>
        </w:rPr>
        <w:t xml:space="preserve">Para tanto, utilizou-se os programas </w:t>
      </w:r>
      <w:r w:rsidR="004C787C">
        <w:rPr>
          <w:rFonts w:ascii="Candara" w:hAnsi="Candara" w:cs="Arial"/>
          <w:sz w:val="24"/>
          <w:szCs w:val="24"/>
        </w:rPr>
        <w:t>ou linha de investimento</w:t>
      </w:r>
      <w:r w:rsidR="004C787C">
        <w:rPr>
          <w:rFonts w:ascii="Candara" w:hAnsi="Candara" w:cs="Arial"/>
          <w:sz w:val="24"/>
          <w:szCs w:val="24"/>
        </w:rPr>
        <w:t>s, com ênfase no turismo.</w:t>
      </w:r>
    </w:p>
    <w:p w:rsidR="00BB087A" w:rsidRDefault="004C51E8" w:rsidP="004C787C">
      <w:pPr>
        <w:pStyle w:val="NormalWeb"/>
        <w:shd w:val="clear" w:color="auto" w:fill="FFFFFF"/>
        <w:spacing w:beforeAutospacing="0" w:after="0" w:afterAutospacing="0" w:line="360" w:lineRule="auto"/>
        <w:ind w:firstLine="850"/>
        <w:jc w:val="both"/>
      </w:pPr>
      <w:r>
        <w:rPr>
          <w:rFonts w:ascii="Candara" w:hAnsi="Candara" w:cs="Arial"/>
          <w:sz w:val="24"/>
          <w:szCs w:val="24"/>
        </w:rPr>
        <w:t xml:space="preserve">  </w:t>
      </w:r>
      <w:bookmarkStart w:id="0" w:name="_GoBack"/>
      <w:bookmarkEnd w:id="0"/>
      <w:r>
        <w:rPr>
          <w:rFonts w:ascii="Candara" w:hAnsi="Candara" w:cs="Arial"/>
          <w:sz w:val="24"/>
          <w:szCs w:val="24"/>
        </w:rPr>
        <w:t xml:space="preserve">A pesquisa documental baseou-se na análise de documentos específicos  como os relatórios circunstanciado sobre as atividades desenvolvidas e os resultados obtidos nos exercício analisados, disponíveis na página do Banco do Brasil e relatórios de resultados e pareceres conjunto do Conselho Deliberativo do Desenvolvimento do Centro-Oeste (CONDEL) e </w:t>
      </w:r>
      <w:r>
        <w:rPr>
          <w:rStyle w:val="lecrdtxtpln"/>
          <w:rFonts w:ascii="Candara" w:hAnsi="Candara" w:cs="Arial"/>
          <w:sz w:val="24"/>
          <w:szCs w:val="24"/>
        </w:rPr>
        <w:t xml:space="preserve">Superintendência do Desenvolvimento do Centro-Oeste </w:t>
      </w:r>
      <w:r>
        <w:rPr>
          <w:rStyle w:val="lecrdtxtpln"/>
          <w:rFonts w:ascii="Candara" w:hAnsi="Candara" w:cs="Arial"/>
          <w:sz w:val="24"/>
          <w:szCs w:val="24"/>
        </w:rPr>
        <w:lastRenderedPageBreak/>
        <w:t xml:space="preserve">(SUDECO), disponíveis no portal do FCO, na página da SUDECO e Ministério da Integração e do Desenvolvimento Regional. </w:t>
      </w:r>
      <w:r>
        <w:rPr>
          <w:rFonts w:ascii="Candara" w:hAnsi="Candara" w:cs="Arial"/>
          <w:sz w:val="24"/>
          <w:szCs w:val="24"/>
        </w:rPr>
        <w:t>A pesquisa utiliza dados secundários, ou seja, que já haviam sido coletados, organizados e publicados pelas instituições acima citadas. Esses dados foram essenciais para fornecer uma base sólida de informações e possibilitar as análises comparativas.</w:t>
      </w:r>
    </w:p>
    <w:p w:rsidR="00BB087A" w:rsidRDefault="004C51E8">
      <w:pPr>
        <w:pStyle w:val="PargrafodaLista"/>
        <w:suppressAutoHyphens w:val="0"/>
        <w:spacing w:after="119" w:line="360" w:lineRule="auto"/>
        <w:ind w:left="0"/>
        <w:jc w:val="both"/>
        <w:rPr>
          <w:rFonts w:ascii="Candara" w:hAnsi="Candara" w:cs="Arial"/>
        </w:rPr>
      </w:pPr>
      <w:r>
        <w:rPr>
          <w:rFonts w:ascii="Candara" w:hAnsi="Candara" w:cs="Arial"/>
          <w:sz w:val="28"/>
          <w:szCs w:val="28"/>
        </w:rPr>
        <w:tab/>
        <w:t>3</w:t>
      </w:r>
      <w:bookmarkStart w:id="1" w:name="_Hlk172671331"/>
      <w:r>
        <w:rPr>
          <w:rFonts w:ascii="Candara" w:hAnsi="Candara" w:cs="Arial"/>
          <w:sz w:val="28"/>
          <w:szCs w:val="28"/>
        </w:rPr>
        <w:t xml:space="preserve"> POLÍTICAS PÚBLICAS E O TURISMO</w:t>
      </w:r>
      <w:bookmarkEnd w:id="1"/>
    </w:p>
    <w:p w:rsidR="00BB087A" w:rsidRDefault="004C51E8">
      <w:pPr>
        <w:pStyle w:val="PargrafodaLista"/>
        <w:suppressAutoHyphens w:val="0"/>
        <w:spacing w:after="0" w:line="360" w:lineRule="auto"/>
        <w:ind w:left="0" w:firstLine="850"/>
        <w:contextualSpacing w:val="0"/>
        <w:jc w:val="both"/>
        <w:rPr>
          <w:rFonts w:ascii="Candara" w:hAnsi="Candara"/>
          <w:sz w:val="24"/>
          <w:szCs w:val="24"/>
        </w:rPr>
      </w:pPr>
      <w:r>
        <w:rPr>
          <w:rFonts w:ascii="Candara" w:hAnsi="Candara" w:cs="Arial"/>
          <w:sz w:val="24"/>
          <w:szCs w:val="24"/>
        </w:rPr>
        <w:t xml:space="preserve">O turismo é um fenômeno abrangente que combina pessoas, </w:t>
      </w:r>
      <w:r w:rsidR="000C0A8C">
        <w:rPr>
          <w:rFonts w:ascii="Candara" w:hAnsi="Candara" w:cs="Arial"/>
          <w:sz w:val="24"/>
          <w:szCs w:val="24"/>
        </w:rPr>
        <w:t>atrativos, infraestrutura</w:t>
      </w:r>
      <w:r>
        <w:rPr>
          <w:rFonts w:ascii="Candara" w:hAnsi="Candara" w:cs="Arial"/>
          <w:sz w:val="24"/>
          <w:szCs w:val="24"/>
        </w:rPr>
        <w:t xml:space="preserve">, serviços, experiências, sustentabilidade e governança. A Organização Mundial do Turismo (OMT, 2021) define turismo como “as </w:t>
      </w:r>
      <w:r>
        <w:rPr>
          <w:rFonts w:ascii="Candara" w:hAnsi="Candara" w:cs="Arial"/>
          <w:color w:val="000000"/>
          <w:sz w:val="24"/>
          <w:szCs w:val="24"/>
          <w:shd w:val="clear" w:color="auto" w:fill="FFFFFF"/>
        </w:rPr>
        <w:t>atividades praticadas pelos indivíduos durante as suas viagens e permanências em locais situados fora de seu ambiente habitual, por um período contínuo que não ultrapasse um ano, por motivos de lazer, negócios e outros”.</w:t>
      </w:r>
    </w:p>
    <w:p w:rsidR="00BB087A" w:rsidRDefault="004C51E8">
      <w:pPr>
        <w:pStyle w:val="PargrafodaLista"/>
        <w:suppressAutoHyphens w:val="0"/>
        <w:spacing w:after="0" w:line="360" w:lineRule="auto"/>
        <w:ind w:left="0" w:firstLine="850"/>
        <w:contextualSpacing w:val="0"/>
        <w:jc w:val="both"/>
        <w:rPr>
          <w:rFonts w:ascii="Candara" w:hAnsi="Candara"/>
          <w:sz w:val="24"/>
          <w:szCs w:val="24"/>
        </w:rPr>
      </w:pPr>
      <w:r>
        <w:rPr>
          <w:rFonts w:ascii="Candara" w:hAnsi="Candara" w:cs="Arial"/>
          <w:sz w:val="24"/>
          <w:szCs w:val="24"/>
        </w:rPr>
        <w:t>O turismo desempenha um papel fundamental no desenvolvimento regional ao estimular o crescimento econômico, criar empregos, melhorar a infraestrutura e promover a cultura local. De acordo com o relatório da Organização Mundial do Turismo (OMT, 2018) sobre o Turismo para o Desenvolvimento, o turismo tem um papel significativo no alcance dos Objetivos de Desenvolvimento Sustentável (ODS) e na promoção de um desenvolvimento equilibrado e inclusão social.</w:t>
      </w:r>
    </w:p>
    <w:p w:rsidR="00BB087A" w:rsidRDefault="004C51E8">
      <w:pPr>
        <w:pStyle w:val="PargrafodaLista"/>
        <w:suppressAutoHyphens w:val="0"/>
        <w:spacing w:after="0" w:line="360" w:lineRule="auto"/>
        <w:ind w:left="0" w:firstLine="850"/>
        <w:contextualSpacing w:val="0"/>
        <w:jc w:val="both"/>
        <w:rPr>
          <w:rFonts w:ascii="Candara" w:hAnsi="Candara"/>
          <w:sz w:val="24"/>
          <w:szCs w:val="24"/>
        </w:rPr>
      </w:pPr>
      <w:r>
        <w:rPr>
          <w:rFonts w:ascii="Candara" w:hAnsi="Candara" w:cs="Arial"/>
          <w:sz w:val="24"/>
          <w:szCs w:val="24"/>
        </w:rPr>
        <w:t>O papel do turismo no desenvolvimento vem sendo cada vez mais abordado por estudiosos e governantes, especialmente no contexto regional. No entanto, faz-se necessário planejamento, políticas públicas e uma abordagem sustentável que equilibre os benefícios econômicos com a preservação ambiental e cultural.</w:t>
      </w:r>
    </w:p>
    <w:p w:rsidR="00BB087A" w:rsidRDefault="004C51E8">
      <w:pPr>
        <w:pStyle w:val="PargrafodaLista"/>
        <w:suppressAutoHyphens w:val="0"/>
        <w:spacing w:after="0" w:line="360" w:lineRule="auto"/>
        <w:ind w:left="0" w:firstLine="850"/>
        <w:contextualSpacing w:val="0"/>
        <w:jc w:val="both"/>
      </w:pPr>
      <w:r>
        <w:rPr>
          <w:rFonts w:ascii="Candara" w:hAnsi="Candara" w:cs="Arial"/>
          <w:color w:val="000000"/>
          <w:sz w:val="24"/>
          <w:szCs w:val="24"/>
          <w:shd w:val="clear" w:color="auto" w:fill="FFFFFF"/>
        </w:rPr>
        <w:t xml:space="preserve">No Brasil, os modelos teóricos desenvolvidos nos anos de 1950 influenciaram significativamente na elaboração das políticas e planos de desenvolvimento regional </w:t>
      </w:r>
      <w:r>
        <w:rPr>
          <w:rFonts w:ascii="Candara" w:hAnsi="Candara" w:cs="Arial"/>
          <w:color w:val="000000"/>
          <w:sz w:val="24"/>
          <w:szCs w:val="24"/>
          <w:shd w:val="clear" w:color="auto" w:fill="FFFFFF"/>
        </w:rPr>
        <w:lastRenderedPageBreak/>
        <w:t>(</w:t>
      </w:r>
      <w:proofErr w:type="spellStart"/>
      <w:r>
        <w:rPr>
          <w:rStyle w:val="Forte"/>
          <w:rFonts w:ascii="Candara" w:hAnsi="Candara" w:cs="Arial"/>
          <w:b w:val="0"/>
          <w:bCs w:val="0"/>
          <w:color w:val="000000"/>
          <w:sz w:val="24"/>
          <w:szCs w:val="24"/>
          <w:shd w:val="clear" w:color="auto" w:fill="FFFFFF"/>
        </w:rPr>
        <w:t>Fochezatto</w:t>
      </w:r>
      <w:proofErr w:type="spellEnd"/>
      <w:r>
        <w:rPr>
          <w:rStyle w:val="Forte"/>
          <w:rFonts w:ascii="Candara" w:hAnsi="Candara" w:cs="Arial"/>
          <w:b w:val="0"/>
          <w:bCs w:val="0"/>
          <w:color w:val="000000"/>
          <w:sz w:val="24"/>
          <w:szCs w:val="24"/>
          <w:shd w:val="clear" w:color="auto" w:fill="FFFFFF"/>
        </w:rPr>
        <w:t>, 2010</w:t>
      </w:r>
      <w:r>
        <w:rPr>
          <w:rFonts w:ascii="Candara" w:hAnsi="Candara" w:cs="Arial"/>
          <w:color w:val="000000"/>
          <w:sz w:val="24"/>
          <w:szCs w:val="24"/>
          <w:shd w:val="clear" w:color="auto" w:fill="FFFFFF"/>
        </w:rPr>
        <w:t>). Já havia políticas públicas específicas para algumas regiões desde o império, como no combate às secas no Nordeste, conforme destaca Diniz (2009). Contudo, estas não são consideradas propriamente políticas de desenvolvimento regional, pois atendiam a fins específicos e problemas pontuais das regiões previstas, ou seja, não contemplavam diretrizes de diversificação e dinamização da estrutura econômica social nas regiões às quais estavam relacionadas.</w:t>
      </w:r>
    </w:p>
    <w:p w:rsidR="00BB087A" w:rsidRDefault="004C51E8">
      <w:pPr>
        <w:pStyle w:val="PargrafodaLista"/>
        <w:suppressAutoHyphens w:val="0"/>
        <w:spacing w:after="119" w:line="360" w:lineRule="auto"/>
        <w:ind w:left="0" w:firstLine="850"/>
        <w:contextualSpacing w:val="0"/>
        <w:jc w:val="both"/>
        <w:rPr>
          <w:rFonts w:ascii="Candara" w:hAnsi="Candara"/>
          <w:sz w:val="24"/>
          <w:szCs w:val="24"/>
        </w:rPr>
      </w:pPr>
      <w:r>
        <w:rPr>
          <w:rFonts w:ascii="Candara" w:hAnsi="Candara" w:cs="Arial"/>
          <w:sz w:val="24"/>
          <w:szCs w:val="24"/>
          <w:lang w:eastAsia="pt-BR"/>
        </w:rPr>
        <w:t>Desde a década de 1990, o governo brasileiro tem implementado várias políticas e programas para fomentar o turismo como uma estratégia de desenvolvimento regional. Cruz (2005) destaca:</w:t>
      </w:r>
    </w:p>
    <w:p w:rsidR="00BB087A" w:rsidRDefault="00542451" w:rsidP="00542451">
      <w:pPr>
        <w:suppressAutoHyphens w:val="0"/>
        <w:spacing w:after="0" w:line="240" w:lineRule="auto"/>
        <w:ind w:left="360"/>
        <w:jc w:val="both"/>
        <w:rPr>
          <w:rFonts w:ascii="Candara" w:hAnsi="Candara"/>
          <w:sz w:val="20"/>
          <w:szCs w:val="20"/>
        </w:rPr>
      </w:pPr>
      <w:proofErr w:type="gramStart"/>
      <w:r>
        <w:rPr>
          <w:rFonts w:ascii="Candara" w:hAnsi="Candara" w:cs="Arial"/>
          <w:sz w:val="20"/>
          <w:szCs w:val="20"/>
          <w:lang w:eastAsia="pt-BR"/>
        </w:rPr>
        <w:t>a)</w:t>
      </w:r>
      <w:r w:rsidR="004C51E8">
        <w:rPr>
          <w:rFonts w:ascii="Candara" w:hAnsi="Candara" w:cs="Arial"/>
          <w:sz w:val="20"/>
          <w:szCs w:val="20"/>
          <w:lang w:eastAsia="pt-BR"/>
        </w:rPr>
        <w:t>PRODETUR</w:t>
      </w:r>
      <w:proofErr w:type="gramEnd"/>
      <w:r w:rsidR="004C51E8">
        <w:rPr>
          <w:rFonts w:ascii="Candara" w:hAnsi="Candara" w:cs="Arial"/>
          <w:sz w:val="20"/>
          <w:szCs w:val="20"/>
          <w:lang w:eastAsia="pt-BR"/>
        </w:rPr>
        <w:t>-NE: Focado no desenvolvimento turístico do Nordeste, com investimentos em infraestrutura como aeroportos e estradas para facilitar o acesso e promover o turismo massivo.</w:t>
      </w:r>
    </w:p>
    <w:p w:rsidR="00BB087A" w:rsidRDefault="00542451" w:rsidP="00542451">
      <w:pPr>
        <w:suppressAutoHyphens w:val="0"/>
        <w:spacing w:after="0" w:line="240" w:lineRule="auto"/>
        <w:ind w:left="360"/>
        <w:jc w:val="both"/>
        <w:rPr>
          <w:rFonts w:ascii="Candara" w:hAnsi="Candara"/>
          <w:sz w:val="20"/>
          <w:szCs w:val="20"/>
        </w:rPr>
      </w:pPr>
      <w:proofErr w:type="gramStart"/>
      <w:r>
        <w:rPr>
          <w:rFonts w:ascii="Candara" w:hAnsi="Candara" w:cs="Arial"/>
          <w:sz w:val="20"/>
          <w:szCs w:val="20"/>
          <w:lang w:eastAsia="pt-BR"/>
        </w:rPr>
        <w:t>b)</w:t>
      </w:r>
      <w:r w:rsidR="004C51E8">
        <w:rPr>
          <w:rFonts w:ascii="Candara" w:hAnsi="Candara" w:cs="Arial"/>
          <w:sz w:val="20"/>
          <w:szCs w:val="20"/>
          <w:lang w:eastAsia="pt-BR"/>
        </w:rPr>
        <w:t>Política</w:t>
      </w:r>
      <w:proofErr w:type="gramEnd"/>
      <w:r w:rsidR="004C51E8">
        <w:rPr>
          <w:rFonts w:ascii="Candara" w:hAnsi="Candara" w:cs="Arial"/>
          <w:sz w:val="20"/>
          <w:szCs w:val="20"/>
          <w:lang w:eastAsia="pt-BR"/>
        </w:rPr>
        <w:t xml:space="preserve"> Nacional de Ecoturismo e PROECOTUR: Visando promover o ecoturismo e a sustentabilidade ambiental, especialmente na Amazônia Legal.</w:t>
      </w:r>
    </w:p>
    <w:p w:rsidR="00BB087A" w:rsidRDefault="00542451" w:rsidP="00542451">
      <w:pPr>
        <w:suppressAutoHyphens w:val="0"/>
        <w:spacing w:after="119" w:line="240" w:lineRule="auto"/>
        <w:ind w:left="360"/>
        <w:jc w:val="both"/>
        <w:rPr>
          <w:rFonts w:ascii="Candara" w:hAnsi="Candara"/>
          <w:sz w:val="20"/>
          <w:szCs w:val="20"/>
        </w:rPr>
      </w:pPr>
      <w:proofErr w:type="gramStart"/>
      <w:r>
        <w:rPr>
          <w:rFonts w:ascii="Candara" w:hAnsi="Candara" w:cs="Arial"/>
          <w:sz w:val="20"/>
          <w:szCs w:val="20"/>
          <w:lang w:eastAsia="pt-BR"/>
        </w:rPr>
        <w:t>b)</w:t>
      </w:r>
      <w:r w:rsidR="004C51E8">
        <w:rPr>
          <w:rFonts w:ascii="Candara" w:hAnsi="Candara" w:cs="Arial"/>
          <w:sz w:val="20"/>
          <w:szCs w:val="20"/>
          <w:lang w:eastAsia="pt-BR"/>
        </w:rPr>
        <w:t>Plano</w:t>
      </w:r>
      <w:proofErr w:type="gramEnd"/>
      <w:r w:rsidR="004C51E8">
        <w:rPr>
          <w:rFonts w:ascii="Candara" w:hAnsi="Candara" w:cs="Arial"/>
          <w:sz w:val="20"/>
          <w:szCs w:val="20"/>
          <w:lang w:eastAsia="pt-BR"/>
        </w:rPr>
        <w:t xml:space="preserve"> Nacional de Turismo 2003-2007: Continuou os esforços dos governos anteriores para melhorar a infraestrutura turística e diversificar a oferta de produtos turísticos​.</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As políticas públicas em turismo compreendem as decisões e ações relativas à alocação de valores que se encontram amparadas legalmente nos programas, projetos, planos, metas e orçamentos dos poderes públicos (federal, estadual ou </w:t>
      </w:r>
      <w:proofErr w:type="gramStart"/>
      <w:r>
        <w:rPr>
          <w:rFonts w:ascii="Candara" w:hAnsi="Candara" w:cs="Arial"/>
          <w:sz w:val="24"/>
          <w:szCs w:val="24"/>
        </w:rPr>
        <w:t>municipal</w:t>
      </w:r>
      <w:proofErr w:type="gramEnd"/>
      <w:r>
        <w:rPr>
          <w:rFonts w:ascii="Candara" w:hAnsi="Candara" w:cs="Arial"/>
          <w:sz w:val="24"/>
          <w:szCs w:val="24"/>
        </w:rPr>
        <w:t xml:space="preserve">) referentes ao turismo. Por incorporar um amplo conjunto de atividades, da competência de diferentes atores e agências estatais e privadas, as políticas públicas em turismo são, por excelência, </w:t>
      </w:r>
      <w:proofErr w:type="spellStart"/>
      <w:r>
        <w:rPr>
          <w:rFonts w:ascii="Candara" w:hAnsi="Candara" w:cs="Arial"/>
          <w:sz w:val="24"/>
          <w:szCs w:val="24"/>
        </w:rPr>
        <w:t>multi</w:t>
      </w:r>
      <w:r w:rsidR="000E0582">
        <w:rPr>
          <w:rFonts w:ascii="Candara" w:hAnsi="Candara" w:cs="Arial"/>
          <w:sz w:val="24"/>
          <w:szCs w:val="24"/>
        </w:rPr>
        <w:t>s</w:t>
      </w:r>
      <w:r>
        <w:rPr>
          <w:rFonts w:ascii="Candara" w:hAnsi="Candara" w:cs="Arial"/>
          <w:sz w:val="24"/>
          <w:szCs w:val="24"/>
        </w:rPr>
        <w:t>setoriais</w:t>
      </w:r>
      <w:proofErr w:type="spellEnd"/>
      <w:r>
        <w:rPr>
          <w:rFonts w:ascii="Candara" w:hAnsi="Candara" w:cs="Arial"/>
          <w:sz w:val="24"/>
          <w:szCs w:val="24"/>
        </w:rPr>
        <w:t xml:space="preserve"> e, na sua implementação, tornam-se extremamente complexas. Este, aliás, tem sido um dos motivos das dificuldades de sua implementação, como apontado por Beni (2006). Assim, em outras políticas setoriais, pode-se encontrar programas, projetos e atividades com forte rebatimento sobre o turismo, como é o caso da infraestrutura, das políticas </w:t>
      </w:r>
      <w:r>
        <w:rPr>
          <w:rFonts w:ascii="Candara" w:hAnsi="Candara" w:cs="Arial"/>
          <w:sz w:val="24"/>
          <w:szCs w:val="24"/>
        </w:rPr>
        <w:lastRenderedPageBreak/>
        <w:t>urbanas, de desenvolvimento regional, de emprego e renda e, mais recentemente, de preservação ambiental e do patrimônio histórico-cultural.</w:t>
      </w:r>
    </w:p>
    <w:p w:rsidR="00BB087A" w:rsidRDefault="004C51E8">
      <w:pPr>
        <w:spacing w:after="119" w:line="360" w:lineRule="auto"/>
        <w:ind w:firstLine="850"/>
        <w:jc w:val="both"/>
        <w:rPr>
          <w:rFonts w:ascii="Candara" w:hAnsi="Candara"/>
          <w:sz w:val="24"/>
          <w:szCs w:val="24"/>
        </w:rPr>
      </w:pPr>
      <w:r>
        <w:rPr>
          <w:rFonts w:ascii="Candara" w:hAnsi="Candara" w:cs="Arial"/>
          <w:sz w:val="24"/>
          <w:szCs w:val="24"/>
        </w:rPr>
        <w:t>As políticas públicas são fundamentais para o desenvolvimento do turismo, pois estabelecem diretrizes e normas que regulam e promovem a atividade turística de forma organizada e sustentável. Elas são essenciais para criar um ambiente favorável ao crescimento econômico, gerando empregos e renda, além de atrair investimentos que melhoram a infraestrutura local. Além disso, políticas públicas bem elaboradas garantem a preservação dos recursos naturais e culturais, promovendo o turismo sustentável e a valorização das comunidades locais. Através da coordenação e integração entre diferentes níveis de governo e setores da sociedade, as políticas públicas asseguram que os benefícios do turismo sejam distribuídos de maneira equitativa, contribuindo para a inclusão social e o desenvolvimento regional.</w:t>
      </w:r>
    </w:p>
    <w:p w:rsidR="00BB087A" w:rsidRDefault="004C51E8">
      <w:pPr>
        <w:suppressAutoHyphens w:val="0"/>
        <w:spacing w:after="119" w:line="360" w:lineRule="auto"/>
        <w:ind w:left="850"/>
        <w:jc w:val="both"/>
      </w:pPr>
      <w:r>
        <w:rPr>
          <w:rFonts w:ascii="Candara" w:hAnsi="Candara" w:cs="Arial"/>
          <w:color w:val="000000"/>
          <w:sz w:val="28"/>
          <w:szCs w:val="28"/>
          <w:shd w:val="clear" w:color="auto" w:fill="FFFFFF"/>
        </w:rPr>
        <w:t xml:space="preserve">4 </w:t>
      </w:r>
      <w:bookmarkStart w:id="2" w:name="_Hlk172671222"/>
      <w:r>
        <w:rPr>
          <w:rFonts w:ascii="Candara" w:hAnsi="Candara" w:cs="Arial"/>
          <w:color w:val="000000"/>
          <w:sz w:val="28"/>
          <w:szCs w:val="28"/>
          <w:shd w:val="clear" w:color="auto" w:fill="FFFFFF"/>
        </w:rPr>
        <w:t>Fundo Constitucional do Centro Oeste (FCO)</w:t>
      </w:r>
      <w:bookmarkEnd w:id="2"/>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Com objetivo de contribuir para o desenvolvimento econômico e social do MS, o FCO (Fundo Constitucional do Centro Oeste) é o recurso que beneficia empresas e produtores rurais que desejam implantar, ampliar, modernizar ou realocar seus empreendimentos. De acordo com Monteiro (2011), o FCO é o fundo que promove estabilidade a regiões em desenvolvimento e fornece o apoio financeiro que estas necessitam para se consolidar enquanto atividade.</w:t>
      </w:r>
    </w:p>
    <w:p w:rsidR="00BB087A" w:rsidRDefault="004C51E8">
      <w:pPr>
        <w:pStyle w:val="PargrafodaLista"/>
        <w:suppressAutoHyphens w:val="0"/>
        <w:spacing w:after="119" w:line="360" w:lineRule="auto"/>
        <w:ind w:left="0" w:firstLine="850"/>
        <w:contextualSpacing w:val="0"/>
        <w:jc w:val="both"/>
        <w:rPr>
          <w:rFonts w:ascii="Candara" w:hAnsi="Candara"/>
          <w:sz w:val="24"/>
          <w:szCs w:val="24"/>
        </w:rPr>
      </w:pPr>
      <w:r>
        <w:rPr>
          <w:rFonts w:ascii="Candara" w:hAnsi="Candara" w:cs="Arial"/>
          <w:sz w:val="24"/>
          <w:szCs w:val="24"/>
        </w:rPr>
        <w:t>Para a concessão de financiamento através do FCO, é preciso que o requerente do financiamento se enquadre em um dos programas ou linha de investimento, sendo elas:</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lastRenderedPageBreak/>
        <w:t>Programa de FCO Empresarial</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a. Linha de Financiamento de Desenvolvimento Industrial;</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b. Linha de Financiamento de Infraestrutura Econômica;</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c. Linha de Financiamento de Desenvolvimento do Turismo Regional;</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d. Linha de Financiamento de Desenvolvimento dos Setores Comercial e de Serviços; e</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e. Linha de Financiamento de Ciência, Tecnologia e Inovação.</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Programa de FCO Rural</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f. Linha de financiamento de Desenvolvimento Rural; e</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g. FCO Verde</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Programa Nacional de Fortalecimento da Agricultura Familiar (PRONAF);</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Financiamento Estudantil (PFIES);</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 xml:space="preserve">Financiamento de micro e </w:t>
      </w:r>
      <w:proofErr w:type="spellStart"/>
      <w:r>
        <w:rPr>
          <w:rStyle w:val="textrun"/>
          <w:rFonts w:ascii="Candara" w:hAnsi="Candara" w:cs="Arial"/>
          <w:sz w:val="20"/>
          <w:szCs w:val="20"/>
        </w:rPr>
        <w:t>minigeração</w:t>
      </w:r>
      <w:proofErr w:type="spellEnd"/>
      <w:r>
        <w:rPr>
          <w:rStyle w:val="textrun"/>
          <w:rFonts w:ascii="Candara" w:hAnsi="Candara" w:cs="Arial"/>
          <w:sz w:val="20"/>
          <w:szCs w:val="20"/>
        </w:rPr>
        <w:t xml:space="preserve"> de energia elétrica para pessoa física;</w:t>
      </w:r>
    </w:p>
    <w:p w:rsidR="00BB087A" w:rsidRDefault="004C51E8">
      <w:pPr>
        <w:pStyle w:val="paragraph"/>
        <w:shd w:val="clear" w:color="auto" w:fill="FFFFFF"/>
        <w:spacing w:beforeAutospacing="0" w:after="0" w:afterAutospacing="0" w:line="240" w:lineRule="auto"/>
        <w:jc w:val="both"/>
        <w:textAlignment w:val="baseline"/>
      </w:pPr>
      <w:r>
        <w:rPr>
          <w:rStyle w:val="textrun"/>
          <w:rFonts w:ascii="Candara" w:hAnsi="Candara" w:cs="Arial"/>
          <w:sz w:val="20"/>
          <w:szCs w:val="20"/>
        </w:rPr>
        <w:t>Financiamento de Microcrédito Produtivo Orientado (PNMPO); e</w:t>
      </w:r>
    </w:p>
    <w:p w:rsidR="00BB087A" w:rsidRDefault="004C51E8">
      <w:pPr>
        <w:pStyle w:val="paragraph"/>
        <w:shd w:val="clear" w:color="auto" w:fill="FFFFFF"/>
        <w:spacing w:beforeAutospacing="0" w:after="119" w:afterAutospacing="0" w:line="240" w:lineRule="auto"/>
        <w:jc w:val="both"/>
        <w:textAlignment w:val="baseline"/>
      </w:pPr>
      <w:r>
        <w:rPr>
          <w:rStyle w:val="textrun"/>
          <w:rFonts w:ascii="Candara" w:hAnsi="Candara" w:cs="Arial"/>
          <w:sz w:val="20"/>
          <w:szCs w:val="20"/>
        </w:rPr>
        <w:t>Programas de FCO para Repasse (Banco do Brasil/FCO, 2023).</w:t>
      </w:r>
    </w:p>
    <w:p w:rsidR="00BB087A" w:rsidRDefault="004C51E8">
      <w:pPr>
        <w:pStyle w:val="PargrafodaLista"/>
        <w:suppressAutoHyphens w:val="0"/>
        <w:spacing w:after="119" w:line="360" w:lineRule="auto"/>
        <w:ind w:left="0" w:firstLine="850"/>
        <w:contextualSpacing w:val="0"/>
        <w:jc w:val="both"/>
        <w:rPr>
          <w:rFonts w:ascii="Candara" w:hAnsi="Candara"/>
          <w:sz w:val="24"/>
          <w:szCs w:val="24"/>
        </w:rPr>
      </w:pPr>
      <w:r>
        <w:rPr>
          <w:rFonts w:ascii="Candara" w:hAnsi="Candara" w:cs="Arial"/>
          <w:sz w:val="24"/>
          <w:szCs w:val="24"/>
        </w:rPr>
        <w:t xml:space="preserve"> De acordo com </w:t>
      </w:r>
      <w:proofErr w:type="spellStart"/>
      <w:r>
        <w:rPr>
          <w:rFonts w:ascii="Candara" w:hAnsi="Candara" w:cs="Arial"/>
          <w:sz w:val="24"/>
          <w:szCs w:val="24"/>
        </w:rPr>
        <w:t>Bartik</w:t>
      </w:r>
      <w:proofErr w:type="spellEnd"/>
      <w:r>
        <w:rPr>
          <w:rFonts w:ascii="Candara" w:hAnsi="Candara" w:cs="Arial"/>
          <w:sz w:val="24"/>
          <w:szCs w:val="24"/>
        </w:rPr>
        <w:t xml:space="preserve"> e </w:t>
      </w:r>
      <w:proofErr w:type="spellStart"/>
      <w:r>
        <w:rPr>
          <w:rFonts w:ascii="Candara" w:hAnsi="Candara" w:cs="Arial"/>
          <w:sz w:val="24"/>
          <w:szCs w:val="24"/>
        </w:rPr>
        <w:t>Bingham</w:t>
      </w:r>
      <w:proofErr w:type="spellEnd"/>
      <w:r>
        <w:rPr>
          <w:rFonts w:ascii="Candara" w:hAnsi="Candara" w:cs="Arial"/>
          <w:sz w:val="24"/>
          <w:szCs w:val="24"/>
        </w:rPr>
        <w:t xml:space="preserve"> (2005), a partir do momento que se estabelece o financiamento, ocorrem avaliações de políticas ou programas, podendo ser entendidas como um processo contínuo que verifica e monitora as tarefas diárias e das atividades do programa, visando medir o impacto das intervenções. No contexto da avaliação dos fundos constitucionais, é importante salientar a existência de poucos estudos que buscam avaliar os impactos econômicos e sociais, que é o que acontece no caso do FCO.</w:t>
      </w:r>
    </w:p>
    <w:p w:rsidR="00BB087A" w:rsidRDefault="004C51E8">
      <w:pPr>
        <w:spacing w:after="119" w:line="360" w:lineRule="auto"/>
        <w:ind w:left="850"/>
        <w:jc w:val="both"/>
      </w:pPr>
      <w:r>
        <w:rPr>
          <w:rFonts w:ascii="Candara" w:hAnsi="Candara" w:cs="Arial"/>
          <w:sz w:val="28"/>
          <w:szCs w:val="28"/>
        </w:rPr>
        <w:t>4.1</w:t>
      </w:r>
      <w:bookmarkStart w:id="3" w:name="_Hlk172671585"/>
      <w:r>
        <w:rPr>
          <w:rFonts w:ascii="Candara" w:hAnsi="Candara" w:cs="Arial"/>
          <w:sz w:val="28"/>
          <w:szCs w:val="28"/>
        </w:rPr>
        <w:t xml:space="preserve"> O FCO e o desenvolvimento regional</w:t>
      </w:r>
      <w:bookmarkEnd w:id="3"/>
    </w:p>
    <w:p w:rsidR="00BB087A" w:rsidRDefault="004C51E8">
      <w:pPr>
        <w:pStyle w:val="PargrafodaLista"/>
        <w:suppressAutoHyphens w:val="0"/>
        <w:spacing w:after="0" w:line="360" w:lineRule="auto"/>
        <w:ind w:left="0" w:firstLine="850"/>
        <w:contextualSpacing w:val="0"/>
        <w:jc w:val="both"/>
        <w:rPr>
          <w:rFonts w:ascii="Candara" w:hAnsi="Candara"/>
          <w:sz w:val="24"/>
          <w:szCs w:val="24"/>
        </w:rPr>
      </w:pPr>
      <w:r>
        <w:rPr>
          <w:rFonts w:ascii="Candara" w:hAnsi="Candara" w:cs="Arial"/>
          <w:sz w:val="24"/>
          <w:szCs w:val="24"/>
        </w:rPr>
        <w:t xml:space="preserve">Com dados municipais, Oliveira e Domingues (2005) investigaram o impacto do FCO sobre crescimento da renda domiciliar per capita nos municípios sul-mato-grossense, levando a destacar três evidências. A primeira consideração é dos recursos do fundo, pois está correlacionado positivamente com a atividade econômica e indicadores sociais, como a escolaridade, o Índice de Desenvolvimento Humano (IDH) e expectativa de vida. </w:t>
      </w:r>
    </w:p>
    <w:p w:rsidR="00BB087A" w:rsidRDefault="004C51E8">
      <w:pPr>
        <w:pStyle w:val="PargrafodaLista"/>
        <w:suppressAutoHyphens w:val="0"/>
        <w:spacing w:after="0" w:line="360" w:lineRule="auto"/>
        <w:ind w:left="0" w:firstLine="850"/>
        <w:contextualSpacing w:val="0"/>
        <w:jc w:val="both"/>
        <w:rPr>
          <w:rFonts w:ascii="Candara" w:hAnsi="Candara"/>
          <w:sz w:val="24"/>
          <w:szCs w:val="24"/>
        </w:rPr>
      </w:pPr>
      <w:r>
        <w:rPr>
          <w:rFonts w:ascii="Candara" w:hAnsi="Candara" w:cs="Arial"/>
          <w:sz w:val="24"/>
          <w:szCs w:val="24"/>
        </w:rPr>
        <w:lastRenderedPageBreak/>
        <w:t xml:space="preserve">Os dados gerais evidenciados pelos indicadores de desenvolvimento de uma região, apontam para uma concentração do crédito naquelas regiões que apresentam maior desenvolvimento econômico, maior preferência pela liquidez. Por sua vez, Macedo e Mattos (2008) destacam que, por mais que se usem os recursos públicos do FCO para estimular os investimentos privados, sua capacidade de configurar-se como instrumento de política regional é limitada, uma vez que aumenta a concentração da renda. </w:t>
      </w:r>
    </w:p>
    <w:p w:rsidR="00BB087A" w:rsidRDefault="004C51E8">
      <w:pPr>
        <w:pStyle w:val="PargrafodaLista"/>
        <w:suppressAutoHyphens w:val="0"/>
        <w:spacing w:after="119" w:line="360" w:lineRule="auto"/>
        <w:ind w:left="0" w:firstLine="850"/>
        <w:contextualSpacing w:val="0"/>
        <w:jc w:val="both"/>
        <w:rPr>
          <w:rFonts w:ascii="Candara" w:hAnsi="Candara"/>
          <w:sz w:val="24"/>
          <w:szCs w:val="24"/>
        </w:rPr>
      </w:pPr>
      <w:r>
        <w:rPr>
          <w:rFonts w:ascii="Candara" w:hAnsi="Candara" w:cs="Arial"/>
          <w:sz w:val="24"/>
          <w:szCs w:val="24"/>
        </w:rPr>
        <w:t>De acordo com Peixoto (2012), os maiores impactos do FCO são sentidos em áreas específicas da sociedade, destacando-se o que segue:</w:t>
      </w:r>
    </w:p>
    <w:p w:rsidR="00BB087A" w:rsidRDefault="004C51E8">
      <w:pPr>
        <w:pStyle w:val="PargrafodaLista"/>
        <w:suppressAutoHyphens w:val="0"/>
        <w:spacing w:after="0" w:line="240" w:lineRule="auto"/>
        <w:ind w:left="0"/>
        <w:contextualSpacing w:val="0"/>
        <w:jc w:val="both"/>
        <w:rPr>
          <w:rFonts w:ascii="Candara" w:hAnsi="Candara"/>
          <w:sz w:val="20"/>
          <w:szCs w:val="20"/>
        </w:rPr>
      </w:pPr>
      <w:r>
        <w:rPr>
          <w:rFonts w:ascii="Candara" w:hAnsi="Candara" w:cs="Arial"/>
          <w:sz w:val="20"/>
          <w:szCs w:val="20"/>
        </w:rPr>
        <w:t xml:space="preserve">1) Projetos de apoio à agricultura familiar, incluídos os beneficiários da política de Reforma Agrária, aos minis e pequenos produtores rurais e às micro e pequenas empresas, suas cooperativas e associações. </w:t>
      </w:r>
    </w:p>
    <w:p w:rsidR="00BB087A" w:rsidRDefault="004C51E8">
      <w:pPr>
        <w:pStyle w:val="PargrafodaLista"/>
        <w:suppressAutoHyphens w:val="0"/>
        <w:spacing w:after="0" w:line="240" w:lineRule="auto"/>
        <w:ind w:left="0"/>
        <w:contextualSpacing w:val="0"/>
        <w:jc w:val="both"/>
        <w:rPr>
          <w:rFonts w:ascii="Candara" w:hAnsi="Candara"/>
          <w:sz w:val="20"/>
          <w:szCs w:val="20"/>
        </w:rPr>
      </w:pPr>
      <w:r>
        <w:rPr>
          <w:rFonts w:ascii="Candara" w:hAnsi="Candara" w:cs="Arial"/>
          <w:sz w:val="20"/>
          <w:szCs w:val="20"/>
        </w:rPr>
        <w:t xml:space="preserve">2) Projetos com alto grau de geração de emprego e renda e/ou da economia solidária que contribuam para a dinamização do mercado local e a redução das desigualdades </w:t>
      </w:r>
      <w:proofErr w:type="spellStart"/>
      <w:r>
        <w:rPr>
          <w:rFonts w:ascii="Candara" w:hAnsi="Candara" w:cs="Arial"/>
          <w:sz w:val="20"/>
          <w:szCs w:val="20"/>
        </w:rPr>
        <w:t>intra</w:t>
      </w:r>
      <w:proofErr w:type="spellEnd"/>
      <w:r>
        <w:rPr>
          <w:rFonts w:ascii="Candara" w:hAnsi="Candara" w:cs="Arial"/>
          <w:sz w:val="20"/>
          <w:szCs w:val="20"/>
        </w:rPr>
        <w:t xml:space="preserve"> e inter-regionais. </w:t>
      </w:r>
    </w:p>
    <w:p w:rsidR="00BB087A" w:rsidRDefault="004C51E8">
      <w:pPr>
        <w:pStyle w:val="PargrafodaLista"/>
        <w:suppressAutoHyphens w:val="0"/>
        <w:spacing w:after="0" w:line="240" w:lineRule="auto"/>
        <w:ind w:left="0"/>
        <w:contextualSpacing w:val="0"/>
        <w:jc w:val="both"/>
        <w:rPr>
          <w:rFonts w:ascii="Candara" w:hAnsi="Candara"/>
          <w:sz w:val="20"/>
          <w:szCs w:val="20"/>
        </w:rPr>
      </w:pPr>
      <w:r>
        <w:rPr>
          <w:rFonts w:ascii="Candara" w:hAnsi="Candara" w:cs="Arial"/>
          <w:sz w:val="20"/>
          <w:szCs w:val="20"/>
        </w:rPr>
        <w:t xml:space="preserve">3) Projetos voltados para a preservação e a recuperação do meio ambiente, em especial, para reflorestamento/recomposição de matas ciliares e recuperação de áreas degradadas. </w:t>
      </w:r>
    </w:p>
    <w:p w:rsidR="00BB087A" w:rsidRDefault="004C51E8">
      <w:pPr>
        <w:pStyle w:val="PargrafodaLista"/>
        <w:suppressAutoHyphens w:val="0"/>
        <w:spacing w:after="0" w:line="240" w:lineRule="auto"/>
        <w:ind w:left="0"/>
        <w:contextualSpacing w:val="0"/>
        <w:jc w:val="both"/>
        <w:rPr>
          <w:rFonts w:ascii="Candara" w:hAnsi="Candara"/>
          <w:sz w:val="20"/>
          <w:szCs w:val="20"/>
        </w:rPr>
      </w:pPr>
      <w:r>
        <w:rPr>
          <w:rFonts w:ascii="Candara" w:hAnsi="Candara" w:cs="Arial"/>
          <w:sz w:val="20"/>
          <w:szCs w:val="20"/>
        </w:rPr>
        <w:t xml:space="preserve">4) Projetos que utilizam tecnologias inovadoras e/ou contribuam para geração e difusão de novas tecnologias nos setores empresarial e agropecuário, inclusive projetos agropecuários de produção integrada. </w:t>
      </w:r>
    </w:p>
    <w:p w:rsidR="00BB087A" w:rsidRDefault="004C51E8">
      <w:pPr>
        <w:pStyle w:val="PargrafodaLista"/>
        <w:suppressAutoHyphens w:val="0"/>
        <w:spacing w:after="119" w:line="240" w:lineRule="auto"/>
        <w:ind w:left="0"/>
        <w:contextualSpacing w:val="0"/>
        <w:jc w:val="both"/>
        <w:rPr>
          <w:rFonts w:ascii="Candara" w:hAnsi="Candara"/>
          <w:sz w:val="20"/>
          <w:szCs w:val="20"/>
        </w:rPr>
      </w:pPr>
      <w:r>
        <w:rPr>
          <w:rFonts w:ascii="Candara" w:hAnsi="Candara" w:cs="Arial"/>
          <w:sz w:val="20"/>
          <w:szCs w:val="20"/>
        </w:rPr>
        <w:t xml:space="preserve">5) Projetos do setor de turismo, especialmente para implantação, expansão e modernização de empreendimentos turísticos nas cidades de fronteira (Peixoto, 2012). </w:t>
      </w:r>
    </w:p>
    <w:p w:rsidR="00BB087A" w:rsidRDefault="004C51E8">
      <w:pPr>
        <w:suppressAutoHyphens w:val="0"/>
        <w:spacing w:after="0" w:line="360" w:lineRule="auto"/>
        <w:ind w:firstLine="850"/>
        <w:jc w:val="both"/>
        <w:rPr>
          <w:rFonts w:ascii="Candara" w:hAnsi="Candara"/>
          <w:sz w:val="24"/>
          <w:szCs w:val="24"/>
        </w:rPr>
      </w:pPr>
      <w:r>
        <w:rPr>
          <w:rFonts w:ascii="Candara" w:hAnsi="Candara" w:cs="Arial"/>
          <w:bCs/>
          <w:sz w:val="24"/>
          <w:szCs w:val="24"/>
        </w:rPr>
        <w:t>Tenha-se em vista que, conforme destaca Terra (2006), o fundo é destinado a promover o desenvolvimento econômico e social da região Centro-Oeste do país, sendo que a característica do FCO é se tratar de um dos fundos constitucionais criados para apoiar regiões específicas do Brasil.</w:t>
      </w:r>
    </w:p>
    <w:p w:rsidR="00BB087A" w:rsidRDefault="004C51E8">
      <w:pPr>
        <w:suppressAutoHyphens w:val="0"/>
        <w:spacing w:after="0" w:line="360" w:lineRule="auto"/>
        <w:ind w:firstLine="850"/>
        <w:jc w:val="both"/>
        <w:rPr>
          <w:rFonts w:ascii="Candara" w:hAnsi="Candara"/>
          <w:sz w:val="24"/>
          <w:szCs w:val="24"/>
        </w:rPr>
      </w:pPr>
      <w:r>
        <w:rPr>
          <w:rFonts w:ascii="Candara" w:hAnsi="Candara" w:cs="Arial"/>
          <w:bCs/>
          <w:sz w:val="24"/>
          <w:szCs w:val="24"/>
        </w:rPr>
        <w:t>De acordo com Tavares (2016), fundos com essa característica são instituídos com base na Constituição brasileira e têm como objetivo reduzir as disparidades re</w:t>
      </w:r>
      <w:r>
        <w:rPr>
          <w:rFonts w:ascii="Candara" w:hAnsi="Candara" w:cs="Arial"/>
          <w:bCs/>
          <w:sz w:val="24"/>
          <w:szCs w:val="24"/>
        </w:rPr>
        <w:lastRenderedPageBreak/>
        <w:t>gionais e promover o desenvolvimento equilibrado entre diferentes estados e regiões. O FCO, em especial, tem como foco fornecer recursos financeiros para projetos e iniciativas que contribuam para o desenvolvimento da região.</w:t>
      </w:r>
    </w:p>
    <w:p w:rsidR="00BB087A" w:rsidRDefault="004C51E8">
      <w:pPr>
        <w:suppressAutoHyphens w:val="0"/>
        <w:spacing w:before="119" w:after="0" w:line="360" w:lineRule="auto"/>
        <w:ind w:firstLine="850"/>
        <w:jc w:val="both"/>
        <w:rPr>
          <w:rFonts w:ascii="Candara" w:hAnsi="Candara"/>
          <w:sz w:val="24"/>
          <w:szCs w:val="24"/>
        </w:rPr>
      </w:pPr>
      <w:r>
        <w:rPr>
          <w:rFonts w:ascii="Candara" w:hAnsi="Candara" w:cs="Arial"/>
          <w:bCs/>
          <w:sz w:val="24"/>
          <w:szCs w:val="24"/>
        </w:rPr>
        <w:t>Normalmente, os fundos são utilizados para financiar diversas atividades econômicas, tais como agricultura, indústria, comércio e projetos de infraestruturas, como destaca Hall (2004). Sendo assim, firme-se que o objetivo é estimular o crescimento econômico, criar empregos e melhorar a qualidade de vida geral nas regiões apoiadas.</w:t>
      </w:r>
    </w:p>
    <w:p w:rsidR="00BB087A" w:rsidRDefault="004C51E8">
      <w:pPr>
        <w:pStyle w:val="NormalWeb"/>
        <w:shd w:val="clear" w:color="auto" w:fill="FFFFFF"/>
        <w:spacing w:beforeAutospacing="0" w:after="119" w:afterAutospacing="0" w:line="360" w:lineRule="auto"/>
        <w:ind w:left="850"/>
        <w:jc w:val="both"/>
      </w:pPr>
      <w:r>
        <w:rPr>
          <w:rFonts w:ascii="Candara" w:hAnsi="Candara" w:cs="Arial"/>
          <w:sz w:val="28"/>
          <w:szCs w:val="28"/>
        </w:rPr>
        <w:t>4</w:t>
      </w:r>
      <w:bookmarkStart w:id="4" w:name="_Hlk172671652"/>
      <w:r>
        <w:rPr>
          <w:rFonts w:ascii="Candara" w:hAnsi="Candara" w:cs="Arial"/>
          <w:sz w:val="28"/>
          <w:szCs w:val="28"/>
        </w:rPr>
        <w:t>.2 Recursos do FCO destinados ao desenvolvimento do turismo</w:t>
      </w:r>
      <w:bookmarkEnd w:id="4"/>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A Fundação de Turismo de Mato Grosso do Sul (</w:t>
      </w:r>
      <w:proofErr w:type="spellStart"/>
      <w:r>
        <w:rPr>
          <w:rFonts w:ascii="Candara" w:hAnsi="Candara" w:cs="Arial"/>
          <w:sz w:val="24"/>
          <w:szCs w:val="24"/>
        </w:rPr>
        <w:t>Fundtur</w:t>
      </w:r>
      <w:proofErr w:type="spellEnd"/>
      <w:r>
        <w:rPr>
          <w:rFonts w:ascii="Candara" w:hAnsi="Candara" w:cs="Arial"/>
          <w:sz w:val="24"/>
          <w:szCs w:val="24"/>
        </w:rPr>
        <w:t>-MS) busca democratizar o acesso aos recursos do Fundo para o Desenvolvimento do Turismo do Estado. Através de chamamento público, a instituição adota a política de descentralização de recursos financeiros para apoio a projetos de fomento e eventos geradores de fluxo turístico no Estado (OSC, 2023).</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De acordo com a </w:t>
      </w:r>
      <w:proofErr w:type="spellStart"/>
      <w:r>
        <w:rPr>
          <w:rFonts w:ascii="Candara" w:hAnsi="Candara" w:cs="Arial"/>
          <w:sz w:val="24"/>
          <w:szCs w:val="24"/>
        </w:rPr>
        <w:t>Sudeco</w:t>
      </w:r>
      <w:proofErr w:type="spellEnd"/>
      <w:r>
        <w:rPr>
          <w:rFonts w:ascii="Candara" w:hAnsi="Candara" w:cs="Arial"/>
          <w:sz w:val="24"/>
          <w:szCs w:val="24"/>
        </w:rPr>
        <w:t xml:space="preserve"> (2023), a seleção dos projetos é feita por uma comissão, levando em consideração critérios como o apoio das instâncias de governança municipais ou regionais, a cobertura da divulgação e promoção que será feita do evento, medidas para prevenir e combater todo e qualquer desrespeito ao ser humano, como o combate à exploração sexual de crianças e adolescentes, combate ao turismo sexual, entre outros.</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Com relação às ações de eventos geradores de fluxo turístico nos destinos, um dos critérios é que as propostas estejam dentro de um dos eixos temáticos: Ecoturismo, Evento Gastronômico, Turismo de Esporte e Aventura, Turismo de </w:t>
      </w:r>
      <w:r>
        <w:rPr>
          <w:rFonts w:ascii="Candara" w:hAnsi="Candara" w:cs="Arial"/>
          <w:sz w:val="24"/>
          <w:szCs w:val="24"/>
        </w:rPr>
        <w:lastRenderedPageBreak/>
        <w:t xml:space="preserve">Negócios e Eventos. Um critério importante para a Fundação de Turismo do MS é a legalidade dos empreendimentos turísticos (Correia; Cristo; Reis, 2021). </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São priorizados os projetos cujos destinos turísticos possuem empreendimentos já cadastrados na base da </w:t>
      </w:r>
      <w:proofErr w:type="spellStart"/>
      <w:r>
        <w:rPr>
          <w:rFonts w:ascii="Candara" w:hAnsi="Candara" w:cs="Arial"/>
          <w:sz w:val="24"/>
          <w:szCs w:val="24"/>
        </w:rPr>
        <w:t>Cadastur</w:t>
      </w:r>
      <w:proofErr w:type="spellEnd"/>
      <w:r>
        <w:rPr>
          <w:rFonts w:ascii="Candara" w:hAnsi="Candara" w:cs="Arial"/>
          <w:sz w:val="24"/>
          <w:szCs w:val="24"/>
        </w:rPr>
        <w:t>, pois entende-se com isso que a oferta é legalizada. Aqueles que trabalham na baixa temporada para motivar a redução da sazonalidade também são atendidos, apoiando aqueles eventos que levam turistas e movimentam a economia dos municípios, mas todos os municípios e OSC, ou seja, entidades privadas, sem fins lucrativos, e com personalidade jurídica própria, têm direito a concorrer.</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No site do Ministério da Integração e do Desenvolvimento Regional (2023), nos relatórios de distribuição do FCO e aderência de projetos do setor de turismo, especialmente para implantação, expansão e modernização de empreendimentos em polos turísticos, podem ser relacionados por estado e região. </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 xml:space="preserve">O Banco do Brasil (BB) participa ativamente dos Fóruns Estaduais de Turismo realizados no Centro-Oeste e mantém presença constante nos eventos desse segmento, divulgando as Linhas de Financiamento de Desenvolvimento do Turismo Regional para MPE e MGE, visando incrementar o volume de negócios no segmento. </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No exercício de 2015, em toda região Centro-Oeste, foram contratados R$ 219.720 mil no âmbito da linha de financiamento turismo, por meio de 1.682 operações.</w:t>
      </w:r>
    </w:p>
    <w:p w:rsidR="00BB087A" w:rsidRDefault="004C51E8">
      <w:pPr>
        <w:pStyle w:val="NormalWeb"/>
        <w:shd w:val="clear" w:color="auto" w:fill="FFFFFF"/>
        <w:spacing w:beforeAutospacing="0" w:after="119" w:afterAutospacing="0" w:line="360" w:lineRule="auto"/>
        <w:ind w:firstLine="850"/>
        <w:jc w:val="both"/>
      </w:pPr>
      <w:r>
        <w:rPr>
          <w:rFonts w:ascii="Candara" w:hAnsi="Candara" w:cs="Arial"/>
          <w:sz w:val="24"/>
          <w:szCs w:val="24"/>
        </w:rPr>
        <w:t xml:space="preserve">Conforme dados do Banco do Brasil e </w:t>
      </w:r>
      <w:proofErr w:type="spellStart"/>
      <w:r>
        <w:rPr>
          <w:rFonts w:ascii="Candara" w:hAnsi="Candara" w:cs="Arial"/>
          <w:sz w:val="24"/>
          <w:szCs w:val="24"/>
        </w:rPr>
        <w:t>Sudeco</w:t>
      </w:r>
      <w:proofErr w:type="spellEnd"/>
      <w:r>
        <w:rPr>
          <w:rFonts w:ascii="Candara" w:hAnsi="Candara" w:cs="Arial"/>
          <w:sz w:val="24"/>
          <w:szCs w:val="24"/>
        </w:rPr>
        <w:t xml:space="preserve">, de 2014 para 2015 houve crescimento de 37,5% na quantidade de operações contratadas de 38.474 (em 2014) para 52.900 (em 2015). Esse crescimento observado, se deve em sua maioria as operações contratadas nas linhas do Pronaf Demais que foram responsáveis pela contratação </w:t>
      </w:r>
      <w:r>
        <w:rPr>
          <w:rFonts w:ascii="Candara" w:hAnsi="Candara" w:cs="Arial"/>
          <w:sz w:val="24"/>
          <w:szCs w:val="24"/>
        </w:rPr>
        <w:lastRenderedPageBreak/>
        <w:t xml:space="preserve">de 46,6% das operações no exercício (24.670), com destaque para os Estados de GO (10.202) e MT (9.622) que realizaram o maior número de contratações nesta linha. Os dados disponibilizados pelo Banco do Brasil e </w:t>
      </w:r>
      <w:proofErr w:type="spellStart"/>
      <w:r>
        <w:rPr>
          <w:rFonts w:ascii="Candara" w:hAnsi="Candara" w:cs="Arial"/>
          <w:sz w:val="24"/>
          <w:szCs w:val="24"/>
        </w:rPr>
        <w:t>Sudeco</w:t>
      </w:r>
      <w:proofErr w:type="spellEnd"/>
      <w:r>
        <w:rPr>
          <w:rFonts w:ascii="Candara" w:hAnsi="Candara" w:cs="Arial"/>
          <w:sz w:val="24"/>
          <w:szCs w:val="24"/>
        </w:rPr>
        <w:t xml:space="preserve"> podem ser conferidos na Tabela 1, e as seguintes (Tabelas 2, 3, 4, 5, 6 e 7).</w:t>
      </w:r>
    </w:p>
    <w:p w:rsidR="00BB087A" w:rsidRDefault="004C51E8">
      <w:pPr>
        <w:spacing w:after="0" w:line="240" w:lineRule="auto"/>
        <w:jc w:val="center"/>
        <w:rPr>
          <w:rFonts w:ascii="Candara" w:hAnsi="Candara"/>
        </w:rPr>
      </w:pPr>
      <w:r>
        <w:rPr>
          <w:rFonts w:ascii="Candara" w:hAnsi="Candara" w:cs="Arial"/>
          <w:b/>
        </w:rPr>
        <w:t>Tabela 1</w:t>
      </w:r>
      <w:r>
        <w:rPr>
          <w:rFonts w:ascii="Candara" w:hAnsi="Candara" w:cs="Arial"/>
        </w:rPr>
        <w:t xml:space="preserve"> – Contratações por programa de financiamentos – UF – 2015 </w:t>
      </w:r>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853"/>
        <w:gridCol w:w="1117"/>
        <w:gridCol w:w="829"/>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970"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194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Total</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4.691</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504.849</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5.033</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868.297</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4.313</w:t>
            </w:r>
          </w:p>
        </w:tc>
        <w:tc>
          <w:tcPr>
            <w:tcW w:w="111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466.917</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4.587</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594.141</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18.624</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2.434.205</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436</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54.110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1.821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366.364</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1.160</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101.710</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1.055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189.623</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4.472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711.806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3.222</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85</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49.101</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1.776</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6.177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60.275</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424</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44.624</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348</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58.215</w:t>
            </w:r>
          </w:p>
        </w:tc>
        <w:tc>
          <w:tcPr>
            <w:tcW w:w="853"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558</w:t>
            </w:r>
          </w:p>
        </w:tc>
        <w:tc>
          <w:tcPr>
            <w:tcW w:w="111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48.870</w:t>
            </w:r>
          </w:p>
        </w:tc>
        <w:tc>
          <w:tcPr>
            <w:tcW w:w="82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352</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68.010</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1.682</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219.720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3.824</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402.894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2.779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394.618</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2.587</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314.561</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3.168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330.331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12.358</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1.442.404</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1.237</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198.050</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13.743</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920.476</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7.768</w:t>
            </w:r>
          </w:p>
        </w:tc>
        <w:tc>
          <w:tcPr>
            <w:tcW w:w="111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770.472</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11.528</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951.295</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34.276</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2.840.293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12.373</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10.202</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333.069</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4.474</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135.266</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9.622</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453.754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24.670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934.462</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850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135</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2.613</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746</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13.474</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3.780</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1.074</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20.718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gramStart"/>
            <w:r>
              <w:rPr>
                <w:rFonts w:ascii="Candara" w:eastAsia="Times New Roman" w:hAnsi="Candara" w:cs="Arial"/>
                <w:bCs/>
                <w:sz w:val="20"/>
                <w:szCs w:val="20"/>
                <w:lang w:bidi="ar-SA"/>
              </w:rPr>
              <w:t>Demais Rurais</w:t>
            </w:r>
            <w:proofErr w:type="gramEnd"/>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830</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184.827</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3.406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584.793</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2.548</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621.731</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1.748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493.762</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8.532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1.885.114</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 Geral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5.928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702.899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18.776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1.788.773</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12.081</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1.237.389</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16.115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1.545.437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52.900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5.274.498</w:t>
            </w:r>
          </w:p>
        </w:tc>
      </w:tr>
    </w:tbl>
    <w:p w:rsidR="00BB087A" w:rsidRDefault="004C51E8">
      <w:pPr>
        <w:pStyle w:val="NormalWeb"/>
        <w:spacing w:beforeAutospacing="0" w:after="119" w:afterAutospacing="0" w:line="240" w:lineRule="auto"/>
        <w:jc w:val="both"/>
        <w:rPr>
          <w:rFonts w:ascii="Candara" w:hAnsi="Candara"/>
          <w:sz w:val="20"/>
          <w:szCs w:val="20"/>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2015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Os empreendimentos do setor empresarial foram responsáveis pela contratação de 18.624 operações (35,2% das operações contratadas) e com volume total de R$ 2.434,205 milhões (46,2% do valor financiado), um pouco abaixo do percentual previsto na Programação do FCO para 2015 de 47,2%.</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Ao observar o Programa Empresarial, linha Turismo, o estado de Mato Grosso do Sul destaca-se com 558 contratações, que representas 33,18% do total de contratações para o período.</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No exercício de 2016, em toda região Centro-Oeste, foram contratados R$ 45.571 mil no âmbito da linha de financiamento turismo, por meio de 132 operações, sendo que em Mato Grosso do Sul foram contratados R$ 7.117 mil em um total de 29 operações.</w:t>
      </w:r>
    </w:p>
    <w:p w:rsidR="00BB087A" w:rsidRDefault="004C51E8">
      <w:pPr>
        <w:pStyle w:val="NormalWeb"/>
        <w:shd w:val="clear" w:color="auto" w:fill="FFFFFF"/>
        <w:spacing w:beforeAutospacing="0" w:after="119" w:afterAutospacing="0" w:line="360" w:lineRule="auto"/>
        <w:ind w:firstLine="850"/>
        <w:jc w:val="both"/>
      </w:pPr>
      <w:r>
        <w:rPr>
          <w:rFonts w:ascii="Candara" w:hAnsi="Candara"/>
          <w:sz w:val="24"/>
          <w:szCs w:val="24"/>
        </w:rPr>
        <w:lastRenderedPageBreak/>
        <w:t>Em comparação ao ano de 2015, no exercício 2016 (Tabela 2), houve decréscimo de 45,1% na quantidade de operações contratadas (52.900 para 29.051) e de 17,4% no volume contratado (R$ 5.274.498 milhões para R$ 4.355,423 milhões).</w:t>
      </w:r>
    </w:p>
    <w:p w:rsidR="00BB087A" w:rsidRDefault="004C51E8">
      <w:pPr>
        <w:spacing w:after="0" w:line="240" w:lineRule="auto"/>
        <w:jc w:val="center"/>
        <w:rPr>
          <w:rFonts w:ascii="Candara" w:hAnsi="Candara"/>
        </w:rPr>
      </w:pPr>
      <w:r>
        <w:rPr>
          <w:rFonts w:ascii="Candara" w:hAnsi="Candara" w:cs="Arial"/>
          <w:b/>
        </w:rPr>
        <w:t>Tabela 2</w:t>
      </w:r>
      <w:r>
        <w:rPr>
          <w:rFonts w:ascii="Candara" w:hAnsi="Candara" w:cs="Arial"/>
        </w:rPr>
        <w:t xml:space="preserve"> – Contratações por programa de financiamentos – UF – 2016</w:t>
      </w:r>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853"/>
        <w:gridCol w:w="1117"/>
        <w:gridCol w:w="829"/>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970"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194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Total</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379</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113.824</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842</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231.372</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555</w:t>
            </w:r>
          </w:p>
        </w:tc>
        <w:tc>
          <w:tcPr>
            <w:tcW w:w="111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101.875</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763</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191.896</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2.539</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638.967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17.682</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79.531</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70</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26.087</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32.284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155.585</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565</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23</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10.187</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1.105</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20.020</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31.877</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5.453</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19.585</w:t>
            </w:r>
          </w:p>
        </w:tc>
        <w:tc>
          <w:tcPr>
            <w:tcW w:w="853"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29</w:t>
            </w:r>
          </w:p>
        </w:tc>
        <w:tc>
          <w:tcPr>
            <w:tcW w:w="111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7.117</w:t>
            </w:r>
          </w:p>
        </w:tc>
        <w:tc>
          <w:tcPr>
            <w:tcW w:w="82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48</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13.416</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132</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45.571</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90.124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627</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122.068</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455</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67.566</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637</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126.176</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2.041</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405.935</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803</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150.162</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11.873</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1.448.245</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5.566</w:t>
            </w:r>
          </w:p>
        </w:tc>
        <w:tc>
          <w:tcPr>
            <w:tcW w:w="111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748.204</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8.270</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1.369.845</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26.512</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3.716.456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233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10.220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4.889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274.932</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2.046</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84.101</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5.408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419.591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12.576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788.844</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765</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322</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7.295</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546</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9.329</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8.331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1.260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25.720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gramStart"/>
            <w:r>
              <w:rPr>
                <w:rFonts w:ascii="Candara" w:eastAsia="Times New Roman" w:hAnsi="Candara" w:cs="Arial"/>
                <w:bCs/>
                <w:sz w:val="20"/>
                <w:szCs w:val="20"/>
                <w:lang w:bidi="ar-SA"/>
              </w:rPr>
              <w:t>Demais Rurais</w:t>
            </w:r>
            <w:proofErr w:type="gramEnd"/>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538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139.177</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6.662</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1.166.018</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2.974</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654.774</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.2502</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941.923</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12.676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2.901.892</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 Geral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1.182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263.986</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12.715</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1.679.617</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6.121</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850.079</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9.033</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1.561.741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29.051</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4.355.423</w:t>
            </w:r>
          </w:p>
        </w:tc>
      </w:tr>
    </w:tbl>
    <w:p w:rsidR="00BB087A" w:rsidRDefault="004C51E8">
      <w:pPr>
        <w:pStyle w:val="NormalWeb"/>
        <w:spacing w:beforeAutospacing="0" w:after="119" w:afterAutospacing="0" w:line="240" w:lineRule="auto"/>
        <w:jc w:val="both"/>
        <w:rPr>
          <w:rFonts w:ascii="Candara" w:hAnsi="Candara"/>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2016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4C51E8">
      <w:pPr>
        <w:pStyle w:val="NormalWeb"/>
        <w:shd w:val="clear" w:color="auto" w:fill="FFFFFF"/>
        <w:spacing w:beforeAutospacing="0" w:after="0" w:afterAutospacing="0" w:line="360" w:lineRule="auto"/>
        <w:ind w:firstLine="850"/>
        <w:jc w:val="both"/>
      </w:pPr>
      <w:r>
        <w:rPr>
          <w:rFonts w:ascii="Candara" w:hAnsi="Candara" w:cs="Arial"/>
          <w:sz w:val="24"/>
          <w:szCs w:val="24"/>
        </w:rPr>
        <w:t>Conforme o relatório de 2016 a redução observada nas contratações do FCO segue o movimento de queda na concessão de crédito observado em nível nacional, ocasionado pela redução da demanda devido à desaceleração da economia e da reavaliação e/ou adiamento das intenções de investimento por parte do setor produtivo.</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No exercício de 2017, em toda região Centro-Oeste, foram contratados R$ 75.505 mil no âmbito da linha de financiamento turismo, por meio de 536 operações e em Mato Grosso do Sul foram contratados R$ 18.665 mil em 118 operações.</w:t>
      </w:r>
    </w:p>
    <w:p w:rsidR="00BB087A" w:rsidRDefault="004C51E8">
      <w:pPr>
        <w:pStyle w:val="NormalWeb"/>
        <w:shd w:val="clear" w:color="auto" w:fill="FFFFFF"/>
        <w:spacing w:beforeAutospacing="0" w:after="119" w:afterAutospacing="0" w:line="360" w:lineRule="auto"/>
        <w:ind w:firstLine="850"/>
        <w:jc w:val="both"/>
        <w:rPr>
          <w:rFonts w:ascii="Candara" w:hAnsi="Candara"/>
          <w:sz w:val="24"/>
          <w:szCs w:val="24"/>
        </w:rPr>
      </w:pPr>
      <w:r>
        <w:rPr>
          <w:rFonts w:ascii="Candara" w:hAnsi="Candara"/>
          <w:sz w:val="24"/>
          <w:szCs w:val="24"/>
        </w:rPr>
        <w:t xml:space="preserve">Em comparação ao mesmo período de 2016, exercício de 2017 (Tabela 7), houve crescimento de 66,4% na quantidade de operações contratadas (29.051 para 48.335) e de 90,9% no volume contratado (R$ 4.355,4 milhões para R$ 8.313.728 milhões). Observa-se também o crescimento considerável na quantidade de operações </w:t>
      </w:r>
      <w:r>
        <w:rPr>
          <w:rFonts w:ascii="Candara" w:hAnsi="Candara"/>
          <w:sz w:val="24"/>
          <w:szCs w:val="24"/>
        </w:rPr>
        <w:lastRenderedPageBreak/>
        <w:t>contratadas em Mato Grosso do Sul na linda turismo, de 29 operações em 2016 com montante de R$ 7.117 mil, para 118 operações com montante de R$ 18.665 mil em 2017.</w:t>
      </w:r>
    </w:p>
    <w:p w:rsidR="00BB087A" w:rsidRDefault="004C51E8">
      <w:pPr>
        <w:spacing w:after="0" w:line="240" w:lineRule="auto"/>
        <w:jc w:val="center"/>
        <w:rPr>
          <w:rFonts w:ascii="Candara" w:hAnsi="Candara"/>
        </w:rPr>
      </w:pPr>
      <w:r>
        <w:rPr>
          <w:rFonts w:ascii="Candara" w:hAnsi="Candara" w:cs="Arial"/>
          <w:b/>
        </w:rPr>
        <w:t>Tabela 3</w:t>
      </w:r>
      <w:r>
        <w:rPr>
          <w:rFonts w:ascii="Candara" w:hAnsi="Candara" w:cs="Arial"/>
        </w:rPr>
        <w:t xml:space="preserve"> – Contratações por programa de financiamentos – UF </w:t>
      </w:r>
      <w:proofErr w:type="gramStart"/>
      <w:r>
        <w:rPr>
          <w:rFonts w:ascii="Candara" w:hAnsi="Candara" w:cs="Arial"/>
        </w:rPr>
        <w:t>–  2017</w:t>
      </w:r>
      <w:proofErr w:type="gramEnd"/>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853"/>
        <w:gridCol w:w="1117"/>
        <w:gridCol w:w="829"/>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970"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194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Total</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1.243</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238.258</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4.469</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676.782</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2.150</w:t>
            </w:r>
          </w:p>
        </w:tc>
        <w:tc>
          <w:tcPr>
            <w:tcW w:w="111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656.808</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2.365</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411.053</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10.227</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1.982.901</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125</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20.889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691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206.864</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251</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188.980</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299</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74.043</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1.366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490.777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16.126</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16.758</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141.488</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2.115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64</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176.487</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111</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14.339</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190</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27.548</w:t>
            </w:r>
          </w:p>
        </w:tc>
        <w:tc>
          <w:tcPr>
            <w:tcW w:w="853"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118</w:t>
            </w:r>
          </w:p>
        </w:tc>
        <w:tc>
          <w:tcPr>
            <w:tcW w:w="111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18.665</w:t>
            </w:r>
          </w:p>
        </w:tc>
        <w:tc>
          <w:tcPr>
            <w:tcW w:w="82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117</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14.954</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536</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75.505</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984</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186.903</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3.560</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425.612</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1.773</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307.675</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1.944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319.941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8.261</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1.240.132</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rPr>
                <w:rFonts w:ascii="Candara" w:hAnsi="Candara"/>
              </w:rPr>
            </w:pPr>
            <w:r>
              <w:rPr>
                <w:rFonts w:ascii="Candara" w:eastAsia="Times New Roman" w:hAnsi="Candara" w:cs="Arial"/>
                <w:b/>
                <w:bCs/>
                <w:sz w:val="20"/>
                <w:szCs w:val="20"/>
                <w:lang w:bidi="ar-SA"/>
              </w:rPr>
              <w:t>1.160</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232.211</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17.719</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2.471.900</w:t>
            </w:r>
          </w:p>
        </w:tc>
        <w:tc>
          <w:tcPr>
            <w:tcW w:w="853"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7.656</w:t>
            </w:r>
          </w:p>
        </w:tc>
        <w:tc>
          <w:tcPr>
            <w:tcW w:w="111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1.474.436</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11.573</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2.152.280</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38.108</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6.330.827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405</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13.691</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8.691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392.678</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3.411</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134.084</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8.220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508.134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20.727</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1.048.586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1.266</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600</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12.319</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574</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9.547</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3.297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1.379</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26.428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gramStart"/>
            <w:r>
              <w:rPr>
                <w:rFonts w:ascii="Candara" w:eastAsia="Times New Roman" w:hAnsi="Candara" w:cs="Arial"/>
                <w:bCs/>
                <w:sz w:val="20"/>
                <w:szCs w:val="20"/>
                <w:lang w:bidi="ar-SA"/>
              </w:rPr>
              <w:t>Demais Rurais</w:t>
            </w:r>
            <w:proofErr w:type="gramEnd"/>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704</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217.254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8.428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2.066.904</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3.671</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1.330.805</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3.199</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1.640.850</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16.002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5.255.813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 Geral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2.403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470.469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22.188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3.148.682</w:t>
            </w:r>
          </w:p>
        </w:tc>
        <w:tc>
          <w:tcPr>
            <w:tcW w:w="853"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9.806</w:t>
            </w:r>
          </w:p>
        </w:tc>
        <w:tc>
          <w:tcPr>
            <w:tcW w:w="111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2.131.244</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13.938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2.563.333</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48.335</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8.313.728</w:t>
            </w:r>
          </w:p>
        </w:tc>
      </w:tr>
    </w:tbl>
    <w:p w:rsidR="00BB087A" w:rsidRDefault="004C51E8">
      <w:pPr>
        <w:pStyle w:val="NormalWeb"/>
        <w:spacing w:beforeAutospacing="0" w:after="119" w:afterAutospacing="0" w:line="240" w:lineRule="auto"/>
        <w:jc w:val="both"/>
        <w:rPr>
          <w:rFonts w:ascii="Candara" w:hAnsi="Candara"/>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2017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4C51E8">
      <w:pPr>
        <w:spacing w:after="119" w:line="360" w:lineRule="auto"/>
        <w:ind w:firstLine="850"/>
        <w:jc w:val="both"/>
        <w:rPr>
          <w:rFonts w:ascii="Candara" w:hAnsi="Candara" w:cs="Arial"/>
          <w:sz w:val="24"/>
          <w:szCs w:val="24"/>
          <w:lang w:eastAsia="pt-BR"/>
        </w:rPr>
      </w:pPr>
      <w:r>
        <w:rPr>
          <w:rFonts w:ascii="Candara" w:hAnsi="Candara" w:cs="Arial"/>
          <w:sz w:val="24"/>
          <w:szCs w:val="24"/>
          <w:lang w:eastAsia="pt-BR"/>
        </w:rPr>
        <w:t>No exercício de 2018 (Tabela 4), em toda região Centro-Oeste, foram contratados R$ 56.867 mil no âmbito da linha de financiamento turismo, por meio de 111 operações e em Mato Grosso do Sul foram contratados R$ 10.149 mil em 36 operações.</w:t>
      </w:r>
    </w:p>
    <w:p w:rsidR="00BB087A" w:rsidRDefault="004C51E8">
      <w:pPr>
        <w:spacing w:after="0" w:line="240" w:lineRule="auto"/>
        <w:jc w:val="center"/>
        <w:rPr>
          <w:rFonts w:ascii="Candara" w:hAnsi="Candara"/>
        </w:rPr>
      </w:pPr>
      <w:r>
        <w:rPr>
          <w:rFonts w:ascii="Candara" w:hAnsi="Candara" w:cs="Arial"/>
          <w:b/>
        </w:rPr>
        <w:t xml:space="preserve">Tabela 4 </w:t>
      </w:r>
      <w:r>
        <w:rPr>
          <w:rFonts w:ascii="Candara" w:hAnsi="Candara" w:cs="Arial"/>
        </w:rPr>
        <w:t xml:space="preserve">– Contratações por programa de financiamentos – UF </w:t>
      </w:r>
      <w:proofErr w:type="gramStart"/>
      <w:r>
        <w:rPr>
          <w:rFonts w:ascii="Candara" w:hAnsi="Candara" w:cs="Arial"/>
        </w:rPr>
        <w:t>–  2018</w:t>
      </w:r>
      <w:proofErr w:type="gramEnd"/>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745"/>
        <w:gridCol w:w="1225"/>
        <w:gridCol w:w="829"/>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970"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194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Total</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22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695</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287.254</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1.821</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424.193</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1.391</w:t>
            </w:r>
          </w:p>
        </w:tc>
        <w:tc>
          <w:tcPr>
            <w:tcW w:w="122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516.362</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1.301</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642.205</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5.208</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1.870.013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28.196</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132</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55.967</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80</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38.824</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47.932</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307</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170.919</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61.318</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82.677</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197.191</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289.277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630.464</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33.210</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7.334</w:t>
            </w:r>
          </w:p>
        </w:tc>
        <w:tc>
          <w:tcPr>
            <w:tcW w:w="74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w:t>
            </w:r>
          </w:p>
        </w:tc>
        <w:tc>
          <w:tcPr>
            <w:tcW w:w="122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10.149</w:t>
            </w:r>
          </w:p>
        </w:tc>
        <w:tc>
          <w:tcPr>
            <w:tcW w:w="82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6.175</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111</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56.867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657</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164.529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1.636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278.214</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1.266</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270.198</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1.191</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298.821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4.750</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1.011.763</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rPr>
                <w:rFonts w:ascii="Candara" w:hAnsi="Candara"/>
              </w:rPr>
            </w:pPr>
            <w:r>
              <w:rPr>
                <w:rFonts w:ascii="Candara" w:eastAsia="Times New Roman" w:hAnsi="Candara" w:cs="Arial"/>
                <w:b/>
                <w:bCs/>
                <w:sz w:val="20"/>
                <w:szCs w:val="20"/>
                <w:lang w:bidi="ar-SA"/>
              </w:rPr>
              <w:t>1.398</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276.594</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16.057</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2.701.341</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8.198</w:t>
            </w:r>
          </w:p>
        </w:tc>
        <w:tc>
          <w:tcPr>
            <w:tcW w:w="122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1.895.063</w:t>
            </w:r>
          </w:p>
        </w:tc>
        <w:tc>
          <w:tcPr>
            <w:tcW w:w="82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11.429</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2.706.570</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37.082</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7.579.568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spellStart"/>
            <w:r>
              <w:rPr>
                <w:rFonts w:ascii="Candara" w:eastAsia="Times New Roman" w:hAnsi="Candara" w:cs="Arial"/>
                <w:bCs/>
                <w:sz w:val="20"/>
                <w:szCs w:val="20"/>
                <w:lang w:bidi="ar-SA"/>
              </w:rPr>
              <w:t>Desenv</w:t>
            </w:r>
            <w:proofErr w:type="spellEnd"/>
            <w:r>
              <w:rPr>
                <w:rFonts w:ascii="Candara" w:eastAsia="Times New Roman" w:hAnsi="Candara" w:cs="Arial"/>
                <w:bCs/>
                <w:sz w:val="20"/>
                <w:szCs w:val="20"/>
                <w:lang w:bidi="ar-SA"/>
              </w:rPr>
              <w:t>. Rural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563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245.639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6.104</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2.242.973</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3.387</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1.621.195</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2.870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2.112.757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12.924</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6.222.563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FCO Verde-Cons. da Natureza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3.044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37.648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79</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113.185</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111.913</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265.790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FCO Verde ILPF</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2.283</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2.283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661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23.697</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9.374</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407.813</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4.172</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144.910</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8.376</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478.885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22.583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1.055.303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lastRenderedPageBreak/>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4.214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540</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12.907</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558</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13.490</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119</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3.016</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1.380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33.628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 Geral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2.093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563.848</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17.878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3.125.534</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9.589</w:t>
            </w:r>
          </w:p>
        </w:tc>
        <w:tc>
          <w:tcPr>
            <w:tcW w:w="122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2.411.424</w:t>
            </w:r>
          </w:p>
        </w:tc>
        <w:tc>
          <w:tcPr>
            <w:tcW w:w="82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12.730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3.348.775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42.290</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9.449.581</w:t>
            </w:r>
          </w:p>
        </w:tc>
      </w:tr>
    </w:tbl>
    <w:p w:rsidR="00BB087A" w:rsidRDefault="004C51E8">
      <w:pPr>
        <w:pStyle w:val="NormalWeb"/>
        <w:spacing w:beforeAutospacing="0" w:after="119" w:afterAutospacing="0" w:line="240" w:lineRule="auto"/>
        <w:jc w:val="both"/>
        <w:rPr>
          <w:rFonts w:ascii="Candara" w:hAnsi="Candara"/>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2018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Também no exercício de 2018, as contratações realizadas na Linha de Desenvolvimento Rural, concentraram a maior parcela dos recursos financiados (R$ 6.222.563 milhões), o equivalente a 65,9% do total aplicado, seguida pela Linha do Pronaf que financiou o total de R$ 1.055.303 milhões, o equivalente a 11,2% do total aplicado.</w:t>
      </w:r>
    </w:p>
    <w:p w:rsidR="00BB087A" w:rsidRDefault="004C51E8">
      <w:pPr>
        <w:spacing w:after="119" w:line="360" w:lineRule="auto"/>
        <w:ind w:firstLine="850"/>
        <w:jc w:val="both"/>
        <w:rPr>
          <w:rFonts w:ascii="Candara" w:hAnsi="Candara"/>
          <w:sz w:val="24"/>
          <w:szCs w:val="24"/>
        </w:rPr>
      </w:pPr>
      <w:r>
        <w:rPr>
          <w:rFonts w:ascii="Candara" w:hAnsi="Candara" w:cs="Arial"/>
          <w:sz w:val="24"/>
          <w:szCs w:val="24"/>
        </w:rPr>
        <w:t>No exercício de 2019 (Tabela 5), em toda região Centro-Oeste, foram contratados R$ 65.122 mil no âmbito da linha de financiamento turismo, por meio de 131 operações e em Mato Grosso do Sul foram contratados R$ 24.048 mil em 58 operações.</w:t>
      </w:r>
    </w:p>
    <w:p w:rsidR="00BB087A" w:rsidRDefault="004C51E8">
      <w:pPr>
        <w:spacing w:after="0" w:line="240" w:lineRule="auto"/>
        <w:jc w:val="center"/>
        <w:rPr>
          <w:rFonts w:ascii="Candara" w:hAnsi="Candara"/>
        </w:rPr>
      </w:pPr>
      <w:r>
        <w:rPr>
          <w:rFonts w:ascii="Candara" w:hAnsi="Candara" w:cs="Arial"/>
          <w:b/>
        </w:rPr>
        <w:t>Tabela 5</w:t>
      </w:r>
      <w:r>
        <w:rPr>
          <w:rFonts w:ascii="Candara" w:hAnsi="Candara" w:cs="Arial"/>
        </w:rPr>
        <w:t xml:space="preserve"> – Contratações por programa de financiamentos </w:t>
      </w:r>
      <w:proofErr w:type="gramStart"/>
      <w:r>
        <w:rPr>
          <w:rFonts w:ascii="Candara" w:hAnsi="Candara" w:cs="Arial"/>
        </w:rPr>
        <w:t>–  UF</w:t>
      </w:r>
      <w:proofErr w:type="gramEnd"/>
      <w:r>
        <w:rPr>
          <w:rFonts w:ascii="Candara" w:hAnsi="Candara" w:cs="Arial"/>
        </w:rPr>
        <w:t xml:space="preserve"> –  2019</w:t>
      </w:r>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745"/>
        <w:gridCol w:w="1131"/>
        <w:gridCol w:w="8"/>
        <w:gridCol w:w="915"/>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87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2035" w:type="dxa"/>
            <w:gridSpan w:val="3"/>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Total</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1.389</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411.111</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3.829</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1.317.099</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2.425</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613.475</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2.376</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824.662</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10.019</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3.166.348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23.025</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417.259</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110</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80.760</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117.022</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514</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638.066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25.780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82.158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33.693</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31.919</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173.561</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10.947</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11.808</w:t>
            </w:r>
          </w:p>
        </w:tc>
        <w:tc>
          <w:tcPr>
            <w:tcW w:w="74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58</w:t>
            </w:r>
          </w:p>
        </w:tc>
        <w:tc>
          <w:tcPr>
            <w:tcW w:w="1139" w:type="dxa"/>
            <w:gridSpan w:val="2"/>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24.048</w:t>
            </w:r>
          </w:p>
        </w:tc>
        <w:tc>
          <w:tcPr>
            <w:tcW w:w="91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18.319</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131</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65.122</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1.322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351.359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3.539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805.864</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2.250</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474.973</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2.205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657.402</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9.328</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2.289.598</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rPr>
                <w:rFonts w:ascii="Candara" w:hAnsi="Candara"/>
              </w:rPr>
            </w:pPr>
            <w:r>
              <w:rPr>
                <w:rFonts w:ascii="Candara" w:eastAsia="Times New Roman" w:hAnsi="Candara" w:cs="Arial"/>
                <w:b/>
                <w:bCs/>
                <w:sz w:val="20"/>
                <w:szCs w:val="20"/>
                <w:lang w:bidi="ar-SA"/>
              </w:rPr>
              <w:t>1.239</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333.461</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6.773</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1.508.053</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3.735</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1.135.667</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3.757</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1.637.292</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15.504</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4.614.473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spellStart"/>
            <w:r>
              <w:rPr>
                <w:rFonts w:ascii="Candara" w:eastAsia="Times New Roman" w:hAnsi="Candara" w:cs="Arial"/>
                <w:bCs/>
                <w:sz w:val="20"/>
                <w:szCs w:val="20"/>
                <w:lang w:bidi="ar-SA"/>
              </w:rPr>
              <w:t>Desenv</w:t>
            </w:r>
            <w:proofErr w:type="spellEnd"/>
            <w:r>
              <w:rPr>
                <w:rFonts w:ascii="Candara" w:eastAsia="Times New Roman" w:hAnsi="Candara" w:cs="Arial"/>
                <w:bCs/>
                <w:sz w:val="20"/>
                <w:szCs w:val="20"/>
                <w:lang w:bidi="ar-SA"/>
              </w:rPr>
              <w:t>. Rural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653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309.285</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3.121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1.287.317</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1.976</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1.027.949</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1.628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1.409.611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7.378</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4.034.161</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FCO Verde</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3.730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28.780</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49.333</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63.355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117</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140.198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217</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11.190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3.033</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176.585</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1.275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51.622</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1.948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160.538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6.473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399.936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9.256</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581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15.371</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449</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11.762</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143</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3.788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1.536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40.178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 Geral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2.628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744.572</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10.602</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2.825.152</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6.160</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1.749.142</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6.133</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2.461.954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25.523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7.780.821</w:t>
            </w:r>
          </w:p>
        </w:tc>
      </w:tr>
    </w:tbl>
    <w:p w:rsidR="00BB087A" w:rsidRDefault="004C51E8">
      <w:pPr>
        <w:pStyle w:val="NormalWeb"/>
        <w:spacing w:beforeAutospacing="0" w:after="119" w:afterAutospacing="0" w:line="240" w:lineRule="auto"/>
        <w:jc w:val="both"/>
        <w:rPr>
          <w:rFonts w:ascii="Candara" w:hAnsi="Candara"/>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2019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lastRenderedPageBreak/>
        <w:t>No exercício de 2019 (Tabela 5), os empreendimentos do setor empresarial foram responsáveis pela contratação de 10.019 operações (39,3% das operações contratadas) e volume total de R$ 3.166.348 milhões (40,7% do valor financiado).</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Os empreendimentos do setor rural, foram responsáveis pela contratação de 15.504 operações (60,7% das operações contratadas) e volume total de R$ 4.614.473 milhões (59,3% do valor financiado).</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 xml:space="preserve">Conforme os relatórios do BB e </w:t>
      </w:r>
      <w:proofErr w:type="spellStart"/>
      <w:r>
        <w:rPr>
          <w:rFonts w:ascii="Candara" w:hAnsi="Candara" w:cs="Arial"/>
          <w:sz w:val="24"/>
          <w:szCs w:val="24"/>
        </w:rPr>
        <w:t>Sudeco</w:t>
      </w:r>
      <w:proofErr w:type="spellEnd"/>
      <w:r>
        <w:rPr>
          <w:rFonts w:ascii="Candara" w:hAnsi="Candara" w:cs="Arial"/>
          <w:sz w:val="24"/>
          <w:szCs w:val="24"/>
        </w:rPr>
        <w:t xml:space="preserve">, no comparativo das contratações realizadas entre as </w:t>
      </w:r>
      <w:proofErr w:type="spellStart"/>
      <w:r>
        <w:rPr>
          <w:rFonts w:ascii="Candara" w:hAnsi="Candara" w:cs="Arial"/>
          <w:sz w:val="24"/>
          <w:szCs w:val="24"/>
        </w:rPr>
        <w:t>UFs</w:t>
      </w:r>
      <w:proofErr w:type="spellEnd"/>
      <w:r>
        <w:rPr>
          <w:rFonts w:ascii="Candara" w:hAnsi="Candara" w:cs="Arial"/>
          <w:sz w:val="24"/>
          <w:szCs w:val="24"/>
        </w:rPr>
        <w:t xml:space="preserve"> nos anos de 2018 e 2019, verifica-se que houve acréscimo apenas no DF (25,6% na quantidade e 32,1% no montante aplicado). Nos demais estados houve redução tanto na quantidade como no volume contratado. Apesar dos recursos aplicados no ano de 2019 terem atingido 93,0% do orçamento realizado, essa redução justifica-se pela limitação orçamentária ocorrida no ano de 2019 (R$ 8.362,2 milhões distribuídos) em relação ao ano de 2018 (R$ 9.989,8 milhões distribuídos).</w:t>
      </w: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No exercício de 2020 (Tabela 6), os empreendimentos do setor empresarial foram responsáveis pela contratação de 8.275 operações com volume total de R$ 2.244.850. Em comparação com o ano de 2019 houve redução tanto na quantidade operações como no valor financiado. Na linha de financiamento do turismo em Mato Grosso do Sul foram 15 operações totalizando R$ 5.105 mil em recursos.</w:t>
      </w:r>
    </w:p>
    <w:p w:rsidR="00BB087A" w:rsidRDefault="004C51E8">
      <w:pPr>
        <w:pStyle w:val="NormalWeb"/>
        <w:shd w:val="clear" w:color="auto" w:fill="FFFFFF"/>
        <w:spacing w:beforeAutospacing="0" w:after="119" w:afterAutospacing="0" w:line="360" w:lineRule="auto"/>
        <w:ind w:firstLine="850"/>
        <w:jc w:val="both"/>
        <w:rPr>
          <w:rFonts w:ascii="Candara" w:hAnsi="Candara"/>
          <w:sz w:val="24"/>
          <w:szCs w:val="24"/>
        </w:rPr>
      </w:pPr>
      <w:r>
        <w:rPr>
          <w:rFonts w:ascii="Candara" w:hAnsi="Candara" w:cs="Arial"/>
          <w:sz w:val="24"/>
          <w:szCs w:val="24"/>
        </w:rPr>
        <w:t>Observa-se que em comparação com o ano anterior, os setores abrangidos pelas linhas do Programa Empresarial foram os mais impactados pelos efeitos da pandemia da Covid-19 com uma redução de 29,1% no volume contratado em 2020 (R$ 3.166.348 milhões em 2019) e 17,4% em quantidade de operações contratadas (10.019 operações 2019).</w:t>
      </w:r>
    </w:p>
    <w:p w:rsidR="00BB087A" w:rsidRDefault="004C51E8">
      <w:pPr>
        <w:spacing w:after="0" w:line="240" w:lineRule="auto"/>
        <w:jc w:val="center"/>
        <w:rPr>
          <w:rFonts w:ascii="Candara" w:hAnsi="Candara"/>
        </w:rPr>
      </w:pPr>
      <w:r>
        <w:rPr>
          <w:rFonts w:ascii="Candara" w:hAnsi="Candara" w:cs="Arial"/>
          <w:b/>
        </w:rPr>
        <w:t>Tabela 6</w:t>
      </w:r>
      <w:r>
        <w:rPr>
          <w:rFonts w:ascii="Candara" w:hAnsi="Candara" w:cs="Arial"/>
        </w:rPr>
        <w:t xml:space="preserve"> – Contratações por programa de financiamentos, setor – UF – 2020</w:t>
      </w:r>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745"/>
        <w:gridCol w:w="1131"/>
        <w:gridCol w:w="8"/>
        <w:gridCol w:w="915"/>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lastRenderedPageBreak/>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87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2035" w:type="dxa"/>
            <w:gridSpan w:val="3"/>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Região</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986</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246.955</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3.402</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946.411</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1.979</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502.567</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1.908</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548.917</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8.275</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2.244.850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35</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18.064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180</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132.620</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78</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44.241</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79.105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413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274.030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190.420</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62.591</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2.793</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255.805</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6</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25.208</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11</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37.250</w:t>
            </w:r>
          </w:p>
        </w:tc>
        <w:tc>
          <w:tcPr>
            <w:tcW w:w="74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15</w:t>
            </w:r>
          </w:p>
        </w:tc>
        <w:tc>
          <w:tcPr>
            <w:tcW w:w="1139" w:type="dxa"/>
            <w:gridSpan w:val="2"/>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5.105</w:t>
            </w:r>
          </w:p>
        </w:tc>
        <w:tc>
          <w:tcPr>
            <w:tcW w:w="91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15</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8.410</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47</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75.973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519</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170.879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1.944</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492.388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1.274</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344.964</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1.375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424.790</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5.072</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1.433.022</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Emergencial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426</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32.804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1.256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93.733</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605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45.665</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434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33.819</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2.721</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206.020</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772</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450.634</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4.180</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1.478.102</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1.155</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1.248.132</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2.291</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1.740.980</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9.398</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4.917.847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spellStart"/>
            <w:r>
              <w:rPr>
                <w:rFonts w:ascii="Candara" w:eastAsia="Times New Roman" w:hAnsi="Candara" w:cs="Arial"/>
                <w:bCs/>
                <w:sz w:val="20"/>
                <w:szCs w:val="20"/>
                <w:lang w:bidi="ar-SA"/>
              </w:rPr>
              <w:t>Desenv</w:t>
            </w:r>
            <w:proofErr w:type="spellEnd"/>
            <w:r>
              <w:rPr>
                <w:rFonts w:ascii="Candara" w:eastAsia="Times New Roman" w:hAnsi="Candara" w:cs="Arial"/>
                <w:bCs/>
                <w:sz w:val="20"/>
                <w:szCs w:val="20"/>
                <w:lang w:bidi="ar-SA"/>
              </w:rPr>
              <w:t>. Rural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767</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443.004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4.146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1.459.878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2.098</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1.191.220</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2.254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1.693.731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9.265</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4.787.834</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FCO Verde</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7.629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18.223</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57</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56.912</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47.248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130.014</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Pronaf</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322</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7.356</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901</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15.929</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464</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8.575</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152</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3.856</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1.839</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35.716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6.912</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481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12.746</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280</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7.342</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3.816</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1.167</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30.816</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420</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3.183</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184</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1.233</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672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4.900</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Repasse</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92</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61.844</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196</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47.476</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277</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83.835</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494</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152.511</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1.059</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345.667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458</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1.048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9.038</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61</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10.612</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2.227</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1.332</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5.136</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8.864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54</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17.558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Emergencial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550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1.094</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1.875</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142</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10.958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14.477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spellStart"/>
            <w:r>
              <w:rPr>
                <w:rFonts w:ascii="Candara" w:eastAsia="Times New Roman" w:hAnsi="Candara" w:cs="Arial"/>
                <w:bCs/>
                <w:sz w:val="20"/>
                <w:szCs w:val="20"/>
                <w:lang w:bidi="ar-SA"/>
              </w:rPr>
              <w:t>Desenv</w:t>
            </w:r>
            <w:proofErr w:type="spellEnd"/>
            <w:r>
              <w:rPr>
                <w:rFonts w:ascii="Candara" w:eastAsia="Times New Roman" w:hAnsi="Candara" w:cs="Arial"/>
                <w:bCs/>
                <w:sz w:val="20"/>
                <w:szCs w:val="20"/>
                <w:lang w:bidi="ar-SA"/>
              </w:rPr>
              <w:t>. Rural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58.610</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163</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44.002</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187</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67.786</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324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132.621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752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303.019</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 Geral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2.172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766.788</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8.679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2.487.918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4.875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1.843.110</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4.845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2.446.265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20.571</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7.544.081</w:t>
            </w:r>
          </w:p>
        </w:tc>
      </w:tr>
    </w:tbl>
    <w:p w:rsidR="00BB087A" w:rsidRDefault="004C51E8">
      <w:pPr>
        <w:pStyle w:val="NormalWeb"/>
        <w:spacing w:beforeAutospacing="0" w:after="119" w:afterAutospacing="0" w:line="240" w:lineRule="auto"/>
        <w:jc w:val="both"/>
        <w:rPr>
          <w:rFonts w:ascii="Candara" w:hAnsi="Candara"/>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2020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4C51E8">
      <w:pPr>
        <w:pStyle w:val="NormalWeb"/>
        <w:shd w:val="clear" w:color="auto" w:fill="FFFFFF"/>
        <w:spacing w:beforeAutospacing="0" w:after="57" w:afterAutospacing="0" w:line="360" w:lineRule="auto"/>
        <w:ind w:firstLine="850"/>
        <w:jc w:val="both"/>
        <w:rPr>
          <w:rFonts w:ascii="Candara" w:hAnsi="Candara"/>
          <w:sz w:val="24"/>
          <w:szCs w:val="24"/>
        </w:rPr>
      </w:pPr>
      <w:r>
        <w:rPr>
          <w:rFonts w:ascii="Candara" w:hAnsi="Candara" w:cs="Arial"/>
          <w:sz w:val="24"/>
          <w:szCs w:val="24"/>
        </w:rPr>
        <w:t>A tabela 7 apresenta a distribuição das operações contratadas no período de 2021 por programa de financiamento, setor e UF. O Programa FCO Rural, cujas linhas de crédito contemplam as linhas de desenvolvimento rural e FCO verde, foi o que apresentou o maior desempenho, com a contratação no valor de R$ 6.138.497 milhões (63,6% do total contratado), seguido pelo programa de FCO empresarial, com a contratação de R$ 2.214.467 milhões (22,9% do total contratado). No Programa FCO Empresarial, destaca-se a linha de financiamento de desenvolvimento dos setores comercial e de serviços, que apresentou maior desempenho, respondendo por 69,9% das contratações.</w:t>
      </w:r>
    </w:p>
    <w:p w:rsidR="00BB087A" w:rsidRDefault="004C51E8">
      <w:pPr>
        <w:spacing w:after="0" w:line="240" w:lineRule="auto"/>
        <w:jc w:val="center"/>
        <w:rPr>
          <w:rFonts w:ascii="Candara" w:hAnsi="Candara"/>
        </w:rPr>
      </w:pPr>
      <w:r>
        <w:rPr>
          <w:rFonts w:ascii="Candara" w:hAnsi="Candara" w:cs="Arial"/>
          <w:b/>
        </w:rPr>
        <w:t>Tabela 7</w:t>
      </w:r>
      <w:r>
        <w:rPr>
          <w:rFonts w:ascii="Candara" w:hAnsi="Candara" w:cs="Arial"/>
        </w:rPr>
        <w:t xml:space="preserve"> – Contratações por programa de financiamentos, setor – UF – 2021</w:t>
      </w:r>
    </w:p>
    <w:tbl>
      <w:tblPr>
        <w:tblW w:w="10910" w:type="dxa"/>
        <w:jc w:val="center"/>
        <w:tblLayout w:type="fixed"/>
        <w:tblCellMar>
          <w:left w:w="5" w:type="dxa"/>
          <w:right w:w="5" w:type="dxa"/>
        </w:tblCellMar>
        <w:tblLook w:val="04A0" w:firstRow="1" w:lastRow="0" w:firstColumn="1" w:lastColumn="0" w:noHBand="0" w:noVBand="1"/>
      </w:tblPr>
      <w:tblGrid>
        <w:gridCol w:w="1408"/>
        <w:gridCol w:w="758"/>
        <w:gridCol w:w="939"/>
        <w:gridCol w:w="852"/>
        <w:gridCol w:w="1109"/>
        <w:gridCol w:w="745"/>
        <w:gridCol w:w="1131"/>
        <w:gridCol w:w="8"/>
        <w:gridCol w:w="915"/>
        <w:gridCol w:w="1112"/>
        <w:gridCol w:w="837"/>
        <w:gridCol w:w="1096"/>
      </w:tblGrid>
      <w:tr w:rsidR="00BB087A">
        <w:trPr>
          <w:jc w:val="center"/>
        </w:trPr>
        <w:tc>
          <w:tcPr>
            <w:tcW w:w="1407" w:type="dxa"/>
            <w:shd w:val="clear" w:color="auto" w:fill="A6A6A6" w:themeFill="background1" w:themeFillShade="A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UF</w:t>
            </w:r>
          </w:p>
        </w:tc>
        <w:tc>
          <w:tcPr>
            <w:tcW w:w="169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DF</w:t>
            </w:r>
          </w:p>
        </w:tc>
        <w:tc>
          <w:tcPr>
            <w:tcW w:w="1961"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GO</w:t>
            </w:r>
          </w:p>
        </w:tc>
        <w:tc>
          <w:tcPr>
            <w:tcW w:w="1876"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MS</w:t>
            </w:r>
          </w:p>
        </w:tc>
        <w:tc>
          <w:tcPr>
            <w:tcW w:w="2035" w:type="dxa"/>
            <w:gridSpan w:val="3"/>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MT</w:t>
            </w:r>
          </w:p>
        </w:tc>
        <w:tc>
          <w:tcPr>
            <w:tcW w:w="1933" w:type="dxa"/>
            <w:gridSpan w:val="2"/>
            <w:shd w:val="clear" w:color="auto" w:fill="A6A6A6" w:themeFill="background1" w:themeFillShade="A6"/>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Região</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lastRenderedPageBreak/>
              <w:t>Programas</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93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09"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112"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proofErr w:type="spellStart"/>
            <w:r>
              <w:rPr>
                <w:rFonts w:ascii="Candara" w:eastAsia="Times New Roman" w:hAnsi="Candara" w:cs="Arial"/>
                <w:b/>
                <w:bCs/>
                <w:sz w:val="20"/>
                <w:szCs w:val="20"/>
                <w:lang w:bidi="ar-SA"/>
              </w:rPr>
              <w:t>Qtde</w:t>
            </w:r>
            <w:proofErr w:type="spellEnd"/>
          </w:p>
        </w:tc>
        <w:tc>
          <w:tcPr>
            <w:tcW w:w="1096" w:type="dxa"/>
            <w:shd w:val="clear" w:color="auto" w:fill="BFBFBF" w:themeFill="background1" w:themeFillShade="BF"/>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
                <w:bCs/>
                <w:sz w:val="20"/>
                <w:szCs w:val="20"/>
                <w:lang w:bidi="ar-SA"/>
              </w:rPr>
              <w:t>Valor</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rPr>
                <w:rFonts w:ascii="Candara" w:hAnsi="Candara"/>
              </w:rPr>
            </w:pPr>
            <w:r>
              <w:rPr>
                <w:rFonts w:ascii="Candara" w:eastAsia="Times New Roman" w:hAnsi="Candara" w:cs="Arial"/>
                <w:b/>
                <w:bCs/>
                <w:sz w:val="20"/>
                <w:szCs w:val="20"/>
                <w:lang w:bidi="ar-SA"/>
              </w:rPr>
              <w:t>Empresarial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550</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216.516</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1.622</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674.847</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1.090</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393.029</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1.311</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930.075</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4.573</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2.214.467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9.454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162.367</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18.346</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92</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124.254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314.420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Infraestrutura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529</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33.909</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4.518</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275.598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314.554</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9</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3.466</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7</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2.814</w:t>
            </w:r>
          </w:p>
        </w:tc>
        <w:tc>
          <w:tcPr>
            <w:tcW w:w="74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8</w:t>
            </w:r>
          </w:p>
        </w:tc>
        <w:tc>
          <w:tcPr>
            <w:tcW w:w="1139" w:type="dxa"/>
            <w:gridSpan w:val="2"/>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4.479</w:t>
            </w:r>
          </w:p>
        </w:tc>
        <w:tc>
          <w:tcPr>
            <w:tcW w:w="91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10</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25.896</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34</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36.654</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512</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203.067</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1.450</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475.757</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1.041</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365.687</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1.204</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504.327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4.207</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1.548.839</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bCs/>
                <w:sz w:val="20"/>
                <w:szCs w:val="20"/>
                <w:lang w:bidi="ar-SA"/>
              </w:rPr>
              <w:t>Rural</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748</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560.024</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4.866</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1.884.692</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2.002</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1.653.300</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1.932</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2.040.482</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9.548</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bCs/>
                <w:sz w:val="20"/>
                <w:szCs w:val="20"/>
                <w:lang w:bidi="ar-SA"/>
              </w:rPr>
              <w:t>6.138.497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spellStart"/>
            <w:r>
              <w:rPr>
                <w:rFonts w:ascii="Candara" w:eastAsia="Times New Roman" w:hAnsi="Candara" w:cs="Arial"/>
                <w:bCs/>
                <w:sz w:val="20"/>
                <w:szCs w:val="20"/>
                <w:lang w:bidi="ar-SA"/>
              </w:rPr>
              <w:t>Desenv</w:t>
            </w:r>
            <w:proofErr w:type="spellEnd"/>
            <w:r>
              <w:rPr>
                <w:rFonts w:ascii="Candara" w:eastAsia="Times New Roman" w:hAnsi="Candara" w:cs="Arial"/>
                <w:bCs/>
                <w:sz w:val="20"/>
                <w:szCs w:val="20"/>
                <w:lang w:bidi="ar-SA"/>
              </w:rPr>
              <w:t>. Rural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740</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554.306</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4.844</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1.876.329</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1.957</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1.626.775</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1.902</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2.001.157</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9.442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6.058.567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FCO Verde</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5.718</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22</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8.362</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26.525</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30</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39.325</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105</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79.931</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Pronaf</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497</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24.397</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118</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131.764</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972</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50.820</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864</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109.922</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4.451</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316.904</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RA</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288</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8.093</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379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10.563</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274</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7.756</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76</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2.078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1.017</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28.490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Pronaf Demais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209</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16.305</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1.739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121.201</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698</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43.063</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788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107.844</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3.434</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288.413</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proofErr w:type="spellStart"/>
            <w:proofErr w:type="gramStart"/>
            <w:r>
              <w:rPr>
                <w:rFonts w:ascii="Candara" w:eastAsia="Times New Roman" w:hAnsi="Candara" w:cs="Arial"/>
                <w:b/>
                <w:sz w:val="20"/>
                <w:szCs w:val="20"/>
                <w:lang w:bidi="ar-SA"/>
              </w:rPr>
              <w:t>Minigeração</w:t>
            </w:r>
            <w:proofErr w:type="spellEnd"/>
            <w:r>
              <w:rPr>
                <w:rFonts w:ascii="Candara" w:eastAsia="Times New Roman" w:hAnsi="Candara" w:cs="Arial"/>
                <w:b/>
                <w:sz w:val="20"/>
                <w:szCs w:val="20"/>
                <w:lang w:bidi="ar-SA"/>
              </w:rPr>
              <w:t xml:space="preserve"> Elétrica</w:t>
            </w:r>
            <w:proofErr w:type="gramEnd"/>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60</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234</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22</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714</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85</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34</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1.092</w:t>
            </w:r>
          </w:p>
        </w:tc>
      </w:tr>
      <w:tr w:rsidR="00BB087A">
        <w:trPr>
          <w:jc w:val="center"/>
        </w:trPr>
        <w:tc>
          <w:tcPr>
            <w:tcW w:w="1407" w:type="dxa"/>
            <w:shd w:val="clear" w:color="auto" w:fill="BFBFBF" w:themeFill="background1" w:themeFillShade="BF"/>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Repasse</w:t>
            </w:r>
          </w:p>
        </w:tc>
        <w:tc>
          <w:tcPr>
            <w:tcW w:w="75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156</w:t>
            </w:r>
          </w:p>
        </w:tc>
        <w:tc>
          <w:tcPr>
            <w:tcW w:w="93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95.740</w:t>
            </w:r>
          </w:p>
        </w:tc>
        <w:tc>
          <w:tcPr>
            <w:tcW w:w="85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415</w:t>
            </w:r>
          </w:p>
        </w:tc>
        <w:tc>
          <w:tcPr>
            <w:tcW w:w="1109"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137.571</w:t>
            </w:r>
          </w:p>
        </w:tc>
        <w:tc>
          <w:tcPr>
            <w:tcW w:w="74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664</w:t>
            </w:r>
          </w:p>
        </w:tc>
        <w:tc>
          <w:tcPr>
            <w:tcW w:w="1139" w:type="dxa"/>
            <w:gridSpan w:val="2"/>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332.440</w:t>
            </w:r>
          </w:p>
        </w:tc>
        <w:tc>
          <w:tcPr>
            <w:tcW w:w="915"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904</w:t>
            </w:r>
          </w:p>
        </w:tc>
        <w:tc>
          <w:tcPr>
            <w:tcW w:w="1112"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414.827</w:t>
            </w:r>
          </w:p>
        </w:tc>
        <w:tc>
          <w:tcPr>
            <w:tcW w:w="837"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2.139</w:t>
            </w:r>
          </w:p>
        </w:tc>
        <w:tc>
          <w:tcPr>
            <w:tcW w:w="1096" w:type="dxa"/>
            <w:shd w:val="clear" w:color="auto" w:fill="BFBFBF" w:themeFill="background1" w:themeFillShade="BF"/>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980.577</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Industrial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6</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1.094</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2.846</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74</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8.759</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3.428</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122</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16.126</w:t>
            </w:r>
          </w:p>
        </w:tc>
      </w:tr>
      <w:tr w:rsidR="00BB087A">
        <w:trPr>
          <w:jc w:val="center"/>
        </w:trPr>
        <w:tc>
          <w:tcPr>
            <w:tcW w:w="1407" w:type="dxa"/>
            <w:shd w:val="clear" w:color="auto" w:fill="D6E3BC" w:themeFill="accent3" w:themeFillTint="66"/>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lang w:bidi="ar-SA"/>
              </w:rPr>
              <w:t>Turismo</w:t>
            </w:r>
          </w:p>
        </w:tc>
        <w:tc>
          <w:tcPr>
            <w:tcW w:w="75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w:t>
            </w:r>
          </w:p>
        </w:tc>
        <w:tc>
          <w:tcPr>
            <w:tcW w:w="93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w:t>
            </w:r>
          </w:p>
        </w:tc>
        <w:tc>
          <w:tcPr>
            <w:tcW w:w="85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w:t>
            </w:r>
          </w:p>
        </w:tc>
        <w:tc>
          <w:tcPr>
            <w:tcW w:w="1109"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w:t>
            </w:r>
          </w:p>
        </w:tc>
        <w:tc>
          <w:tcPr>
            <w:tcW w:w="74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1</w:t>
            </w:r>
          </w:p>
        </w:tc>
        <w:tc>
          <w:tcPr>
            <w:tcW w:w="1139" w:type="dxa"/>
            <w:gridSpan w:val="2"/>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2.250</w:t>
            </w:r>
          </w:p>
        </w:tc>
        <w:tc>
          <w:tcPr>
            <w:tcW w:w="915"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w:t>
            </w:r>
          </w:p>
        </w:tc>
        <w:tc>
          <w:tcPr>
            <w:tcW w:w="1112"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w:t>
            </w:r>
          </w:p>
        </w:tc>
        <w:tc>
          <w:tcPr>
            <w:tcW w:w="837"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1</w:t>
            </w:r>
          </w:p>
        </w:tc>
        <w:tc>
          <w:tcPr>
            <w:tcW w:w="1096" w:type="dxa"/>
            <w:shd w:val="clear" w:color="auto" w:fill="D6E3BC" w:themeFill="accent3" w:themeFillTint="66"/>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lang w:bidi="ar-SA"/>
              </w:rPr>
              <w:t>2.250</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Cs/>
                <w:sz w:val="20"/>
                <w:szCs w:val="20"/>
                <w:lang w:bidi="ar-SA"/>
              </w:rPr>
              <w:t>Comércio e Serviços</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14</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8.845</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2.179</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55</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27.526</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45</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15.449</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123</w:t>
            </w:r>
          </w:p>
        </w:tc>
        <w:tc>
          <w:tcPr>
            <w:tcW w:w="1096" w:type="dxa"/>
          </w:tcPr>
          <w:p w:rsidR="00BB087A" w:rsidRDefault="004C51E8">
            <w:pPr>
              <w:pStyle w:val="NormalWeb"/>
              <w:spacing w:beforeAutospacing="0" w:after="0" w:afterAutospacing="0" w:line="240" w:lineRule="auto"/>
              <w:jc w:val="center"/>
              <w:rPr>
                <w:rFonts w:ascii="Candara" w:hAnsi="Candara"/>
              </w:rPr>
            </w:pPr>
            <w:r>
              <w:rPr>
                <w:rFonts w:ascii="Candara" w:eastAsia="Times New Roman" w:hAnsi="Candara" w:cs="Arial"/>
                <w:bCs/>
                <w:sz w:val="20"/>
                <w:szCs w:val="20"/>
                <w:lang w:bidi="ar-SA"/>
              </w:rPr>
              <w:t>53.998</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proofErr w:type="spellStart"/>
            <w:r>
              <w:rPr>
                <w:rFonts w:ascii="Candara" w:eastAsia="Times New Roman" w:hAnsi="Candara" w:cs="Arial"/>
                <w:bCs/>
                <w:sz w:val="20"/>
                <w:szCs w:val="20"/>
                <w:lang w:bidi="ar-SA"/>
              </w:rPr>
              <w:t>Desenv</w:t>
            </w:r>
            <w:proofErr w:type="spellEnd"/>
            <w:r>
              <w:rPr>
                <w:rFonts w:ascii="Candara" w:eastAsia="Times New Roman" w:hAnsi="Candara" w:cs="Arial"/>
                <w:bCs/>
                <w:sz w:val="20"/>
                <w:szCs w:val="20"/>
                <w:lang w:bidi="ar-SA"/>
              </w:rPr>
              <w:t>. Rural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136</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85.802</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385</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132.546</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534</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293.905</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838</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395.951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1.893</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Cs/>
                <w:sz w:val="20"/>
                <w:szCs w:val="20"/>
                <w:lang w:bidi="ar-SA"/>
              </w:rPr>
              <w:t>908.203</w:t>
            </w:r>
          </w:p>
        </w:tc>
      </w:tr>
      <w:tr w:rsidR="00BB087A">
        <w:trPr>
          <w:jc w:val="center"/>
        </w:trPr>
        <w:tc>
          <w:tcPr>
            <w:tcW w:w="1407" w:type="dxa"/>
          </w:tcPr>
          <w:p w:rsidR="00BB087A" w:rsidRDefault="004C51E8">
            <w:pPr>
              <w:pStyle w:val="NormalWeb"/>
              <w:spacing w:beforeAutospacing="0" w:after="0" w:afterAutospacing="0" w:line="240" w:lineRule="auto"/>
              <w:jc w:val="both"/>
              <w:rPr>
                <w:rFonts w:ascii="Candara" w:hAnsi="Candara"/>
              </w:rPr>
            </w:pPr>
            <w:r>
              <w:rPr>
                <w:rFonts w:ascii="Candara" w:eastAsia="Times New Roman" w:hAnsi="Candara" w:cs="Arial"/>
                <w:b/>
                <w:sz w:val="20"/>
                <w:szCs w:val="20"/>
                <w:lang w:bidi="ar-SA"/>
              </w:rPr>
              <w:t>Total</w:t>
            </w:r>
          </w:p>
        </w:tc>
        <w:tc>
          <w:tcPr>
            <w:tcW w:w="75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1.953</w:t>
            </w:r>
          </w:p>
        </w:tc>
        <w:tc>
          <w:tcPr>
            <w:tcW w:w="93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896.737</w:t>
            </w:r>
          </w:p>
        </w:tc>
        <w:tc>
          <w:tcPr>
            <w:tcW w:w="85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9.029</w:t>
            </w:r>
          </w:p>
        </w:tc>
        <w:tc>
          <w:tcPr>
            <w:tcW w:w="1109"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2.829.108</w:t>
            </w:r>
          </w:p>
        </w:tc>
        <w:tc>
          <w:tcPr>
            <w:tcW w:w="74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4.750</w:t>
            </w:r>
          </w:p>
        </w:tc>
        <w:tc>
          <w:tcPr>
            <w:tcW w:w="1139" w:type="dxa"/>
            <w:gridSpan w:val="2"/>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2.430.302</w:t>
            </w:r>
          </w:p>
        </w:tc>
        <w:tc>
          <w:tcPr>
            <w:tcW w:w="915"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5.013</w:t>
            </w:r>
          </w:p>
        </w:tc>
        <w:tc>
          <w:tcPr>
            <w:tcW w:w="1112"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3.495.391</w:t>
            </w:r>
          </w:p>
        </w:tc>
        <w:tc>
          <w:tcPr>
            <w:tcW w:w="837"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20.745</w:t>
            </w:r>
          </w:p>
        </w:tc>
        <w:tc>
          <w:tcPr>
            <w:tcW w:w="1096" w:type="dxa"/>
          </w:tcPr>
          <w:p w:rsidR="00BB087A" w:rsidRDefault="004C51E8">
            <w:pPr>
              <w:pStyle w:val="NormalWeb"/>
              <w:spacing w:beforeAutospacing="0" w:after="0" w:afterAutospacing="0" w:line="240" w:lineRule="auto"/>
              <w:jc w:val="right"/>
              <w:rPr>
                <w:rFonts w:ascii="Candara" w:hAnsi="Candara"/>
              </w:rPr>
            </w:pPr>
            <w:r>
              <w:rPr>
                <w:rFonts w:ascii="Candara" w:eastAsia="Times New Roman" w:hAnsi="Candara" w:cs="Arial"/>
                <w:b/>
                <w:sz w:val="20"/>
                <w:szCs w:val="20"/>
                <w:lang w:bidi="ar-SA"/>
              </w:rPr>
              <w:t>9.651.538</w:t>
            </w:r>
          </w:p>
        </w:tc>
      </w:tr>
    </w:tbl>
    <w:p w:rsidR="00BB087A" w:rsidRDefault="004C51E8">
      <w:pPr>
        <w:pStyle w:val="NormalWeb"/>
        <w:spacing w:beforeAutospacing="0" w:after="119" w:afterAutospacing="0" w:line="240" w:lineRule="auto"/>
        <w:jc w:val="both"/>
        <w:rPr>
          <w:rFonts w:ascii="Candara" w:hAnsi="Candara"/>
        </w:rPr>
      </w:pPr>
      <w:r>
        <w:rPr>
          <w:rFonts w:ascii="Candara" w:hAnsi="Candara" w:cs="Arial"/>
          <w:bCs/>
          <w:sz w:val="20"/>
          <w:szCs w:val="20"/>
        </w:rPr>
        <w:t>Fonte:</w:t>
      </w:r>
      <w:r>
        <w:rPr>
          <w:rFonts w:ascii="Candara" w:hAnsi="Candara" w:cs="Arial"/>
          <w:sz w:val="20"/>
          <w:szCs w:val="20"/>
        </w:rPr>
        <w:t xml:space="preserve"> Elaborado pelos autores, com base em informações do SIGFCO – Sistema do Banco do Brasil e relatório de gestão do exercício de 2021 da </w:t>
      </w:r>
      <w:proofErr w:type="spellStart"/>
      <w:r>
        <w:rPr>
          <w:rFonts w:ascii="Candara" w:hAnsi="Candara" w:cs="Arial"/>
          <w:sz w:val="20"/>
          <w:szCs w:val="20"/>
        </w:rPr>
        <w:t>Sudeco</w:t>
      </w:r>
      <w:proofErr w:type="spellEnd"/>
      <w:r>
        <w:rPr>
          <w:rFonts w:ascii="Candara" w:hAnsi="Candara" w:cs="Arial"/>
          <w:sz w:val="20"/>
          <w:szCs w:val="20"/>
        </w:rPr>
        <w:t>.</w:t>
      </w:r>
    </w:p>
    <w:p w:rsidR="00BB087A" w:rsidRDefault="00BB087A">
      <w:pPr>
        <w:pStyle w:val="NormalWeb"/>
        <w:shd w:val="clear" w:color="auto" w:fill="FFFFFF"/>
        <w:spacing w:beforeAutospacing="0" w:after="0" w:afterAutospacing="0" w:line="360" w:lineRule="auto"/>
        <w:ind w:firstLine="720"/>
        <w:jc w:val="both"/>
        <w:rPr>
          <w:rFonts w:ascii="Arial" w:hAnsi="Arial" w:cs="Arial"/>
        </w:rPr>
      </w:pPr>
    </w:p>
    <w:p w:rsidR="00BB087A" w:rsidRDefault="004C51E8">
      <w:pPr>
        <w:pStyle w:val="NormalWeb"/>
        <w:shd w:val="clear" w:color="auto" w:fill="FFFFFF"/>
        <w:spacing w:beforeAutospacing="0" w:after="0" w:afterAutospacing="0" w:line="360" w:lineRule="auto"/>
        <w:ind w:firstLine="850"/>
        <w:jc w:val="both"/>
        <w:rPr>
          <w:rFonts w:ascii="Candara" w:hAnsi="Candara"/>
          <w:sz w:val="24"/>
          <w:szCs w:val="24"/>
        </w:rPr>
      </w:pPr>
      <w:r>
        <w:rPr>
          <w:rFonts w:ascii="Candara" w:hAnsi="Candara" w:cs="Arial"/>
          <w:sz w:val="24"/>
          <w:szCs w:val="24"/>
        </w:rPr>
        <w:t>As linhas de financiamento do setor empresarial (com destaque para o turismo) em comparação com 2020, tiveram redução de 43,8% no total de empreendimentos atendidos e no mesmo patamar em relação ao montante financiado. Observa-se que as linhas do programa empresarial permanecem fortemente impactados pelos efeitos da pandemia.</w:t>
      </w:r>
    </w:p>
    <w:p w:rsidR="00BB087A" w:rsidRDefault="004C51E8">
      <w:pPr>
        <w:pStyle w:val="NormalWeb"/>
        <w:shd w:val="clear" w:color="auto" w:fill="FFFFFF"/>
        <w:spacing w:beforeAutospacing="0" w:after="119" w:afterAutospacing="0" w:line="360" w:lineRule="auto"/>
        <w:ind w:firstLine="850"/>
        <w:jc w:val="both"/>
        <w:rPr>
          <w:rFonts w:ascii="Candara" w:hAnsi="Candara"/>
          <w:sz w:val="24"/>
          <w:szCs w:val="24"/>
        </w:rPr>
      </w:pPr>
      <w:r>
        <w:rPr>
          <w:rFonts w:ascii="Candara" w:hAnsi="Candara" w:cs="Arial"/>
          <w:sz w:val="24"/>
          <w:szCs w:val="24"/>
        </w:rPr>
        <w:t>Para melhor compreensão da flutuação da quantidade de contratações e valores contratados do programa empresarial, na linha de financiamento para o turismo de 2015 a 2021, segue o gráfico 1.</w:t>
      </w:r>
    </w:p>
    <w:p w:rsidR="00BB087A" w:rsidRDefault="004C51E8">
      <w:pPr>
        <w:pStyle w:val="NormalWeb"/>
        <w:shd w:val="clear" w:color="auto" w:fill="FFFFFF"/>
        <w:spacing w:beforeAutospacing="0" w:after="0" w:afterAutospacing="0"/>
        <w:jc w:val="center"/>
        <w:rPr>
          <w:rFonts w:ascii="Candara" w:hAnsi="Candara"/>
        </w:rPr>
      </w:pPr>
      <w:r>
        <w:rPr>
          <w:rFonts w:ascii="Candara" w:hAnsi="Candara" w:cs="Arial"/>
          <w:b/>
        </w:rPr>
        <w:t xml:space="preserve">Gráfico 1 </w:t>
      </w:r>
      <w:r>
        <w:rPr>
          <w:rFonts w:ascii="Candara" w:hAnsi="Candara" w:cs="Arial"/>
          <w:bCs/>
        </w:rPr>
        <w:t>– Contratações do programa empresarial na</w:t>
      </w:r>
    </w:p>
    <w:p w:rsidR="00BB087A" w:rsidRDefault="004C51E8">
      <w:pPr>
        <w:pStyle w:val="NormalWeb"/>
        <w:shd w:val="clear" w:color="auto" w:fill="FFFFFF"/>
        <w:spacing w:beforeAutospacing="0" w:after="0" w:afterAutospacing="0"/>
        <w:jc w:val="center"/>
        <w:rPr>
          <w:rFonts w:ascii="Candara" w:hAnsi="Candara"/>
        </w:rPr>
      </w:pPr>
      <w:proofErr w:type="gramStart"/>
      <w:r>
        <w:rPr>
          <w:rFonts w:ascii="Candara" w:hAnsi="Candara" w:cs="Arial"/>
          <w:bCs/>
        </w:rPr>
        <w:t>linha</w:t>
      </w:r>
      <w:proofErr w:type="gramEnd"/>
      <w:r>
        <w:rPr>
          <w:rFonts w:ascii="Candara" w:hAnsi="Candara" w:cs="Arial"/>
          <w:bCs/>
        </w:rPr>
        <w:t xml:space="preserve"> de financiamento para o turismo – MS – 2015 a 2021</w:t>
      </w:r>
    </w:p>
    <w:p w:rsidR="00BB087A" w:rsidRDefault="004C51E8">
      <w:pPr>
        <w:pStyle w:val="NormalWeb"/>
        <w:shd w:val="clear" w:color="auto" w:fill="FFFFFF"/>
        <w:spacing w:beforeAutospacing="0" w:after="0" w:afterAutospacing="0"/>
        <w:jc w:val="center"/>
      </w:pPr>
      <w:r>
        <w:rPr>
          <w:noProof/>
          <w:lang w:bidi="ar-SA"/>
        </w:rPr>
        <w:lastRenderedPageBreak/>
        <w:drawing>
          <wp:inline distT="0" distB="0" distL="0" distR="0">
            <wp:extent cx="4267200" cy="2530475"/>
            <wp:effectExtent l="0" t="0" r="0" b="0"/>
            <wp:docPr id="1" name="Gráfico 1" descr="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B087A" w:rsidRDefault="004C51E8">
      <w:pPr>
        <w:pStyle w:val="NormalWeb"/>
        <w:shd w:val="clear" w:color="auto" w:fill="FFFFFF"/>
        <w:spacing w:beforeAutospacing="0" w:after="119" w:afterAutospacing="0"/>
        <w:jc w:val="center"/>
      </w:pPr>
      <w:r>
        <w:rPr>
          <w:rFonts w:ascii="Candara" w:hAnsi="Candara" w:cs="Arial"/>
        </w:rPr>
        <w:t>Fonte: Elaborado pelos autores (2024).</w:t>
      </w:r>
    </w:p>
    <w:p w:rsidR="00BB087A" w:rsidRDefault="004C51E8">
      <w:pPr>
        <w:pStyle w:val="NormalWeb"/>
        <w:shd w:val="clear" w:color="auto" w:fill="FFFFFF"/>
        <w:spacing w:beforeAutospacing="0" w:after="119" w:afterAutospacing="0" w:line="360" w:lineRule="auto"/>
        <w:ind w:firstLine="850"/>
        <w:jc w:val="both"/>
      </w:pPr>
      <w:r>
        <w:rPr>
          <w:rFonts w:ascii="Candara" w:hAnsi="Candara" w:cs="Arial"/>
          <w:bCs/>
          <w:sz w:val="24"/>
          <w:szCs w:val="24"/>
        </w:rPr>
        <w:t>Com os dados apresentados, depreende-se que o FCO é um importante fundo de manutenção, investimento e fomento do turismo enquanto atividade diversificada para o desenvolvimento regional. Neste contexto pode-se verificar que tais recursos injetados na economia do MS promovem empregabilidade, modernização, qualificação e incentivo aos empreendedores.</w:t>
      </w:r>
    </w:p>
    <w:p w:rsidR="00BB087A" w:rsidRDefault="004C51E8">
      <w:pPr>
        <w:pStyle w:val="NormalWeb"/>
        <w:shd w:val="clear" w:color="auto" w:fill="FFFFFF"/>
        <w:spacing w:beforeAutospacing="0" w:after="119" w:afterAutospacing="0" w:line="360" w:lineRule="auto"/>
        <w:jc w:val="both"/>
        <w:rPr>
          <w:rFonts w:ascii="Candara" w:hAnsi="Candara" w:cs="Arial"/>
        </w:rPr>
      </w:pPr>
      <w:r>
        <w:rPr>
          <w:rFonts w:ascii="Candara" w:hAnsi="Candara" w:cs="Arial"/>
          <w:sz w:val="28"/>
          <w:szCs w:val="28"/>
          <w:lang w:eastAsia="zh-CN"/>
        </w:rPr>
        <w:tab/>
        <w:t>5 CONSIDERAÇÕES FINAIS</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O Fundo Constitucional de Financiamento do Centro-Oeste (FCO) é uma política pública que apresenta uma sign</w:t>
      </w:r>
      <w:r w:rsidR="000E0582">
        <w:rPr>
          <w:rFonts w:ascii="Candara" w:hAnsi="Candara" w:cs="Arial"/>
          <w:sz w:val="24"/>
          <w:szCs w:val="24"/>
        </w:rPr>
        <w:t>i</w:t>
      </w:r>
      <w:r>
        <w:rPr>
          <w:rFonts w:ascii="Candara" w:hAnsi="Candara" w:cs="Arial"/>
          <w:sz w:val="24"/>
          <w:szCs w:val="24"/>
        </w:rPr>
        <w:t xml:space="preserve">ficativa importância para a região Centro-Oeste do Brasil, pois atua como um instrumento de aporte financeiro que contribui para o desenvolvimento econômico e social. Criado para fomentar o crescimento econômico e reduzir as disparidades regionais, o FCO disponibiliza recursos financeiros a juros moderados e com prazos para pagamento mais longos, dentro dos </w:t>
      </w:r>
      <w:r>
        <w:rPr>
          <w:rFonts w:ascii="Candara" w:hAnsi="Candara" w:cs="Arial"/>
          <w:sz w:val="24"/>
          <w:szCs w:val="24"/>
        </w:rPr>
        <w:lastRenderedPageBreak/>
        <w:t>programas empresarial e rural. A linha de financiamento para o turismo encontra-se dentro do programa empresarial.</w:t>
      </w:r>
    </w:p>
    <w:p w:rsidR="00BB087A" w:rsidRDefault="00FE11D8">
      <w:pPr>
        <w:spacing w:after="0" w:line="360" w:lineRule="auto"/>
        <w:ind w:firstLine="850"/>
        <w:jc w:val="both"/>
        <w:rPr>
          <w:rFonts w:ascii="Candara" w:hAnsi="Candara"/>
          <w:sz w:val="24"/>
          <w:szCs w:val="24"/>
        </w:rPr>
      </w:pPr>
      <w:r>
        <w:rPr>
          <w:rFonts w:ascii="Candara" w:hAnsi="Candara" w:cs="Arial"/>
          <w:sz w:val="24"/>
          <w:szCs w:val="24"/>
        </w:rPr>
        <w:t>Notadamente, as análises</w:t>
      </w:r>
      <w:r w:rsidR="004C51E8">
        <w:rPr>
          <w:rFonts w:ascii="Candara" w:hAnsi="Candara" w:cs="Arial"/>
          <w:sz w:val="24"/>
          <w:szCs w:val="24"/>
        </w:rPr>
        <w:t xml:space="preserve"> dos repasses no período de 2015 a </w:t>
      </w:r>
      <w:proofErr w:type="gramStart"/>
      <w:r w:rsidR="004C51E8">
        <w:rPr>
          <w:rFonts w:ascii="Candara" w:hAnsi="Candara" w:cs="Arial"/>
          <w:sz w:val="24"/>
          <w:szCs w:val="24"/>
        </w:rPr>
        <w:t xml:space="preserve">2021 </w:t>
      </w:r>
      <w:r>
        <w:rPr>
          <w:rFonts w:ascii="Candara" w:hAnsi="Candara" w:cs="Arial"/>
          <w:sz w:val="24"/>
          <w:szCs w:val="24"/>
        </w:rPr>
        <w:t>,</w:t>
      </w:r>
      <w:proofErr w:type="gramEnd"/>
      <w:r>
        <w:rPr>
          <w:rFonts w:ascii="Candara" w:hAnsi="Candara" w:cs="Arial"/>
          <w:sz w:val="24"/>
          <w:szCs w:val="24"/>
        </w:rPr>
        <w:t xml:space="preserve"> mostram </w:t>
      </w:r>
      <w:r w:rsidR="004C51E8">
        <w:rPr>
          <w:rFonts w:ascii="Candara" w:hAnsi="Candara" w:cs="Arial"/>
          <w:sz w:val="24"/>
          <w:szCs w:val="24"/>
        </w:rPr>
        <w:t>que o FCO é uma iniciativa que contribui para a manutenção e fortalecimento empresas, incentivo à inovação tecnológica e a geração de emprego e renda. Além disso, ao promover investimentos em infraestrutura e melhoria da competitividade das empresas locais, o FCO desempenha um papel estratégico na integração regional e no desenvolvimento sustentável, colaborando diretamente para a melhoria da qualidade de vida da população do Centro-Oeste.</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Refletir acerca das políticas públicas que oferecem suporte ao setor turístico proporcionou observações acerca da importância de se pensar não apenas nos avanços econômicos, mas nos projetos que valorizem a região a ser desenvolvida, na qualidade de vida dos moradores e na infraestrutura básica de atendimento aos locais e aos visitantes das regiões.</w:t>
      </w:r>
    </w:p>
    <w:p w:rsidR="00BB087A" w:rsidRDefault="004C51E8">
      <w:pPr>
        <w:spacing w:after="0" w:line="360" w:lineRule="auto"/>
        <w:ind w:firstLine="850"/>
        <w:jc w:val="both"/>
        <w:rPr>
          <w:rFonts w:ascii="Candara" w:hAnsi="Candara"/>
          <w:sz w:val="24"/>
          <w:szCs w:val="24"/>
        </w:rPr>
      </w:pPr>
      <w:r>
        <w:rPr>
          <w:rFonts w:ascii="Candara" w:hAnsi="Candara" w:cs="Arial"/>
          <w:sz w:val="24"/>
          <w:szCs w:val="24"/>
        </w:rPr>
        <w:t>Com a apresentação dos dados de financiamento e investimento no desenvolvimento do setor turístico no período de 2015 a 2021, estabeleceu-se a relevância de políticas públicas voltadas ao setor, bem como a fundamental necessidade do FCO Emergencial para as eventualidades, como foi a pandemia de Covid-19, que muito prejudicou o setor turístico no país.</w:t>
      </w:r>
    </w:p>
    <w:p w:rsidR="00BB087A" w:rsidRDefault="004C51E8">
      <w:pPr>
        <w:pStyle w:val="NormalWeb"/>
        <w:spacing w:beforeAutospacing="0" w:after="0" w:afterAutospacing="0" w:line="360" w:lineRule="auto"/>
        <w:ind w:firstLine="850"/>
        <w:jc w:val="both"/>
        <w:rPr>
          <w:rFonts w:ascii="Candara" w:hAnsi="Candara"/>
          <w:sz w:val="24"/>
          <w:szCs w:val="24"/>
        </w:rPr>
      </w:pPr>
      <w:r>
        <w:rPr>
          <w:rFonts w:ascii="Candara" w:hAnsi="Candara" w:cs="Arial"/>
          <w:sz w:val="24"/>
          <w:szCs w:val="24"/>
        </w:rPr>
        <w:t>Este estudo demonstrou que o FCO é uma ferramenta essencial para fomentar o crescimento econômico da região, proporcionando recursos financeiros necessários para investimentos em infraestrutura turística, capacitação profissional e promoção de destinos.</w:t>
      </w:r>
    </w:p>
    <w:p w:rsidR="00BB087A" w:rsidRDefault="004C51E8">
      <w:pPr>
        <w:pStyle w:val="NormalWeb"/>
        <w:spacing w:beforeAutospacing="0" w:after="119" w:afterAutospacing="0" w:line="360" w:lineRule="auto"/>
        <w:ind w:firstLine="850"/>
        <w:jc w:val="both"/>
        <w:rPr>
          <w:rFonts w:ascii="Candara" w:hAnsi="Candara"/>
          <w:sz w:val="24"/>
          <w:szCs w:val="24"/>
        </w:rPr>
      </w:pPr>
      <w:r>
        <w:rPr>
          <w:rFonts w:ascii="Candara" w:hAnsi="Candara" w:cs="Arial"/>
          <w:sz w:val="24"/>
          <w:szCs w:val="24"/>
        </w:rPr>
        <w:lastRenderedPageBreak/>
        <w:t>Portanto, é imperativo que políticas públicas continuem a fortalecer o FCO, garantindo a continuidade dos investimentos e ampliando o alcance dos benefícios. A colaboração entre governos, iniciativa privada e comunidade é essencial para maximizar o impacto positivo do fundo e consolidar Mato Grosso do Sul como um destino turístico competitivo e sustentável.</w:t>
      </w:r>
    </w:p>
    <w:p w:rsidR="00BB087A" w:rsidRDefault="004C51E8">
      <w:pPr>
        <w:pStyle w:val="PargrafodaLista"/>
        <w:suppressAutoHyphens w:val="0"/>
        <w:spacing w:after="119" w:line="360" w:lineRule="auto"/>
        <w:ind w:left="0"/>
        <w:jc w:val="both"/>
        <w:rPr>
          <w:rFonts w:ascii="Candara" w:hAnsi="Candara" w:cs="Arial"/>
          <w:sz w:val="28"/>
          <w:szCs w:val="28"/>
        </w:rPr>
      </w:pPr>
      <w:r>
        <w:rPr>
          <w:rFonts w:ascii="Candara" w:hAnsi="Candara" w:cs="Arial"/>
          <w:sz w:val="28"/>
          <w:szCs w:val="28"/>
        </w:rPr>
        <w:tab/>
        <w:t>6 REFERÊNCIAS BIBLIOGRÁFICAS</w:t>
      </w:r>
    </w:p>
    <w:p w:rsidR="00BB087A" w:rsidRDefault="004C51E8">
      <w:pPr>
        <w:pStyle w:val="Ttulo2"/>
        <w:shd w:val="clear" w:color="auto" w:fill="FFFFFF"/>
        <w:spacing w:before="0" w:after="119" w:line="240" w:lineRule="auto"/>
        <w:textAlignment w:val="baseline"/>
        <w:rPr>
          <w:rFonts w:ascii="Candara" w:hAnsi="Candara"/>
          <w:b w:val="0"/>
          <w:sz w:val="24"/>
          <w:szCs w:val="24"/>
        </w:rPr>
      </w:pPr>
      <w:r>
        <w:rPr>
          <w:rFonts w:ascii="Candara" w:hAnsi="Candara" w:cs="Arial"/>
          <w:b w:val="0"/>
          <w:sz w:val="24"/>
          <w:szCs w:val="24"/>
        </w:rPr>
        <w:t xml:space="preserve">BANCO DO BRASIL. </w:t>
      </w:r>
      <w:r>
        <w:rPr>
          <w:rFonts w:ascii="Candara" w:hAnsi="Candara" w:cs="Arial"/>
          <w:b w:val="0"/>
          <w:i/>
          <w:iCs/>
          <w:sz w:val="24"/>
          <w:szCs w:val="24"/>
        </w:rPr>
        <w:t>Fundo Constitucional de Financiamento do Centro-Oeste (FCO)</w:t>
      </w:r>
      <w:r>
        <w:rPr>
          <w:rFonts w:ascii="Candara" w:hAnsi="Candara" w:cs="Arial"/>
          <w:b w:val="0"/>
          <w:sz w:val="24"/>
          <w:szCs w:val="24"/>
        </w:rPr>
        <w:t>, 2023. Disponível em: https://www.bb.com.br/site/setor-publico/federal/desenvolvimento-socioeconomico/fundo-constitucional-de-financiamento-do-centro-oeste-fco/. Acesso em: 15 de jul. 2024.</w:t>
      </w:r>
    </w:p>
    <w:p w:rsidR="00BB087A" w:rsidRDefault="004C51E8">
      <w:pPr>
        <w:spacing w:after="119" w:line="240" w:lineRule="auto"/>
        <w:rPr>
          <w:rFonts w:ascii="Candara" w:hAnsi="Candara"/>
          <w:sz w:val="24"/>
          <w:szCs w:val="24"/>
        </w:rPr>
      </w:pPr>
      <w:r>
        <w:rPr>
          <w:rFonts w:ascii="Candara" w:hAnsi="Candara" w:cs="Arial"/>
          <w:sz w:val="24"/>
          <w:szCs w:val="24"/>
        </w:rPr>
        <w:t xml:space="preserve">BANCO DO BRASI. FCO - </w:t>
      </w:r>
      <w:r>
        <w:rPr>
          <w:rFonts w:ascii="Candara" w:hAnsi="Candara" w:cs="Arial"/>
          <w:i/>
          <w:iCs/>
          <w:sz w:val="24"/>
          <w:szCs w:val="24"/>
        </w:rPr>
        <w:t>Fundo Constitucional de Financiamento do Centro-Oeste. Relatório de Programação 2007</w:t>
      </w:r>
      <w:r>
        <w:rPr>
          <w:rFonts w:ascii="Candara" w:hAnsi="Candara" w:cs="Arial"/>
          <w:sz w:val="24"/>
          <w:szCs w:val="24"/>
        </w:rPr>
        <w:t xml:space="preserve">. Disponível em: https://www.bb.com.br/docs/pub/gov/exe/ Programacao.pdf. Acesso em: 15 de jul. </w:t>
      </w:r>
      <w:proofErr w:type="gramStart"/>
      <w:r>
        <w:rPr>
          <w:rFonts w:ascii="Candara" w:hAnsi="Candara" w:cs="Arial"/>
          <w:sz w:val="24"/>
          <w:szCs w:val="24"/>
        </w:rPr>
        <w:t>de</w:t>
      </w:r>
      <w:proofErr w:type="gramEnd"/>
      <w:r>
        <w:rPr>
          <w:rFonts w:ascii="Candara" w:hAnsi="Candara" w:cs="Arial"/>
          <w:sz w:val="24"/>
          <w:szCs w:val="24"/>
        </w:rPr>
        <w:t xml:space="preserve"> 2024.</w:t>
      </w:r>
    </w:p>
    <w:p w:rsidR="00BB087A" w:rsidRDefault="004C51E8">
      <w:pPr>
        <w:spacing w:after="119" w:line="240" w:lineRule="auto"/>
        <w:rPr>
          <w:rFonts w:ascii="Candara" w:hAnsi="Candara"/>
          <w:sz w:val="24"/>
          <w:szCs w:val="24"/>
        </w:rPr>
      </w:pPr>
      <w:r>
        <w:rPr>
          <w:rFonts w:ascii="Candara" w:hAnsi="Candara" w:cs="Arial"/>
          <w:sz w:val="24"/>
          <w:szCs w:val="24"/>
        </w:rPr>
        <w:t xml:space="preserve">BRASIL. Ministério da Integração e do Desenvolvimento Regional. </w:t>
      </w:r>
      <w:r>
        <w:rPr>
          <w:rFonts w:ascii="Candara" w:hAnsi="Candara" w:cs="Arial"/>
          <w:i/>
          <w:iCs/>
          <w:sz w:val="24"/>
          <w:szCs w:val="24"/>
        </w:rPr>
        <w:t>Fundo Constitucional de Financiamento</w:t>
      </w:r>
      <w:r>
        <w:rPr>
          <w:rFonts w:ascii="Candara" w:hAnsi="Candara" w:cs="Arial"/>
          <w:sz w:val="24"/>
          <w:szCs w:val="24"/>
        </w:rPr>
        <w:t xml:space="preserve">. Sistemas de Informações Gerenciais dos exercícios de 2017, 2018, 2019, 2020, 2021. Disponível em: https://www.gov.br/sudeco/pt-br/assuntos/fundo-constitucional-de-financiamento-do-centro-oeste/programacao-anual-de-financiamento-. Acesso em: 15 de jul. </w:t>
      </w:r>
      <w:proofErr w:type="gramStart"/>
      <w:r>
        <w:rPr>
          <w:rFonts w:ascii="Candara" w:hAnsi="Candara" w:cs="Arial"/>
          <w:sz w:val="24"/>
          <w:szCs w:val="24"/>
        </w:rPr>
        <w:t>de</w:t>
      </w:r>
      <w:proofErr w:type="gramEnd"/>
      <w:r>
        <w:rPr>
          <w:rFonts w:ascii="Candara" w:hAnsi="Candara" w:cs="Arial"/>
          <w:sz w:val="24"/>
          <w:szCs w:val="24"/>
        </w:rPr>
        <w:t xml:space="preserve"> 2024.</w:t>
      </w:r>
    </w:p>
    <w:p w:rsidR="00BB087A" w:rsidRDefault="004C51E8">
      <w:pPr>
        <w:pStyle w:val="Default"/>
        <w:spacing w:after="119" w:line="240" w:lineRule="auto"/>
        <w:rPr>
          <w:rFonts w:ascii="Candara" w:hAnsi="Candara"/>
        </w:rPr>
      </w:pPr>
      <w:r>
        <w:rPr>
          <w:rFonts w:ascii="Candara" w:hAnsi="Candara" w:cs="Arial"/>
          <w:color w:val="auto"/>
        </w:rPr>
        <w:t xml:space="preserve">BARTIK, T.; BINGHAM, R. </w:t>
      </w:r>
      <w:r>
        <w:rPr>
          <w:rFonts w:ascii="Candara" w:hAnsi="Candara" w:cs="Arial"/>
          <w:i/>
          <w:iCs/>
          <w:color w:val="auto"/>
        </w:rPr>
        <w:t>Os programas de desenvolvimento econômico podem ser avaliados?</w:t>
      </w:r>
      <w:r>
        <w:rPr>
          <w:rFonts w:ascii="Candara" w:hAnsi="Candara" w:cs="Arial"/>
          <w:color w:val="auto"/>
        </w:rPr>
        <w:t xml:space="preserve"> Michigan: Instituto </w:t>
      </w:r>
      <w:proofErr w:type="spellStart"/>
      <w:r>
        <w:rPr>
          <w:rFonts w:ascii="Candara" w:hAnsi="Candara" w:cs="Arial"/>
          <w:color w:val="auto"/>
        </w:rPr>
        <w:t>Upjohn</w:t>
      </w:r>
      <w:proofErr w:type="spellEnd"/>
      <w:r>
        <w:rPr>
          <w:rFonts w:ascii="Candara" w:hAnsi="Candara" w:cs="Arial"/>
          <w:color w:val="auto"/>
        </w:rPr>
        <w:t>, 1995.</w:t>
      </w:r>
    </w:p>
    <w:p w:rsidR="00BB087A" w:rsidRDefault="004C51E8">
      <w:pPr>
        <w:spacing w:after="119" w:line="240" w:lineRule="auto"/>
        <w:rPr>
          <w:rFonts w:ascii="Candara" w:hAnsi="Candara"/>
          <w:sz w:val="24"/>
          <w:szCs w:val="24"/>
        </w:rPr>
      </w:pPr>
      <w:r>
        <w:rPr>
          <w:rFonts w:ascii="Candara" w:hAnsi="Candara" w:cs="Arial"/>
          <w:color w:val="000000"/>
          <w:sz w:val="24"/>
          <w:szCs w:val="24"/>
          <w:shd w:val="clear" w:color="auto" w:fill="FFFFFF"/>
        </w:rPr>
        <w:t>BENI, Mário Carlos. </w:t>
      </w:r>
      <w:r>
        <w:rPr>
          <w:rFonts w:ascii="Candara" w:hAnsi="Candara" w:cs="Arial"/>
          <w:i/>
          <w:iCs/>
          <w:color w:val="000000"/>
          <w:sz w:val="24"/>
          <w:szCs w:val="24"/>
          <w:shd w:val="clear" w:color="auto" w:fill="FFFFFF"/>
        </w:rPr>
        <w:t>Análise estrutural do turismo</w:t>
      </w:r>
      <w:r>
        <w:rPr>
          <w:rFonts w:ascii="Candara" w:hAnsi="Candara" w:cs="Arial"/>
          <w:color w:val="000000"/>
          <w:sz w:val="24"/>
          <w:szCs w:val="24"/>
          <w:shd w:val="clear" w:color="auto" w:fill="FFFFFF"/>
        </w:rPr>
        <w:t>. São Paulo: Senac São Paulo, 2006.</w:t>
      </w:r>
    </w:p>
    <w:p w:rsidR="00BB087A" w:rsidRDefault="004C51E8">
      <w:pPr>
        <w:pStyle w:val="Ttulo2"/>
        <w:shd w:val="clear" w:color="auto" w:fill="FFFFFF"/>
        <w:spacing w:before="0" w:after="119" w:line="240" w:lineRule="auto"/>
        <w:textAlignment w:val="baseline"/>
        <w:rPr>
          <w:rFonts w:ascii="Candara" w:hAnsi="Candara"/>
          <w:b w:val="0"/>
          <w:sz w:val="24"/>
          <w:szCs w:val="24"/>
        </w:rPr>
      </w:pPr>
      <w:r>
        <w:rPr>
          <w:rFonts w:ascii="Candara" w:hAnsi="Candara" w:cs="Arial"/>
          <w:b w:val="0"/>
          <w:sz w:val="24"/>
          <w:szCs w:val="24"/>
        </w:rPr>
        <w:lastRenderedPageBreak/>
        <w:t xml:space="preserve">BRASIL. </w:t>
      </w:r>
      <w:r>
        <w:rPr>
          <w:rFonts w:ascii="Candara" w:hAnsi="Candara" w:cs="Arial"/>
          <w:b w:val="0"/>
          <w:i/>
          <w:iCs/>
          <w:sz w:val="24"/>
          <w:szCs w:val="24"/>
        </w:rPr>
        <w:t>Fundo Constitucional de Financiamento do Centro-Oeste (FCO)</w:t>
      </w:r>
      <w:r>
        <w:rPr>
          <w:rFonts w:ascii="Candara" w:hAnsi="Candara" w:cs="Arial"/>
          <w:b w:val="0"/>
          <w:sz w:val="24"/>
          <w:szCs w:val="24"/>
        </w:rPr>
        <w:t>. Ministério da Integração e do Desenvolvimento Regional. Superintendência do Desenvolvimento do Centro-Oeste, 2023.  Disponível em: https://www.gov.br/sudeco/pt-br/assuntos/fundo-constitucional-de-financiamento-do-centro-oeste. Acesso em: 15 de jul. 2024.</w:t>
      </w:r>
    </w:p>
    <w:p w:rsidR="00BB087A" w:rsidRDefault="004C51E8">
      <w:pPr>
        <w:pStyle w:val="NormalWeb"/>
        <w:shd w:val="clear" w:color="auto" w:fill="FFFFFF"/>
        <w:spacing w:beforeAutospacing="0" w:after="119" w:afterAutospacing="0" w:line="240" w:lineRule="auto"/>
        <w:rPr>
          <w:rFonts w:ascii="Candara" w:hAnsi="Candara"/>
          <w:sz w:val="24"/>
          <w:szCs w:val="24"/>
        </w:rPr>
      </w:pPr>
      <w:r>
        <w:rPr>
          <w:rFonts w:ascii="Candara" w:hAnsi="Candara" w:cs="Arial"/>
          <w:sz w:val="24"/>
          <w:szCs w:val="24"/>
        </w:rPr>
        <w:t xml:space="preserve">BRASIL. </w:t>
      </w:r>
      <w:r>
        <w:rPr>
          <w:rFonts w:ascii="Candara" w:hAnsi="Candara" w:cs="Arial"/>
          <w:i/>
          <w:iCs/>
          <w:sz w:val="24"/>
          <w:szCs w:val="24"/>
        </w:rPr>
        <w:t>CADASTUR – Cadastro de Prestadores de Serviços Turísticos</w:t>
      </w:r>
      <w:r>
        <w:rPr>
          <w:rFonts w:ascii="Candara" w:hAnsi="Candara" w:cs="Arial"/>
          <w:sz w:val="24"/>
          <w:szCs w:val="24"/>
        </w:rPr>
        <w:t xml:space="preserve">. Ministério da Gestão e da Inovação em Serviços Públicos. Disponível em: https://cadastur.turismo.gov.br/hotsite/#!/public/capa/entrar. Acesso em: 15 de jul. </w:t>
      </w:r>
      <w:proofErr w:type="gramStart"/>
      <w:r>
        <w:rPr>
          <w:rFonts w:ascii="Candara" w:hAnsi="Candara" w:cs="Arial"/>
          <w:sz w:val="24"/>
          <w:szCs w:val="24"/>
        </w:rPr>
        <w:t>de</w:t>
      </w:r>
      <w:proofErr w:type="gramEnd"/>
      <w:r>
        <w:rPr>
          <w:rFonts w:ascii="Candara" w:hAnsi="Candara" w:cs="Arial"/>
          <w:sz w:val="24"/>
          <w:szCs w:val="24"/>
        </w:rPr>
        <w:t xml:space="preserve"> 2024.</w:t>
      </w:r>
    </w:p>
    <w:p w:rsidR="00BB087A" w:rsidRDefault="004C51E8">
      <w:pPr>
        <w:spacing w:after="119" w:line="240" w:lineRule="auto"/>
      </w:pPr>
      <w:r>
        <w:rPr>
          <w:rFonts w:ascii="Candara" w:hAnsi="Candara" w:cs="Arial"/>
          <w:color w:val="000000"/>
          <w:sz w:val="24"/>
          <w:szCs w:val="24"/>
          <w:shd w:val="clear" w:color="auto" w:fill="FFFFFF"/>
        </w:rPr>
        <w:t xml:space="preserve">CRUZ, R. de C. A. da. Políticas públicas de turismo no Brasil: território usado, território negligenciado. </w:t>
      </w:r>
      <w:proofErr w:type="spellStart"/>
      <w:r>
        <w:rPr>
          <w:rFonts w:ascii="Candara" w:hAnsi="Candara" w:cs="Arial"/>
          <w:i/>
          <w:iCs/>
          <w:color w:val="000000"/>
          <w:sz w:val="24"/>
          <w:szCs w:val="24"/>
          <w:shd w:val="clear" w:color="auto" w:fill="FFFFFF"/>
        </w:rPr>
        <w:t>Geosul</w:t>
      </w:r>
      <w:proofErr w:type="spellEnd"/>
      <w:r>
        <w:rPr>
          <w:rFonts w:ascii="Candara" w:hAnsi="Candara" w:cs="Arial"/>
          <w:color w:val="000000"/>
          <w:sz w:val="24"/>
          <w:szCs w:val="24"/>
          <w:shd w:val="clear" w:color="auto" w:fill="FFFFFF"/>
        </w:rPr>
        <w:t>, v. 20, n. 40, p. 27-43, 2005. Disponível em: http://www.periodicos.ufsc.br/index.php/geosul/article/view/13234/12254. Acesso em: 15 de jul. 2024.</w:t>
      </w:r>
    </w:p>
    <w:p w:rsidR="00BB087A" w:rsidRDefault="004C51E8">
      <w:pPr>
        <w:pStyle w:val="PargrafodaLista"/>
        <w:suppressAutoHyphens w:val="0"/>
        <w:spacing w:after="119" w:line="240" w:lineRule="auto"/>
        <w:ind w:left="0"/>
        <w:contextualSpacing w:val="0"/>
        <w:rPr>
          <w:rFonts w:ascii="Candara" w:hAnsi="Candara"/>
          <w:sz w:val="24"/>
          <w:szCs w:val="24"/>
        </w:rPr>
      </w:pPr>
      <w:r>
        <w:rPr>
          <w:rFonts w:ascii="Candara" w:hAnsi="Candara" w:cs="Arial"/>
          <w:sz w:val="24"/>
          <w:szCs w:val="24"/>
        </w:rPr>
        <w:t xml:space="preserve">CORREIA, I.S.; CRISTO, S.S.V.; REIS, J.P.C. Cadastro Ambiental Rural como instrumento de gestão do turismo rural em Unidades de Conservação da Natureza. </w:t>
      </w:r>
      <w:r>
        <w:rPr>
          <w:rFonts w:ascii="Candara" w:hAnsi="Candara" w:cs="Arial"/>
          <w:i/>
          <w:iCs/>
          <w:sz w:val="24"/>
          <w:szCs w:val="24"/>
        </w:rPr>
        <w:t>Revista Brasileira de Ecoturismo São Paulo</w:t>
      </w:r>
      <w:r>
        <w:rPr>
          <w:rFonts w:ascii="Candara" w:hAnsi="Candara" w:cs="Arial"/>
          <w:sz w:val="24"/>
          <w:szCs w:val="24"/>
        </w:rPr>
        <w:t>, 2021, p.708-726.</w:t>
      </w:r>
    </w:p>
    <w:p w:rsidR="00BB087A" w:rsidRDefault="004C51E8">
      <w:pPr>
        <w:suppressAutoHyphens w:val="0"/>
        <w:spacing w:after="119" w:line="240" w:lineRule="auto"/>
        <w:rPr>
          <w:rFonts w:ascii="Candara" w:hAnsi="Candara"/>
          <w:sz w:val="24"/>
          <w:szCs w:val="24"/>
        </w:rPr>
      </w:pPr>
      <w:r>
        <w:rPr>
          <w:rFonts w:ascii="Candara" w:hAnsi="Candara" w:cs="Arial"/>
          <w:sz w:val="24"/>
          <w:szCs w:val="24"/>
        </w:rPr>
        <w:t xml:space="preserve">DINIZ, C. C. Celso Furtado e o desenvolvimento Regional. </w:t>
      </w:r>
      <w:r>
        <w:rPr>
          <w:rFonts w:ascii="Candara" w:hAnsi="Candara" w:cs="Arial"/>
          <w:i/>
          <w:iCs/>
          <w:sz w:val="24"/>
          <w:szCs w:val="24"/>
        </w:rPr>
        <w:t>Revista Nova Economia</w:t>
      </w:r>
      <w:r>
        <w:rPr>
          <w:rFonts w:ascii="Candara" w:hAnsi="Candara" w:cs="Arial"/>
          <w:sz w:val="24"/>
          <w:szCs w:val="24"/>
        </w:rPr>
        <w:t xml:space="preserve">, n. 19, p. 227-249, 2009. </w:t>
      </w:r>
    </w:p>
    <w:p w:rsidR="00BB087A" w:rsidRDefault="004C51E8">
      <w:pPr>
        <w:spacing w:after="119" w:line="240" w:lineRule="auto"/>
        <w:rPr>
          <w:rFonts w:ascii="Candara" w:hAnsi="Candara"/>
          <w:sz w:val="24"/>
          <w:szCs w:val="24"/>
        </w:rPr>
      </w:pPr>
      <w:r>
        <w:rPr>
          <w:rFonts w:ascii="Candara" w:hAnsi="Candara" w:cs="Arial"/>
          <w:sz w:val="24"/>
          <w:szCs w:val="24"/>
        </w:rPr>
        <w:t xml:space="preserve">FOCHEZATTO, A. Desenvolvimento regional: recomendações para um novo paradigma produtivo. </w:t>
      </w:r>
      <w:r>
        <w:rPr>
          <w:rFonts w:ascii="Candara" w:hAnsi="Candara" w:cs="Arial"/>
          <w:i/>
          <w:iCs/>
          <w:sz w:val="24"/>
          <w:szCs w:val="24"/>
        </w:rPr>
        <w:t>O ambiente regional</w:t>
      </w:r>
      <w:r>
        <w:rPr>
          <w:rFonts w:ascii="Candara" w:hAnsi="Candara" w:cs="Arial"/>
          <w:sz w:val="24"/>
          <w:szCs w:val="24"/>
        </w:rPr>
        <w:t>, v.1, 2010.</w:t>
      </w:r>
    </w:p>
    <w:p w:rsidR="00BB087A" w:rsidRDefault="004C51E8">
      <w:pPr>
        <w:pStyle w:val="PargrafodaLista"/>
        <w:suppressAutoHyphens w:val="0"/>
        <w:spacing w:after="119" w:line="240" w:lineRule="auto"/>
        <w:ind w:left="0"/>
        <w:contextualSpacing w:val="0"/>
        <w:rPr>
          <w:rFonts w:ascii="Candara" w:hAnsi="Candara"/>
          <w:sz w:val="24"/>
          <w:szCs w:val="24"/>
        </w:rPr>
      </w:pPr>
      <w:r>
        <w:rPr>
          <w:rFonts w:ascii="Candara" w:hAnsi="Candara" w:cs="Arial"/>
          <w:sz w:val="24"/>
          <w:szCs w:val="24"/>
        </w:rPr>
        <w:t xml:space="preserve">HALL, C.M. </w:t>
      </w:r>
      <w:r>
        <w:rPr>
          <w:rFonts w:ascii="Candara" w:hAnsi="Candara" w:cs="Arial"/>
          <w:i/>
          <w:iCs/>
          <w:sz w:val="24"/>
          <w:szCs w:val="24"/>
        </w:rPr>
        <w:t>Planejamento do Turismo: política, processos e relacionamentos</w:t>
      </w:r>
      <w:r>
        <w:rPr>
          <w:rFonts w:ascii="Candara" w:hAnsi="Candara" w:cs="Arial"/>
          <w:sz w:val="24"/>
          <w:szCs w:val="24"/>
        </w:rPr>
        <w:t>. 2. ed. São Paulo: Contexto, 2004.</w:t>
      </w:r>
    </w:p>
    <w:p w:rsidR="00BB087A" w:rsidRDefault="004C51E8">
      <w:pPr>
        <w:spacing w:after="119" w:line="240" w:lineRule="auto"/>
        <w:rPr>
          <w:rFonts w:ascii="Candara" w:hAnsi="Candara"/>
          <w:sz w:val="24"/>
          <w:szCs w:val="24"/>
        </w:rPr>
      </w:pPr>
      <w:r>
        <w:rPr>
          <w:rFonts w:ascii="Candara" w:hAnsi="Candara" w:cs="Arial"/>
          <w:sz w:val="24"/>
          <w:szCs w:val="24"/>
        </w:rPr>
        <w:t xml:space="preserve">MACEDO, C. M.; MATTOS, E. N. O papel dos fundos constitucionais de financiamento no desenvolvimento regional brasileiro. </w:t>
      </w:r>
      <w:r>
        <w:rPr>
          <w:rFonts w:ascii="Candara" w:hAnsi="Candara" w:cs="Arial"/>
          <w:i/>
          <w:iCs/>
          <w:sz w:val="24"/>
          <w:szCs w:val="24"/>
        </w:rPr>
        <w:t>Ensaios FEE</w:t>
      </w:r>
      <w:r>
        <w:rPr>
          <w:rFonts w:ascii="Candara" w:hAnsi="Candara" w:cs="Arial"/>
          <w:sz w:val="24"/>
          <w:szCs w:val="24"/>
        </w:rPr>
        <w:t xml:space="preserve">, v. 29, n. 2, p. 355-384, 2008. Disponível em: https://revistas.planejamento.rs.gov.br/index.php/ensaios/article/view/2181/2575. Acesso em: 10 de jul. </w:t>
      </w:r>
      <w:proofErr w:type="gramStart"/>
      <w:r>
        <w:rPr>
          <w:rFonts w:ascii="Candara" w:hAnsi="Candara" w:cs="Arial"/>
          <w:sz w:val="24"/>
          <w:szCs w:val="24"/>
        </w:rPr>
        <w:t>de</w:t>
      </w:r>
      <w:proofErr w:type="gramEnd"/>
      <w:r>
        <w:rPr>
          <w:rFonts w:ascii="Candara" w:hAnsi="Candara" w:cs="Arial"/>
          <w:sz w:val="24"/>
          <w:szCs w:val="24"/>
        </w:rPr>
        <w:t xml:space="preserve"> 2024.</w:t>
      </w:r>
    </w:p>
    <w:p w:rsidR="00BB087A" w:rsidRDefault="004C51E8">
      <w:pPr>
        <w:pStyle w:val="PargrafodaLista"/>
        <w:suppressAutoHyphens w:val="0"/>
        <w:spacing w:after="119" w:line="240" w:lineRule="auto"/>
        <w:ind w:left="0"/>
        <w:contextualSpacing w:val="0"/>
        <w:rPr>
          <w:rFonts w:ascii="Candara" w:hAnsi="Candara"/>
          <w:sz w:val="24"/>
          <w:szCs w:val="24"/>
        </w:rPr>
      </w:pPr>
      <w:r>
        <w:rPr>
          <w:rFonts w:ascii="Candara" w:hAnsi="Candara" w:cs="Arial"/>
          <w:sz w:val="24"/>
          <w:szCs w:val="24"/>
        </w:rPr>
        <w:t xml:space="preserve">MONTEIRO, J. A. B. </w:t>
      </w:r>
      <w:r>
        <w:rPr>
          <w:rFonts w:ascii="Candara" w:hAnsi="Candara" w:cs="Arial"/>
          <w:i/>
          <w:iCs/>
          <w:sz w:val="24"/>
          <w:szCs w:val="24"/>
        </w:rPr>
        <w:t xml:space="preserve">Avaliação da utilização dos recursos do fundo constitucional de financiamento do </w:t>
      </w:r>
      <w:proofErr w:type="gramStart"/>
      <w:r>
        <w:rPr>
          <w:rFonts w:ascii="Candara" w:hAnsi="Candara" w:cs="Arial"/>
          <w:i/>
          <w:iCs/>
          <w:sz w:val="24"/>
          <w:szCs w:val="24"/>
        </w:rPr>
        <w:t>norte</w:t>
      </w:r>
      <w:proofErr w:type="gramEnd"/>
      <w:r>
        <w:rPr>
          <w:rFonts w:ascii="Candara" w:hAnsi="Candara" w:cs="Arial"/>
          <w:i/>
          <w:iCs/>
          <w:sz w:val="24"/>
          <w:szCs w:val="24"/>
        </w:rPr>
        <w:t xml:space="preserve"> no estado de Roraima</w:t>
      </w:r>
      <w:r>
        <w:rPr>
          <w:rFonts w:ascii="Candara" w:hAnsi="Candara" w:cs="Arial"/>
          <w:sz w:val="24"/>
          <w:szCs w:val="24"/>
        </w:rPr>
        <w:t>. Dissertação (Mestrado) – Universidade Federal do Rio Grande do Sul, Porto Alegre, 2011.</w:t>
      </w:r>
    </w:p>
    <w:p w:rsidR="00BB087A" w:rsidRDefault="004C51E8">
      <w:pPr>
        <w:pStyle w:val="PargrafodaLista"/>
        <w:suppressAutoHyphens w:val="0"/>
        <w:spacing w:after="119" w:line="240" w:lineRule="auto"/>
        <w:ind w:left="0"/>
        <w:contextualSpacing w:val="0"/>
        <w:rPr>
          <w:rFonts w:ascii="Candara" w:hAnsi="Candara"/>
          <w:sz w:val="24"/>
          <w:szCs w:val="24"/>
        </w:rPr>
      </w:pPr>
      <w:r>
        <w:rPr>
          <w:rFonts w:ascii="Candara" w:hAnsi="Candara" w:cs="Arial"/>
          <w:sz w:val="24"/>
          <w:szCs w:val="24"/>
        </w:rPr>
        <w:t xml:space="preserve">OLIVEIRA, E.J. </w:t>
      </w:r>
      <w:r>
        <w:rPr>
          <w:rFonts w:ascii="Candara" w:hAnsi="Candara" w:cs="Arial"/>
          <w:i/>
          <w:iCs/>
          <w:sz w:val="24"/>
          <w:szCs w:val="24"/>
        </w:rPr>
        <w:t>Evolução do Fundo Constitucional De Financiamento do Centro Oeste (FCO) como modalidade de crédito rural</w:t>
      </w:r>
      <w:r>
        <w:rPr>
          <w:rFonts w:ascii="Candara" w:hAnsi="Candara" w:cs="Arial"/>
          <w:sz w:val="24"/>
          <w:szCs w:val="24"/>
        </w:rPr>
        <w:t>. Repositório UFMS, Chapadão do Sul, 2023.</w:t>
      </w:r>
    </w:p>
    <w:p w:rsidR="00BB087A" w:rsidRDefault="004C51E8">
      <w:pPr>
        <w:suppressAutoHyphens w:val="0"/>
        <w:spacing w:after="119" w:line="240" w:lineRule="auto"/>
        <w:rPr>
          <w:rFonts w:ascii="Candara" w:hAnsi="Candara"/>
          <w:sz w:val="24"/>
          <w:szCs w:val="24"/>
        </w:rPr>
      </w:pPr>
      <w:r>
        <w:rPr>
          <w:rFonts w:ascii="Candara" w:hAnsi="Candara" w:cs="Arial"/>
          <w:sz w:val="24"/>
          <w:szCs w:val="24"/>
        </w:rPr>
        <w:lastRenderedPageBreak/>
        <w:t>OLIVEIRA, H. C.; DOMINGUES, E. P. Considerações sobre o impacto dos Fundos Constitucionais de Financiamento do Norte e do Centro-Oeste na redução da desigualdade regional no Brasil. In: Encontro nacional de economia, n.</w:t>
      </w:r>
      <w:proofErr w:type="gramStart"/>
      <w:r>
        <w:rPr>
          <w:rFonts w:ascii="Candara" w:hAnsi="Candara" w:cs="Arial"/>
          <w:sz w:val="24"/>
          <w:szCs w:val="24"/>
        </w:rPr>
        <w:t>33.,</w:t>
      </w:r>
      <w:proofErr w:type="gramEnd"/>
      <w:r>
        <w:rPr>
          <w:rFonts w:ascii="Candara" w:hAnsi="Candara" w:cs="Arial"/>
          <w:sz w:val="24"/>
          <w:szCs w:val="24"/>
        </w:rPr>
        <w:t xml:space="preserve"> 2005, Natal, Rio Grande do Norte. </w:t>
      </w:r>
      <w:r>
        <w:rPr>
          <w:rFonts w:ascii="Candara" w:hAnsi="Candara" w:cs="Arial"/>
          <w:i/>
          <w:iCs/>
          <w:sz w:val="24"/>
          <w:szCs w:val="24"/>
        </w:rPr>
        <w:t>Anais eletrônicos</w:t>
      </w:r>
      <w:r>
        <w:rPr>
          <w:rFonts w:ascii="Candara" w:hAnsi="Candara" w:cs="Arial"/>
          <w:sz w:val="24"/>
          <w:szCs w:val="24"/>
        </w:rPr>
        <w:t>, Natal: ANPEC, 2005. Disponível em: https://www.anpec.org.br/encontro2005/artigos/A05A122.pdf. Acesso em: 10 de jul. 2024.</w:t>
      </w:r>
    </w:p>
    <w:p w:rsidR="00BB087A" w:rsidRDefault="004C51E8">
      <w:pPr>
        <w:spacing w:after="119" w:line="240" w:lineRule="auto"/>
        <w:rPr>
          <w:rFonts w:ascii="Candara" w:hAnsi="Candara"/>
          <w:sz w:val="24"/>
          <w:szCs w:val="24"/>
        </w:rPr>
      </w:pPr>
      <w:r>
        <w:rPr>
          <w:rFonts w:ascii="Candara" w:hAnsi="Candara" w:cs="Arial"/>
          <w:sz w:val="24"/>
          <w:szCs w:val="24"/>
        </w:rPr>
        <w:t xml:space="preserve">OMT - Organização Mundial de Turismo. </w:t>
      </w:r>
      <w:r>
        <w:rPr>
          <w:rFonts w:ascii="Candara" w:hAnsi="Candara" w:cs="Arial"/>
          <w:i/>
          <w:iCs/>
          <w:sz w:val="24"/>
          <w:szCs w:val="24"/>
        </w:rPr>
        <w:t>Introdução ao turismo</w:t>
      </w:r>
      <w:r>
        <w:rPr>
          <w:rFonts w:ascii="Candara" w:hAnsi="Candara" w:cs="Arial"/>
          <w:sz w:val="24"/>
          <w:szCs w:val="24"/>
        </w:rPr>
        <w:t xml:space="preserve">. Trad. Dolores Martins Rodriguez </w:t>
      </w:r>
      <w:proofErr w:type="spellStart"/>
      <w:r>
        <w:rPr>
          <w:rFonts w:ascii="Candara" w:hAnsi="Candara" w:cs="Arial"/>
          <w:sz w:val="24"/>
          <w:szCs w:val="24"/>
        </w:rPr>
        <w:t>Córner</w:t>
      </w:r>
      <w:proofErr w:type="spellEnd"/>
      <w:r>
        <w:rPr>
          <w:rFonts w:ascii="Candara" w:hAnsi="Candara" w:cs="Arial"/>
          <w:sz w:val="24"/>
          <w:szCs w:val="24"/>
        </w:rPr>
        <w:t>. São Paulo: Roca, 2001.</w:t>
      </w:r>
    </w:p>
    <w:p w:rsidR="00BB087A" w:rsidRDefault="004C51E8">
      <w:pPr>
        <w:spacing w:after="119" w:line="240" w:lineRule="auto"/>
      </w:pPr>
      <w:r>
        <w:rPr>
          <w:rFonts w:ascii="Candara" w:hAnsi="Candara" w:cs="Arial"/>
          <w:color w:val="000000"/>
          <w:sz w:val="24"/>
          <w:szCs w:val="24"/>
          <w:shd w:val="clear" w:color="auto" w:fill="FFFFFF"/>
        </w:rPr>
        <w:t xml:space="preserve">OMT – Organização Mundial do Turismo. </w:t>
      </w:r>
      <w:r>
        <w:rPr>
          <w:rStyle w:val="italica"/>
          <w:rFonts w:ascii="Candara" w:hAnsi="Candara" w:cs="Arial"/>
          <w:i/>
          <w:iCs/>
          <w:color w:val="000000"/>
          <w:sz w:val="24"/>
          <w:szCs w:val="24"/>
          <w:shd w:val="clear" w:color="auto" w:fill="FFFFFF"/>
        </w:rPr>
        <w:t>Guia de desenvolvimento do turismo sustentável</w:t>
      </w:r>
      <w:r>
        <w:rPr>
          <w:rFonts w:ascii="Candara" w:hAnsi="Candara" w:cs="Arial"/>
          <w:color w:val="000000"/>
          <w:sz w:val="24"/>
          <w:szCs w:val="24"/>
          <w:shd w:val="clear" w:color="auto" w:fill="FFFFFF"/>
        </w:rPr>
        <w:t xml:space="preserve">. Porto Alegre: </w:t>
      </w:r>
      <w:proofErr w:type="spellStart"/>
      <w:r>
        <w:rPr>
          <w:rFonts w:ascii="Candara" w:hAnsi="Candara" w:cs="Arial"/>
          <w:color w:val="000000"/>
          <w:sz w:val="24"/>
          <w:szCs w:val="24"/>
          <w:shd w:val="clear" w:color="auto" w:fill="FFFFFF"/>
        </w:rPr>
        <w:t>Bookman</w:t>
      </w:r>
      <w:proofErr w:type="spellEnd"/>
      <w:r>
        <w:rPr>
          <w:rFonts w:ascii="Candara" w:hAnsi="Candara" w:cs="Arial"/>
          <w:color w:val="000000"/>
          <w:sz w:val="24"/>
          <w:szCs w:val="24"/>
          <w:shd w:val="clear" w:color="auto" w:fill="FFFFFF"/>
        </w:rPr>
        <w:t>, 2003.</w:t>
      </w:r>
    </w:p>
    <w:p w:rsidR="00BB087A" w:rsidRDefault="004C51E8">
      <w:pPr>
        <w:spacing w:after="119" w:line="240" w:lineRule="auto"/>
        <w:rPr>
          <w:rFonts w:ascii="Candara" w:hAnsi="Candara"/>
          <w:sz w:val="24"/>
          <w:szCs w:val="24"/>
        </w:rPr>
      </w:pPr>
      <w:r>
        <w:rPr>
          <w:rFonts w:ascii="Candara" w:hAnsi="Candara" w:cs="Arial"/>
          <w:sz w:val="24"/>
          <w:szCs w:val="24"/>
        </w:rPr>
        <w:t xml:space="preserve">OSC. </w:t>
      </w:r>
      <w:r>
        <w:rPr>
          <w:rFonts w:ascii="Candara" w:hAnsi="Candara" w:cs="Arial"/>
          <w:i/>
          <w:iCs/>
          <w:sz w:val="24"/>
          <w:szCs w:val="24"/>
        </w:rPr>
        <w:t>Organização da Sociedade Civil</w:t>
      </w:r>
      <w:r>
        <w:rPr>
          <w:rFonts w:ascii="Candara" w:hAnsi="Candara" w:cs="Arial"/>
          <w:sz w:val="24"/>
          <w:szCs w:val="24"/>
        </w:rPr>
        <w:t xml:space="preserve">. 2023. Disponível em: https://mrosc.campogrande.ms.gov.br. Acesso em 10 de jul. </w:t>
      </w:r>
      <w:proofErr w:type="gramStart"/>
      <w:r>
        <w:rPr>
          <w:rFonts w:ascii="Candara" w:hAnsi="Candara" w:cs="Arial"/>
          <w:sz w:val="24"/>
          <w:szCs w:val="24"/>
        </w:rPr>
        <w:t>de</w:t>
      </w:r>
      <w:proofErr w:type="gramEnd"/>
      <w:r>
        <w:rPr>
          <w:rFonts w:ascii="Candara" w:hAnsi="Candara" w:cs="Arial"/>
          <w:sz w:val="24"/>
          <w:szCs w:val="24"/>
        </w:rPr>
        <w:t xml:space="preserve"> 2024. CONFERIR</w:t>
      </w:r>
    </w:p>
    <w:p w:rsidR="00BB087A" w:rsidRDefault="004C51E8">
      <w:pPr>
        <w:pStyle w:val="PargrafodaLista"/>
        <w:suppressAutoHyphens w:val="0"/>
        <w:spacing w:after="119" w:line="240" w:lineRule="auto"/>
        <w:ind w:left="0"/>
        <w:contextualSpacing w:val="0"/>
        <w:rPr>
          <w:rFonts w:ascii="Candara" w:hAnsi="Candara"/>
          <w:sz w:val="24"/>
          <w:szCs w:val="24"/>
        </w:rPr>
      </w:pPr>
      <w:r>
        <w:rPr>
          <w:rFonts w:ascii="Candara" w:hAnsi="Candara" w:cs="Arial"/>
          <w:sz w:val="24"/>
          <w:szCs w:val="24"/>
        </w:rPr>
        <w:t xml:space="preserve">PEIXOTO, B. </w:t>
      </w:r>
      <w:r>
        <w:rPr>
          <w:rFonts w:ascii="Candara" w:hAnsi="Candara" w:cs="Arial"/>
          <w:i/>
          <w:iCs/>
          <w:sz w:val="24"/>
          <w:szCs w:val="24"/>
        </w:rPr>
        <w:t>Avaliação econômica de projetos sociais</w:t>
      </w:r>
      <w:r>
        <w:rPr>
          <w:rFonts w:ascii="Candara" w:hAnsi="Candara" w:cs="Arial"/>
          <w:sz w:val="24"/>
          <w:szCs w:val="24"/>
        </w:rPr>
        <w:t>. São Paulo: Dinâmica Gráfica e Editora, 2012.</w:t>
      </w:r>
    </w:p>
    <w:p w:rsidR="00BB087A" w:rsidRDefault="004C51E8">
      <w:pPr>
        <w:suppressAutoHyphens w:val="0"/>
        <w:spacing w:after="119" w:line="240" w:lineRule="auto"/>
        <w:rPr>
          <w:rFonts w:ascii="Candara" w:hAnsi="Candara"/>
          <w:sz w:val="24"/>
          <w:szCs w:val="24"/>
        </w:rPr>
      </w:pPr>
      <w:r>
        <w:rPr>
          <w:rFonts w:ascii="Candara" w:hAnsi="Candara" w:cs="Arial"/>
          <w:sz w:val="24"/>
          <w:szCs w:val="24"/>
        </w:rPr>
        <w:t xml:space="preserve">PIRES, M.J.S. Diagnóstico do Fundo Constitucional de Financiamento do Centro Oeste (FCO). </w:t>
      </w:r>
      <w:r>
        <w:rPr>
          <w:rFonts w:ascii="Candara" w:hAnsi="Candara" w:cs="Arial"/>
          <w:i/>
          <w:iCs/>
          <w:sz w:val="24"/>
          <w:szCs w:val="24"/>
        </w:rPr>
        <w:t>Revista Planejamento e Políticas Públicas</w:t>
      </w:r>
      <w:r>
        <w:rPr>
          <w:rFonts w:ascii="Candara" w:hAnsi="Candara" w:cs="Arial"/>
          <w:sz w:val="24"/>
          <w:szCs w:val="24"/>
        </w:rPr>
        <w:t xml:space="preserve">, Brasília, n. 49, </w:t>
      </w:r>
      <w:proofErr w:type="gramStart"/>
      <w:r>
        <w:rPr>
          <w:rFonts w:ascii="Candara" w:hAnsi="Candara" w:cs="Arial"/>
          <w:sz w:val="24"/>
          <w:szCs w:val="24"/>
        </w:rPr>
        <w:t>jul./</w:t>
      </w:r>
      <w:proofErr w:type="gramEnd"/>
      <w:r>
        <w:rPr>
          <w:rFonts w:ascii="Candara" w:hAnsi="Candara" w:cs="Arial"/>
          <w:sz w:val="24"/>
          <w:szCs w:val="24"/>
        </w:rPr>
        <w:t xml:space="preserve">dez. 2017. Acesso em: 10 de jul. </w:t>
      </w:r>
      <w:proofErr w:type="gramStart"/>
      <w:r>
        <w:rPr>
          <w:rFonts w:ascii="Candara" w:hAnsi="Candara" w:cs="Arial"/>
          <w:sz w:val="24"/>
          <w:szCs w:val="24"/>
        </w:rPr>
        <w:t>de</w:t>
      </w:r>
      <w:proofErr w:type="gramEnd"/>
      <w:r>
        <w:rPr>
          <w:rFonts w:ascii="Candara" w:hAnsi="Candara" w:cs="Arial"/>
          <w:sz w:val="24"/>
          <w:szCs w:val="24"/>
        </w:rPr>
        <w:t xml:space="preserve"> 2024.</w:t>
      </w:r>
    </w:p>
    <w:p w:rsidR="00BB087A" w:rsidRDefault="004C51E8">
      <w:pPr>
        <w:suppressAutoHyphens w:val="0"/>
        <w:spacing w:after="119" w:line="240" w:lineRule="auto"/>
        <w:rPr>
          <w:rFonts w:ascii="Candara" w:hAnsi="Candara"/>
          <w:sz w:val="24"/>
          <w:szCs w:val="24"/>
        </w:rPr>
      </w:pPr>
      <w:r>
        <w:rPr>
          <w:rFonts w:ascii="Candara" w:hAnsi="Candara" w:cs="Arial"/>
          <w:sz w:val="24"/>
          <w:szCs w:val="24"/>
        </w:rPr>
        <w:t xml:space="preserve">SIMONETTI, E. </w:t>
      </w:r>
      <w:r>
        <w:rPr>
          <w:rFonts w:ascii="Candara" w:hAnsi="Candara" w:cs="Arial"/>
          <w:i/>
          <w:iCs/>
          <w:sz w:val="24"/>
          <w:szCs w:val="24"/>
        </w:rPr>
        <w:t>Políticas Públicas - O equilíbrio na diversidade</w:t>
      </w:r>
      <w:r>
        <w:rPr>
          <w:rFonts w:ascii="Candara" w:hAnsi="Candara" w:cs="Arial"/>
          <w:sz w:val="24"/>
          <w:szCs w:val="24"/>
        </w:rPr>
        <w:t xml:space="preserve">, Ano </w:t>
      </w:r>
      <w:proofErr w:type="gramStart"/>
      <w:r>
        <w:rPr>
          <w:rFonts w:ascii="Candara" w:hAnsi="Candara" w:cs="Arial"/>
          <w:sz w:val="24"/>
          <w:szCs w:val="24"/>
        </w:rPr>
        <w:t>4, 33 ed.</w:t>
      </w:r>
      <w:proofErr w:type="gramEnd"/>
      <w:r>
        <w:rPr>
          <w:rFonts w:ascii="Candara" w:hAnsi="Candara" w:cs="Arial"/>
          <w:sz w:val="24"/>
          <w:szCs w:val="24"/>
        </w:rPr>
        <w:t>, São Paulo. 2007.</w:t>
      </w:r>
    </w:p>
    <w:p w:rsidR="00BB087A" w:rsidRDefault="004C51E8">
      <w:pPr>
        <w:spacing w:after="119" w:line="240" w:lineRule="auto"/>
        <w:rPr>
          <w:rFonts w:ascii="Candara" w:hAnsi="Candara"/>
          <w:sz w:val="24"/>
          <w:szCs w:val="24"/>
        </w:rPr>
      </w:pPr>
      <w:r>
        <w:rPr>
          <w:rFonts w:ascii="Candara" w:hAnsi="Candara" w:cs="Arial"/>
          <w:sz w:val="24"/>
          <w:szCs w:val="24"/>
        </w:rPr>
        <w:t xml:space="preserve">TAVARES, J. C. Eixos: novo paradigma do planejamento regional? Os eixos de infraestrutura nos </w:t>
      </w:r>
      <w:proofErr w:type="spellStart"/>
      <w:r>
        <w:rPr>
          <w:rFonts w:ascii="Candara" w:hAnsi="Candara" w:cs="Arial"/>
          <w:sz w:val="24"/>
          <w:szCs w:val="24"/>
        </w:rPr>
        <w:t>PPAs</w:t>
      </w:r>
      <w:proofErr w:type="spellEnd"/>
      <w:r>
        <w:rPr>
          <w:rFonts w:ascii="Candara" w:hAnsi="Candara" w:cs="Arial"/>
          <w:sz w:val="24"/>
          <w:szCs w:val="24"/>
        </w:rPr>
        <w:t xml:space="preserve"> nacionais, na </w:t>
      </w:r>
      <w:proofErr w:type="spellStart"/>
      <w:r>
        <w:rPr>
          <w:rFonts w:ascii="Candara" w:hAnsi="Candara" w:cs="Arial"/>
          <w:sz w:val="24"/>
          <w:szCs w:val="24"/>
        </w:rPr>
        <w:t>Iirsa</w:t>
      </w:r>
      <w:proofErr w:type="spellEnd"/>
      <w:r>
        <w:rPr>
          <w:rFonts w:ascii="Candara" w:hAnsi="Candara" w:cs="Arial"/>
          <w:sz w:val="24"/>
          <w:szCs w:val="24"/>
        </w:rPr>
        <w:t xml:space="preserve"> e na </w:t>
      </w:r>
      <w:proofErr w:type="spellStart"/>
      <w:r>
        <w:rPr>
          <w:rFonts w:ascii="Candara" w:hAnsi="Candara" w:cs="Arial"/>
          <w:sz w:val="24"/>
          <w:szCs w:val="24"/>
        </w:rPr>
        <w:t>macrometrópole</w:t>
      </w:r>
      <w:proofErr w:type="spellEnd"/>
      <w:r>
        <w:rPr>
          <w:rFonts w:ascii="Candara" w:hAnsi="Candara" w:cs="Arial"/>
          <w:sz w:val="24"/>
          <w:szCs w:val="24"/>
        </w:rPr>
        <w:t xml:space="preserve"> paulista. </w:t>
      </w:r>
      <w:r>
        <w:rPr>
          <w:rFonts w:ascii="Candara" w:hAnsi="Candara" w:cs="Arial"/>
          <w:i/>
          <w:iCs/>
          <w:sz w:val="24"/>
          <w:szCs w:val="24"/>
        </w:rPr>
        <w:t>Caderno Metropolitano de São Paulo</w:t>
      </w:r>
      <w:r>
        <w:rPr>
          <w:rFonts w:ascii="Candara" w:hAnsi="Candara" w:cs="Arial"/>
          <w:sz w:val="24"/>
          <w:szCs w:val="24"/>
        </w:rPr>
        <w:t>, v. 18, n. 37, 2016, p. 671-695.</w:t>
      </w:r>
    </w:p>
    <w:p w:rsidR="00BB087A" w:rsidRDefault="004C51E8">
      <w:pPr>
        <w:pStyle w:val="PargrafodaLista"/>
        <w:suppressAutoHyphens w:val="0"/>
        <w:spacing w:after="119" w:line="240" w:lineRule="auto"/>
        <w:ind w:left="0"/>
        <w:contextualSpacing w:val="0"/>
      </w:pPr>
      <w:r>
        <w:rPr>
          <w:rFonts w:ascii="Candara" w:hAnsi="Candara" w:cs="Arial"/>
          <w:color w:val="000000"/>
          <w:sz w:val="24"/>
          <w:szCs w:val="24"/>
          <w:shd w:val="clear" w:color="auto" w:fill="FFFFFF"/>
        </w:rPr>
        <w:t xml:space="preserve">TERRA, A. A modernização agropecuária de Mato Grosso do Sul: 1970-1985. In: </w:t>
      </w:r>
      <w:r>
        <w:rPr>
          <w:rFonts w:ascii="Candara" w:hAnsi="Candara" w:cs="Arial"/>
          <w:i/>
          <w:iCs/>
          <w:color w:val="000000"/>
          <w:sz w:val="24"/>
          <w:szCs w:val="24"/>
          <w:shd w:val="clear" w:color="auto" w:fill="FFFFFF"/>
        </w:rPr>
        <w:t>Encontro de Grupos de Pesquisa Universidade Federal de Uberlândia II</w:t>
      </w:r>
      <w:r>
        <w:rPr>
          <w:rFonts w:ascii="Candara" w:hAnsi="Candara" w:cs="Arial"/>
          <w:color w:val="000000"/>
          <w:sz w:val="24"/>
          <w:szCs w:val="24"/>
          <w:shd w:val="clear" w:color="auto" w:fill="FFFFFF"/>
        </w:rPr>
        <w:t>. Uberlândia-MG, 2006.</w:t>
      </w:r>
    </w:p>
    <w:sectPr w:rsidR="00BB087A">
      <w:headerReference w:type="default" r:id="rId9"/>
      <w:footerReference w:type="default" r:id="rId10"/>
      <w:pgSz w:w="11906" w:h="16838"/>
      <w:pgMar w:top="1417" w:right="1701" w:bottom="1417" w:left="1701"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582" w:rsidRDefault="000E0582">
      <w:pPr>
        <w:spacing w:after="0" w:line="240" w:lineRule="auto"/>
      </w:pPr>
      <w:r>
        <w:separator/>
      </w:r>
    </w:p>
  </w:endnote>
  <w:endnote w:type="continuationSeparator" w:id="0">
    <w:p w:rsidR="000E0582" w:rsidRDefault="000E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582" w:rsidRDefault="000E0582">
    <w:pPr>
      <w:pStyle w:val="normal1"/>
      <w:tabs>
        <w:tab w:val="center" w:pos="4252"/>
        <w:tab w:val="right" w:pos="8504"/>
      </w:tabs>
      <w:spacing w:after="0" w:line="240" w:lineRule="auto"/>
      <w:rPr>
        <w:color w:val="000000"/>
      </w:rPr>
    </w:pPr>
    <w:r>
      <w:rPr>
        <w:noProof/>
        <w:color w:val="000000"/>
        <w:lang w:eastAsia="pt-BR" w:bidi="ar-SA"/>
      </w:rPr>
      <w:drawing>
        <wp:anchor distT="0" distB="0" distL="0" distR="0" simplePos="0" relativeHeight="146" behindDoc="1" locked="0" layoutInCell="1" allowOverlap="1">
          <wp:simplePos x="0" y="0"/>
          <wp:positionH relativeFrom="column">
            <wp:posOffset>3374390</wp:posOffset>
          </wp:positionH>
          <wp:positionV relativeFrom="paragraph">
            <wp:posOffset>170815</wp:posOffset>
          </wp:positionV>
          <wp:extent cx="1270000" cy="497205"/>
          <wp:effectExtent l="0" t="0" r="0" b="0"/>
          <wp:wrapNone/>
          <wp:docPr id="3" name="image4.png"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Desenho com traços pretos em fundo branco&#10;&#10;Descrição gerada automaticamente com confiança baixa"/>
                  <pic:cNvPicPr>
                    <a:picLocks noChangeAspect="1" noChangeArrowheads="1"/>
                  </pic:cNvPicPr>
                </pic:nvPicPr>
                <pic:blipFill>
                  <a:blip r:embed="rId1"/>
                  <a:stretch>
                    <a:fillRect/>
                  </a:stretch>
                </pic:blipFill>
                <pic:spPr bwMode="auto">
                  <a:xfrm>
                    <a:off x="0" y="0"/>
                    <a:ext cx="1270000" cy="497205"/>
                  </a:xfrm>
                  <a:prstGeom prst="rect">
                    <a:avLst/>
                  </a:prstGeom>
                </pic:spPr>
              </pic:pic>
            </a:graphicData>
          </a:graphic>
        </wp:anchor>
      </w:drawing>
    </w:r>
    <w:r>
      <w:rPr>
        <w:noProof/>
        <w:color w:val="000000"/>
        <w:lang w:eastAsia="pt-BR" w:bidi="ar-SA"/>
      </w:rPr>
      <w:drawing>
        <wp:anchor distT="0" distB="0" distL="0" distR="0" simplePos="0" relativeHeight="170" behindDoc="1" locked="0" layoutInCell="1" allowOverlap="1">
          <wp:simplePos x="0" y="0"/>
          <wp:positionH relativeFrom="column">
            <wp:posOffset>2330450</wp:posOffset>
          </wp:positionH>
          <wp:positionV relativeFrom="paragraph">
            <wp:posOffset>3175</wp:posOffset>
          </wp:positionV>
          <wp:extent cx="739775" cy="737870"/>
          <wp:effectExtent l="0" t="0" r="0" b="0"/>
          <wp:wrapNone/>
          <wp:docPr id="4" name="image3.png" descr="Logotipo, Ícone,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Logotipo, Ícone, nome da empresa&#10;&#10;Descrição gerada automaticamente"/>
                  <pic:cNvPicPr>
                    <a:picLocks noChangeAspect="1" noChangeArrowheads="1"/>
                  </pic:cNvPicPr>
                </pic:nvPicPr>
                <pic:blipFill>
                  <a:blip r:embed="rId2"/>
                  <a:stretch>
                    <a:fillRect/>
                  </a:stretch>
                </pic:blipFill>
                <pic:spPr bwMode="auto">
                  <a:xfrm>
                    <a:off x="0" y="0"/>
                    <a:ext cx="739775" cy="737870"/>
                  </a:xfrm>
                  <a:prstGeom prst="rect">
                    <a:avLst/>
                  </a:prstGeom>
                </pic:spPr>
              </pic:pic>
            </a:graphicData>
          </a:graphic>
        </wp:anchor>
      </w:drawing>
    </w:r>
    <w:r>
      <w:rPr>
        <w:noProof/>
        <w:color w:val="000000"/>
        <w:lang w:eastAsia="pt-BR" w:bidi="ar-SA"/>
      </w:rPr>
      <w:drawing>
        <wp:anchor distT="0" distB="0" distL="0" distR="0" simplePos="0" relativeHeight="194" behindDoc="1" locked="0" layoutInCell="1" allowOverlap="1">
          <wp:simplePos x="0" y="0"/>
          <wp:positionH relativeFrom="column">
            <wp:posOffset>4947920</wp:posOffset>
          </wp:positionH>
          <wp:positionV relativeFrom="paragraph">
            <wp:posOffset>15875</wp:posOffset>
          </wp:positionV>
          <wp:extent cx="758825" cy="758825"/>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pic:cNvPicPr>
                    <a:picLocks noChangeAspect="1" noChangeArrowheads="1"/>
                  </pic:cNvPicPr>
                </pic:nvPicPr>
                <pic:blipFill>
                  <a:blip r:embed="rId3"/>
                  <a:stretch>
                    <a:fillRect/>
                  </a:stretch>
                </pic:blipFill>
                <pic:spPr bwMode="auto">
                  <a:xfrm>
                    <a:off x="0" y="0"/>
                    <a:ext cx="758825" cy="758825"/>
                  </a:xfrm>
                  <a:prstGeom prst="rect">
                    <a:avLst/>
                  </a:prstGeom>
                </pic:spPr>
              </pic:pic>
            </a:graphicData>
          </a:graphic>
        </wp:anchor>
      </w:drawing>
    </w:r>
    <w:r>
      <w:rPr>
        <w:noProof/>
        <w:color w:val="000000"/>
        <w:lang w:eastAsia="pt-BR" w:bidi="ar-SA"/>
      </w:rPr>
      <w:drawing>
        <wp:anchor distT="0" distB="0" distL="0" distR="0" simplePos="0" relativeHeight="218" behindDoc="1" locked="0" layoutInCell="1" allowOverlap="1">
          <wp:simplePos x="0" y="0"/>
          <wp:positionH relativeFrom="column">
            <wp:posOffset>-900430</wp:posOffset>
          </wp:positionH>
          <wp:positionV relativeFrom="paragraph">
            <wp:posOffset>122555</wp:posOffset>
          </wp:positionV>
          <wp:extent cx="2032000" cy="565785"/>
          <wp:effectExtent l="0" t="0" r="0" b="0"/>
          <wp:wrapNone/>
          <wp:docPr id="6" name="image2.png"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Texto&#10;&#10;Descrição gerada automaticamente"/>
                  <pic:cNvPicPr>
                    <a:picLocks noChangeAspect="1" noChangeArrowheads="1"/>
                  </pic:cNvPicPr>
                </pic:nvPicPr>
                <pic:blipFill>
                  <a:blip r:embed="rId4"/>
                  <a:stretch>
                    <a:fillRect/>
                  </a:stretch>
                </pic:blipFill>
                <pic:spPr bwMode="auto">
                  <a:xfrm>
                    <a:off x="0" y="0"/>
                    <a:ext cx="2032000" cy="565785"/>
                  </a:xfrm>
                  <a:prstGeom prst="rect">
                    <a:avLst/>
                  </a:prstGeom>
                </pic:spPr>
              </pic:pic>
            </a:graphicData>
          </a:graphic>
        </wp:anchor>
      </w:drawing>
    </w:r>
  </w:p>
  <w:p w:rsidR="000E0582" w:rsidRDefault="000E0582">
    <w:pPr>
      <w:pStyle w:val="normal1"/>
      <w:tabs>
        <w:tab w:val="center" w:pos="4252"/>
        <w:tab w:val="right" w:pos="8504"/>
      </w:tabs>
      <w:spacing w:after="0" w:line="240" w:lineRule="auto"/>
      <w:rPr>
        <w:color w:val="000000"/>
      </w:rPr>
    </w:pPr>
    <w:r>
      <w:rPr>
        <w:noProof/>
        <w:color w:val="000000"/>
        <w:lang w:eastAsia="pt-BR" w:bidi="ar-SA"/>
      </w:rPr>
      <w:drawing>
        <wp:anchor distT="0" distB="0" distL="0" distR="0" simplePos="0" relativeHeight="122" behindDoc="1" locked="0" layoutInCell="1" allowOverlap="1">
          <wp:simplePos x="0" y="0"/>
          <wp:positionH relativeFrom="column">
            <wp:posOffset>1283970</wp:posOffset>
          </wp:positionH>
          <wp:positionV relativeFrom="paragraph">
            <wp:posOffset>3810</wp:posOffset>
          </wp:positionV>
          <wp:extent cx="835025" cy="485140"/>
          <wp:effectExtent l="0" t="0" r="0" b="0"/>
          <wp:wrapNone/>
          <wp:docPr id="7" name="image5.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Logotipo, nome da empresa&#10;&#10;Descrição gerada automaticamente"/>
                  <pic:cNvPicPr>
                    <a:picLocks noChangeAspect="1" noChangeArrowheads="1"/>
                  </pic:cNvPicPr>
                </pic:nvPicPr>
                <pic:blipFill>
                  <a:blip r:embed="rId5"/>
                  <a:stretch>
                    <a:fillRect/>
                  </a:stretch>
                </pic:blipFill>
                <pic:spPr bwMode="auto">
                  <a:xfrm>
                    <a:off x="0" y="0"/>
                    <a:ext cx="835025" cy="485140"/>
                  </a:xfrm>
                  <a:prstGeom prst="rect">
                    <a:avLst/>
                  </a:prstGeom>
                </pic:spPr>
              </pic:pic>
            </a:graphicData>
          </a:graphic>
        </wp:anchor>
      </w:drawing>
    </w:r>
  </w:p>
  <w:p w:rsidR="000E0582" w:rsidRDefault="000E0582">
    <w:pPr>
      <w:pStyle w:val="normal1"/>
      <w:tabs>
        <w:tab w:val="center" w:pos="4252"/>
        <w:tab w:val="right" w:pos="8504"/>
      </w:tabs>
      <w:spacing w:after="0" w:line="240" w:lineRule="auto"/>
      <w:rPr>
        <w:color w:val="000000"/>
      </w:rPr>
    </w:pPr>
  </w:p>
  <w:p w:rsidR="000E0582" w:rsidRDefault="000E0582">
    <w:pPr>
      <w:pStyle w:val="normal1"/>
      <w:tabs>
        <w:tab w:val="center" w:pos="4252"/>
        <w:tab w:val="right" w:pos="8504"/>
      </w:tabs>
      <w:spacing w:after="0" w:line="240" w:lineRule="auto"/>
      <w:rPr>
        <w:color w:val="000000"/>
      </w:rPr>
    </w:pPr>
    <w:r>
      <w:rPr>
        <w:color w:val="000000"/>
      </w:rPr>
      <w:t xml:space="preserve">   </w:t>
    </w:r>
  </w:p>
  <w:p w:rsidR="000E0582" w:rsidRDefault="000E0582">
    <w:pPr>
      <w:pStyle w:val="normal1"/>
      <w:tabs>
        <w:tab w:val="center" w:pos="4252"/>
        <w:tab w:val="right" w:pos="8504"/>
      </w:tabs>
      <w:spacing w:after="0" w:line="240" w:lineRule="auto"/>
      <w:rPr>
        <w:color w:val="000000"/>
      </w:rPr>
    </w:pPr>
    <w:r>
      <w:rPr>
        <w:noProof/>
        <w:color w:val="000000"/>
        <w:lang w:eastAsia="pt-BR" w:bidi="ar-SA"/>
      </w:rPr>
      <w:drawing>
        <wp:anchor distT="0" distB="0" distL="0" distR="0" simplePos="0" relativeHeight="25" behindDoc="1" locked="0" layoutInCell="1" allowOverlap="1">
          <wp:simplePos x="0" y="0"/>
          <wp:positionH relativeFrom="column">
            <wp:posOffset>1043940</wp:posOffset>
          </wp:positionH>
          <wp:positionV relativeFrom="paragraph">
            <wp:posOffset>30480</wp:posOffset>
          </wp:positionV>
          <wp:extent cx="742950" cy="742950"/>
          <wp:effectExtent l="0" t="0" r="0" b="0"/>
          <wp:wrapNone/>
          <wp:docPr id="8" name="image7.png"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descr="Imagem de desenho animado&#10;&#10;Descrição gerada automaticamente com confiança baixa"/>
                  <pic:cNvPicPr>
                    <a:picLocks noChangeAspect="1" noChangeArrowheads="1"/>
                  </pic:cNvPicPr>
                </pic:nvPicPr>
                <pic:blipFill>
                  <a:blip r:embed="rId6"/>
                  <a:stretch>
                    <a:fillRect/>
                  </a:stretch>
                </pic:blipFill>
                <pic:spPr bwMode="auto">
                  <a:xfrm>
                    <a:off x="0" y="0"/>
                    <a:ext cx="742950" cy="742950"/>
                  </a:xfrm>
                  <a:prstGeom prst="rect">
                    <a:avLst/>
                  </a:prstGeom>
                </pic:spPr>
              </pic:pic>
            </a:graphicData>
          </a:graphic>
        </wp:anchor>
      </w:drawing>
    </w:r>
    <w:r>
      <w:rPr>
        <w:noProof/>
        <w:color w:val="000000"/>
        <w:lang w:eastAsia="pt-BR" w:bidi="ar-SA"/>
      </w:rPr>
      <w:drawing>
        <wp:anchor distT="0" distB="0" distL="0" distR="0" simplePos="0" relativeHeight="49" behindDoc="1" locked="0" layoutInCell="1" allowOverlap="1">
          <wp:simplePos x="0" y="0"/>
          <wp:positionH relativeFrom="column">
            <wp:posOffset>2115185</wp:posOffset>
          </wp:positionH>
          <wp:positionV relativeFrom="paragraph">
            <wp:posOffset>137160</wp:posOffset>
          </wp:positionV>
          <wp:extent cx="1638300" cy="587375"/>
          <wp:effectExtent l="0" t="0" r="0" b="0"/>
          <wp:wrapNone/>
          <wp:docPr id="9" name="image6.png" descr="Uma imagem contend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Uma imagem contendo Word&#10;&#10;Descrição gerada automaticamente"/>
                  <pic:cNvPicPr>
                    <a:picLocks noChangeAspect="1" noChangeArrowheads="1"/>
                  </pic:cNvPicPr>
                </pic:nvPicPr>
                <pic:blipFill>
                  <a:blip r:embed="rId7"/>
                  <a:stretch>
                    <a:fillRect/>
                  </a:stretch>
                </pic:blipFill>
                <pic:spPr bwMode="auto">
                  <a:xfrm>
                    <a:off x="0" y="0"/>
                    <a:ext cx="1638300" cy="587375"/>
                  </a:xfrm>
                  <a:prstGeom prst="rect">
                    <a:avLst/>
                  </a:prstGeom>
                </pic:spPr>
              </pic:pic>
            </a:graphicData>
          </a:graphic>
        </wp:anchor>
      </w:drawing>
    </w:r>
    <w:r>
      <w:rPr>
        <w:noProof/>
        <w:color w:val="000000"/>
        <w:lang w:eastAsia="pt-BR" w:bidi="ar-SA"/>
      </w:rPr>
      <w:drawing>
        <wp:anchor distT="0" distB="0" distL="0" distR="0" simplePos="0" relativeHeight="73" behindDoc="1" locked="0" layoutInCell="1" allowOverlap="1">
          <wp:simplePos x="0" y="0"/>
          <wp:positionH relativeFrom="column">
            <wp:posOffset>41910</wp:posOffset>
          </wp:positionH>
          <wp:positionV relativeFrom="paragraph">
            <wp:posOffset>90170</wp:posOffset>
          </wp:positionV>
          <wp:extent cx="876300" cy="745490"/>
          <wp:effectExtent l="0" t="0" r="0" b="0"/>
          <wp:wrapNone/>
          <wp:docPr id="10" name="image1.png"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Forma&#10;&#10;Descrição gerada automaticamente com confiança baixa"/>
                  <pic:cNvPicPr>
                    <a:picLocks noChangeAspect="1" noChangeArrowheads="1"/>
                  </pic:cNvPicPr>
                </pic:nvPicPr>
                <pic:blipFill>
                  <a:blip r:embed="rId8"/>
                  <a:stretch>
                    <a:fillRect/>
                  </a:stretch>
                </pic:blipFill>
                <pic:spPr bwMode="auto">
                  <a:xfrm>
                    <a:off x="0" y="0"/>
                    <a:ext cx="876300" cy="745490"/>
                  </a:xfrm>
                  <a:prstGeom prst="rect">
                    <a:avLst/>
                  </a:prstGeom>
                </pic:spPr>
              </pic:pic>
            </a:graphicData>
          </a:graphic>
        </wp:anchor>
      </w:drawing>
    </w:r>
    <w:r>
      <w:rPr>
        <w:noProof/>
        <w:color w:val="000000"/>
        <w:lang w:eastAsia="pt-BR" w:bidi="ar-SA"/>
      </w:rPr>
      <w:drawing>
        <wp:anchor distT="0" distB="0" distL="0" distR="0" simplePos="0" relativeHeight="97" behindDoc="1" locked="0" layoutInCell="1" allowOverlap="1">
          <wp:simplePos x="0" y="0"/>
          <wp:positionH relativeFrom="column">
            <wp:posOffset>3895725</wp:posOffset>
          </wp:positionH>
          <wp:positionV relativeFrom="paragraph">
            <wp:posOffset>11430</wp:posOffset>
          </wp:positionV>
          <wp:extent cx="1163320" cy="760095"/>
          <wp:effectExtent l="0" t="0" r="0" b="0"/>
          <wp:wrapNone/>
          <wp:docPr id="11" name="image8.png" descr="Desenho de alfac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descr="Desenho de alface&#10;&#10;Descrição gerada automaticamente com confiança média"/>
                  <pic:cNvPicPr>
                    <a:picLocks noChangeAspect="1" noChangeArrowheads="1"/>
                  </pic:cNvPicPr>
                </pic:nvPicPr>
                <pic:blipFill>
                  <a:blip r:embed="rId9"/>
                  <a:stretch>
                    <a:fillRect/>
                  </a:stretch>
                </pic:blipFill>
                <pic:spPr bwMode="auto">
                  <a:xfrm>
                    <a:off x="0" y="0"/>
                    <a:ext cx="1163320" cy="760095"/>
                  </a:xfrm>
                  <a:prstGeom prst="rect">
                    <a:avLst/>
                  </a:prstGeom>
                </pic:spPr>
              </pic:pic>
            </a:graphicData>
          </a:graphic>
        </wp:anchor>
      </w:drawing>
    </w:r>
  </w:p>
  <w:p w:rsidR="000E0582" w:rsidRDefault="000E0582">
    <w:pPr>
      <w:pStyle w:val="normal1"/>
      <w:tabs>
        <w:tab w:val="center" w:pos="4252"/>
        <w:tab w:val="right" w:pos="8504"/>
      </w:tabs>
      <w:spacing w:after="0" w:line="240" w:lineRule="auto"/>
      <w:rPr>
        <w:color w:val="000000"/>
      </w:rPr>
    </w:pPr>
    <w:r>
      <w:rPr>
        <w:color w:val="000000"/>
      </w:rPr>
      <w:t xml:space="preserve">     </w:t>
    </w:r>
  </w:p>
  <w:p w:rsidR="000E0582" w:rsidRDefault="000E0582">
    <w:pPr>
      <w:pStyle w:val="normal1"/>
      <w:tabs>
        <w:tab w:val="center" w:pos="4252"/>
        <w:tab w:val="right" w:pos="8504"/>
      </w:tabs>
      <w:spacing w:after="0" w:line="240" w:lineRule="auto"/>
      <w:rPr>
        <w:color w:val="000000"/>
      </w:rPr>
    </w:pPr>
  </w:p>
  <w:p w:rsidR="000E0582" w:rsidRDefault="000E0582">
    <w:pPr>
      <w:pStyle w:val="normal1"/>
      <w:tabs>
        <w:tab w:val="center" w:pos="4252"/>
        <w:tab w:val="right" w:pos="8504"/>
      </w:tabs>
      <w:spacing w:after="0" w:line="240" w:lineRule="auto"/>
      <w:rPr>
        <w:color w:val="000000"/>
      </w:rPr>
    </w:pPr>
  </w:p>
  <w:p w:rsidR="000E0582" w:rsidRDefault="000E0582">
    <w:pPr>
      <w:pStyle w:val="normal1"/>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582" w:rsidRDefault="000E0582">
      <w:pPr>
        <w:pStyle w:val="normal1"/>
        <w:rPr>
          <w:sz w:val="12"/>
        </w:rPr>
      </w:pPr>
    </w:p>
  </w:footnote>
  <w:footnote w:type="continuationSeparator" w:id="0">
    <w:p w:rsidR="000E0582" w:rsidRDefault="000E0582">
      <w:pPr>
        <w:pStyle w:val="normal1"/>
        <w:rPr>
          <w:sz w:val="12"/>
        </w:rPr>
      </w:pPr>
    </w:p>
  </w:footnote>
  <w:footnote w:id="1">
    <w:p w:rsidR="000E0582" w:rsidRDefault="000E0582">
      <w:pPr>
        <w:pStyle w:val="Textodenotaderodap"/>
        <w:spacing w:after="119" w:line="240" w:lineRule="auto"/>
        <w:jc w:val="both"/>
        <w:rPr>
          <w:rFonts w:ascii="Candara" w:hAnsi="Candara"/>
        </w:rPr>
      </w:pPr>
      <w:r>
        <w:rPr>
          <w:rStyle w:val="Caracteresdenotaderodap"/>
        </w:rPr>
        <w:footnoteRef/>
      </w:r>
      <w:r>
        <w:rPr>
          <w:rFonts w:ascii="Candara" w:hAnsi="Candara" w:cs="Arial"/>
          <w:sz w:val="18"/>
          <w:szCs w:val="18"/>
        </w:rPr>
        <w:t xml:space="preserve"> Docente do</w:t>
      </w:r>
      <w:r>
        <w:rPr>
          <w:rFonts w:ascii="Candara" w:hAnsi="Candara" w:cs="Arial"/>
          <w:color w:val="000000"/>
          <w:sz w:val="18"/>
          <w:szCs w:val="18"/>
          <w:shd w:val="clear" w:color="auto" w:fill="FFFFFF"/>
        </w:rPr>
        <w:t xml:space="preserve"> Programa de Pós-Graduação Stricto Sensu em Desenvolvimento Regional e de Sistemas Produtivos (PPGDRS) da UEMS em Ponta Porã (Brasil). </w:t>
      </w:r>
      <w:r>
        <w:rPr>
          <w:rFonts w:ascii="Candara" w:hAnsi="Candara" w:cs="Arial"/>
          <w:sz w:val="18"/>
          <w:szCs w:val="18"/>
        </w:rPr>
        <w:t>E-mail: rosele@uems.com</w:t>
      </w:r>
    </w:p>
  </w:footnote>
  <w:footnote w:id="2">
    <w:p w:rsidR="000E0582" w:rsidRDefault="000E0582">
      <w:pPr>
        <w:pStyle w:val="Textodenotaderodap"/>
        <w:spacing w:after="119" w:line="240" w:lineRule="auto"/>
        <w:jc w:val="both"/>
      </w:pPr>
      <w:r>
        <w:rPr>
          <w:rStyle w:val="Caracteresdenotaderodap"/>
        </w:rPr>
        <w:footnoteRef/>
      </w:r>
      <w:r>
        <w:rPr>
          <w:rFonts w:ascii="Arial" w:hAnsi="Arial" w:cs="Arial"/>
          <w:sz w:val="18"/>
          <w:szCs w:val="18"/>
        </w:rPr>
        <w:t xml:space="preserve"> </w:t>
      </w:r>
      <w:r>
        <w:rPr>
          <w:rFonts w:ascii="Candara" w:hAnsi="Candara" w:cs="Arial"/>
          <w:sz w:val="18"/>
          <w:szCs w:val="18"/>
        </w:rPr>
        <w:t xml:space="preserve">Mestranda (bolsista CAPES) junto ao Programa de </w:t>
      </w:r>
      <w:proofErr w:type="gramStart"/>
      <w:r>
        <w:rPr>
          <w:rFonts w:ascii="Candara" w:hAnsi="Candara" w:cs="Arial"/>
          <w:sz w:val="18"/>
          <w:szCs w:val="18"/>
        </w:rPr>
        <w:t>Pós Graduação</w:t>
      </w:r>
      <w:proofErr w:type="gramEnd"/>
      <w:r>
        <w:rPr>
          <w:rFonts w:ascii="Candara" w:hAnsi="Candara" w:cs="Arial"/>
          <w:sz w:val="18"/>
          <w:szCs w:val="18"/>
        </w:rPr>
        <w:t xml:space="preserve"> Stricto Sensu em Desenvolvimento Regional e Sistemas Produtivos (PPGDRS) da UEMS em Ponta Porã (Brasil). </w:t>
      </w:r>
      <w:r>
        <w:rPr>
          <w:rFonts w:ascii="Candara" w:hAnsi="Candara" w:cs="Arial"/>
          <w:color w:val="000000"/>
          <w:sz w:val="18"/>
          <w:szCs w:val="18"/>
          <w:shd w:val="clear" w:color="auto" w:fill="FFFFFF"/>
        </w:rPr>
        <w:t>E-mail: janekelis@hotmail.com</w:t>
      </w:r>
    </w:p>
  </w:footnote>
  <w:footnote w:id="3">
    <w:p w:rsidR="000E0582" w:rsidRDefault="000E0582">
      <w:pPr>
        <w:pStyle w:val="Textodenotaderodap"/>
        <w:spacing w:after="119" w:line="240" w:lineRule="auto"/>
        <w:jc w:val="both"/>
        <w:rPr>
          <w:rFonts w:ascii="Arial" w:hAnsi="Arial" w:cs="Arial"/>
          <w:sz w:val="18"/>
          <w:szCs w:val="18"/>
        </w:rPr>
      </w:pPr>
      <w:r>
        <w:rPr>
          <w:rStyle w:val="Caracteresdenotaderodap"/>
        </w:rPr>
        <w:footnoteRef/>
      </w:r>
      <w:r>
        <w:rPr>
          <w:rFonts w:ascii="Arial" w:hAnsi="Arial" w:cs="Arial"/>
          <w:sz w:val="18"/>
          <w:szCs w:val="18"/>
        </w:rPr>
        <w:t xml:space="preserve"> </w:t>
      </w:r>
      <w:r>
        <w:rPr>
          <w:rFonts w:ascii="Candara" w:hAnsi="Candara" w:cs="Arial"/>
          <w:sz w:val="18"/>
          <w:szCs w:val="18"/>
        </w:rPr>
        <w:t xml:space="preserve">Atualmente faz Estágio de </w:t>
      </w:r>
      <w:proofErr w:type="gramStart"/>
      <w:r>
        <w:rPr>
          <w:rFonts w:ascii="Candara" w:hAnsi="Candara" w:cs="Arial"/>
          <w:sz w:val="18"/>
          <w:szCs w:val="18"/>
        </w:rPr>
        <w:t>Pós Doutorado</w:t>
      </w:r>
      <w:proofErr w:type="gramEnd"/>
      <w:r>
        <w:rPr>
          <w:rFonts w:ascii="Candara" w:hAnsi="Candara" w:cs="Arial"/>
          <w:sz w:val="18"/>
          <w:szCs w:val="18"/>
        </w:rPr>
        <w:t xml:space="preserve"> (bolsista CAPES) no Programa de Pós Graduação Mestrado em Desenvolvimento Regional e de Sistemas Produtivos (PPGDRS) da UEMS em Ponta Porã (Brasil). E-mail: claudiaveradasilveira@gmail.com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582" w:rsidRDefault="000E0582">
    <w:pPr>
      <w:pStyle w:val="normal1"/>
      <w:ind w:left="1701"/>
      <w:jc w:val="center"/>
      <w:rPr>
        <w:rFonts w:ascii="Candara" w:eastAsia="Candara" w:hAnsi="Candara" w:cs="Candara"/>
        <w:sz w:val="32"/>
        <w:szCs w:val="32"/>
      </w:rPr>
    </w:pPr>
    <w:r>
      <w:rPr>
        <w:noProof/>
        <w:lang w:eastAsia="pt-BR" w:bidi="ar-SA"/>
      </w:rPr>
      <w:drawing>
        <wp:anchor distT="0" distB="0" distL="0" distR="0" simplePos="0" relativeHeight="242" behindDoc="1" locked="0" layoutInCell="1" allowOverlap="1">
          <wp:simplePos x="0" y="0"/>
          <wp:positionH relativeFrom="column">
            <wp:posOffset>-140970</wp:posOffset>
          </wp:positionH>
          <wp:positionV relativeFrom="paragraph">
            <wp:posOffset>-77470</wp:posOffset>
          </wp:positionV>
          <wp:extent cx="897890" cy="897890"/>
          <wp:effectExtent l="0" t="0" r="0" b="0"/>
          <wp:wrapNone/>
          <wp:docPr id="2" name="image9.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descr="Logotipo, nome da empresa&#10;&#10;Descrição gerada automaticamente"/>
                  <pic:cNvPicPr>
                    <a:picLocks noChangeAspect="1" noChangeArrowheads="1"/>
                  </pic:cNvPicPr>
                </pic:nvPicPr>
                <pic:blipFill>
                  <a:blip r:embed="rId1"/>
                  <a:stretch>
                    <a:fillRect/>
                  </a:stretch>
                </pic:blipFill>
                <pic:spPr bwMode="auto">
                  <a:xfrm>
                    <a:off x="0" y="0"/>
                    <a:ext cx="897890" cy="897890"/>
                  </a:xfrm>
                  <a:prstGeom prst="rect">
                    <a:avLst/>
                  </a:prstGeom>
                </pic:spPr>
              </pic:pic>
            </a:graphicData>
          </a:graphic>
        </wp:anchor>
      </w:drawing>
    </w:r>
    <w:r>
      <w:rPr>
        <w:rFonts w:ascii="Candara" w:eastAsia="Candara" w:hAnsi="Candara" w:cs="Candara"/>
        <w:sz w:val="32"/>
        <w:szCs w:val="32"/>
      </w:rPr>
      <w:t>Os desafios do desenvolvimento socioambiental e as horizontalidades: Pontes entre região, o Estado e o cotidiano</w:t>
    </w:r>
  </w:p>
  <w:p w:rsidR="000E0582" w:rsidRDefault="000E0582">
    <w:pPr>
      <w:pStyle w:val="normal1"/>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rsidR="000E0582" w:rsidRDefault="000E0582">
    <w:pPr>
      <w:pStyle w:val="normal1"/>
      <w:ind w:left="993" w:firstLine="708"/>
      <w:jc w:val="center"/>
      <w:rPr>
        <w:rFonts w:ascii="Candara" w:eastAsia="Candara" w:hAnsi="Candara" w:cs="Candara"/>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651486"/>
    <w:multiLevelType w:val="multilevel"/>
    <w:tmpl w:val="07826EE0"/>
    <w:lvl w:ilvl="0">
      <w:start w:val="1"/>
      <w:numFmt w:val="bullet"/>
      <w:lvlText w:val=""/>
      <w:lvlJc w:val="left"/>
      <w:pPr>
        <w:tabs>
          <w:tab w:val="num" w:pos="0"/>
        </w:tabs>
        <w:ind w:left="720" w:hanging="360"/>
      </w:pPr>
      <w:rPr>
        <w:rFonts w:ascii="Wingdings" w:hAnsi="Wingdings" w:cs="Wingdings" w:hint="default"/>
        <w:strike w:val="0"/>
        <w:dstrike w:val="0"/>
        <w:color w:val="212529"/>
        <w:sz w:val="24"/>
        <w:szCs w:val="24"/>
        <w:u w:val="none"/>
      </w:rPr>
    </w:lvl>
    <w:lvl w:ilvl="1">
      <w:start w:val="1"/>
      <w:numFmt w:val="bullet"/>
      <w:lvlText w:val=""/>
      <w:lvlJc w:val="left"/>
      <w:pPr>
        <w:tabs>
          <w:tab w:val="num" w:pos="0"/>
        </w:tabs>
        <w:ind w:left="1440" w:hanging="360"/>
      </w:pPr>
      <w:rPr>
        <w:rFonts w:ascii="Wingdings 2" w:hAnsi="Wingdings 2" w:cs="Wingdings 2" w:hint="default"/>
        <w:strike w:val="0"/>
        <w:dstrike w:val="0"/>
        <w:u w:val="none"/>
      </w:rPr>
    </w:lvl>
    <w:lvl w:ilvl="2">
      <w:start w:val="1"/>
      <w:numFmt w:val="bullet"/>
      <w:lvlText w:val="■"/>
      <w:lvlJc w:val="left"/>
      <w:pPr>
        <w:tabs>
          <w:tab w:val="num" w:pos="0"/>
        </w:tabs>
        <w:ind w:left="2160" w:hanging="360"/>
      </w:pPr>
      <w:rPr>
        <w:rFonts w:ascii="OpenSymbol" w:hAnsi="OpenSymbol" w:cs="OpenSymbol" w:hint="default"/>
        <w:strike w:val="0"/>
        <w:dstrike w:val="0"/>
        <w:u w:val="none"/>
      </w:rPr>
    </w:lvl>
    <w:lvl w:ilvl="3">
      <w:start w:val="1"/>
      <w:numFmt w:val="bullet"/>
      <w:lvlText w:val=""/>
      <w:lvlJc w:val="left"/>
      <w:pPr>
        <w:tabs>
          <w:tab w:val="num" w:pos="0"/>
        </w:tabs>
        <w:ind w:left="2880" w:hanging="360"/>
      </w:pPr>
      <w:rPr>
        <w:rFonts w:ascii="Wingdings" w:hAnsi="Wingdings" w:cs="Wingdings" w:hint="default"/>
        <w:strike w:val="0"/>
        <w:dstrike w:val="0"/>
        <w:u w:val="none"/>
      </w:rPr>
    </w:lvl>
    <w:lvl w:ilvl="4">
      <w:start w:val="1"/>
      <w:numFmt w:val="bullet"/>
      <w:lvlText w:val=""/>
      <w:lvlJc w:val="left"/>
      <w:pPr>
        <w:tabs>
          <w:tab w:val="num" w:pos="0"/>
        </w:tabs>
        <w:ind w:left="3600" w:hanging="360"/>
      </w:pPr>
      <w:rPr>
        <w:rFonts w:ascii="Wingdings 2" w:hAnsi="Wingdings 2" w:cs="Wingdings 2" w:hint="default"/>
        <w:strike w:val="0"/>
        <w:dstrike w:val="0"/>
        <w:u w:val="none"/>
      </w:rPr>
    </w:lvl>
    <w:lvl w:ilvl="5">
      <w:start w:val="1"/>
      <w:numFmt w:val="bullet"/>
      <w:lvlText w:val="■"/>
      <w:lvlJc w:val="left"/>
      <w:pPr>
        <w:tabs>
          <w:tab w:val="num" w:pos="0"/>
        </w:tabs>
        <w:ind w:left="4320" w:hanging="360"/>
      </w:pPr>
      <w:rPr>
        <w:rFonts w:ascii="OpenSymbol" w:hAnsi="OpenSymbol" w:cs="OpenSymbol" w:hint="default"/>
        <w:strike w:val="0"/>
        <w:dstrike w:val="0"/>
        <w:u w:val="none"/>
      </w:rPr>
    </w:lvl>
    <w:lvl w:ilvl="6">
      <w:start w:val="1"/>
      <w:numFmt w:val="bullet"/>
      <w:lvlText w:val=""/>
      <w:lvlJc w:val="left"/>
      <w:pPr>
        <w:tabs>
          <w:tab w:val="num" w:pos="0"/>
        </w:tabs>
        <w:ind w:left="5040" w:hanging="360"/>
      </w:pPr>
      <w:rPr>
        <w:rFonts w:ascii="Wingdings" w:hAnsi="Wingdings" w:cs="Wingdings" w:hint="default"/>
        <w:strike w:val="0"/>
        <w:dstrike w:val="0"/>
        <w:u w:val="none"/>
      </w:rPr>
    </w:lvl>
    <w:lvl w:ilvl="7">
      <w:start w:val="1"/>
      <w:numFmt w:val="bullet"/>
      <w:lvlText w:val=""/>
      <w:lvlJc w:val="left"/>
      <w:pPr>
        <w:tabs>
          <w:tab w:val="num" w:pos="0"/>
        </w:tabs>
        <w:ind w:left="5760" w:hanging="360"/>
      </w:pPr>
      <w:rPr>
        <w:rFonts w:ascii="Wingdings 2" w:hAnsi="Wingdings 2" w:cs="Wingdings 2" w:hint="default"/>
        <w:strike w:val="0"/>
        <w:dstrike w:val="0"/>
        <w:u w:val="none"/>
      </w:rPr>
    </w:lvl>
    <w:lvl w:ilvl="8">
      <w:start w:val="1"/>
      <w:numFmt w:val="bullet"/>
      <w:lvlText w:val="■"/>
      <w:lvlJc w:val="left"/>
      <w:pPr>
        <w:tabs>
          <w:tab w:val="num" w:pos="0"/>
        </w:tabs>
        <w:ind w:left="6480" w:hanging="360"/>
      </w:pPr>
      <w:rPr>
        <w:rFonts w:ascii="OpenSymbol" w:hAnsi="OpenSymbol" w:cs="OpenSymbol" w:hint="default"/>
        <w:strike w:val="0"/>
        <w:dstrike w:val="0"/>
        <w:u w:val="none"/>
      </w:rPr>
    </w:lvl>
  </w:abstractNum>
  <w:abstractNum w:abstractNumId="1" w15:restartNumberingAfterBreak="0">
    <w:nsid w:val="74856E4F"/>
    <w:multiLevelType w:val="multilevel"/>
    <w:tmpl w:val="3C248D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85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87A"/>
    <w:rsid w:val="000C0A8C"/>
    <w:rsid w:val="000E0582"/>
    <w:rsid w:val="003036E6"/>
    <w:rsid w:val="003B35EF"/>
    <w:rsid w:val="004C51E8"/>
    <w:rsid w:val="004C787C"/>
    <w:rsid w:val="00542451"/>
    <w:rsid w:val="008407FD"/>
    <w:rsid w:val="00AF00A5"/>
    <w:rsid w:val="00B602B4"/>
    <w:rsid w:val="00BB087A"/>
    <w:rsid w:val="00D2719E"/>
    <w:rsid w:val="00DA473B"/>
    <w:rsid w:val="00DB6F70"/>
    <w:rsid w:val="00E10666"/>
    <w:rsid w:val="00FE11D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2F9B92-D3CA-4DF6-BE6D-1F33D11A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1"/>
    <w:next w:val="normal1"/>
    <w:qFormat/>
    <w:pPr>
      <w:keepNext/>
      <w:keepLines/>
      <w:spacing w:before="480" w:after="120"/>
      <w:outlineLvl w:val="0"/>
    </w:pPr>
    <w:rPr>
      <w:b/>
      <w:sz w:val="48"/>
      <w:szCs w:val="48"/>
    </w:rPr>
  </w:style>
  <w:style w:type="paragraph" w:styleId="Ttulo2">
    <w:name w:val="heading 2"/>
    <w:basedOn w:val="normal1"/>
    <w:next w:val="normal1"/>
    <w:qFormat/>
    <w:pPr>
      <w:keepNext/>
      <w:keepLines/>
      <w:spacing w:before="360" w:after="80"/>
      <w:outlineLvl w:val="1"/>
    </w:pPr>
    <w:rPr>
      <w:b/>
      <w:sz w:val="36"/>
      <w:szCs w:val="36"/>
    </w:rPr>
  </w:style>
  <w:style w:type="paragraph" w:styleId="Ttulo3">
    <w:name w:val="heading 3"/>
    <w:basedOn w:val="normal1"/>
    <w:next w:val="normal1"/>
    <w:qFormat/>
    <w:pPr>
      <w:keepNext/>
      <w:keepLines/>
      <w:spacing w:before="280" w:after="80"/>
      <w:outlineLvl w:val="2"/>
    </w:pPr>
    <w:rPr>
      <w:b/>
      <w:sz w:val="28"/>
      <w:szCs w:val="28"/>
    </w:rPr>
  </w:style>
  <w:style w:type="paragraph" w:styleId="Ttulo4">
    <w:name w:val="heading 4"/>
    <w:basedOn w:val="normal1"/>
    <w:next w:val="normal1"/>
    <w:qFormat/>
    <w:pPr>
      <w:keepNext/>
      <w:keepLines/>
      <w:spacing w:before="240" w:after="40"/>
      <w:outlineLvl w:val="3"/>
    </w:pPr>
    <w:rPr>
      <w:b/>
      <w:sz w:val="24"/>
      <w:szCs w:val="24"/>
    </w:rPr>
  </w:style>
  <w:style w:type="paragraph" w:styleId="Ttulo5">
    <w:name w:val="heading 5"/>
    <w:basedOn w:val="normal1"/>
    <w:next w:val="normal1"/>
    <w:qFormat/>
    <w:pPr>
      <w:keepNext/>
      <w:keepLines/>
      <w:spacing w:before="220" w:after="40"/>
      <w:outlineLvl w:val="4"/>
    </w:pPr>
    <w:rPr>
      <w:b/>
    </w:rPr>
  </w:style>
  <w:style w:type="paragraph" w:styleId="Ttulo6">
    <w:name w:val="heading 6"/>
    <w:basedOn w:val="normal1"/>
    <w:next w:val="normal1"/>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2A7B4A"/>
    <w:rPr>
      <w:rFonts w:ascii="Segoe UI" w:hAnsi="Segoe UI" w:cs="Segoe UI"/>
      <w:sz w:val="18"/>
      <w:szCs w:val="18"/>
    </w:rPr>
  </w:style>
  <w:style w:type="character" w:customStyle="1" w:styleId="CabealhoChar">
    <w:name w:val="Cabeçalho Char"/>
    <w:basedOn w:val="Fontepargpadro"/>
    <w:link w:val="Cabealho"/>
    <w:uiPriority w:val="99"/>
    <w:qFormat/>
    <w:rsid w:val="009E7AB8"/>
  </w:style>
  <w:style w:type="character" w:customStyle="1" w:styleId="RodapChar">
    <w:name w:val="Rodapé Char"/>
    <w:basedOn w:val="Fontepargpadro"/>
    <w:link w:val="Rodap"/>
    <w:uiPriority w:val="99"/>
    <w:qFormat/>
    <w:rsid w:val="009E7AB8"/>
  </w:style>
  <w:style w:type="character" w:styleId="Hyperlink">
    <w:name w:val="Hyperlink"/>
    <w:rPr>
      <w:color w:val="000080"/>
      <w:u w:val="single"/>
    </w:rPr>
  </w:style>
  <w:style w:type="character" w:customStyle="1" w:styleId="Caracteresdenotaderodap">
    <w:name w:val="Caracteres de nota de rodapé"/>
    <w:qFormat/>
    <w:rPr>
      <w:vertAlign w:val="superscript"/>
    </w:rPr>
  </w:style>
  <w:style w:type="character" w:styleId="Refdenotaderodap">
    <w:name w:val="footnote reference"/>
    <w:rPr>
      <w:vertAlign w:val="superscript"/>
    </w:rPr>
  </w:style>
  <w:style w:type="character" w:styleId="Forte">
    <w:name w:val="Strong"/>
    <w:basedOn w:val="Fontepargpadro"/>
    <w:qFormat/>
    <w:rPr>
      <w:b/>
      <w:bCs/>
    </w:rPr>
  </w:style>
  <w:style w:type="character" w:styleId="nfase">
    <w:name w:val="Emphasis"/>
    <w:basedOn w:val="Fontepargpadro"/>
    <w:qFormat/>
    <w:rPr>
      <w:i/>
      <w:iCs/>
    </w:rPr>
  </w:style>
  <w:style w:type="character" w:customStyle="1" w:styleId="textrun">
    <w:name w:val="textrun"/>
    <w:basedOn w:val="Fontepargpadro"/>
    <w:qFormat/>
  </w:style>
  <w:style w:type="character" w:customStyle="1" w:styleId="eop">
    <w:name w:val="eop"/>
    <w:basedOn w:val="Fontepargpadro"/>
    <w:qFormat/>
  </w:style>
  <w:style w:type="character" w:customStyle="1" w:styleId="lecrdtxtpln">
    <w:name w:val="l_ecrd_txt_pln"/>
    <w:basedOn w:val="Fontepargpadro"/>
    <w:qFormat/>
  </w:style>
  <w:style w:type="character" w:customStyle="1" w:styleId="italica">
    <w:name w:val="italica"/>
    <w:basedOn w:val="Fontepargpadro"/>
    <w:qFormat/>
  </w:style>
  <w:style w:type="character" w:customStyle="1" w:styleId="Caracteresdenotadefim">
    <w:name w:val="Caracteres de nota de fim"/>
    <w:qFormat/>
    <w:rPr>
      <w:vertAlign w:val="superscript"/>
    </w:rPr>
  </w:style>
  <w:style w:type="character" w:styleId="Refdenotadefim">
    <w:name w:val="endnote reference"/>
    <w:rPr>
      <w:vertAlign w:val="superscript"/>
    </w:rPr>
  </w:style>
  <w:style w:type="paragraph" w:styleId="Ttulo">
    <w:name w:val="Title"/>
    <w:basedOn w:val="normal1"/>
    <w:next w:val="Corpodetexto"/>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normal1">
    <w:name w:val="normal1"/>
    <w:qFormat/>
    <w:pPr>
      <w:spacing w:after="160" w:line="259" w:lineRule="auto"/>
    </w:pPr>
  </w:style>
  <w:style w:type="paragraph" w:styleId="Subttulo">
    <w:name w:val="Subtitle"/>
    <w:basedOn w:val="normal1"/>
    <w:next w:val="normal1"/>
    <w:qFormat/>
    <w:pPr>
      <w:keepNext/>
      <w:keepLines/>
      <w:spacing w:before="360" w:after="80" w:line="240" w:lineRule="auto"/>
    </w:pPr>
    <w:rPr>
      <w:rFonts w:ascii="Georgia" w:eastAsia="Georgia" w:hAnsi="Georgia" w:cs="Georgia"/>
      <w:i/>
      <w:color w:val="666666"/>
      <w:sz w:val="48"/>
      <w:szCs w:val="48"/>
    </w:rPr>
  </w:style>
  <w:style w:type="paragraph" w:styleId="Textodebalo">
    <w:name w:val="Balloon Text"/>
    <w:basedOn w:val="normal1"/>
    <w:link w:val="TextodebaloChar"/>
    <w:uiPriority w:val="99"/>
    <w:semiHidden/>
    <w:unhideWhenUsed/>
    <w:qFormat/>
    <w:rsid w:val="002A7B4A"/>
    <w:pPr>
      <w:spacing w:after="0" w:line="240" w:lineRule="auto"/>
    </w:pPr>
    <w:rPr>
      <w:rFonts w:ascii="Segoe UI" w:hAnsi="Segoe UI" w:cs="Segoe UI"/>
      <w:sz w:val="18"/>
      <w:szCs w:val="18"/>
    </w:rPr>
  </w:style>
  <w:style w:type="paragraph" w:styleId="PargrafodaLista">
    <w:name w:val="List Paragraph"/>
    <w:basedOn w:val="normal1"/>
    <w:uiPriority w:val="34"/>
    <w:qFormat/>
    <w:rsid w:val="002A7B4A"/>
    <w:pPr>
      <w:ind w:left="720"/>
      <w:contextualSpacing/>
    </w:pPr>
  </w:style>
  <w:style w:type="paragraph" w:customStyle="1" w:styleId="CabealhoeRodap">
    <w:name w:val="Cabeçalho e Rodapé"/>
    <w:basedOn w:val="Normal"/>
    <w:qFormat/>
  </w:style>
  <w:style w:type="paragraph" w:styleId="Cabealho">
    <w:name w:val="header"/>
    <w:basedOn w:val="normal1"/>
    <w:link w:val="CabealhoChar"/>
    <w:uiPriority w:val="99"/>
    <w:unhideWhenUsed/>
    <w:rsid w:val="009E7AB8"/>
    <w:pPr>
      <w:tabs>
        <w:tab w:val="center" w:pos="4252"/>
        <w:tab w:val="right" w:pos="8504"/>
      </w:tabs>
      <w:spacing w:after="0" w:line="240" w:lineRule="auto"/>
    </w:pPr>
  </w:style>
  <w:style w:type="paragraph" w:styleId="Rodap">
    <w:name w:val="footer"/>
    <w:basedOn w:val="normal1"/>
    <w:link w:val="RodapChar"/>
    <w:uiPriority w:val="99"/>
    <w:unhideWhenUsed/>
    <w:rsid w:val="009E7AB8"/>
    <w:pPr>
      <w:tabs>
        <w:tab w:val="center" w:pos="4252"/>
        <w:tab w:val="right" w:pos="8504"/>
      </w:tabs>
      <w:spacing w:after="0" w:line="240" w:lineRule="auto"/>
    </w:pPr>
  </w:style>
  <w:style w:type="paragraph" w:styleId="Textodenotaderodap">
    <w:name w:val="footnote text"/>
    <w:basedOn w:val="Normal"/>
  </w:style>
  <w:style w:type="paragraph" w:styleId="NormalWeb">
    <w:name w:val="Normal (Web)"/>
    <w:basedOn w:val="Normal"/>
    <w:qFormat/>
    <w:pPr>
      <w:suppressAutoHyphens w:val="0"/>
      <w:spacing w:beforeAutospacing="1" w:afterAutospacing="1"/>
    </w:pPr>
    <w:rPr>
      <w:lang w:eastAsia="pt-BR"/>
    </w:rPr>
  </w:style>
  <w:style w:type="paragraph" w:customStyle="1" w:styleId="Default">
    <w:name w:val="Default"/>
    <w:qFormat/>
    <w:pPr>
      <w:spacing w:line="259" w:lineRule="auto"/>
    </w:pPr>
    <w:rPr>
      <w:rFonts w:ascii="Times New Roman" w:eastAsia="Times New Roman" w:hAnsi="Times New Roman" w:cs="Times New Roman"/>
      <w:color w:val="000000"/>
      <w:sz w:val="24"/>
      <w:szCs w:val="24"/>
      <w:lang w:eastAsia="pt-BR" w:bidi="ar-SA"/>
    </w:rPr>
  </w:style>
  <w:style w:type="paragraph" w:customStyle="1" w:styleId="paragraph">
    <w:name w:val="paragraph"/>
    <w:basedOn w:val="Normal"/>
    <w:qFormat/>
    <w:pPr>
      <w:suppressAutoHyphens w:val="0"/>
      <w:spacing w:beforeAutospacing="1" w:afterAutospacing="1"/>
    </w:pPr>
    <w:rPr>
      <w:lang w:eastAsia="pt-BR"/>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6.3375000000000001E-2"/>
          <c:y val="0.15911111111111101"/>
          <c:w val="0.93637499999999996"/>
          <c:h val="0.66288888888888897"/>
        </c:manualLayout>
      </c:layout>
      <c:pie3DChart>
        <c:varyColors val="1"/>
        <c:ser>
          <c:idx val="0"/>
          <c:order val="0"/>
          <c:tx>
            <c:strRef>
              <c:f>label 0</c:f>
              <c:strCache>
                <c:ptCount val="1"/>
                <c:pt idx="0">
                  <c:v>Valor contratado</c:v>
                </c:pt>
              </c:strCache>
            </c:strRef>
          </c:tx>
          <c:spPr>
            <a:solidFill>
              <a:srgbClr val="C0504D"/>
            </a:solidFill>
            <a:ln w="0">
              <a:noFill/>
            </a:ln>
          </c:spPr>
          <c:explosion val="4"/>
          <c:dPt>
            <c:idx val="0"/>
            <c:bubble3D val="0"/>
            <c:spPr>
              <a:gradFill>
                <a:gsLst>
                  <a:gs pos="0">
                    <a:srgbClr val="688FC4"/>
                  </a:gs>
                  <a:gs pos="50000">
                    <a:srgbClr val="487FC1"/>
                  </a:gs>
                  <a:gs pos="100000">
                    <a:srgbClr val="3B71B2"/>
                  </a:gs>
                </a:gsLst>
                <a:lin ang="5400000"/>
              </a:gradFill>
              <a:ln w="0">
                <a:noFill/>
              </a:ln>
            </c:spPr>
          </c:dPt>
          <c:dPt>
            <c:idx val="1"/>
            <c:bubble3D val="0"/>
            <c:spPr>
              <a:gradFill>
                <a:gsLst>
                  <a:gs pos="0">
                    <a:srgbClr val="C76866"/>
                  </a:gs>
                  <a:gs pos="50000">
                    <a:srgbClr val="C54A47"/>
                  </a:gs>
                  <a:gs pos="100000">
                    <a:srgbClr val="B63C38"/>
                  </a:gs>
                </a:gsLst>
                <a:lin ang="5400000"/>
              </a:gradFill>
              <a:ln w="0">
                <a:noFill/>
              </a:ln>
            </c:spPr>
          </c:dPt>
          <c:dPt>
            <c:idx val="2"/>
            <c:bubble3D val="0"/>
            <c:spPr>
              <a:gradFill>
                <a:gsLst>
                  <a:gs pos="0">
                    <a:srgbClr val="A6C26F"/>
                  </a:gs>
                  <a:gs pos="50000">
                    <a:srgbClr val="9CBF54"/>
                  </a:gs>
                  <a:gs pos="100000">
                    <a:srgbClr val="8CAF45"/>
                  </a:gs>
                </a:gsLst>
                <a:lin ang="5400000"/>
              </a:gradFill>
              <a:ln w="0">
                <a:noFill/>
              </a:ln>
            </c:spPr>
          </c:dPt>
          <c:dPt>
            <c:idx val="3"/>
            <c:bubble3D val="0"/>
            <c:spPr>
              <a:gradFill>
                <a:gsLst>
                  <a:gs pos="0">
                    <a:srgbClr val="8E77AC"/>
                  </a:gs>
                  <a:gs pos="50000">
                    <a:srgbClr val="7F60A4"/>
                  </a:gs>
                  <a:gs pos="100000">
                    <a:srgbClr val="715295"/>
                  </a:gs>
                </a:gsLst>
                <a:lin ang="5400000"/>
              </a:gradFill>
              <a:ln w="0">
                <a:noFill/>
              </a:ln>
            </c:spPr>
          </c:dPt>
          <c:dPt>
            <c:idx val="4"/>
            <c:bubble3D val="0"/>
            <c:spPr>
              <a:gradFill>
                <a:gsLst>
                  <a:gs pos="0">
                    <a:srgbClr val="65B5CC"/>
                  </a:gs>
                  <a:gs pos="50000">
                    <a:srgbClr val="44AFCC"/>
                  </a:gs>
                  <a:gs pos="100000">
                    <a:srgbClr val="359FBC"/>
                  </a:gs>
                </a:gsLst>
                <a:lin ang="5400000"/>
              </a:gradFill>
              <a:ln w="0">
                <a:noFill/>
              </a:ln>
            </c:spPr>
          </c:dPt>
          <c:dPt>
            <c:idx val="5"/>
            <c:bubble3D val="0"/>
            <c:spPr>
              <a:gradFill>
                <a:gsLst>
                  <a:gs pos="0">
                    <a:srgbClr val="FAA163"/>
                  </a:gs>
                  <a:gs pos="50000">
                    <a:srgbClr val="FF943D"/>
                  </a:gs>
                  <a:gs pos="100000">
                    <a:srgbClr val="E48334"/>
                  </a:gs>
                </a:gsLst>
                <a:lin ang="5400000"/>
              </a:gradFill>
              <a:ln w="0">
                <a:noFill/>
              </a:ln>
            </c:spPr>
          </c:dPt>
          <c:dPt>
            <c:idx val="6"/>
            <c:bubble3D val="0"/>
            <c:spPr>
              <a:gradFill>
                <a:gsLst>
                  <a:gs pos="0">
                    <a:srgbClr val="536685"/>
                  </a:gs>
                  <a:gs pos="50000">
                    <a:srgbClr val="274C78"/>
                  </a:gs>
                  <a:gs pos="100000">
                    <a:srgbClr val="20446E"/>
                  </a:gs>
                </a:gsLst>
                <a:lin ang="5400000"/>
              </a:gradFill>
              <a:ln w="0">
                <a:noFill/>
              </a:ln>
            </c:spPr>
          </c:dPt>
          <c:dLbls>
            <c:dLbl>
              <c:idx val="0"/>
              <c:layout/>
              <c:spPr/>
              <c:txPr>
                <a:bodyPr wrap="square"/>
                <a:lstStyle/>
                <a:p>
                  <a:pPr>
                    <a:defRPr sz="900" b="0" strike="noStrike" spc="-1">
                      <a:solidFill>
                        <a:srgbClr val="1F497D"/>
                      </a:solidFill>
                      <a:latin typeface="Calibri"/>
                    </a:defRPr>
                  </a:pPr>
                  <a:endParaRPr lang="pt-BR"/>
                </a:p>
              </c:txPr>
              <c:dLblPos val="outEnd"/>
              <c:showLegendKey val="0"/>
              <c:showVal val="0"/>
              <c:showCatName val="1"/>
              <c:showSerName val="0"/>
              <c:showPercent val="1"/>
              <c:showBubbleSize val="1"/>
              <c:separator>
</c:separator>
              <c:extLst>
                <c:ext xmlns:c15="http://schemas.microsoft.com/office/drawing/2012/chart" uri="{CE6537A1-D6FC-4f65-9D91-7224C49458BB}">
                  <c15:layout/>
                </c:ext>
              </c:extLst>
            </c:dLbl>
            <c:dLbl>
              <c:idx val="1"/>
              <c:layout/>
              <c:spPr/>
              <c:txPr>
                <a:bodyPr wrap="square"/>
                <a:lstStyle/>
                <a:p>
                  <a:pPr>
                    <a:defRPr sz="900" b="0" strike="noStrike" spc="-1">
                      <a:solidFill>
                        <a:srgbClr val="1F497D"/>
                      </a:solidFill>
                      <a:latin typeface="Calibri"/>
                    </a:defRPr>
                  </a:pPr>
                  <a:endParaRPr lang="pt-BR"/>
                </a:p>
              </c:txPr>
              <c:dLblPos val="outEnd"/>
              <c:showLegendKey val="0"/>
              <c:showVal val="0"/>
              <c:showCatName val="1"/>
              <c:showSerName val="0"/>
              <c:showPercent val="1"/>
              <c:showBubbleSize val="1"/>
              <c:separator>
</c:separator>
              <c:extLst>
                <c:ext xmlns:c15="http://schemas.microsoft.com/office/drawing/2012/chart" uri="{CE6537A1-D6FC-4f65-9D91-7224C49458BB}">
                  <c15:layout/>
                </c:ext>
              </c:extLst>
            </c:dLbl>
            <c:dLbl>
              <c:idx val="2"/>
              <c:layout/>
              <c:spPr/>
              <c:txPr>
                <a:bodyPr wrap="square"/>
                <a:lstStyle/>
                <a:p>
                  <a:pPr>
                    <a:defRPr sz="900" b="0" strike="noStrike" spc="-1">
                      <a:solidFill>
                        <a:srgbClr val="1F497D"/>
                      </a:solidFill>
                      <a:latin typeface="Calibri"/>
                    </a:defRPr>
                  </a:pPr>
                  <a:endParaRPr lang="pt-BR"/>
                </a:p>
              </c:txPr>
              <c:dLblPos val="outEnd"/>
              <c:showLegendKey val="0"/>
              <c:showVal val="0"/>
              <c:showCatName val="1"/>
              <c:showSerName val="0"/>
              <c:showPercent val="1"/>
              <c:showBubbleSize val="1"/>
              <c:separator>
</c:separator>
              <c:extLst>
                <c:ext xmlns:c15="http://schemas.microsoft.com/office/drawing/2012/chart" uri="{CE6537A1-D6FC-4f65-9D91-7224C49458BB}">
                  <c15:layout/>
                </c:ext>
              </c:extLst>
            </c:dLbl>
            <c:dLbl>
              <c:idx val="3"/>
              <c:layout/>
              <c:spPr/>
              <c:txPr>
                <a:bodyPr wrap="square"/>
                <a:lstStyle/>
                <a:p>
                  <a:pPr>
                    <a:defRPr sz="900" b="0" strike="noStrike" spc="-1">
                      <a:solidFill>
                        <a:srgbClr val="1F497D"/>
                      </a:solidFill>
                      <a:latin typeface="Calibri"/>
                    </a:defRPr>
                  </a:pPr>
                  <a:endParaRPr lang="pt-BR"/>
                </a:p>
              </c:txPr>
              <c:dLblPos val="outEnd"/>
              <c:showLegendKey val="0"/>
              <c:showVal val="0"/>
              <c:showCatName val="1"/>
              <c:showSerName val="0"/>
              <c:showPercent val="1"/>
              <c:showBubbleSize val="1"/>
              <c:separator>
</c:separator>
              <c:extLst>
                <c:ext xmlns:c15="http://schemas.microsoft.com/office/drawing/2012/chart" uri="{CE6537A1-D6FC-4f65-9D91-7224C49458BB}">
                  <c15:layout/>
                </c:ext>
              </c:extLst>
            </c:dLbl>
            <c:dLbl>
              <c:idx val="4"/>
              <c:layout/>
              <c:spPr/>
              <c:txPr>
                <a:bodyPr wrap="square"/>
                <a:lstStyle/>
                <a:p>
                  <a:pPr>
                    <a:defRPr sz="900" b="0" strike="noStrike" spc="-1">
                      <a:solidFill>
                        <a:srgbClr val="1F497D"/>
                      </a:solidFill>
                      <a:latin typeface="Calibri"/>
                    </a:defRPr>
                  </a:pPr>
                  <a:endParaRPr lang="pt-BR"/>
                </a:p>
              </c:txPr>
              <c:dLblPos val="outEnd"/>
              <c:showLegendKey val="0"/>
              <c:showVal val="0"/>
              <c:showCatName val="1"/>
              <c:showSerName val="0"/>
              <c:showPercent val="1"/>
              <c:showBubbleSize val="1"/>
              <c:separator>
</c:separator>
              <c:extLst>
                <c:ext xmlns:c15="http://schemas.microsoft.com/office/drawing/2012/chart" uri="{CE6537A1-D6FC-4f65-9D91-7224C49458BB}">
                  <c15:layout/>
                </c:ext>
              </c:extLst>
            </c:dLbl>
            <c:dLbl>
              <c:idx val="5"/>
              <c:layout/>
              <c:spPr/>
              <c:txPr>
                <a:bodyPr wrap="square"/>
                <a:lstStyle/>
                <a:p>
                  <a:pPr>
                    <a:defRPr sz="900" b="0" strike="noStrike" spc="-1">
                      <a:solidFill>
                        <a:srgbClr val="1F497D"/>
                      </a:solidFill>
                      <a:latin typeface="Calibri"/>
                    </a:defRPr>
                  </a:pPr>
                  <a:endParaRPr lang="pt-BR"/>
                </a:p>
              </c:txPr>
              <c:dLblPos val="bestFit"/>
              <c:showLegendKey val="0"/>
              <c:showVal val="0"/>
              <c:showCatName val="1"/>
              <c:showSerName val="0"/>
              <c:showPercent val="1"/>
              <c:showBubbleSize val="1"/>
              <c:extLst>
                <c:ext xmlns:c15="http://schemas.microsoft.com/office/drawing/2012/chart" uri="{CE6537A1-D6FC-4f65-9D91-7224C49458BB}">
                  <c15:layout/>
                </c:ext>
              </c:extLst>
            </c:dLbl>
            <c:dLbl>
              <c:idx val="6"/>
              <c:layout/>
              <c:spPr/>
              <c:txPr>
                <a:bodyPr wrap="square"/>
                <a:lstStyle/>
                <a:p>
                  <a:pPr>
                    <a:defRPr sz="900" b="0" strike="noStrike" spc="-1">
                      <a:solidFill>
                        <a:srgbClr val="1F497D"/>
                      </a:solidFill>
                      <a:latin typeface="Calibri"/>
                    </a:defRPr>
                  </a:pPr>
                  <a:endParaRPr lang="pt-BR"/>
                </a:p>
              </c:txPr>
              <c:dLblPos val="bestFit"/>
              <c:showLegendKey val="0"/>
              <c:showVal val="0"/>
              <c:showCatName val="1"/>
              <c:showSerName val="0"/>
              <c:showPercent val="1"/>
              <c:showBubbleSize val="1"/>
              <c:extLst>
                <c:ext xmlns:c15="http://schemas.microsoft.com/office/drawing/2012/chart" uri="{CE6537A1-D6FC-4f65-9D91-7224C49458BB}">
                  <c15:layout/>
                </c:ext>
              </c:extLst>
            </c:dLbl>
            <c:spPr>
              <a:noFill/>
              <a:ln>
                <a:noFill/>
              </a:ln>
              <a:effectLst/>
            </c:spPr>
            <c:txPr>
              <a:bodyPr wrap="square"/>
              <a:lstStyle/>
              <a:p>
                <a:pPr>
                  <a:defRPr sz="900" b="0" strike="noStrike" spc="-1">
                    <a:solidFill>
                      <a:srgbClr val="1F497D"/>
                    </a:solidFill>
                    <a:latin typeface="Calibri"/>
                  </a:defRPr>
                </a:pPr>
                <a:endParaRPr lang="pt-BR"/>
              </a:p>
            </c:txPr>
            <c:dLblPos val="bestFit"/>
            <c:showLegendKey val="0"/>
            <c:showVal val="0"/>
            <c:showCatName val="1"/>
            <c:showSerName val="0"/>
            <c:showPercent val="1"/>
            <c:showBubbleSize val="1"/>
            <c:separator>
</c:separator>
            <c:showLeaderLines val="0"/>
            <c:extLst>
              <c:ext xmlns:c15="http://schemas.microsoft.com/office/drawing/2012/chart" uri="{CE6537A1-D6FC-4f65-9D91-7224C49458BB}"/>
            </c:extLst>
          </c:dLbls>
          <c:cat>
            <c:strRef>
              <c:f>categories</c:f>
              <c:strCache>
                <c:ptCount val="7"/>
                <c:pt idx="0">
                  <c:v>2015</c:v>
                </c:pt>
                <c:pt idx="1">
                  <c:v>2016</c:v>
                </c:pt>
                <c:pt idx="2">
                  <c:v>2017</c:v>
                </c:pt>
                <c:pt idx="3">
                  <c:v>2018</c:v>
                </c:pt>
                <c:pt idx="4">
                  <c:v>2019</c:v>
                </c:pt>
                <c:pt idx="5">
                  <c:v>2020</c:v>
                </c:pt>
                <c:pt idx="6">
                  <c:v>2021</c:v>
                </c:pt>
              </c:strCache>
            </c:strRef>
          </c:cat>
          <c:val>
            <c:numRef>
              <c:f>0</c:f>
              <c:numCache>
                <c:formatCode>General</c:formatCode>
                <c:ptCount val="7"/>
                <c:pt idx="0">
                  <c:v>48870</c:v>
                </c:pt>
                <c:pt idx="1">
                  <c:v>7117</c:v>
                </c:pt>
                <c:pt idx="2">
                  <c:v>18665</c:v>
                </c:pt>
                <c:pt idx="3">
                  <c:v>10149</c:v>
                </c:pt>
                <c:pt idx="4">
                  <c:v>24048</c:v>
                </c:pt>
                <c:pt idx="5">
                  <c:v>5105</c:v>
                </c:pt>
                <c:pt idx="6">
                  <c:v>4479</c:v>
                </c:pt>
              </c:numCache>
            </c:numRef>
          </c:val>
        </c:ser>
        <c:dLbls>
          <c:showLegendKey val="0"/>
          <c:showVal val="0"/>
          <c:showCatName val="0"/>
          <c:showSerName val="0"/>
          <c:showPercent val="0"/>
          <c:showBubbleSize val="0"/>
          <c:showLeaderLines val="0"/>
        </c:dLbls>
      </c:pie3DChart>
    </c:plotArea>
    <c:legend>
      <c:legendPos val="l"/>
      <c:layout/>
      <c:overlay val="0"/>
      <c:spPr>
        <a:noFill/>
        <a:ln w="0">
          <a:noFill/>
        </a:ln>
      </c:spPr>
      <c:txPr>
        <a:bodyPr/>
        <a:lstStyle/>
        <a:p>
          <a:pPr>
            <a:defRPr sz="900" b="0" strike="noStrike" spc="-1">
              <a:solidFill>
                <a:srgbClr val="1F497D"/>
              </a:solidFill>
              <a:latin typeface="Calibri"/>
            </a:defRPr>
          </a:pPr>
          <a:endParaRPr lang="pt-BR"/>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B2BVeITe+pDeDypYRPZq4dIgveQ==">CgMxLjAyCGguZ2pkZ3hzOAByITFNVTdFN3ZONzhoQUlBa2dMN0xHRjlTeUx4ckIzczg3bg==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6639</Words>
  <Characters>35852</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dc:creator>
  <dc:description/>
  <cp:lastModifiedBy>User</cp:lastModifiedBy>
  <cp:revision>7</cp:revision>
  <cp:lastPrinted>2024-09-07T18:49:00Z</cp:lastPrinted>
  <dcterms:created xsi:type="dcterms:W3CDTF">2024-09-08T09:37:00Z</dcterms:created>
  <dcterms:modified xsi:type="dcterms:W3CDTF">2024-09-08T10:15:00Z</dcterms:modified>
  <dc:language>pt-BR</dc:language>
</cp:coreProperties>
</file>