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9525</wp:posOffset>
            </wp:positionV>
            <wp:extent cx="7736422" cy="1082904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36422" cy="108290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line="276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Variabilidade temporal da profundidade óptica de aerossóis nas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regiões metropolitanas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das capitais do Nordeste brasileiro a partir do produto MAIAC/MODIS entre 2000 e 2023</w:t>
      </w:r>
      <w:r w:rsidDel="00000000" w:rsidR="00000000" w:rsidRPr="00000000">
        <w:rPr>
          <w:rtl w:val="0"/>
        </w:rPr>
      </w:r>
    </w:p>
    <w:bookmarkStart w:colFirst="0" w:colLast="0" w:name="bookmark=id.6hjhs2rsrqqj" w:id="0"/>
    <w:bookmarkEnd w:id="0"/>
    <w:p w:rsidR="00000000" w:rsidDel="00000000" w:rsidP="00000000" w:rsidRDefault="00000000" w:rsidRPr="00000000" w14:paraId="00000004">
      <w:pPr>
        <w:pStyle w:val="Heading1"/>
        <w:spacing w:before="251" w:line="242" w:lineRule="auto"/>
        <w:ind w:left="75" w:right="214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sz w:val="24"/>
          <w:szCs w:val="24"/>
          <w:rtl w:val="0"/>
        </w:rPr>
        <w:t xml:space="preserve">Lívia Alves de Lima,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sz w:val="24"/>
          <w:szCs w:val="24"/>
          <w:rtl w:val="0"/>
        </w:rPr>
        <w:t xml:space="preserve">Gabriel Bonow Münchow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sz w:val="24"/>
          <w:szCs w:val="24"/>
          <w:rtl w:val="0"/>
        </w:rPr>
        <w:t xml:space="preserve">Gustavo Martinelly de Lima Gadelha,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  1</w:t>
      </w:r>
      <w:r w:rsidDel="00000000" w:rsidR="00000000" w:rsidRPr="00000000">
        <w:rPr>
          <w:sz w:val="24"/>
          <w:szCs w:val="24"/>
          <w:rtl w:val="0"/>
        </w:rPr>
        <w:t xml:space="preserve">Judith Johanna Hoelzemann</w:t>
      </w:r>
    </w:p>
    <w:p w:rsidR="00000000" w:rsidDel="00000000" w:rsidP="00000000" w:rsidRDefault="00000000" w:rsidRPr="00000000" w14:paraId="00000005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  <w:vertAlign w:val="superscript"/>
        </w:rPr>
      </w:pP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Departamento de Ciências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Atmosféricas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e Climáticas, Universidade Federal do Rio Grande do Norte, e-mail: </w:t>
      </w:r>
      <w:hyperlink r:id="rId8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alves.lima2101@gmail.com</w:t>
        </w:r>
      </w:hyperlink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, </w:t>
      </w:r>
      <w:hyperlink r:id="rId9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judith.hoelzemann@ufrn.br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Centro Estadual de Pesquisa em Sensoriamento Remoto e Meteorologia, Universidade Federal do Rio Grande do Sul,</w:t>
      </w:r>
      <w:r w:rsidDel="00000000" w:rsidR="00000000" w:rsidRPr="00000000">
        <w:rPr>
          <w:i w:val="1"/>
          <w:iCs w:val="1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e-mail: </w:t>
      </w:r>
      <w:hyperlink r:id="rId10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gabrielbm@ufrgs.br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28" w:lineRule="auto"/>
        <w:ind w:left="0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Escola de Ciências e Tecnologia , Universidade Federal do Rio Grande do Norte,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e-mail: </w:t>
      </w:r>
      <w:hyperlink r:id="rId11">
        <w:r w:rsidDel="00000000" w:rsidR="00000000" w:rsidRPr="00000000">
          <w:rPr>
            <w:i w:val="1"/>
            <w:iCs w:val="1"/>
            <w:color w:val="1155cc"/>
            <w:sz w:val="24"/>
            <w:szCs w:val="24"/>
            <w:u w:val="single"/>
            <w:rtl w:val="0"/>
          </w:rPr>
          <w:t xml:space="preserve">martinelly.lima.715@ufrn.edu.br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Ambiente e Clima </w:t>
      </w:r>
    </w:p>
    <w:p w:rsidR="00000000" w:rsidDel="00000000" w:rsidP="00000000" w:rsidRDefault="00000000" w:rsidRPr="00000000" w14:paraId="0000000B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Gestão de riscos climáticos </w:t>
      </w:r>
    </w:p>
    <w:p w:rsidR="00000000" w:rsidDel="00000000" w:rsidP="00000000" w:rsidRDefault="00000000" w:rsidRPr="00000000" w14:paraId="0000000C">
      <w:pPr>
        <w:spacing w:line="228" w:lineRule="auto"/>
        <w:ind w:left="77" w:right="209" w:firstLine="0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28" w:lineRule="auto"/>
        <w:ind w:left="77" w:right="209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ind w:left="77" w:right="209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</w:t>
      </w:r>
      <w:r w:rsidDel="00000000" w:rsidR="00000000" w:rsidRPr="00000000">
        <w:rPr>
          <w:sz w:val="24"/>
          <w:szCs w:val="24"/>
          <w:rtl w:val="0"/>
        </w:rPr>
        <w:t xml:space="preserve">aerossóis</w:t>
      </w:r>
      <w:r w:rsidDel="00000000" w:rsidR="00000000" w:rsidRPr="00000000">
        <w:rPr>
          <w:sz w:val="24"/>
          <w:szCs w:val="24"/>
          <w:rtl w:val="0"/>
        </w:rPr>
        <w:t xml:space="preserve"> atmosféricos influenciam os processos climáticos e a qualidade do ar, sendo sua variabilidade espacial e temporal de grande importância para estudos ambientais. Esse trabalho teve como </w:t>
      </w:r>
      <w:r w:rsidDel="00000000" w:rsidR="00000000" w:rsidRPr="00000000">
        <w:rPr>
          <w:sz w:val="24"/>
          <w:szCs w:val="24"/>
          <w:rtl w:val="0"/>
        </w:rPr>
        <w:t xml:space="preserve">objetivo</w:t>
      </w:r>
      <w:r w:rsidDel="00000000" w:rsidR="00000000" w:rsidRPr="00000000">
        <w:rPr>
          <w:sz w:val="24"/>
          <w:szCs w:val="24"/>
          <w:rtl w:val="0"/>
        </w:rPr>
        <w:t xml:space="preserve"> analisar a variabilidade temporal da Profundidade Óptica dos </w:t>
      </w:r>
      <w:r w:rsidDel="00000000" w:rsidR="00000000" w:rsidRPr="00000000">
        <w:rPr>
          <w:sz w:val="24"/>
          <w:szCs w:val="24"/>
          <w:rtl w:val="0"/>
        </w:rPr>
        <w:t xml:space="preserve">Aerossóis</w:t>
      </w:r>
      <w:r w:rsidDel="00000000" w:rsidR="00000000" w:rsidRPr="00000000">
        <w:rPr>
          <w:sz w:val="24"/>
          <w:szCs w:val="24"/>
          <w:rtl w:val="0"/>
        </w:rPr>
        <w:t xml:space="preserve"> em 550 nm (AOD550) nas regiões metropolitanas das capitais do Nordeste brasileiro: Aracaju, Fortaleza, João Pessoa, Maceió, Natal, Recife, Salvador, São Luís e Teresina. Foram utilizados dados do produto MCD19A2 (MAIAC/MODIS) com resolução espacial de 1 km, no período de 2000 a 2023. Os dados foram agregados espacialmente por região metropolitana e temporalmente em médias mensais, anuais e climatologia mensal. Os resultados mostraram valores médios de AOD550 variando de 0,203 (Teresina) a 0,245 (Natal e João Pessoa). A maior sazonalidade foi observada em Teresina (amplitude= 0,193), seguida por Fortaleza (0,140) e São Luís (0,107), enquanto João Pessoa (0,039) e Natal (0,040) apresentaram menor variabilidade. O satélite Terra registrou valores médios de AOD550 superiores aos do Aqua em todas as regiões.</w:t>
      </w:r>
    </w:p>
    <w:p w:rsidR="00000000" w:rsidDel="00000000" w:rsidP="00000000" w:rsidRDefault="00000000" w:rsidRPr="00000000" w14:paraId="0000000F">
      <w:pPr>
        <w:spacing w:line="228" w:lineRule="auto"/>
        <w:ind w:left="77" w:right="209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b w:val="1"/>
          <w:bCs w:val="1"/>
          <w:color w:val="ff0000"/>
          <w:sz w:val="28"/>
          <w:szCs w:val="28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AOD; </w:t>
      </w:r>
      <w:r w:rsidDel="00000000" w:rsidR="00000000" w:rsidRPr="00000000">
        <w:rPr>
          <w:sz w:val="24"/>
          <w:szCs w:val="24"/>
          <w:rtl w:val="0"/>
        </w:rPr>
        <w:t xml:space="preserve">aerossóis</w:t>
      </w:r>
      <w:r w:rsidDel="00000000" w:rsidR="00000000" w:rsidRPr="00000000">
        <w:rPr>
          <w:sz w:val="24"/>
          <w:szCs w:val="24"/>
          <w:rtl w:val="0"/>
        </w:rPr>
        <w:t xml:space="preserve"> atmosféricos; MAIAC; MODIS; Nordeste brasileiro; sensoriamento remoto.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b w:val="1"/>
          <w:bCs w:val="1"/>
          <w:color w:val="ff0000"/>
          <w:sz w:val="28"/>
          <w:szCs w:val="28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</w:t>
      </w:r>
      <w:r w:rsidDel="00000000" w:rsidR="00000000" w:rsidRPr="00000000">
        <w:rPr>
          <w:sz w:val="24"/>
          <w:szCs w:val="24"/>
          <w:rtl w:val="0"/>
        </w:rPr>
        <w:t xml:space="preserve">aerossóis</w:t>
      </w:r>
      <w:r w:rsidDel="00000000" w:rsidR="00000000" w:rsidRPr="00000000">
        <w:rPr>
          <w:sz w:val="24"/>
          <w:szCs w:val="24"/>
          <w:rtl w:val="0"/>
        </w:rPr>
        <w:t xml:space="preserve"> atmosféricos desempenham papel importante no sistema climático. (Seinfeld e Pandis, 2016). A Profundidade Óptica dos </w:t>
      </w:r>
      <w:r w:rsidDel="00000000" w:rsidR="00000000" w:rsidRPr="00000000">
        <w:rPr>
          <w:sz w:val="24"/>
          <w:szCs w:val="24"/>
          <w:rtl w:val="0"/>
        </w:rPr>
        <w:t xml:space="preserve">Aerossóis</w:t>
      </w:r>
      <w:r w:rsidDel="00000000" w:rsidR="00000000" w:rsidRPr="00000000">
        <w:rPr>
          <w:sz w:val="24"/>
          <w:szCs w:val="24"/>
          <w:rtl w:val="0"/>
        </w:rPr>
        <w:t xml:space="preserve"> (AOD) é uma das principais variáveis utilizadas para monitorar a carga de partículas em suspensão na atmosfera. Nesse contexto, produtos de sensoriamento remoto, como o MAIAC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Multi-Angle Implementation of Atmospheric Correction</w:t>
      </w:r>
      <w:r w:rsidDel="00000000" w:rsidR="00000000" w:rsidRPr="00000000">
        <w:rPr>
          <w:sz w:val="24"/>
          <w:szCs w:val="24"/>
          <w:rtl w:val="0"/>
        </w:rPr>
        <w:t xml:space="preserve">), possibilitam a obtenção de séries temporais de AOD com elevada </w:t>
      </w:r>
    </w:p>
    <w:p w:rsidR="00000000" w:rsidDel="00000000" w:rsidP="00000000" w:rsidRDefault="00000000" w:rsidRPr="00000000" w14:paraId="00000014">
      <w:pPr>
        <w:spacing w:after="240"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resolução espacial, permitindo analisar a variabilidade temporal dos aerossóis em diferentes regiões. No Nordeste brasileiro, o monitoramento dos aerossóis é relevante devido à diversidade de fontes naturais e antrópicas que influenciam a composição da atmosfera </w:t>
      </w:r>
      <w:r w:rsidDel="00000000" w:rsidR="00000000" w:rsidRPr="00000000">
        <w:rPr>
          <w:sz w:val="24"/>
          <w:szCs w:val="24"/>
          <w:rtl w:val="0"/>
        </w:rPr>
        <w:t xml:space="preserve">(</w:t>
      </w:r>
      <w:r w:rsidDel="00000000" w:rsidR="00000000" w:rsidRPr="00000000">
        <w:rPr>
          <w:sz w:val="24"/>
          <w:szCs w:val="24"/>
          <w:rtl w:val="0"/>
        </w:rPr>
        <w:t xml:space="preserve">Münchow et al, 2025)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Além das emissões associadas às atividades urbanas, industriais e às queimadas, a região pode ser afetada pelo transporte de poeira mineral proveniente do deserto do Saara e aerossóis de queimadas tanto da região sub-sahel como da região equatorial, especialmente durante determinados períodos do ano. Estes fenômenos contribuem para o aumento da concentração de partículas em suspensão e podem influenciar as propriedades radiativas da atmosfera, reforçando a importância do acompanhamento da variabilidade temporal dos aerossóis na região. Como o monitoramento atmosférico por estações de superfície ainda é muito limitado na região, o sensoriamento remoto constitui uma ferramenta essencial para acompanhar a variabilidade espacial e temporal dos aerossóis.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Metodologia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Foram utilizados dados da Profundidade Óptica dos Aerossóis em 550 nm (AOD550)  provenientes do produto MCD19A2 (MAIAC), (Lyapustin et al., 2018), derivado das observações dos sensores MODIS a bordo dos satélites Terra e Aqua, com resolução espacial de 1 km, no período de 2000 a 2023. As análises foram realizadas para as regiões metropolitanas (RM) oficiais do IBGE das capitais do Nordeste brasileiro, Aracaju, Fortaleza, João Pessoa, Maceió, Natal, Recife, Salvador, São Luís e Teresina. Os dados, previamente processados e organizados, foram agregados espacialmente a partir dos pixels válidos contidos em seus limites, originando uma média regional. Posteriormente, essas médias foram agregadas temporalmente em médias mensais, anuais e climatologia mensal. As observações dos satélites Terra e Aqua foram mantidas separadas, permitindo a comparação entre os dois sensores. O tratamento dos dados, incluindo a remoção de valores ausentes, organização das variáveis e elaboração das análises estatísticas e gráficas, foi realizado no software R utilizando os pacotes tidyverse, lubridate e ggplot2. </w:t>
      </w:r>
      <w:r w:rsidDel="00000000" w:rsidR="00000000" w:rsidRPr="00000000">
        <w:rPr>
          <w:sz w:val="24"/>
          <w:szCs w:val="24"/>
          <w:rtl w:val="0"/>
        </w:rPr>
        <w:t xml:space="preserve">Para o mapa espacial, foi utilizada a AOD550 média anual de 2019, calculada a partir dos pixels válidos do produto MCD19A2 após aplicação dos filtros de qualidade da camada </w:t>
      </w:r>
      <w:r w:rsidDel="00000000" w:rsidR="00000000" w:rsidRPr="00000000">
        <w:rPr>
          <w:sz w:val="24"/>
          <w:szCs w:val="24"/>
          <w:rtl w:val="0"/>
        </w:rPr>
        <w:t xml:space="preserve">AOD_QA,</w:t>
      </w:r>
      <w:r w:rsidDel="00000000" w:rsidR="00000000" w:rsidRPr="00000000">
        <w:rPr>
          <w:sz w:val="24"/>
          <w:szCs w:val="24"/>
          <w:rtl w:val="0"/>
        </w:rPr>
        <w:t xml:space="preserve"> considerando apenas pixels classificados como céu limpo e sem adjacência às nuvens.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O ano de 2019 foi utilizado como exemplo espacial representativo, enquanto as análises temporais consideraram toda a série de 2000 a 2023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1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Resultados e Discussão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="360" w:lineRule="auto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A Figura 1 apresenta a distribuição espacial da AOD550 média anual nas regiões metropolitanas das capitais do Nordeste brasileiro para o ano de 2019. Observa-se variabilidade espacial entre as áreas analisadas, com maiores valores médios nas regiões metropolitanas de João Pessoa (0,18), Recife (0,19) e Aracaju (</w:t>
      </w:r>
      <w:r w:rsidDel="00000000" w:rsidR="00000000" w:rsidRPr="00000000">
        <w:rPr>
          <w:sz w:val="24"/>
          <w:szCs w:val="24"/>
          <w:rtl w:val="0"/>
        </w:rPr>
        <w:t xml:space="preserve">0,18</w:t>
      </w:r>
      <w:r w:rsidDel="00000000" w:rsidR="00000000" w:rsidRPr="00000000">
        <w:rPr>
          <w:sz w:val="24"/>
          <w:szCs w:val="24"/>
          <w:rtl w:val="0"/>
        </w:rPr>
        <w:t xml:space="preserve">), enquanto Fortaleza (0,10), Teresina (0,09) e São Luís (0,11) apresentaram os menores valores. Essa diferença de aproximadamente 0,10 unidade de AOD550 evidencia que a carga de aerossóis não é homogênea entre as regiões metropolitanas, refletindo a influência de fontes emissoras locais e das condições meteorológicas regionais.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spacing w:line="360" w:lineRule="auto"/>
        <w:ind w:left="0" w:firstLine="0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Figuras </w:t>
      </w:r>
      <w:r w:rsidDel="00000000" w:rsidR="00000000" w:rsidRPr="00000000">
        <w:rPr>
          <w:sz w:val="28"/>
          <w:szCs w:val="28"/>
          <w:rtl w:val="0"/>
        </w:rPr>
        <w:t xml:space="preserve">e Tabelas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ind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Figura 1. </w:t>
      </w:r>
      <w:r w:rsidDel="00000000" w:rsidR="00000000" w:rsidRPr="00000000">
        <w:rPr>
          <w:color w:val="222222"/>
          <w:sz w:val="20"/>
          <w:szCs w:val="20"/>
          <w:highlight w:val="white"/>
          <w:rtl w:val="0"/>
        </w:rPr>
        <w:t xml:space="preserve">AOD550 média anual em 2019 nas regiões metropolitanas oficiais do Nordeste Brasileiro, calculada a partir dos pixels válidos do produto MAIAC/MODIS MCD19A2 após aplicação de filtros de qualidade</w:t>
      </w:r>
      <w:r w:rsidDel="00000000" w:rsidR="00000000" w:rsidRPr="00000000">
        <w:rPr>
          <w:rFonts w:ascii="Arial" w:cs="Arial" w:eastAsia="Arial" w:hAnsi="Arial"/>
          <w:color w:val="222222"/>
          <w:highlight w:val="white"/>
          <w:rtl w:val="0"/>
        </w:rPr>
        <w:t xml:space="preserve">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line="360" w:lineRule="auto"/>
        <w:ind w:firstLine="72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3292733" cy="2949517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92733" cy="294951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ind w:firstLine="720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Fonte: </w:t>
      </w:r>
      <w:r w:rsidDel="00000000" w:rsidR="00000000" w:rsidRPr="00000000">
        <w:rPr>
          <w:sz w:val="20"/>
          <w:szCs w:val="20"/>
          <w:rtl w:val="0"/>
        </w:rPr>
        <w:t xml:space="preserve">Hoelzemann</w:t>
      </w:r>
      <w:r w:rsidDel="00000000" w:rsidR="00000000" w:rsidRPr="00000000">
        <w:rPr>
          <w:sz w:val="20"/>
          <w:szCs w:val="20"/>
          <w:rtl w:val="0"/>
        </w:rPr>
        <w:t xml:space="preserve"> ( 2026)</w:t>
      </w:r>
      <w:r w:rsidDel="00000000" w:rsidR="00000000" w:rsidRPr="00000000">
        <w:rPr>
          <w:sz w:val="24"/>
          <w:szCs w:val="24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Tabela 1 e a Figura 2 mostram o comportamento sazonal da AOD550 nas regiões metropolitanas analisadas. Teresina apresentou a maior amplitude sazonal (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0,193</w:t>
      </w:r>
      <w:r w:rsidDel="00000000" w:rsidR="00000000" w:rsidRPr="00000000">
        <w:rPr>
          <w:sz w:val="24"/>
          <w:szCs w:val="24"/>
          <w:rtl w:val="0"/>
        </w:rPr>
        <w:t xml:space="preserve">), seguida por Fortaleza (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0,140</w:t>
      </w:r>
      <w:r w:rsidDel="00000000" w:rsidR="00000000" w:rsidRPr="00000000">
        <w:rPr>
          <w:sz w:val="24"/>
          <w:szCs w:val="24"/>
          <w:rtl w:val="0"/>
        </w:rPr>
        <w:t xml:space="preserve">) e São Luís (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0,107</w:t>
      </w:r>
      <w:r w:rsidDel="00000000" w:rsidR="00000000" w:rsidRPr="00000000">
        <w:rPr>
          <w:sz w:val="24"/>
          <w:szCs w:val="24"/>
          <w:rtl w:val="0"/>
        </w:rPr>
        <w:t xml:space="preserve">), indicando maior variabilidade anual da carga de aerossóis. Em contraste, João Pessoa (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0,039</w:t>
      </w:r>
      <w:r w:rsidDel="00000000" w:rsidR="00000000" w:rsidRPr="00000000">
        <w:rPr>
          <w:sz w:val="24"/>
          <w:szCs w:val="24"/>
          <w:rtl w:val="0"/>
        </w:rPr>
        <w:t xml:space="preserve">) e Natal (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0,040</w:t>
      </w:r>
      <w:r w:rsidDel="00000000" w:rsidR="00000000" w:rsidRPr="00000000">
        <w:rPr>
          <w:sz w:val="24"/>
          <w:szCs w:val="24"/>
          <w:rtl w:val="0"/>
        </w:rPr>
        <w:t xml:space="preserve">) apresentaram as menores amplitudes, evidenciando comportamento mais homogêneo ao longo do ano. Apesar das diferenças nos valores médios, os satélites Terra e Aqua apresentaram padrões sazonais semelhantes na maior parte das regiões metropolitanas. </w:t>
      </w:r>
    </w:p>
    <w:p w:rsidR="00000000" w:rsidDel="00000000" w:rsidP="00000000" w:rsidRDefault="00000000" w:rsidRPr="00000000" w14:paraId="0000001F">
      <w:pPr>
        <w:spacing w:line="360" w:lineRule="auto"/>
        <w:ind w:firstLine="72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Tabela 1.</w:t>
      </w:r>
      <w:r w:rsidDel="00000000" w:rsidR="00000000" w:rsidRPr="00000000">
        <w:rPr>
          <w:sz w:val="20"/>
          <w:szCs w:val="20"/>
          <w:rtl w:val="0"/>
        </w:rPr>
        <w:t xml:space="preserve">Estatísticas da climatologia mensal da AOD550 nas regiões metropolitanas das capitais do Nordeste brasileiro, calculadas pela média dos satélites Terra e Aqua no período de 2000 a 2023.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407565" cy="2199592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90" r="9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07565" cy="21995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1">
      <w:pPr>
        <w:spacing w:line="360" w:lineRule="auto"/>
        <w:ind w:firstLine="720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Fonte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sz w:val="20"/>
          <w:szCs w:val="20"/>
          <w:rtl w:val="0"/>
        </w:rPr>
        <w:t xml:space="preserve">Elaborado pelos autores (2026)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Figura 3 apresenta a média anual da AOD550 obtida pelos satélites Terra e Aqua entre 2000 e 2023. Verifica-se predominância de valores médios mais elevados para o satélite Terra, com diferenças entre aproximadamente 0,021 e 0,076 unidades de AOD550 nas regiões metropolitanas analisadas. Embora existam diferenças sistemáticas entre os sensores, ambos reproduziram padrões temporais semelhantes ao longo do período analisado.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 w:firstLine="72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Figura 2.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Climatologia mensal da (AOD550), obtida pelos satélites Terra e Aqua. </w:t>
      </w:r>
      <w:r w:rsidDel="00000000" w:rsidR="00000000" w:rsidRPr="00000000">
        <w:rPr>
          <w:sz w:val="24"/>
          <w:szCs w:val="24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right="0" w:firstLine="72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426748" cy="2947539"/>
            <wp:effectExtent b="0" l="0" r="0" t="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26748" cy="29475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Fonte:</w:t>
      </w:r>
      <w:r w:rsidDel="00000000" w:rsidR="00000000" w:rsidRPr="00000000">
        <w:rPr>
          <w:sz w:val="20"/>
          <w:szCs w:val="20"/>
          <w:rtl w:val="0"/>
        </w:rPr>
        <w:t xml:space="preserve"> Elaborado pela autora 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firstLine="720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Figura 3. </w:t>
      </w:r>
      <w:r w:rsidDel="00000000" w:rsidR="00000000" w:rsidRPr="00000000">
        <w:rPr>
          <w:sz w:val="20"/>
          <w:szCs w:val="20"/>
          <w:rtl w:val="0"/>
        </w:rPr>
        <w:t xml:space="preserve">Média anual da (AOD550), obtidas pelos satélites Terra e Aqua</w:t>
      </w:r>
    </w:p>
    <w:p w:rsidR="00000000" w:rsidDel="00000000" w:rsidP="00000000" w:rsidRDefault="00000000" w:rsidRPr="00000000" w14:paraId="00000027">
      <w:pPr>
        <w:spacing w:line="360" w:lineRule="auto"/>
        <w:ind w:firstLine="72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3714281" cy="2551124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14281" cy="25511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Fonte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sz w:val="20"/>
          <w:szCs w:val="20"/>
          <w:rtl w:val="0"/>
        </w:rPr>
        <w:t xml:space="preserve">Elaborado pela autora 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Conclusão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before="240"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4"/>
          <w:szCs w:val="24"/>
          <w:rtl w:val="0"/>
        </w:rPr>
        <w:t xml:space="preserve">A análise da AOD550 nas regiões metropolitanas das capitais do Nordeste brasileiro mostrou que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de modo geral, as séries anuais não indicaram visualmente uma tendência persistente de aumento ou redução da AOD550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A sazonalidade foi mais evidente nas RM de Teresina, Fortaleza e São Luís, que apresentaram amplitudes sazonais de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0,193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0,140</w:t>
      </w:r>
      <w:r w:rsidDel="00000000" w:rsidR="00000000" w:rsidRPr="00000000">
        <w:rPr>
          <w:sz w:val="24"/>
          <w:szCs w:val="24"/>
          <w:rtl w:val="0"/>
        </w:rPr>
        <w:t xml:space="preserve"> 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0,107</w:t>
      </w:r>
      <w:r w:rsidDel="00000000" w:rsidR="00000000" w:rsidRPr="00000000">
        <w:rPr>
          <w:sz w:val="24"/>
          <w:szCs w:val="24"/>
          <w:rtl w:val="0"/>
        </w:rPr>
        <w:t xml:space="preserve">, respectivamente, enquanto as RM de João Pessoa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0,039</w:t>
      </w:r>
      <w:r w:rsidDel="00000000" w:rsidR="00000000" w:rsidRPr="00000000">
        <w:rPr>
          <w:sz w:val="24"/>
          <w:szCs w:val="24"/>
          <w:rtl w:val="0"/>
        </w:rPr>
        <w:t xml:space="preserve"> e Natal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0,040</w:t>
      </w:r>
      <w:r w:rsidDel="00000000" w:rsidR="00000000" w:rsidRPr="00000000">
        <w:rPr>
          <w:sz w:val="24"/>
          <w:szCs w:val="24"/>
          <w:rtl w:val="0"/>
        </w:rPr>
        <w:t xml:space="preserve"> apresentaram menor variabilidade. Além disso, o satélite Terra registrou valores médios de AOD550 superiores aos observados pelo Aqua em todas as regiões analisadas. Esses resultados evidenciam que a elevada resolução espacial do produto MAIAC/MODIS permite caracterizar a variabilidade espacial e temporal da AOD550 nas regiões metropolitanas do Nordeste brasileiro, demonstrando sua aplicabilidade em estudos ambientais em escala urbana.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Referências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LYAPUSTIN, A.; WANG, Y.; KORKIN, S.; HUANG, D., MODIS Collection 6 MAIAC algorithm. Atmospheric Measurement Techniques, v. 11, p. 5741-5765, 2018. DOI: 10.5194/amt-11-5741-2018.</w:t>
      </w:r>
    </w:p>
    <w:p w:rsidR="00000000" w:rsidDel="00000000" w:rsidP="00000000" w:rsidRDefault="00000000" w:rsidRPr="00000000" w14:paraId="0000002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SEINFELD, J. H.; PANDIS, S. N.,  Atmospheric Chemistry and Physics: from air pollution to climate change. 3. ed. Hoboken: John Wiley &amp; Sons, 2016.</w:t>
      </w:r>
    </w:p>
    <w:p w:rsidR="00000000" w:rsidDel="00000000" w:rsidP="00000000" w:rsidRDefault="00000000" w:rsidRPr="00000000" w14:paraId="0000002E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MÜNCHOW, G. B. et al., Aerosol optical depth over Northeastern Brazil: A multi-platform intercomparison study, Atmos. Res. 315, 2025. DOI: </w:t>
      </w:r>
      <w:r w:rsidDel="00000000" w:rsidR="00000000" w:rsidRPr="00000000">
        <w:rPr>
          <w:sz w:val="24"/>
          <w:szCs w:val="24"/>
          <w:rtl w:val="0"/>
        </w:rPr>
        <w:t xml:space="preserve">10.1016/j.atmosres.2024.107864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before="240" w:line="24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6" w:type="default"/>
      <w:footerReference r:id="rId17" w:type="default"/>
      <w:pgSz w:h="16840" w:w="11910" w:orient="portrait"/>
      <w:pgMar w:bottom="1134" w:top="1701" w:left="1701" w:right="1134" w:header="0" w:footer="1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-85723</wp:posOffset>
          </wp:positionH>
          <wp:positionV relativeFrom="page">
            <wp:posOffset>0</wp:posOffset>
          </wp:positionV>
          <wp:extent cx="7629525" cy="1066800"/>
          <wp:effectExtent b="0" l="0" r="0" t="0"/>
          <wp:wrapNone/>
          <wp:docPr id="4" name="image6.png"/>
          <a:graphic>
            <a:graphicData uri="http://schemas.openxmlformats.org/drawingml/2006/picture">
              <pic:pic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9525" cy="10668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67" w:lineRule="auto"/>
      <w:ind w:left="75" w:right="209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martinelly80@gmail.com" TargetMode="External"/><Relationship Id="rId10" Type="http://schemas.openxmlformats.org/officeDocument/2006/relationships/hyperlink" Target="mailto:gabrielbm@ufrgs.br" TargetMode="External"/><Relationship Id="rId13" Type="http://schemas.openxmlformats.org/officeDocument/2006/relationships/image" Target="media/image1.png"/><Relationship Id="rId12" Type="http://schemas.openxmlformats.org/officeDocument/2006/relationships/image" Target="media/image4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judith.hoelzemann@ufrn.br" TargetMode="External"/><Relationship Id="rId15" Type="http://schemas.openxmlformats.org/officeDocument/2006/relationships/image" Target="media/image3.png"/><Relationship Id="rId14" Type="http://schemas.openxmlformats.org/officeDocument/2006/relationships/image" Target="media/image5.png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mailto:alves.lima2101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ddmX8ylindvNpBkHl6AKnJretA==">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