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92E07" w14:textId="77777777" w:rsidR="00C1511F" w:rsidRPr="00475253" w:rsidRDefault="00C1511F">
      <w:pPr>
        <w:rPr>
          <w:rFonts w:cs="Arial"/>
          <w:b/>
          <w:bCs/>
          <w:szCs w:val="24"/>
          <w:lang w:val="pt-BR"/>
        </w:rPr>
      </w:pPr>
    </w:p>
    <w:p w14:paraId="0123ABAB" w14:textId="77777777" w:rsidR="00C1511F" w:rsidRPr="00475253" w:rsidRDefault="00C1511F">
      <w:pPr>
        <w:rPr>
          <w:rFonts w:cs="Arial"/>
          <w:b/>
          <w:bCs/>
          <w:szCs w:val="24"/>
          <w:lang w:val="pt-BR"/>
        </w:rPr>
      </w:pPr>
    </w:p>
    <w:p w14:paraId="54DEADE0" w14:textId="507D7B83" w:rsidR="00C1511F" w:rsidRPr="00475253" w:rsidRDefault="00DF5334">
      <w:pPr>
        <w:rPr>
          <w:rFonts w:cs="Arial"/>
          <w:b/>
          <w:bCs/>
          <w:szCs w:val="24"/>
          <w:lang w:val="pt-BR"/>
        </w:rPr>
      </w:pPr>
      <w:r w:rsidRPr="00475253">
        <w:rPr>
          <w:rFonts w:cs="Arial"/>
          <w:b/>
          <w:bCs/>
          <w:szCs w:val="24"/>
          <w:lang w:val="pt-BR"/>
        </w:rPr>
        <w:t xml:space="preserve">Área temática: </w:t>
      </w:r>
      <w:r w:rsidRPr="00475253">
        <w:rPr>
          <w:rFonts w:cs="Arial"/>
          <w:b/>
          <w:bCs/>
          <w:szCs w:val="24"/>
          <w:lang w:val="pt-BR"/>
        </w:rPr>
        <w:t>Tecnologia, Inteligência Artificial e Transformação Digital em Administração</w:t>
      </w:r>
    </w:p>
    <w:p w14:paraId="78F839DD" w14:textId="65D0C074" w:rsidR="00C1511F" w:rsidRPr="00475253" w:rsidRDefault="00C1511F">
      <w:pPr>
        <w:rPr>
          <w:rFonts w:cs="Arial"/>
          <w:b/>
          <w:bCs/>
          <w:szCs w:val="24"/>
          <w:lang w:val="pt-BR"/>
        </w:rPr>
      </w:pPr>
    </w:p>
    <w:p w14:paraId="14741502" w14:textId="77777777" w:rsidR="00C1511F" w:rsidRPr="00475253" w:rsidRDefault="00C1511F">
      <w:pPr>
        <w:rPr>
          <w:rFonts w:cs="Arial"/>
          <w:b/>
          <w:bCs/>
          <w:szCs w:val="24"/>
          <w:lang w:val="pt-BR"/>
        </w:rPr>
      </w:pPr>
    </w:p>
    <w:p w14:paraId="7DC1469C" w14:textId="65574917" w:rsidR="00C1511F" w:rsidRPr="00475253" w:rsidRDefault="00C1511F" w:rsidP="00C1511F">
      <w:pPr>
        <w:pStyle w:val="Ttulo1"/>
        <w:keepNext w:val="0"/>
        <w:keepLines w:val="0"/>
        <w:spacing w:before="0" w:line="240" w:lineRule="auto"/>
        <w:jc w:val="center"/>
        <w:rPr>
          <w:color w:val="auto"/>
          <w:lang w:val="pt-BR"/>
        </w:rPr>
      </w:pPr>
      <w:r w:rsidRPr="00475253">
        <w:rPr>
          <w:color w:val="auto"/>
          <w:lang w:val="pt-BR"/>
        </w:rPr>
        <w:t>INTELIGÊNCIA ARTIFICIAL E A TRANSFORMAÇÃO DE ECOSSISTEMAS</w:t>
      </w:r>
    </w:p>
    <w:p w14:paraId="7ABEBF83" w14:textId="3FF9C213" w:rsidR="00C1511F" w:rsidRDefault="00C1511F" w:rsidP="00C1511F">
      <w:pPr>
        <w:pStyle w:val="Ttulo1"/>
        <w:keepNext w:val="0"/>
        <w:keepLines w:val="0"/>
        <w:spacing w:before="0" w:line="240" w:lineRule="auto"/>
        <w:jc w:val="center"/>
        <w:rPr>
          <w:color w:val="auto"/>
          <w:lang w:val="pt-BR"/>
        </w:rPr>
      </w:pPr>
      <w:r w:rsidRPr="00475253">
        <w:rPr>
          <w:color w:val="auto"/>
          <w:lang w:val="pt-BR"/>
        </w:rPr>
        <w:t>DE INOVAÇÃO EM HUBS INTELIGENTES</w:t>
      </w:r>
    </w:p>
    <w:p w14:paraId="6B971C8E" w14:textId="1F2F62A2" w:rsidR="004F7315" w:rsidRDefault="004F7315" w:rsidP="004F7315">
      <w:pPr>
        <w:rPr>
          <w:lang w:val="pt-BR"/>
        </w:rPr>
      </w:pPr>
    </w:p>
    <w:p w14:paraId="77E79BD1" w14:textId="0B519F42" w:rsidR="004F7315" w:rsidRDefault="004F7315" w:rsidP="004F7315">
      <w:pPr>
        <w:rPr>
          <w:lang w:val="pt-BR"/>
        </w:rPr>
      </w:pPr>
    </w:p>
    <w:p w14:paraId="5557640B" w14:textId="14A5D543" w:rsidR="004F7315" w:rsidRDefault="004F7315" w:rsidP="004F7315">
      <w:pPr>
        <w:rPr>
          <w:lang w:val="pt-BR"/>
        </w:rPr>
      </w:pPr>
    </w:p>
    <w:p w14:paraId="38F327F5" w14:textId="6350B9D1" w:rsidR="004F7315" w:rsidRDefault="004F7315" w:rsidP="004F7315">
      <w:pPr>
        <w:rPr>
          <w:lang w:val="pt-BR"/>
        </w:rPr>
      </w:pPr>
    </w:p>
    <w:p w14:paraId="2AF582A2" w14:textId="27A1566C" w:rsidR="004F7315" w:rsidRDefault="004F7315" w:rsidP="004F7315">
      <w:pPr>
        <w:rPr>
          <w:lang w:val="pt-BR"/>
        </w:rPr>
      </w:pPr>
    </w:p>
    <w:p w14:paraId="18BD9FD1" w14:textId="28D9D0B6" w:rsidR="00DB7861" w:rsidRPr="00475253" w:rsidRDefault="00DF5334" w:rsidP="004F7315">
      <w:pPr>
        <w:spacing w:after="0" w:line="240" w:lineRule="auto"/>
        <w:jc w:val="center"/>
        <w:rPr>
          <w:rFonts w:cs="Arial"/>
          <w:b/>
          <w:bCs/>
          <w:sz w:val="23"/>
          <w:szCs w:val="23"/>
          <w:lang w:val="pt-BR"/>
        </w:rPr>
      </w:pPr>
      <w:r w:rsidRPr="00475253">
        <w:rPr>
          <w:rFonts w:cs="Arial"/>
          <w:b/>
          <w:bCs/>
          <w:szCs w:val="24"/>
          <w:lang w:val="pt-BR"/>
        </w:rPr>
        <w:br w:type="page"/>
      </w:r>
      <w:r w:rsidR="00DB7861" w:rsidRPr="00475253">
        <w:rPr>
          <w:rFonts w:cs="Arial"/>
          <w:b/>
          <w:bCs/>
          <w:sz w:val="23"/>
          <w:szCs w:val="23"/>
          <w:lang w:val="pt-BR"/>
        </w:rPr>
        <w:lastRenderedPageBreak/>
        <w:t>Resumo</w:t>
      </w:r>
    </w:p>
    <w:p w14:paraId="4728A2C5" w14:textId="77777777" w:rsidR="00862A75" w:rsidRPr="00475253" w:rsidRDefault="00862A75" w:rsidP="00862A75">
      <w:pPr>
        <w:spacing w:after="0" w:line="240" w:lineRule="auto"/>
        <w:rPr>
          <w:rFonts w:cs="Arial"/>
          <w:b/>
          <w:bCs/>
          <w:sz w:val="23"/>
          <w:szCs w:val="23"/>
          <w:lang w:val="pt-BR"/>
        </w:rPr>
      </w:pPr>
    </w:p>
    <w:p w14:paraId="3DA8CC13" w14:textId="58CD15A4" w:rsidR="00DB7861" w:rsidRPr="00475253" w:rsidRDefault="00DB7861" w:rsidP="00862A75">
      <w:pPr>
        <w:spacing w:after="0" w:line="240" w:lineRule="auto"/>
        <w:jc w:val="both"/>
        <w:rPr>
          <w:rFonts w:cs="Arial"/>
          <w:sz w:val="23"/>
          <w:szCs w:val="23"/>
          <w:lang w:val="pt-BR"/>
        </w:rPr>
      </w:pPr>
      <w:r w:rsidRPr="00475253">
        <w:rPr>
          <w:rFonts w:cs="Arial"/>
          <w:sz w:val="23"/>
          <w:szCs w:val="23"/>
          <w:lang w:val="pt-BR"/>
        </w:rPr>
        <w:t>Este artigo aborda a transformação de ecossistemas tradicionais de inovação em hubs inteligentes mediados pela inteligência artificial (IA).</w:t>
      </w:r>
      <w:r w:rsidR="00862A75" w:rsidRPr="00475253">
        <w:rPr>
          <w:rFonts w:cs="Arial"/>
          <w:sz w:val="23"/>
          <w:szCs w:val="23"/>
          <w:lang w:val="pt-BR"/>
        </w:rPr>
        <w:t xml:space="preserve"> O</w:t>
      </w:r>
      <w:r w:rsidRPr="00475253">
        <w:rPr>
          <w:rFonts w:cs="Arial"/>
          <w:sz w:val="23"/>
          <w:szCs w:val="23"/>
          <w:lang w:val="pt-BR"/>
        </w:rPr>
        <w:t xml:space="preserve"> estudo parte da problemática de compreender como a incorporação da IA modifica dinâmicas de governança, interação entre atores e impactos socioeconômicos desses ambientes. O objetivo é identificar estratégias para adoção da IA em parques tecnológicos, incubadoras e aceleradoras, comparando suas características com as de hubs inteligentes e analisando efeitos econômicos e sociais dessa transição. A pesquisa adota abordagem qualitativa, de caráter exploratório e bibliográfico, estruturada como ensaio teórico. Foram consultadas bases científicas internacionais e relatórios institucionais, complementados por estudo comparativo de múltiplos casos nacionais e internacionais. Os resultados indicam sete estratégias recorrentes para a consolidação de hubs inteligentes, como governança de dados, infraestrutura digital avançada, formação de talentos e internacionalização, além da ampliação de métricas de avaliação que incluem impacto social e ambiental. Casos como Porto Digital (Brasil), Vila A Inteligente (Brasil), </w:t>
      </w:r>
      <w:proofErr w:type="spellStart"/>
      <w:r w:rsidRPr="00475253">
        <w:rPr>
          <w:rFonts w:cs="Arial"/>
          <w:sz w:val="23"/>
          <w:szCs w:val="23"/>
          <w:lang w:val="pt-BR"/>
        </w:rPr>
        <w:t>Station</w:t>
      </w:r>
      <w:proofErr w:type="spellEnd"/>
      <w:r w:rsidRPr="00475253">
        <w:rPr>
          <w:rFonts w:cs="Arial"/>
          <w:sz w:val="23"/>
          <w:szCs w:val="23"/>
          <w:lang w:val="pt-BR"/>
        </w:rPr>
        <w:t xml:space="preserve"> F (França), 22@ Barcelona (Espanha) e Asia New </w:t>
      </w:r>
      <w:proofErr w:type="spellStart"/>
      <w:r w:rsidRPr="00475253">
        <w:rPr>
          <w:rFonts w:cs="Arial"/>
          <w:sz w:val="23"/>
          <w:szCs w:val="23"/>
          <w:lang w:val="pt-BR"/>
        </w:rPr>
        <w:t>Bay</w:t>
      </w:r>
      <w:proofErr w:type="spellEnd"/>
      <w:r w:rsidRPr="00475253">
        <w:rPr>
          <w:rFonts w:cs="Arial"/>
          <w:sz w:val="23"/>
          <w:szCs w:val="23"/>
          <w:lang w:val="pt-BR"/>
        </w:rPr>
        <w:t xml:space="preserve"> Area (Taiwan) evidenciam o potencial desses ambientes para gerar empregos qualificados, atrair investimentos e promover desenvolvimento regional. Conclui-se que, embora os hubs inteligentes ampliem eficiência e conectividade global, persistem tensões relacionadas à inclusão digital, privacidade e sustentabilidade, demandando governança multissetorial e políticas públicas que assegurem legitimidade social e equilíbrio entre ganhos econômicos e justiça distributiva. O trabalho contribui ao propor um quadro conceitual integrando dimensões tecnológicas, sociais e ambientais, útil a gestores e pesquisadores interessados na evolução dos ecossistemas de inovação.</w:t>
      </w:r>
    </w:p>
    <w:p w14:paraId="4EC42113" w14:textId="77777777" w:rsidR="00862A75" w:rsidRPr="00475253" w:rsidRDefault="00862A75" w:rsidP="00862A75">
      <w:pPr>
        <w:spacing w:after="0" w:line="240" w:lineRule="auto"/>
        <w:jc w:val="both"/>
        <w:rPr>
          <w:rFonts w:cs="Arial"/>
          <w:sz w:val="23"/>
          <w:szCs w:val="23"/>
          <w:lang w:val="pt-BR"/>
        </w:rPr>
      </w:pPr>
    </w:p>
    <w:p w14:paraId="07BADCAA" w14:textId="77777777" w:rsidR="00862A75" w:rsidRPr="00475253" w:rsidRDefault="00DB7861" w:rsidP="00862A75">
      <w:pPr>
        <w:spacing w:after="0" w:line="240" w:lineRule="auto"/>
        <w:jc w:val="both"/>
        <w:rPr>
          <w:rFonts w:cs="Arial"/>
          <w:sz w:val="23"/>
          <w:szCs w:val="23"/>
          <w:lang w:val="pt-BR"/>
        </w:rPr>
      </w:pPr>
      <w:r w:rsidRPr="00475253">
        <w:rPr>
          <w:rFonts w:cs="Arial"/>
          <w:b/>
          <w:bCs/>
          <w:sz w:val="23"/>
          <w:szCs w:val="23"/>
          <w:lang w:val="pt-BR"/>
        </w:rPr>
        <w:t>Palavras-chave:</w:t>
      </w:r>
      <w:r w:rsidRPr="00475253">
        <w:rPr>
          <w:rFonts w:cs="Arial"/>
          <w:sz w:val="23"/>
          <w:szCs w:val="23"/>
          <w:lang w:val="pt-BR"/>
        </w:rPr>
        <w:t xml:space="preserve"> inteligência artificial; ecossistemas de inovação; hubs inteligentes; transformação digital; governança.</w:t>
      </w:r>
    </w:p>
    <w:p w14:paraId="4D829BEF" w14:textId="77777777" w:rsidR="00862A75" w:rsidRPr="00475253" w:rsidRDefault="00862A75" w:rsidP="00862A75">
      <w:pPr>
        <w:spacing w:after="0" w:line="240" w:lineRule="auto"/>
        <w:jc w:val="both"/>
        <w:rPr>
          <w:rFonts w:cs="Arial"/>
          <w:sz w:val="23"/>
          <w:szCs w:val="23"/>
          <w:lang w:val="pt-BR"/>
        </w:rPr>
      </w:pPr>
    </w:p>
    <w:p w14:paraId="3E35A2F0" w14:textId="5597BD73" w:rsidR="00862A75" w:rsidRPr="00475253" w:rsidRDefault="00862A75" w:rsidP="00862A75">
      <w:pPr>
        <w:spacing w:after="0" w:line="240" w:lineRule="auto"/>
        <w:jc w:val="both"/>
        <w:rPr>
          <w:rFonts w:cs="Arial"/>
          <w:b/>
          <w:bCs/>
          <w:sz w:val="23"/>
          <w:szCs w:val="23"/>
        </w:rPr>
      </w:pPr>
      <w:r w:rsidRPr="00475253">
        <w:rPr>
          <w:rFonts w:cs="Arial"/>
          <w:b/>
          <w:bCs/>
          <w:sz w:val="23"/>
          <w:szCs w:val="23"/>
        </w:rPr>
        <w:t>Abstract</w:t>
      </w:r>
    </w:p>
    <w:p w14:paraId="394BB7E0" w14:textId="77777777" w:rsidR="00862A75" w:rsidRPr="00475253" w:rsidRDefault="00862A75" w:rsidP="00862A75">
      <w:pPr>
        <w:spacing w:after="0" w:line="240" w:lineRule="auto"/>
        <w:jc w:val="both"/>
        <w:rPr>
          <w:rFonts w:cs="Arial"/>
          <w:b/>
          <w:bCs/>
          <w:sz w:val="23"/>
          <w:szCs w:val="23"/>
        </w:rPr>
      </w:pPr>
    </w:p>
    <w:p w14:paraId="6369672C" w14:textId="4CA9B58D" w:rsidR="00862A75" w:rsidRPr="00475253" w:rsidRDefault="00862A75" w:rsidP="00862A75">
      <w:pPr>
        <w:spacing w:after="0" w:line="240" w:lineRule="auto"/>
        <w:jc w:val="both"/>
        <w:rPr>
          <w:rFonts w:cs="Arial"/>
          <w:sz w:val="23"/>
          <w:szCs w:val="23"/>
        </w:rPr>
      </w:pPr>
      <w:r w:rsidRPr="00475253">
        <w:rPr>
          <w:rFonts w:cs="Arial"/>
          <w:sz w:val="23"/>
          <w:szCs w:val="23"/>
        </w:rPr>
        <w:t xml:space="preserve">This </w:t>
      </w:r>
      <w:r w:rsidRPr="00475253">
        <w:rPr>
          <w:rFonts w:cs="Arial"/>
          <w:sz w:val="23"/>
          <w:szCs w:val="23"/>
        </w:rPr>
        <w:t>paper</w:t>
      </w:r>
      <w:r w:rsidRPr="00475253">
        <w:rPr>
          <w:rFonts w:cs="Arial"/>
          <w:sz w:val="23"/>
          <w:szCs w:val="23"/>
        </w:rPr>
        <w:t xml:space="preserve"> analyses the transition from traditional innovation ecosystems to smart hubs mediated by artificial intelligence (AI). The study addresses how AI adoption reshapes governance, stakeholder relations, and socio-economic outcomes in these environments. Its main objective is to identify strategies for embedding AI in science parks, incubators, and accelerators, and to assess the broader implications of this shift. The research employs a qualitative and exploratory approach, structured as a theoretical essay supported by academic literature, institutional reports, and comparative case analysis. Results point to seven recurring strategies, including data governance, digital infrastructure, talent development, and </w:t>
      </w:r>
      <w:proofErr w:type="spellStart"/>
      <w:r w:rsidRPr="00475253">
        <w:rPr>
          <w:rFonts w:cs="Arial"/>
          <w:sz w:val="23"/>
          <w:szCs w:val="23"/>
        </w:rPr>
        <w:t>internationalisation</w:t>
      </w:r>
      <w:proofErr w:type="spellEnd"/>
      <w:r w:rsidRPr="00475253">
        <w:rPr>
          <w:rFonts w:cs="Arial"/>
          <w:sz w:val="23"/>
          <w:szCs w:val="23"/>
        </w:rPr>
        <w:t xml:space="preserve">, as well as expanded performance metrics that incorporate social and environmental impacts. Case examples such as Porto Digital (Brazil), Vila A </w:t>
      </w:r>
      <w:proofErr w:type="spellStart"/>
      <w:r w:rsidRPr="00475253">
        <w:rPr>
          <w:rFonts w:cs="Arial"/>
          <w:sz w:val="23"/>
          <w:szCs w:val="23"/>
        </w:rPr>
        <w:t>Inteligente</w:t>
      </w:r>
      <w:proofErr w:type="spellEnd"/>
      <w:r w:rsidRPr="00475253">
        <w:rPr>
          <w:rFonts w:cs="Arial"/>
          <w:sz w:val="23"/>
          <w:szCs w:val="23"/>
        </w:rPr>
        <w:t xml:space="preserve"> (Brazil), Station F (France), 22@ Barcelona (Spain), and the Asia New Bay Area (Taiwan) demonstrate the potential of smart hubs to generate employment, attract investment, and foster regional development. However, challenges persist regarding digital inclusion, ethical risks, and sustainability, highlighting the need for multisectoral governance and supportive public policies. The article contributes a conceptual framework that integrates technological, social, and environmental dimensions, relevant for managers and researchers interested in the future of innovation ecosystems.</w:t>
      </w:r>
    </w:p>
    <w:p w14:paraId="0DD051D2" w14:textId="0BDFA2A9" w:rsidR="00862A75" w:rsidRPr="00475253" w:rsidRDefault="00862A75" w:rsidP="00862A75">
      <w:pPr>
        <w:spacing w:after="0" w:line="240" w:lineRule="auto"/>
        <w:jc w:val="both"/>
        <w:rPr>
          <w:rFonts w:cs="Arial"/>
          <w:sz w:val="23"/>
          <w:szCs w:val="23"/>
        </w:rPr>
      </w:pPr>
    </w:p>
    <w:p w14:paraId="1F1C9558" w14:textId="2F508BFF" w:rsidR="00DB7861" w:rsidRPr="00475253" w:rsidRDefault="00862A75" w:rsidP="00862A75">
      <w:pPr>
        <w:spacing w:after="0" w:line="240" w:lineRule="auto"/>
        <w:jc w:val="both"/>
        <w:rPr>
          <w:rFonts w:cs="Arial"/>
          <w:b/>
          <w:bCs/>
          <w:sz w:val="22"/>
        </w:rPr>
      </w:pPr>
      <w:r w:rsidRPr="00475253">
        <w:rPr>
          <w:rFonts w:cs="Arial"/>
          <w:b/>
          <w:bCs/>
          <w:sz w:val="23"/>
          <w:szCs w:val="23"/>
        </w:rPr>
        <w:t>Keywords:</w:t>
      </w:r>
      <w:r w:rsidRPr="00475253">
        <w:rPr>
          <w:rFonts w:cs="Arial"/>
          <w:sz w:val="23"/>
          <w:szCs w:val="23"/>
        </w:rPr>
        <w:t xml:space="preserve"> artificial intelligence; innovation ecosystems; smart hubs; digital transformation; governance.</w:t>
      </w:r>
      <w:r w:rsidR="00DB7861" w:rsidRPr="00475253">
        <w:rPr>
          <w:rFonts w:cs="Arial"/>
          <w:b/>
          <w:bCs/>
          <w:sz w:val="22"/>
        </w:rPr>
        <w:br w:type="page"/>
      </w:r>
    </w:p>
    <w:p w14:paraId="08D69AB6" w14:textId="23F10EE5" w:rsidR="00C1511F" w:rsidRPr="00475253" w:rsidRDefault="00C1511F" w:rsidP="00C1511F">
      <w:pPr>
        <w:pStyle w:val="Ttulo1"/>
        <w:keepNext w:val="0"/>
        <w:keepLines w:val="0"/>
        <w:spacing w:before="0" w:line="240" w:lineRule="auto"/>
        <w:jc w:val="center"/>
        <w:rPr>
          <w:color w:val="auto"/>
          <w:lang w:val="pt-BR"/>
        </w:rPr>
      </w:pPr>
      <w:r w:rsidRPr="00475253">
        <w:rPr>
          <w:color w:val="auto"/>
          <w:lang w:val="pt-BR"/>
        </w:rPr>
        <w:lastRenderedPageBreak/>
        <w:t>INTELIGÊNCIA ARTIFICIAL E A TRANSFORMAÇÃO DE ECOSSISTEMAS</w:t>
      </w:r>
    </w:p>
    <w:p w14:paraId="68B34568" w14:textId="5F4DFBE5" w:rsidR="00AE74FE" w:rsidRPr="00475253" w:rsidRDefault="00C1511F" w:rsidP="00C1511F">
      <w:pPr>
        <w:pStyle w:val="Ttulo1"/>
        <w:keepNext w:val="0"/>
        <w:keepLines w:val="0"/>
        <w:spacing w:before="0" w:line="240" w:lineRule="auto"/>
        <w:jc w:val="center"/>
        <w:rPr>
          <w:rFonts w:ascii="Arial" w:hAnsi="Arial" w:cs="Arial"/>
          <w:color w:val="auto"/>
          <w:sz w:val="24"/>
          <w:szCs w:val="24"/>
          <w:lang w:val="pt-BR"/>
        </w:rPr>
      </w:pPr>
      <w:r w:rsidRPr="00475253">
        <w:rPr>
          <w:color w:val="auto"/>
          <w:lang w:val="pt-BR"/>
        </w:rPr>
        <w:t>DE INOVAÇÃO EM HUBS INTELIGENTES</w:t>
      </w:r>
    </w:p>
    <w:p w14:paraId="4340734E" w14:textId="77777777" w:rsidR="00F57569" w:rsidRPr="00475253" w:rsidRDefault="00F57569" w:rsidP="004E47ED">
      <w:pPr>
        <w:spacing w:after="0" w:line="240" w:lineRule="auto"/>
        <w:rPr>
          <w:lang w:val="pt-BR"/>
        </w:rPr>
      </w:pPr>
    </w:p>
    <w:p w14:paraId="407A9706" w14:textId="11420921" w:rsidR="00AE74FE" w:rsidRPr="00475253" w:rsidRDefault="003578BF" w:rsidP="003578BF">
      <w:pPr>
        <w:pStyle w:val="Ttulo1"/>
        <w:keepNext w:val="0"/>
        <w:keepLines w:val="0"/>
        <w:spacing w:before="0" w:line="240" w:lineRule="auto"/>
        <w:rPr>
          <w:rFonts w:ascii="Arial" w:hAnsi="Arial" w:cs="Arial"/>
          <w:color w:val="auto"/>
          <w:sz w:val="24"/>
          <w:szCs w:val="24"/>
          <w:lang w:val="pt-BR"/>
        </w:rPr>
      </w:pPr>
      <w:r w:rsidRPr="00475253">
        <w:rPr>
          <w:rFonts w:ascii="Arial" w:hAnsi="Arial" w:cs="Arial"/>
          <w:color w:val="auto"/>
          <w:sz w:val="24"/>
          <w:szCs w:val="24"/>
          <w:lang w:val="pt-BR"/>
        </w:rPr>
        <w:t>1.</w:t>
      </w:r>
      <w:r w:rsidR="00AE74FE" w:rsidRPr="00475253">
        <w:rPr>
          <w:rFonts w:ascii="Arial" w:hAnsi="Arial" w:cs="Arial"/>
          <w:color w:val="auto"/>
          <w:sz w:val="24"/>
          <w:szCs w:val="24"/>
          <w:lang w:val="pt-BR"/>
        </w:rPr>
        <w:t>Introdução</w:t>
      </w:r>
    </w:p>
    <w:p w14:paraId="300F3DE0" w14:textId="10759B05" w:rsidR="00725F09" w:rsidRPr="00475253" w:rsidRDefault="00725F09" w:rsidP="00A80222">
      <w:pPr>
        <w:spacing w:after="0" w:line="240" w:lineRule="auto"/>
        <w:ind w:firstLine="720"/>
        <w:jc w:val="both"/>
        <w:rPr>
          <w:lang w:val="pt-BR"/>
        </w:rPr>
      </w:pPr>
      <w:r w:rsidRPr="00475253">
        <w:rPr>
          <w:lang w:val="pt-BR"/>
        </w:rPr>
        <w:t>A digitalização tem redefinido os ambientes de inovação, transformando de forma profunda os modelos tradicionais de apoio ao empreendedorismo. Parques tecnológicos, incubadoras e aceleradoras, que por décadas desempenharam papel central ao fornecer infraestrutura física, suporte empresarial e redes locais, hoje convivem com uma nova configuração marcada pela convergência de tecnologias digitais. Inteligência Artificial (IA), Internet das Coisas (</w:t>
      </w:r>
      <w:proofErr w:type="spellStart"/>
      <w:r w:rsidRPr="00475253">
        <w:rPr>
          <w:lang w:val="pt-BR"/>
        </w:rPr>
        <w:t>IoT</w:t>
      </w:r>
      <w:proofErr w:type="spellEnd"/>
      <w:r w:rsidRPr="00475253">
        <w:rPr>
          <w:lang w:val="pt-BR"/>
        </w:rPr>
        <w:t xml:space="preserve">), big data e </w:t>
      </w:r>
      <w:proofErr w:type="spellStart"/>
      <w:r w:rsidRPr="00475253">
        <w:rPr>
          <w:lang w:val="pt-BR"/>
        </w:rPr>
        <w:t>blockchain</w:t>
      </w:r>
      <w:proofErr w:type="spellEnd"/>
      <w:r w:rsidRPr="00475253">
        <w:rPr>
          <w:lang w:val="pt-BR"/>
        </w:rPr>
        <w:t xml:space="preserve"> estão remodelando a forma como atores interagem, tomam decisões e criam valor, dando origem aos chamados hubs inteligentes. Esses hubs se distinguem pela integração digital, pelo uso intensivo de dados, pela automação e pela capacidade de conexão em redes globais.</w:t>
      </w:r>
    </w:p>
    <w:p w14:paraId="59DA416F" w14:textId="2DA6FA3D" w:rsidR="00725F09" w:rsidRPr="00475253" w:rsidRDefault="00725F09" w:rsidP="00A80222">
      <w:pPr>
        <w:spacing w:after="0" w:line="240" w:lineRule="auto"/>
        <w:ind w:firstLine="720"/>
        <w:jc w:val="both"/>
        <w:rPr>
          <w:lang w:val="pt-BR"/>
        </w:rPr>
      </w:pPr>
      <w:r w:rsidRPr="00475253">
        <w:rPr>
          <w:lang w:val="pt-BR"/>
        </w:rPr>
        <w:t xml:space="preserve">Do ponto de vista acadêmico, a literatura sobre ecossistemas de inovação consolidou-se a partir de contribuições como o modelo </w:t>
      </w:r>
      <w:proofErr w:type="gramStart"/>
      <w:r w:rsidRPr="00475253">
        <w:rPr>
          <w:lang w:val="pt-BR"/>
        </w:rPr>
        <w:t>da tríplice</w:t>
      </w:r>
      <w:proofErr w:type="gramEnd"/>
      <w:r w:rsidRPr="00475253">
        <w:rPr>
          <w:lang w:val="pt-BR"/>
        </w:rPr>
        <w:t xml:space="preserve"> hélice, que enfatiza a interação entre universidades, empresas e governo, e as políticas de incentivo à geração de novas tecnologias e negócios. Todavia, ainda há lacunas relevantes quanto à compreensão de como a incorporação da IA modifica a dinâmica de governança, a interação entre atores e os resultados socioeconômicos desses ambientes. Assim, a questão que orienta este estudo é: de que modo a incorporação da </w:t>
      </w:r>
      <w:r w:rsidR="00B010C5" w:rsidRPr="00475253">
        <w:rPr>
          <w:lang w:val="pt-BR"/>
        </w:rPr>
        <w:t>IA</w:t>
      </w:r>
      <w:r w:rsidRPr="00475253">
        <w:rPr>
          <w:lang w:val="pt-BR"/>
        </w:rPr>
        <w:t xml:space="preserve"> em ecossistemas de inovação contribui para sua transformação em hubs inteligentes e quais os impactos dessa transição para o desenvolvimento econômico local?</w:t>
      </w:r>
    </w:p>
    <w:p w14:paraId="02A230E6" w14:textId="77777777" w:rsidR="00725F09" w:rsidRPr="00475253" w:rsidRDefault="00725F09" w:rsidP="00A80222">
      <w:pPr>
        <w:spacing w:after="0" w:line="240" w:lineRule="auto"/>
        <w:ind w:firstLine="720"/>
        <w:jc w:val="both"/>
        <w:rPr>
          <w:lang w:val="pt-BR"/>
        </w:rPr>
      </w:pPr>
      <w:r w:rsidRPr="00475253">
        <w:rPr>
          <w:lang w:val="pt-BR"/>
        </w:rPr>
        <w:t>Este artigo tem como objetivos: (i) identificar estratégias para a incorporação de IA em ambientes de inovação e empreendedorismo; (</w:t>
      </w:r>
      <w:proofErr w:type="spellStart"/>
      <w:r w:rsidRPr="00475253">
        <w:rPr>
          <w:lang w:val="pt-BR"/>
        </w:rPr>
        <w:t>ii</w:t>
      </w:r>
      <w:proofErr w:type="spellEnd"/>
      <w:r w:rsidRPr="00475253">
        <w:rPr>
          <w:lang w:val="pt-BR"/>
        </w:rPr>
        <w:t>) comparar as características dos ecossistemas tradicionais com as dos hubs inteligentes; e (</w:t>
      </w:r>
      <w:proofErr w:type="spellStart"/>
      <w:r w:rsidRPr="00475253">
        <w:rPr>
          <w:lang w:val="pt-BR"/>
        </w:rPr>
        <w:t>iii</w:t>
      </w:r>
      <w:proofErr w:type="spellEnd"/>
      <w:r w:rsidRPr="00475253">
        <w:rPr>
          <w:lang w:val="pt-BR"/>
        </w:rPr>
        <w:t>) analisar impactos econômicos e sociais dessa transição a partir de casos nacionais e internacionais. A investigação está limitada ao exame de estudos de caso secundários e relatórios institucionais, que, embora não substituam a coleta primária de dados, oferecem uma visão abrangente das práticas e tendências em curso.</w:t>
      </w:r>
    </w:p>
    <w:p w14:paraId="1B180B0C" w14:textId="77777777" w:rsidR="00725F09" w:rsidRPr="00475253" w:rsidRDefault="00725F09" w:rsidP="00A80222">
      <w:pPr>
        <w:spacing w:after="0" w:line="240" w:lineRule="auto"/>
        <w:ind w:firstLine="720"/>
        <w:jc w:val="both"/>
        <w:rPr>
          <w:lang w:val="pt-BR"/>
        </w:rPr>
      </w:pPr>
      <w:r w:rsidRPr="00475253">
        <w:rPr>
          <w:lang w:val="pt-BR"/>
        </w:rPr>
        <w:t>A relevância do estudo decorre do crescimento acelerado de hubs inteligentes em diferentes regiões do mundo e da necessidade de gestores, formuladores de políticas e pesquisadores compreenderem como maximizar seu potencial de impacto. Experiências como a do Porto Digital, em Recife, que registrou em 2021 um aumento de 28,6% no faturamento das empresas e a geração de quase 15 mil empregos qualificados, evidenciam a capacidade desses ambientes de promover transformação econômica e social em escala regional.</w:t>
      </w:r>
    </w:p>
    <w:p w14:paraId="46141C67" w14:textId="77777777" w:rsidR="00A80222" w:rsidRPr="00475253" w:rsidRDefault="00A80222" w:rsidP="00A80222">
      <w:pPr>
        <w:spacing w:after="0" w:line="240" w:lineRule="auto"/>
        <w:ind w:firstLine="720"/>
        <w:jc w:val="both"/>
        <w:rPr>
          <w:lang w:val="pt-BR"/>
        </w:rPr>
      </w:pPr>
    </w:p>
    <w:p w14:paraId="15FF6ADE" w14:textId="68D75E3A" w:rsidR="00AE74FE" w:rsidRPr="00475253" w:rsidRDefault="003578BF" w:rsidP="003578BF">
      <w:pPr>
        <w:pStyle w:val="Ttulo1"/>
        <w:keepNext w:val="0"/>
        <w:keepLines w:val="0"/>
        <w:spacing w:before="0" w:line="240" w:lineRule="auto"/>
        <w:rPr>
          <w:rFonts w:ascii="Arial" w:hAnsi="Arial" w:cs="Arial"/>
          <w:b w:val="0"/>
          <w:color w:val="auto"/>
          <w:sz w:val="24"/>
          <w:szCs w:val="24"/>
          <w:lang w:val="pt-BR"/>
        </w:rPr>
      </w:pPr>
      <w:bookmarkStart w:id="0" w:name="_ndit611guqba" w:colFirst="0" w:colLast="0"/>
      <w:bookmarkStart w:id="1" w:name="_jd5d2gi88ufk" w:colFirst="0" w:colLast="0"/>
      <w:bookmarkEnd w:id="0"/>
      <w:bookmarkEnd w:id="1"/>
      <w:r w:rsidRPr="00475253">
        <w:rPr>
          <w:rFonts w:ascii="Arial" w:hAnsi="Arial" w:cs="Arial"/>
          <w:color w:val="auto"/>
          <w:sz w:val="24"/>
          <w:szCs w:val="24"/>
          <w:lang w:val="pt-BR"/>
        </w:rPr>
        <w:t>2.</w:t>
      </w:r>
      <w:r w:rsidR="00AE74FE" w:rsidRPr="00475253">
        <w:rPr>
          <w:rFonts w:ascii="Arial" w:hAnsi="Arial" w:cs="Arial"/>
          <w:color w:val="auto"/>
          <w:sz w:val="24"/>
          <w:szCs w:val="24"/>
          <w:lang w:val="pt-BR"/>
        </w:rPr>
        <w:t>Fundamentação Teórica</w:t>
      </w:r>
    </w:p>
    <w:p w14:paraId="637CC374" w14:textId="71D1DD34" w:rsidR="00AE74FE" w:rsidRPr="00475253" w:rsidRDefault="00AE74FE" w:rsidP="00A80222">
      <w:pPr>
        <w:pStyle w:val="Ttulo1"/>
        <w:keepNext w:val="0"/>
        <w:keepLines w:val="0"/>
        <w:spacing w:before="0" w:line="240" w:lineRule="auto"/>
        <w:rPr>
          <w:rFonts w:ascii="Arial" w:hAnsi="Arial" w:cs="Arial"/>
          <w:b w:val="0"/>
          <w:bCs w:val="0"/>
          <w:color w:val="auto"/>
          <w:sz w:val="24"/>
          <w:szCs w:val="24"/>
          <w:lang w:val="pt-BR"/>
        </w:rPr>
      </w:pPr>
      <w:r w:rsidRPr="00475253">
        <w:rPr>
          <w:rFonts w:ascii="Arial" w:hAnsi="Arial" w:cs="Arial"/>
          <w:b w:val="0"/>
          <w:bCs w:val="0"/>
          <w:color w:val="auto"/>
          <w:sz w:val="24"/>
          <w:szCs w:val="24"/>
          <w:lang w:val="pt-BR"/>
        </w:rPr>
        <w:t>2.1. Ecossistemas de inovação</w:t>
      </w:r>
    </w:p>
    <w:p w14:paraId="446335F9" w14:textId="1EB451CA"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Ecossistemas de inovação podem ser definidos como redes dinâmicas de organizações, indivíduos e recursos que colaboram para criar, escalar e entregar inovações. Esses arranjos emergem em regiões específicas e são caracterizados por proximidade geográfica, interação social e complementaridade de competências. </w:t>
      </w:r>
      <w:r w:rsidR="00710AA5" w:rsidRPr="00475253">
        <w:rPr>
          <w:rFonts w:cs="Arial"/>
          <w:szCs w:val="24"/>
          <w:lang w:val="pt-BR"/>
        </w:rPr>
        <w:t>Á</w:t>
      </w:r>
      <w:r w:rsidRPr="00475253">
        <w:rPr>
          <w:rFonts w:cs="Arial"/>
          <w:szCs w:val="24"/>
          <w:lang w:val="pt-BR"/>
        </w:rPr>
        <w:t xml:space="preserve">reas urbanas anteriormente marginalizadas </w:t>
      </w:r>
      <w:r w:rsidR="00710AA5" w:rsidRPr="00475253">
        <w:rPr>
          <w:rFonts w:cs="Arial"/>
          <w:szCs w:val="24"/>
          <w:lang w:val="pt-BR"/>
        </w:rPr>
        <w:t>tem sido</w:t>
      </w:r>
      <w:r w:rsidRPr="00475253">
        <w:rPr>
          <w:rFonts w:cs="Arial"/>
          <w:szCs w:val="24"/>
          <w:lang w:val="pt-BR"/>
        </w:rPr>
        <w:t xml:space="preserve"> </w:t>
      </w:r>
      <w:proofErr w:type="gramStart"/>
      <w:r w:rsidRPr="00475253">
        <w:rPr>
          <w:rFonts w:cs="Arial"/>
          <w:szCs w:val="24"/>
          <w:lang w:val="pt-BR"/>
        </w:rPr>
        <w:t>transformadas</w:t>
      </w:r>
      <w:proofErr w:type="gramEnd"/>
      <w:r w:rsidRPr="00475253">
        <w:rPr>
          <w:rFonts w:cs="Arial"/>
          <w:szCs w:val="24"/>
          <w:lang w:val="pt-BR"/>
        </w:rPr>
        <w:t xml:space="preserve"> em p</w:t>
      </w:r>
      <w:r w:rsidR="00A80222" w:rsidRPr="00475253">
        <w:rPr>
          <w:rFonts w:cs="Arial"/>
          <w:szCs w:val="24"/>
          <w:lang w:val="pt-BR"/>
        </w:rPr>
        <w:t>o</w:t>
      </w:r>
      <w:r w:rsidRPr="00475253">
        <w:rPr>
          <w:rFonts w:cs="Arial"/>
          <w:szCs w:val="24"/>
          <w:lang w:val="pt-BR"/>
        </w:rPr>
        <w:t>los onde instituições acadêmicas, startups e grandes empresas trabalham em proximidade e convergem em torno da inovação aberta</w:t>
      </w:r>
      <w:r w:rsidR="00710AA5" w:rsidRPr="00475253">
        <w:rPr>
          <w:rFonts w:cs="Arial"/>
          <w:szCs w:val="24"/>
          <w:lang w:val="pt-BR"/>
        </w:rPr>
        <w:t xml:space="preserve"> (</w:t>
      </w:r>
      <w:r w:rsidR="00710AA5" w:rsidRPr="00475253">
        <w:rPr>
          <w:lang w:val="pt-BR"/>
        </w:rPr>
        <w:t>SEEDSPRINT</w:t>
      </w:r>
      <w:r w:rsidR="00710AA5" w:rsidRPr="00475253">
        <w:rPr>
          <w:lang w:val="pt-BR"/>
        </w:rPr>
        <w:t>, 2021)</w:t>
      </w:r>
      <w:r w:rsidRPr="00475253">
        <w:rPr>
          <w:rFonts w:cs="Arial"/>
          <w:szCs w:val="24"/>
          <w:lang w:val="pt-BR"/>
        </w:rPr>
        <w:t xml:space="preserve">. A literatura destaca </w:t>
      </w:r>
      <w:r w:rsidRPr="00475253">
        <w:rPr>
          <w:rFonts w:cs="Arial"/>
          <w:szCs w:val="24"/>
          <w:lang w:val="pt-BR"/>
        </w:rPr>
        <w:lastRenderedPageBreak/>
        <w:t>que a participação ativa das comunidades locais aumenta os efeitos inclusivos do ecossistema.</w:t>
      </w:r>
    </w:p>
    <w:p w14:paraId="2D1A5C76" w14:textId="70FBFE94"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O modelo </w:t>
      </w:r>
      <w:proofErr w:type="gramStart"/>
      <w:r w:rsidRPr="00475253">
        <w:rPr>
          <w:rFonts w:cs="Arial"/>
          <w:szCs w:val="24"/>
          <w:lang w:val="pt-BR"/>
        </w:rPr>
        <w:t>da tríplice</w:t>
      </w:r>
      <w:proofErr w:type="gramEnd"/>
      <w:r w:rsidRPr="00475253">
        <w:rPr>
          <w:rFonts w:cs="Arial"/>
          <w:szCs w:val="24"/>
          <w:lang w:val="pt-BR"/>
        </w:rPr>
        <w:t xml:space="preserve"> hélice propõe que universidade, governo e indústria interagem para gerar conhecimento e promover desenvolvimento econômico, sendo posteriormente expandido para modelos quádrupla e quíntupla hélice que incorporam sociedade civil e meio ambiente. A governança colaborativa nesses ecossistemas envolve normas, incentivos e mecanismos de coordenação para gerir recursos, atrair talentos e financiar projetos. Estudos clássicos sobre inovação aberta (CHESBROUGH, 2003) apontam que empresas devem colaborar com agentes externos para acelerar a inovação, enquanto </w:t>
      </w:r>
      <w:r w:rsidR="007F7EE9" w:rsidRPr="00475253">
        <w:rPr>
          <w:rFonts w:cs="Arial"/>
          <w:szCs w:val="24"/>
          <w:lang w:val="pt-BR"/>
        </w:rPr>
        <w:t xml:space="preserve">a </w:t>
      </w:r>
      <w:r w:rsidRPr="00475253">
        <w:rPr>
          <w:rFonts w:cs="Arial"/>
          <w:szCs w:val="24"/>
          <w:lang w:val="pt-BR"/>
        </w:rPr>
        <w:t xml:space="preserve">tríplice hélice enfatiza a construção de um ambiente institucional e cultural propício à </w:t>
      </w:r>
      <w:proofErr w:type="spellStart"/>
      <w:r w:rsidRPr="00475253">
        <w:rPr>
          <w:rFonts w:cs="Arial"/>
          <w:szCs w:val="24"/>
          <w:lang w:val="pt-BR"/>
        </w:rPr>
        <w:t>co</w:t>
      </w:r>
      <w:r w:rsidRPr="00475253">
        <w:rPr>
          <w:rFonts w:ascii="Cambria Math" w:hAnsi="Cambria Math" w:cs="Cambria Math"/>
          <w:szCs w:val="24"/>
          <w:lang w:val="pt-BR"/>
        </w:rPr>
        <w:t>‑</w:t>
      </w:r>
      <w:r w:rsidRPr="00475253">
        <w:rPr>
          <w:rFonts w:cs="Arial"/>
          <w:szCs w:val="24"/>
          <w:lang w:val="pt-BR"/>
        </w:rPr>
        <w:t>criação</w:t>
      </w:r>
      <w:proofErr w:type="spellEnd"/>
      <w:r w:rsidRPr="00475253">
        <w:rPr>
          <w:rFonts w:cs="Arial"/>
          <w:szCs w:val="24"/>
          <w:lang w:val="pt-BR"/>
        </w:rPr>
        <w:t xml:space="preserve"> (ETZKOWITZ; LEYDESDORFF 1995).</w:t>
      </w:r>
    </w:p>
    <w:p w14:paraId="3A44627F" w14:textId="69F0EE3D" w:rsidR="00925601" w:rsidRPr="00475253" w:rsidRDefault="00925601" w:rsidP="00A80222">
      <w:pPr>
        <w:spacing w:after="0" w:line="240" w:lineRule="auto"/>
        <w:ind w:firstLine="720"/>
        <w:jc w:val="both"/>
        <w:rPr>
          <w:rFonts w:cs="Arial"/>
          <w:szCs w:val="24"/>
          <w:lang w:val="pt-BR"/>
        </w:rPr>
      </w:pPr>
      <w:r w:rsidRPr="00475253">
        <w:rPr>
          <w:rFonts w:cs="Arial"/>
          <w:szCs w:val="24"/>
          <w:lang w:val="pt-BR"/>
        </w:rPr>
        <w:t xml:space="preserve">A figura </w:t>
      </w:r>
      <w:r w:rsidRPr="00475253">
        <w:rPr>
          <w:rFonts w:cs="Arial"/>
          <w:szCs w:val="24"/>
          <w:lang w:val="pt-BR"/>
        </w:rPr>
        <w:t xml:space="preserve">1 </w:t>
      </w:r>
      <w:r w:rsidRPr="00475253">
        <w:rPr>
          <w:rFonts w:cs="Arial"/>
          <w:szCs w:val="24"/>
          <w:lang w:val="pt-BR"/>
        </w:rPr>
        <w:t>representa o modelo da Tríplice Hélice, em que academia, governo e indústria interagem de forma dinâmica para fomentar inovação e desenvolvimento socioeconômico. Cada esfera desempenha papéis específicos: a academia fornece ensino, pesquisa e extensão; a indústria transforma conhecimento em produtos e serviços; e o governo estabelece políticas, regulações e mecanismos de financiamento. O fluxo de relações bilaterais</w:t>
      </w:r>
      <w:r w:rsidRPr="00475253">
        <w:rPr>
          <w:rFonts w:cs="Arial"/>
          <w:szCs w:val="24"/>
          <w:lang w:val="pt-BR"/>
        </w:rPr>
        <w:t>,</w:t>
      </w:r>
      <w:r w:rsidRPr="00475253">
        <w:rPr>
          <w:rFonts w:cs="Arial"/>
          <w:szCs w:val="24"/>
          <w:lang w:val="pt-BR"/>
        </w:rPr>
        <w:t xml:space="preserve"> como academia-indústria, governo-indústria ou governo-academia</w:t>
      </w:r>
      <w:r w:rsidRPr="00475253">
        <w:rPr>
          <w:rFonts w:cs="Arial"/>
          <w:szCs w:val="24"/>
          <w:lang w:val="pt-BR"/>
        </w:rPr>
        <w:t xml:space="preserve">, </w:t>
      </w:r>
      <w:r w:rsidRPr="00475253">
        <w:rPr>
          <w:rFonts w:cs="Arial"/>
          <w:szCs w:val="24"/>
          <w:lang w:val="pt-BR"/>
        </w:rPr>
        <w:t xml:space="preserve"> promove transferência de conhecimento, criação de tecnologias e formação de competências.</w:t>
      </w:r>
      <w:r w:rsidRPr="00475253">
        <w:rPr>
          <w:rFonts w:cs="Arial"/>
          <w:szCs w:val="24"/>
          <w:lang w:val="pt-BR"/>
        </w:rPr>
        <w:t xml:space="preserve"> </w:t>
      </w:r>
      <w:r w:rsidRPr="00475253">
        <w:rPr>
          <w:rFonts w:cs="Arial"/>
          <w:szCs w:val="24"/>
          <w:lang w:val="pt-BR"/>
        </w:rPr>
        <w:t>O modelo destaca a possibilidade de relações trilaterais e organizações híbridas, que surgem quando os três atores atuam conjuntamente, formando ecossistemas mais robustos de inovação. Nesses ambientes, surgem institutos de pesquisa aplicada, laboratórios conjuntos, parques tecnológicos e políticas públicas colaborativas que integram ciência, mercado e regulação.</w:t>
      </w:r>
    </w:p>
    <w:p w14:paraId="6759EDE3" w14:textId="4496CD6A" w:rsidR="00AE74FE" w:rsidRPr="00475253" w:rsidRDefault="00B70B34" w:rsidP="00A80222">
      <w:pPr>
        <w:spacing w:after="0" w:line="240" w:lineRule="auto"/>
        <w:ind w:firstLine="720"/>
        <w:jc w:val="center"/>
        <w:rPr>
          <w:rFonts w:cs="Arial"/>
          <w:szCs w:val="24"/>
        </w:rPr>
      </w:pPr>
      <w:r w:rsidRPr="00475253">
        <w:rPr>
          <w:rFonts w:cs="Arial"/>
          <w:szCs w:val="24"/>
        </w:rPr>
        <w:drawing>
          <wp:inline distT="0" distB="0" distL="0" distR="0" wp14:anchorId="6853454E" wp14:editId="6C777627">
            <wp:extent cx="3990975" cy="3279365"/>
            <wp:effectExtent l="0" t="0" r="0" b="0"/>
            <wp:docPr id="22" name="Imagem 2">
              <a:extLst xmlns:a="http://schemas.openxmlformats.org/drawingml/2006/main">
                <a:ext uri="{FF2B5EF4-FFF2-40B4-BE49-F238E27FC236}">
                  <a16:creationId xmlns:a16="http://schemas.microsoft.com/office/drawing/2014/main" id="{934A6930-5CE4-4F57-879B-35E73145A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934A6930-5CE4-4F57-879B-35E73145A4BF}"/>
                        </a:ext>
                      </a:extLst>
                    </pic:cNvPr>
                    <pic:cNvPicPr>
                      <a:picLocks noChangeAspect="1"/>
                    </pic:cNvPicPr>
                  </pic:nvPicPr>
                  <pic:blipFill>
                    <a:blip r:embed="rId8"/>
                    <a:stretch>
                      <a:fillRect/>
                    </a:stretch>
                  </pic:blipFill>
                  <pic:spPr>
                    <a:xfrm>
                      <a:off x="0" y="0"/>
                      <a:ext cx="3994772" cy="3282485"/>
                    </a:xfrm>
                    <a:prstGeom prst="rect">
                      <a:avLst/>
                    </a:prstGeom>
                  </pic:spPr>
                </pic:pic>
              </a:graphicData>
            </a:graphic>
          </wp:inline>
        </w:drawing>
      </w:r>
    </w:p>
    <w:p w14:paraId="2497C90F" w14:textId="56510D0C" w:rsidR="00925601" w:rsidRPr="00CE3F30" w:rsidRDefault="00F57569" w:rsidP="00A80222">
      <w:pPr>
        <w:spacing w:after="0" w:line="240" w:lineRule="auto"/>
        <w:ind w:firstLine="720"/>
        <w:jc w:val="both"/>
        <w:rPr>
          <w:rFonts w:cs="Arial"/>
          <w:sz w:val="22"/>
          <w:lang w:val="pt-BR"/>
        </w:rPr>
      </w:pPr>
      <w:r w:rsidRPr="00475253">
        <w:rPr>
          <w:rFonts w:cs="Arial"/>
          <w:sz w:val="22"/>
          <w:lang w:val="pt-BR"/>
        </w:rPr>
        <w:t xml:space="preserve">Figura 1: </w:t>
      </w:r>
      <w:r w:rsidR="00AE74FE" w:rsidRPr="00CE3F30">
        <w:rPr>
          <w:rFonts w:cs="Arial"/>
          <w:sz w:val="22"/>
          <w:lang w:val="pt-BR"/>
        </w:rPr>
        <w:t xml:space="preserve">Modelo </w:t>
      </w:r>
      <w:proofErr w:type="gramStart"/>
      <w:r w:rsidR="00AE74FE" w:rsidRPr="00CE3F30">
        <w:rPr>
          <w:rFonts w:cs="Arial"/>
          <w:sz w:val="22"/>
          <w:lang w:val="pt-BR"/>
        </w:rPr>
        <w:t>da tríplice</w:t>
      </w:r>
      <w:proofErr w:type="gramEnd"/>
      <w:r w:rsidR="00AE74FE" w:rsidRPr="00CE3F30">
        <w:rPr>
          <w:rFonts w:cs="Arial"/>
          <w:sz w:val="22"/>
          <w:lang w:val="pt-BR"/>
        </w:rPr>
        <w:t xml:space="preserve"> hélice: interação entre </w:t>
      </w:r>
      <w:r w:rsidR="00F204AC" w:rsidRPr="00CE3F30">
        <w:rPr>
          <w:rFonts w:cs="Arial"/>
          <w:sz w:val="22"/>
          <w:lang w:val="pt-BR"/>
        </w:rPr>
        <w:t>academia</w:t>
      </w:r>
      <w:r w:rsidR="00AE74FE" w:rsidRPr="00CE3F30">
        <w:rPr>
          <w:rFonts w:cs="Arial"/>
          <w:sz w:val="22"/>
          <w:lang w:val="pt-BR"/>
        </w:rPr>
        <w:t>, indústria e governo</w:t>
      </w:r>
      <w:r w:rsidR="00925601" w:rsidRPr="00CE3F30">
        <w:rPr>
          <w:rFonts w:cs="Arial"/>
          <w:sz w:val="22"/>
          <w:lang w:val="pt-BR"/>
        </w:rPr>
        <w:t>.</w:t>
      </w:r>
    </w:p>
    <w:p w14:paraId="00080133" w14:textId="38BAD153" w:rsidR="00AE74FE" w:rsidRPr="00475253" w:rsidRDefault="00925601" w:rsidP="00A80222">
      <w:pPr>
        <w:spacing w:after="0" w:line="240" w:lineRule="auto"/>
        <w:ind w:firstLine="720"/>
        <w:jc w:val="both"/>
        <w:rPr>
          <w:rFonts w:cs="Arial"/>
          <w:sz w:val="22"/>
          <w:lang w:val="pt-BR"/>
        </w:rPr>
      </w:pPr>
      <w:r w:rsidRPr="00CE3F30">
        <w:rPr>
          <w:rFonts w:cs="Arial"/>
          <w:sz w:val="22"/>
          <w:lang w:val="pt-BR"/>
        </w:rPr>
        <w:t>Fonte: A</w:t>
      </w:r>
      <w:r w:rsidR="00AE74FE" w:rsidRPr="00CE3F30">
        <w:rPr>
          <w:rFonts w:cs="Arial"/>
          <w:sz w:val="22"/>
          <w:lang w:val="pt-BR"/>
        </w:rPr>
        <w:t xml:space="preserve">daptada de </w:t>
      </w:r>
      <w:proofErr w:type="spellStart"/>
      <w:r w:rsidR="00AE74FE" w:rsidRPr="00CE3F30">
        <w:rPr>
          <w:rFonts w:cs="Arial"/>
          <w:sz w:val="22"/>
          <w:lang w:val="pt-BR"/>
        </w:rPr>
        <w:t>Etzkowitz</w:t>
      </w:r>
      <w:proofErr w:type="spellEnd"/>
      <w:r w:rsidR="00B70B34" w:rsidRPr="00CE3F30">
        <w:rPr>
          <w:rFonts w:cs="Arial"/>
          <w:sz w:val="22"/>
          <w:lang w:val="pt-BR"/>
        </w:rPr>
        <w:t>;</w:t>
      </w:r>
      <w:r w:rsidR="00AE74FE" w:rsidRPr="00CE3F30">
        <w:rPr>
          <w:rFonts w:cs="Arial"/>
          <w:sz w:val="22"/>
          <w:lang w:val="pt-BR"/>
        </w:rPr>
        <w:t xml:space="preserve"> </w:t>
      </w:r>
      <w:proofErr w:type="spellStart"/>
      <w:r w:rsidR="00AE74FE" w:rsidRPr="00CE3F30">
        <w:rPr>
          <w:rFonts w:cs="Arial"/>
          <w:sz w:val="22"/>
          <w:lang w:val="pt-BR"/>
        </w:rPr>
        <w:t>Leydesdorff</w:t>
      </w:r>
      <w:proofErr w:type="spellEnd"/>
      <w:r w:rsidR="00AE74FE" w:rsidRPr="00CE3F30">
        <w:rPr>
          <w:rFonts w:cs="Arial"/>
          <w:sz w:val="22"/>
          <w:lang w:val="pt-BR"/>
        </w:rPr>
        <w:t xml:space="preserve"> </w:t>
      </w:r>
      <w:r w:rsidR="00B70B34" w:rsidRPr="00CE3F30">
        <w:rPr>
          <w:rFonts w:cs="Arial"/>
          <w:sz w:val="22"/>
          <w:lang w:val="pt-BR"/>
        </w:rPr>
        <w:t>(</w:t>
      </w:r>
      <w:r w:rsidR="00AE74FE" w:rsidRPr="00CE3F30">
        <w:rPr>
          <w:rFonts w:cs="Arial"/>
          <w:sz w:val="22"/>
          <w:lang w:val="pt-BR"/>
        </w:rPr>
        <w:t>199</w:t>
      </w:r>
      <w:r w:rsidR="00CE3F30" w:rsidRPr="00CE3F30">
        <w:rPr>
          <w:rFonts w:cs="Arial"/>
          <w:sz w:val="22"/>
          <w:lang w:val="pt-BR"/>
        </w:rPr>
        <w:t>8</w:t>
      </w:r>
      <w:r w:rsidR="00AE74FE" w:rsidRPr="00CE3F30">
        <w:rPr>
          <w:rFonts w:cs="Arial"/>
          <w:sz w:val="22"/>
          <w:lang w:val="pt-BR"/>
        </w:rPr>
        <w:t>)</w:t>
      </w:r>
      <w:r w:rsidR="00F204AC" w:rsidRPr="00CE3F30">
        <w:rPr>
          <w:rFonts w:cs="Arial"/>
          <w:sz w:val="22"/>
          <w:lang w:val="pt-BR"/>
        </w:rPr>
        <w:t xml:space="preserve"> e</w:t>
      </w:r>
      <w:r w:rsidR="00B70B34" w:rsidRPr="00CE3F30">
        <w:rPr>
          <w:rFonts w:cs="Arial"/>
          <w:sz w:val="22"/>
          <w:lang w:val="pt-BR"/>
        </w:rPr>
        <w:t xml:space="preserve"> Lima (2021).</w:t>
      </w:r>
    </w:p>
    <w:p w14:paraId="630C7BF3" w14:textId="77777777" w:rsidR="00925601" w:rsidRPr="00475253" w:rsidRDefault="00925601" w:rsidP="00A80222">
      <w:pPr>
        <w:spacing w:after="0" w:line="240" w:lineRule="auto"/>
        <w:ind w:firstLine="720"/>
        <w:jc w:val="both"/>
        <w:rPr>
          <w:rFonts w:cs="Arial"/>
          <w:sz w:val="22"/>
          <w:lang w:val="pt-BR"/>
        </w:rPr>
      </w:pPr>
    </w:p>
    <w:p w14:paraId="5F2DAE34" w14:textId="77777777" w:rsidR="00276509" w:rsidRPr="00475253" w:rsidRDefault="00276509" w:rsidP="00276509">
      <w:pPr>
        <w:spacing w:after="0" w:line="240" w:lineRule="auto"/>
        <w:ind w:firstLine="720"/>
        <w:jc w:val="both"/>
        <w:rPr>
          <w:rFonts w:cs="Arial"/>
          <w:szCs w:val="24"/>
          <w:lang w:val="pt-BR"/>
        </w:rPr>
      </w:pPr>
      <w:r w:rsidRPr="00475253">
        <w:rPr>
          <w:rFonts w:cs="Arial"/>
          <w:szCs w:val="24"/>
          <w:lang w:val="pt-BR"/>
        </w:rPr>
        <w:t xml:space="preserve">Atualmente a IA assume um papel central nesse processo, funcionando como vetor transversal que potencializa todas as interações. Para a academia, a IA amplia a capacidade de produção e análise de conhecimento científico. Para a indústria, </w:t>
      </w:r>
      <w:r w:rsidRPr="00475253">
        <w:rPr>
          <w:rFonts w:cs="Arial"/>
          <w:szCs w:val="24"/>
          <w:lang w:val="pt-BR"/>
        </w:rPr>
        <w:lastRenderedPageBreak/>
        <w:t>possibilita automação, personalização de serviços e novos modelos de negócio. Para o governo, fornece instrumentos avançados de regulação, monitoramento de políticas públicas e gestão eficiente de recursos. Assim, a tríplice hélice mediada pela IA se torna mais ágil, integrada e globalizada, ao mesmo tempo em que enfrenta desafios de governança ética, inclusão digital e proteção de dados.</w:t>
      </w:r>
    </w:p>
    <w:p w14:paraId="0C510D9C" w14:textId="350BC084" w:rsidR="009E113B" w:rsidRPr="00475253" w:rsidRDefault="009E113B" w:rsidP="00A80222">
      <w:pPr>
        <w:spacing w:after="0" w:line="240" w:lineRule="auto"/>
        <w:ind w:firstLine="720"/>
        <w:jc w:val="both"/>
        <w:rPr>
          <w:rFonts w:cs="Arial"/>
          <w:szCs w:val="24"/>
          <w:lang w:val="pt-BR"/>
        </w:rPr>
      </w:pPr>
      <w:r w:rsidRPr="00475253">
        <w:rPr>
          <w:rFonts w:cs="Arial"/>
          <w:szCs w:val="24"/>
          <w:lang w:val="pt-BR"/>
        </w:rPr>
        <w:t xml:space="preserve">Estudos sobre empreendedorismo digital em países emergentes revelam que a digitalização cria novas oportunidades, mas também amplia desafios de infraestrutura e inclusão. </w:t>
      </w:r>
      <w:proofErr w:type="spellStart"/>
      <w:r w:rsidRPr="00475253">
        <w:rPr>
          <w:rFonts w:cs="Arial"/>
          <w:szCs w:val="24"/>
          <w:lang w:val="pt-BR"/>
        </w:rPr>
        <w:t>Abisoye</w:t>
      </w:r>
      <w:proofErr w:type="spellEnd"/>
      <w:r w:rsidRPr="00475253">
        <w:rPr>
          <w:rFonts w:cs="Arial"/>
          <w:szCs w:val="24"/>
          <w:lang w:val="pt-BR"/>
        </w:rPr>
        <w:t xml:space="preserve"> et al. (2021) destacam que a adoção de tecnologias digitais depende não apenas da disponibilidade de ferramentas, mas também da formação de capacidades locais para sustentar ecossistemas inovadores.</w:t>
      </w:r>
    </w:p>
    <w:p w14:paraId="0E3CA9B1" w14:textId="5B87B53B" w:rsidR="00827DC3" w:rsidRPr="00475253" w:rsidRDefault="00827DC3" w:rsidP="00A80222">
      <w:pPr>
        <w:spacing w:after="0" w:line="240" w:lineRule="auto"/>
        <w:ind w:firstLine="720"/>
        <w:jc w:val="both"/>
        <w:rPr>
          <w:rFonts w:cs="Arial"/>
          <w:szCs w:val="24"/>
          <w:lang w:val="pt-BR"/>
        </w:rPr>
      </w:pPr>
      <w:proofErr w:type="spellStart"/>
      <w:r w:rsidRPr="00475253">
        <w:rPr>
          <w:rFonts w:cs="Arial"/>
          <w:szCs w:val="24"/>
          <w:lang w:val="pt-BR"/>
        </w:rPr>
        <w:t>Haukipuro</w:t>
      </w:r>
      <w:proofErr w:type="spellEnd"/>
      <w:r w:rsidRPr="00475253">
        <w:rPr>
          <w:rFonts w:cs="Arial"/>
          <w:szCs w:val="24"/>
          <w:lang w:val="pt-BR"/>
        </w:rPr>
        <w:t xml:space="preserve"> et al. (2023) propõem uma tipologia que diferencia </w:t>
      </w:r>
      <w:r w:rsidRPr="00475253">
        <w:rPr>
          <w:rFonts w:cs="Arial"/>
          <w:i/>
          <w:iCs/>
          <w:szCs w:val="24"/>
          <w:lang w:val="pt-BR"/>
        </w:rPr>
        <w:t>hubs</w:t>
      </w:r>
      <w:r w:rsidR="00F57569" w:rsidRPr="00475253">
        <w:rPr>
          <w:rFonts w:cs="Arial"/>
          <w:i/>
          <w:iCs/>
          <w:szCs w:val="24"/>
          <w:lang w:val="pt-BR"/>
        </w:rPr>
        <w:t xml:space="preserve"> </w:t>
      </w:r>
      <w:r w:rsidR="00F57569" w:rsidRPr="00475253">
        <w:rPr>
          <w:rFonts w:cs="Arial"/>
          <w:szCs w:val="24"/>
          <w:lang w:val="pt-BR"/>
        </w:rPr>
        <w:t>de</w:t>
      </w:r>
      <w:r w:rsidR="00F57569" w:rsidRPr="00475253">
        <w:rPr>
          <w:rFonts w:cs="Arial"/>
          <w:i/>
          <w:iCs/>
          <w:szCs w:val="24"/>
          <w:lang w:val="pt-BR"/>
        </w:rPr>
        <w:t xml:space="preserve"> </w:t>
      </w:r>
      <w:r w:rsidR="00F57569" w:rsidRPr="00475253">
        <w:rPr>
          <w:rFonts w:cs="Arial"/>
          <w:szCs w:val="24"/>
          <w:lang w:val="pt-BR"/>
        </w:rPr>
        <w:t>pesquisa</w:t>
      </w:r>
      <w:r w:rsidRPr="00475253">
        <w:rPr>
          <w:rFonts w:cs="Arial"/>
          <w:szCs w:val="24"/>
          <w:lang w:val="pt-BR"/>
        </w:rPr>
        <w:t xml:space="preserve">, </w:t>
      </w:r>
      <w:r w:rsidR="00F57569" w:rsidRPr="00475253">
        <w:rPr>
          <w:rFonts w:cs="Arial"/>
          <w:szCs w:val="24"/>
          <w:lang w:val="pt-BR"/>
        </w:rPr>
        <w:t>de conhecimento e de inovação</w:t>
      </w:r>
      <w:r w:rsidRPr="00475253">
        <w:rPr>
          <w:rFonts w:cs="Arial"/>
          <w:szCs w:val="24"/>
          <w:lang w:val="pt-BR"/>
        </w:rPr>
        <w:t xml:space="preserve">, destacando que cada formato responde a funções distintas no processo de geração e difusão de conhecimento. Enquanto hubs </w:t>
      </w:r>
      <w:r w:rsidR="00F57569" w:rsidRPr="00475253">
        <w:rPr>
          <w:rFonts w:cs="Arial"/>
          <w:szCs w:val="24"/>
          <w:lang w:val="pt-BR"/>
        </w:rPr>
        <w:t xml:space="preserve">pesquisa </w:t>
      </w:r>
      <w:r w:rsidRPr="00475253">
        <w:rPr>
          <w:rFonts w:cs="Arial"/>
          <w:szCs w:val="24"/>
          <w:lang w:val="pt-BR"/>
        </w:rPr>
        <w:t xml:space="preserve">concentram-se em atividades de pesquisa de ponta, </w:t>
      </w:r>
      <w:r w:rsidRPr="00475253">
        <w:rPr>
          <w:rFonts w:cs="Arial"/>
          <w:i/>
          <w:iCs/>
          <w:szCs w:val="24"/>
          <w:lang w:val="pt-BR"/>
        </w:rPr>
        <w:t>hubs</w:t>
      </w:r>
      <w:r w:rsidR="00F57569" w:rsidRPr="00475253">
        <w:rPr>
          <w:rFonts w:cs="Arial"/>
          <w:i/>
          <w:iCs/>
          <w:szCs w:val="24"/>
          <w:lang w:val="pt-BR"/>
        </w:rPr>
        <w:t xml:space="preserve"> de conhecimento</w:t>
      </w:r>
      <w:r w:rsidRPr="00475253">
        <w:rPr>
          <w:rFonts w:cs="Arial"/>
          <w:szCs w:val="24"/>
          <w:lang w:val="pt-BR"/>
        </w:rPr>
        <w:t xml:space="preserve"> privilegiam a transferência de conhecimento e a formação de redes, e </w:t>
      </w:r>
      <w:r w:rsidRPr="00475253">
        <w:rPr>
          <w:rFonts w:cs="Arial"/>
          <w:i/>
          <w:iCs/>
          <w:szCs w:val="24"/>
          <w:lang w:val="pt-BR"/>
        </w:rPr>
        <w:t>hubs</w:t>
      </w:r>
      <w:r w:rsidRPr="00475253">
        <w:rPr>
          <w:rFonts w:cs="Arial"/>
          <w:szCs w:val="24"/>
          <w:lang w:val="pt-BR"/>
        </w:rPr>
        <w:t xml:space="preserve"> </w:t>
      </w:r>
      <w:r w:rsidR="00F57569" w:rsidRPr="00475253">
        <w:rPr>
          <w:rFonts w:cs="Arial"/>
          <w:szCs w:val="24"/>
          <w:lang w:val="pt-BR"/>
        </w:rPr>
        <w:t xml:space="preserve">de inovação </w:t>
      </w:r>
      <w:r w:rsidRPr="00475253">
        <w:rPr>
          <w:rFonts w:cs="Arial"/>
          <w:szCs w:val="24"/>
          <w:lang w:val="pt-BR"/>
        </w:rPr>
        <w:t>buscam converter esses ativos em soluções de mercado</w:t>
      </w:r>
      <w:r w:rsidR="00F204AC" w:rsidRPr="00475253">
        <w:rPr>
          <w:rFonts w:cs="Arial"/>
          <w:szCs w:val="24"/>
          <w:lang w:val="pt-BR"/>
        </w:rPr>
        <w:t>. A figura 2 ilustra esta ideia, aplicada a um caso de ecossistema de inovação em saúde (</w:t>
      </w:r>
      <w:proofErr w:type="spellStart"/>
      <w:r w:rsidR="00F204AC" w:rsidRPr="00475253">
        <w:rPr>
          <w:rFonts w:cs="Arial"/>
          <w:i/>
          <w:iCs/>
          <w:szCs w:val="24"/>
          <w:lang w:val="pt-BR"/>
        </w:rPr>
        <w:t>HealthTech</w:t>
      </w:r>
      <w:proofErr w:type="spellEnd"/>
      <w:r w:rsidR="00F204AC" w:rsidRPr="00475253">
        <w:rPr>
          <w:rFonts w:cs="Arial"/>
          <w:szCs w:val="24"/>
          <w:lang w:val="pt-BR"/>
        </w:rPr>
        <w:t>)</w:t>
      </w:r>
      <w:r w:rsidRPr="00475253">
        <w:rPr>
          <w:rFonts w:cs="Arial"/>
          <w:szCs w:val="24"/>
          <w:lang w:val="pt-BR"/>
        </w:rPr>
        <w:t>. A incorporação dessa tipologia permite compreender que a transição digital não é homogênea, mas assume configurações variadas de acordo com a maturidade institucional e os objetivos estratégicos do ecossistema</w:t>
      </w:r>
      <w:r w:rsidR="00F57569" w:rsidRPr="00475253">
        <w:rPr>
          <w:rFonts w:cs="Arial"/>
          <w:szCs w:val="24"/>
          <w:lang w:val="pt-BR"/>
        </w:rPr>
        <w:t>.</w:t>
      </w:r>
    </w:p>
    <w:p w14:paraId="15BF77EB" w14:textId="46BDDC71" w:rsidR="00F57569" w:rsidRPr="00475253" w:rsidRDefault="00F57569" w:rsidP="00A80222">
      <w:pPr>
        <w:spacing w:after="0" w:line="240" w:lineRule="auto"/>
        <w:ind w:firstLine="720"/>
        <w:jc w:val="center"/>
        <w:rPr>
          <w:rFonts w:cs="Arial"/>
          <w:szCs w:val="24"/>
          <w:lang w:val="pt-BR"/>
        </w:rPr>
      </w:pPr>
      <w:r w:rsidRPr="00475253">
        <w:rPr>
          <w:rFonts w:cs="Arial"/>
          <w:szCs w:val="24"/>
        </w:rPr>
        <w:drawing>
          <wp:inline distT="0" distB="0" distL="0" distR="0" wp14:anchorId="1B439128" wp14:editId="5FE19FC8">
            <wp:extent cx="5095170" cy="3305175"/>
            <wp:effectExtent l="0" t="0" r="0" b="0"/>
            <wp:docPr id="19" name="Imagem 2">
              <a:extLst xmlns:a="http://schemas.openxmlformats.org/drawingml/2006/main">
                <a:ext uri="{FF2B5EF4-FFF2-40B4-BE49-F238E27FC236}">
                  <a16:creationId xmlns:a16="http://schemas.microsoft.com/office/drawing/2014/main" id="{606DC139-3EF6-4E26-AF36-F66C4FF5F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606DC139-3EF6-4E26-AF36-F66C4FF5F6AB}"/>
                        </a:ext>
                      </a:extLst>
                    </pic:cNvPr>
                    <pic:cNvPicPr>
                      <a:picLocks noChangeAspect="1"/>
                    </pic:cNvPicPr>
                  </pic:nvPicPr>
                  <pic:blipFill>
                    <a:blip r:embed="rId9"/>
                    <a:stretch>
                      <a:fillRect/>
                    </a:stretch>
                  </pic:blipFill>
                  <pic:spPr>
                    <a:xfrm>
                      <a:off x="0" y="0"/>
                      <a:ext cx="5105734" cy="3312028"/>
                    </a:xfrm>
                    <a:prstGeom prst="rect">
                      <a:avLst/>
                    </a:prstGeom>
                  </pic:spPr>
                </pic:pic>
              </a:graphicData>
            </a:graphic>
          </wp:inline>
        </w:drawing>
      </w:r>
    </w:p>
    <w:p w14:paraId="7CBEA59A" w14:textId="7AF7C1DA" w:rsidR="00F57569" w:rsidRPr="00475253" w:rsidRDefault="00F57569" w:rsidP="00A80222">
      <w:pPr>
        <w:spacing w:after="0" w:line="240" w:lineRule="auto"/>
        <w:ind w:firstLine="720"/>
        <w:jc w:val="center"/>
        <w:rPr>
          <w:rFonts w:cs="Arial"/>
          <w:sz w:val="22"/>
          <w:lang w:val="pt-BR"/>
        </w:rPr>
      </w:pPr>
      <w:r w:rsidRPr="00475253">
        <w:rPr>
          <w:rFonts w:cs="Arial"/>
          <w:sz w:val="22"/>
          <w:lang w:val="pt-BR"/>
        </w:rPr>
        <w:t xml:space="preserve">Figura 2: </w:t>
      </w:r>
      <w:r w:rsidR="00925601" w:rsidRPr="00475253">
        <w:rPr>
          <w:rFonts w:cs="Arial"/>
          <w:sz w:val="22"/>
          <w:lang w:val="pt-BR"/>
        </w:rPr>
        <w:t>Estrutura de hubs em ecossistemas locais de inovação.</w:t>
      </w:r>
    </w:p>
    <w:p w14:paraId="38F6F070" w14:textId="7A198C1B" w:rsidR="00F57569" w:rsidRPr="00475253" w:rsidRDefault="00F57569" w:rsidP="00A80222">
      <w:pPr>
        <w:spacing w:after="0" w:line="240" w:lineRule="auto"/>
        <w:ind w:firstLine="720"/>
        <w:jc w:val="center"/>
        <w:rPr>
          <w:rFonts w:cs="Arial"/>
          <w:sz w:val="22"/>
          <w:lang w:val="pt-BR"/>
        </w:rPr>
      </w:pPr>
      <w:r w:rsidRPr="00475253">
        <w:rPr>
          <w:rFonts w:cs="Arial"/>
          <w:sz w:val="22"/>
          <w:lang w:val="pt-BR"/>
        </w:rPr>
        <w:t xml:space="preserve">Fonte: Adaptado de </w:t>
      </w:r>
      <w:proofErr w:type="spellStart"/>
      <w:r w:rsidRPr="00475253">
        <w:rPr>
          <w:rFonts w:cs="Arial"/>
          <w:sz w:val="22"/>
          <w:lang w:val="pt-BR"/>
        </w:rPr>
        <w:t>Haukipuro</w:t>
      </w:r>
      <w:proofErr w:type="spellEnd"/>
      <w:r w:rsidRPr="00475253">
        <w:rPr>
          <w:rFonts w:cs="Arial"/>
          <w:sz w:val="22"/>
          <w:lang w:val="pt-BR"/>
        </w:rPr>
        <w:t xml:space="preserve"> et al. (2023)</w:t>
      </w:r>
      <w:r w:rsidRPr="00475253">
        <w:rPr>
          <w:rFonts w:cs="Arial"/>
          <w:sz w:val="22"/>
          <w:lang w:val="pt-BR"/>
        </w:rPr>
        <w:t>, p.288</w:t>
      </w:r>
    </w:p>
    <w:p w14:paraId="4120EC6F" w14:textId="77777777" w:rsidR="00A80222" w:rsidRPr="00475253" w:rsidRDefault="00A80222" w:rsidP="00A80222">
      <w:pPr>
        <w:spacing w:after="0" w:line="240" w:lineRule="auto"/>
        <w:ind w:firstLine="720"/>
        <w:jc w:val="center"/>
        <w:rPr>
          <w:rFonts w:cs="Arial"/>
          <w:sz w:val="22"/>
          <w:lang w:val="pt-BR"/>
        </w:rPr>
      </w:pPr>
    </w:p>
    <w:p w14:paraId="4E22ABF0" w14:textId="77777777" w:rsidR="00AE74FE" w:rsidRPr="00475253" w:rsidRDefault="00AE74FE" w:rsidP="00A80222">
      <w:pPr>
        <w:pStyle w:val="Ttulo2"/>
        <w:keepNext w:val="0"/>
        <w:keepLines w:val="0"/>
        <w:spacing w:before="0" w:line="240" w:lineRule="auto"/>
        <w:jc w:val="both"/>
        <w:rPr>
          <w:rFonts w:ascii="Arial" w:hAnsi="Arial" w:cs="Arial"/>
          <w:b w:val="0"/>
          <w:color w:val="auto"/>
          <w:sz w:val="24"/>
          <w:szCs w:val="24"/>
          <w:lang w:val="pt-BR"/>
        </w:rPr>
      </w:pPr>
      <w:bookmarkStart w:id="2" w:name="_qnjni15cju8s" w:colFirst="0" w:colLast="0"/>
      <w:bookmarkEnd w:id="2"/>
      <w:r w:rsidRPr="00475253">
        <w:rPr>
          <w:rFonts w:ascii="Arial" w:hAnsi="Arial" w:cs="Arial"/>
          <w:b w:val="0"/>
          <w:color w:val="auto"/>
          <w:sz w:val="24"/>
          <w:szCs w:val="24"/>
          <w:lang w:val="pt-BR"/>
        </w:rPr>
        <w:t>2.2.Hubs inteligentes e digitalização</w:t>
      </w:r>
    </w:p>
    <w:p w14:paraId="232AE8B0"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Hubs inteligentes são ecossistemas avançados que incorporam tecnologias digitais para otimizar interações e acelerar a inovação. Enquanto ecossistemas tradicionais focam na </w:t>
      </w:r>
      <w:proofErr w:type="spellStart"/>
      <w:r w:rsidRPr="00475253">
        <w:rPr>
          <w:rFonts w:cs="Arial"/>
          <w:szCs w:val="24"/>
          <w:lang w:val="pt-BR"/>
        </w:rPr>
        <w:t>co</w:t>
      </w:r>
      <w:r w:rsidRPr="00475253">
        <w:rPr>
          <w:rFonts w:ascii="Cambria Math" w:hAnsi="Cambria Math" w:cs="Cambria Math"/>
          <w:szCs w:val="24"/>
          <w:lang w:val="pt-BR"/>
        </w:rPr>
        <w:t>‑</w:t>
      </w:r>
      <w:r w:rsidRPr="00475253">
        <w:rPr>
          <w:rFonts w:cs="Arial"/>
          <w:szCs w:val="24"/>
          <w:lang w:val="pt-BR"/>
        </w:rPr>
        <w:t>localização</w:t>
      </w:r>
      <w:proofErr w:type="spellEnd"/>
      <w:r w:rsidRPr="00475253">
        <w:rPr>
          <w:rFonts w:cs="Arial"/>
          <w:szCs w:val="24"/>
          <w:lang w:val="pt-BR"/>
        </w:rPr>
        <w:t xml:space="preserve"> física e em serviços básicos de incubação, hubs inteligentes utilizam IA, </w:t>
      </w:r>
      <w:proofErr w:type="spellStart"/>
      <w:r w:rsidRPr="00475253">
        <w:rPr>
          <w:rFonts w:cs="Arial"/>
          <w:szCs w:val="24"/>
          <w:lang w:val="pt-BR"/>
        </w:rPr>
        <w:t>IoT</w:t>
      </w:r>
      <w:proofErr w:type="spellEnd"/>
      <w:r w:rsidRPr="00475253">
        <w:rPr>
          <w:rFonts w:cs="Arial"/>
          <w:szCs w:val="24"/>
          <w:lang w:val="pt-BR"/>
        </w:rPr>
        <w:t xml:space="preserve">, big data e </w:t>
      </w:r>
      <w:proofErr w:type="spellStart"/>
      <w:r w:rsidRPr="00475253">
        <w:rPr>
          <w:rFonts w:cs="Arial"/>
          <w:szCs w:val="24"/>
          <w:lang w:val="pt-BR"/>
        </w:rPr>
        <w:t>blockchain</w:t>
      </w:r>
      <w:proofErr w:type="spellEnd"/>
      <w:r w:rsidRPr="00475253">
        <w:rPr>
          <w:rFonts w:cs="Arial"/>
          <w:szCs w:val="24"/>
          <w:lang w:val="pt-BR"/>
        </w:rPr>
        <w:t xml:space="preserve"> para conectar atores, organizar recursos e orientar decisões em tempo real. A infraestrutura digital integrada inclui rede de fibra óptica, sensores, plataformas de dados abertos e algoritmos de recomendação que realizam </w:t>
      </w:r>
      <w:proofErr w:type="spellStart"/>
      <w:r w:rsidRPr="00475253">
        <w:rPr>
          <w:rFonts w:cs="Arial"/>
          <w:i/>
          <w:szCs w:val="24"/>
          <w:lang w:val="pt-BR"/>
        </w:rPr>
        <w:t>matchmaking</w:t>
      </w:r>
      <w:proofErr w:type="spellEnd"/>
      <w:r w:rsidRPr="00475253">
        <w:rPr>
          <w:rFonts w:cs="Arial"/>
          <w:szCs w:val="24"/>
          <w:lang w:val="pt-BR"/>
        </w:rPr>
        <w:t xml:space="preserve"> entre empreendedores e mentores.</w:t>
      </w:r>
    </w:p>
    <w:p w14:paraId="402D6887" w14:textId="756F3EE2"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lastRenderedPageBreak/>
        <w:t xml:space="preserve">O impacto econômico desses hubs é evidenciado pela atração de investimentos, geração de empregos e aumento do produto interno bruto (PIB) local. O distrito 22@ Barcelona, por exemplo, abriga mais de 4.500 empresas e emprega 90.000 pessoas; o bairro recebeu €2 bilhões em investimentos imobiliários apenas no primeiro semestre de 2022, com 96 % do montante direcionado ao próprio distrito. Tais indicadores mostram que hubs inteligentes se tornam polos de desenvolvimento urbano e tecnológico. No Brasil, o Programa Vila A Inteligente atua como bairro </w:t>
      </w:r>
      <w:proofErr w:type="spellStart"/>
      <w:r w:rsidRPr="00475253">
        <w:rPr>
          <w:rFonts w:cs="Arial"/>
          <w:i/>
          <w:szCs w:val="24"/>
          <w:lang w:val="pt-BR"/>
        </w:rPr>
        <w:t>sandbox</w:t>
      </w:r>
      <w:proofErr w:type="spellEnd"/>
      <w:r w:rsidRPr="00475253">
        <w:rPr>
          <w:rFonts w:cs="Arial"/>
          <w:szCs w:val="24"/>
          <w:lang w:val="pt-BR"/>
        </w:rPr>
        <w:t xml:space="preserve"> para experimentação de tecnologias de cidades inteligentes. As soluções instaladas incluem totens com internet sem fio, pontos de hidratação, sensores de energia e sistemas de coleta de óleo. Essa infraestrutura permite testar aplicações de IA e </w:t>
      </w:r>
      <w:proofErr w:type="spellStart"/>
      <w:r w:rsidRPr="00475253">
        <w:rPr>
          <w:rFonts w:cs="Arial"/>
          <w:szCs w:val="24"/>
          <w:lang w:val="pt-BR"/>
        </w:rPr>
        <w:t>IoT</w:t>
      </w:r>
      <w:proofErr w:type="spellEnd"/>
      <w:r w:rsidRPr="00475253">
        <w:rPr>
          <w:rFonts w:cs="Arial"/>
          <w:szCs w:val="24"/>
          <w:lang w:val="pt-BR"/>
        </w:rPr>
        <w:t xml:space="preserve"> em contextos urbanos e fomenta empreendedorismo local, demonstrando como hubs inteligentes podem dinamizar economias regionais.</w:t>
      </w:r>
    </w:p>
    <w:p w14:paraId="47CC5F82" w14:textId="134EB041" w:rsidR="009E113B" w:rsidRPr="00475253" w:rsidRDefault="009E113B" w:rsidP="00A80222">
      <w:pPr>
        <w:spacing w:after="0" w:line="240" w:lineRule="auto"/>
        <w:ind w:firstLine="720"/>
        <w:jc w:val="both"/>
        <w:rPr>
          <w:lang w:val="pt-BR"/>
        </w:rPr>
      </w:pPr>
      <w:r w:rsidRPr="00475253">
        <w:rPr>
          <w:lang w:val="pt-BR"/>
        </w:rPr>
        <w:t xml:space="preserve">A relação entre inovação e sustentabilidade também aparece em contextos africanos, onde a tecnologia tem sido explorada como vetor de inclusão socioeconômica. </w:t>
      </w:r>
      <w:proofErr w:type="spellStart"/>
      <w:r w:rsidR="002C1637" w:rsidRPr="00475253">
        <w:rPr>
          <w:lang w:val="pt-BR"/>
        </w:rPr>
        <w:t>Adeola</w:t>
      </w:r>
      <w:proofErr w:type="spellEnd"/>
      <w:r w:rsidR="002C1637" w:rsidRPr="00475253">
        <w:rPr>
          <w:lang w:val="pt-BR"/>
        </w:rPr>
        <w:t xml:space="preserve">, Evans, </w:t>
      </w:r>
      <w:proofErr w:type="spellStart"/>
      <w:r w:rsidR="002C1637" w:rsidRPr="00475253">
        <w:rPr>
          <w:lang w:val="pt-BR"/>
        </w:rPr>
        <w:t>Ngare</w:t>
      </w:r>
      <w:proofErr w:type="spellEnd"/>
      <w:r w:rsidR="002C1637" w:rsidRPr="00475253">
        <w:rPr>
          <w:lang w:val="pt-BR"/>
        </w:rPr>
        <w:t xml:space="preserve"> </w:t>
      </w:r>
      <w:r w:rsidR="002C1637" w:rsidRPr="00475253">
        <w:rPr>
          <w:lang w:val="pt-BR"/>
        </w:rPr>
        <w:t>(2024)</w:t>
      </w:r>
      <w:r w:rsidRPr="00475253">
        <w:rPr>
          <w:lang w:val="pt-BR"/>
        </w:rPr>
        <w:t xml:space="preserve"> argumentam que hubs digitais, quando conectados a estratégias de desenvolvimento sustentável, favorecem a criação de negócios resilientes e socialmente responsáveis.</w:t>
      </w:r>
    </w:p>
    <w:p w14:paraId="05819485" w14:textId="77777777" w:rsidR="00A80222" w:rsidRPr="00475253" w:rsidRDefault="00A80222" w:rsidP="00A80222">
      <w:pPr>
        <w:spacing w:after="0" w:line="240" w:lineRule="auto"/>
        <w:ind w:firstLine="720"/>
        <w:jc w:val="both"/>
        <w:rPr>
          <w:rFonts w:cs="Arial"/>
          <w:szCs w:val="24"/>
          <w:lang w:val="pt-BR"/>
        </w:rPr>
      </w:pPr>
    </w:p>
    <w:p w14:paraId="290FCC8D" w14:textId="77777777" w:rsidR="00AE74FE" w:rsidRPr="00475253" w:rsidRDefault="00AE74FE" w:rsidP="00A80222">
      <w:pPr>
        <w:pStyle w:val="Ttulo2"/>
        <w:keepNext w:val="0"/>
        <w:keepLines w:val="0"/>
        <w:spacing w:before="0" w:line="240" w:lineRule="auto"/>
        <w:jc w:val="both"/>
        <w:rPr>
          <w:rFonts w:ascii="Arial" w:hAnsi="Arial" w:cs="Arial"/>
          <w:b w:val="0"/>
          <w:color w:val="auto"/>
          <w:sz w:val="24"/>
          <w:szCs w:val="24"/>
          <w:lang w:val="pt-BR"/>
        </w:rPr>
      </w:pPr>
      <w:bookmarkStart w:id="3" w:name="_xj3vx2uyrtox" w:colFirst="0" w:colLast="0"/>
      <w:bookmarkEnd w:id="3"/>
      <w:r w:rsidRPr="00475253">
        <w:rPr>
          <w:rFonts w:ascii="Arial" w:hAnsi="Arial" w:cs="Arial"/>
          <w:b w:val="0"/>
          <w:color w:val="auto"/>
          <w:sz w:val="24"/>
          <w:szCs w:val="24"/>
          <w:lang w:val="pt-BR"/>
        </w:rPr>
        <w:t>2.3.Inteligência artificial aplicada à inovação e empreendedorismo</w:t>
      </w:r>
    </w:p>
    <w:p w14:paraId="5E26F7F7"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A inteligência artificial desempenha papel estratégico na transição para hubs inteligentes. Algoritmos de aprendizagem de máquina possibilitam análises preditivas, automação de processos e recomendação de conexões entre atores. A combinação de IA com </w:t>
      </w:r>
      <w:proofErr w:type="spellStart"/>
      <w:r w:rsidRPr="00475253">
        <w:rPr>
          <w:rFonts w:cs="Arial"/>
          <w:szCs w:val="24"/>
          <w:lang w:val="pt-BR"/>
        </w:rPr>
        <w:t>IoT</w:t>
      </w:r>
      <w:proofErr w:type="spellEnd"/>
      <w:r w:rsidRPr="00475253">
        <w:rPr>
          <w:rFonts w:cs="Arial"/>
          <w:szCs w:val="24"/>
          <w:lang w:val="pt-BR"/>
        </w:rPr>
        <w:t xml:space="preserve">, big data e </w:t>
      </w:r>
      <w:proofErr w:type="spellStart"/>
      <w:r w:rsidRPr="00475253">
        <w:rPr>
          <w:rFonts w:cs="Arial"/>
          <w:szCs w:val="24"/>
          <w:lang w:val="pt-BR"/>
        </w:rPr>
        <w:t>blockchain</w:t>
      </w:r>
      <w:proofErr w:type="spellEnd"/>
      <w:r w:rsidRPr="00475253">
        <w:rPr>
          <w:rFonts w:cs="Arial"/>
          <w:szCs w:val="24"/>
          <w:lang w:val="pt-BR"/>
        </w:rPr>
        <w:t xml:space="preserve"> cria plataformas que ampliam a capacidade de absorção tecnológica e de inovação aberta. Estudos de revisão apontam que hubs baseados em IA promovem aprendizado coletivo e vantagem competitiva regional, inclusive em setores tradicionais, ao alinhar empresas, universidades e governo para compartilhar dados e conhecimento. Entretanto, a adoção massiva de IA suscita desafios em relação à governança de dados, transparência algorítmica, privacidade e inclusão digita. As desigualdades digitais podem se aprofundar </w:t>
      </w:r>
      <w:proofErr w:type="spellStart"/>
      <w:r w:rsidRPr="00475253">
        <w:rPr>
          <w:rFonts w:cs="Arial"/>
          <w:szCs w:val="24"/>
          <w:lang w:val="pt-BR"/>
        </w:rPr>
        <w:t>se</w:t>
      </w:r>
      <w:proofErr w:type="spellEnd"/>
      <w:r w:rsidRPr="00475253">
        <w:rPr>
          <w:rFonts w:cs="Arial"/>
          <w:szCs w:val="24"/>
          <w:lang w:val="pt-BR"/>
        </w:rPr>
        <w:t xml:space="preserve"> regiões ou grupos populacionais não tiverem acesso às novas competências e infraestruturas necessárias; portanto, políticas públicas devem assegurar formação de talentos e acesso equitativo às tecnologias.</w:t>
      </w:r>
    </w:p>
    <w:p w14:paraId="1803A828" w14:textId="1C952134"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A literatura também salienta a necessidade de novas métricas para avaliar hubs inteligentes. Além de indicadores tradicionais</w:t>
      </w:r>
      <w:r w:rsidR="009E113B" w:rsidRPr="00475253">
        <w:rPr>
          <w:rFonts w:cs="Arial"/>
          <w:szCs w:val="24"/>
          <w:lang w:val="pt-BR"/>
        </w:rPr>
        <w:t>,</w:t>
      </w:r>
      <w:r w:rsidRPr="00475253">
        <w:rPr>
          <w:rFonts w:cs="Arial"/>
          <w:szCs w:val="24"/>
          <w:lang w:val="pt-BR"/>
        </w:rPr>
        <w:t xml:space="preserve"> número de startups, patentes, empregos e volume de investimentos, recomenda</w:t>
      </w:r>
      <w:r w:rsidRPr="00475253">
        <w:rPr>
          <w:rFonts w:ascii="Cambria Math" w:hAnsi="Cambria Math" w:cs="Cambria Math"/>
          <w:szCs w:val="24"/>
          <w:lang w:val="pt-BR"/>
        </w:rPr>
        <w:t>‑</w:t>
      </w:r>
      <w:r w:rsidRPr="00475253">
        <w:rPr>
          <w:rFonts w:cs="Arial"/>
          <w:szCs w:val="24"/>
          <w:lang w:val="pt-BR"/>
        </w:rPr>
        <w:t xml:space="preserve">se medir contribuição ao PIB local, eficiência operacional de edifícios inteligentes e índices de colaboração entre academia e indústria. Essa ampliação de </w:t>
      </w:r>
      <w:proofErr w:type="gramStart"/>
      <w:r w:rsidRPr="00475253">
        <w:rPr>
          <w:rFonts w:cs="Arial"/>
          <w:szCs w:val="24"/>
          <w:lang w:val="pt-BR"/>
        </w:rPr>
        <w:t>métricas visa</w:t>
      </w:r>
      <w:proofErr w:type="gramEnd"/>
      <w:r w:rsidRPr="00475253">
        <w:rPr>
          <w:rFonts w:cs="Arial"/>
          <w:szCs w:val="24"/>
          <w:lang w:val="pt-BR"/>
        </w:rPr>
        <w:t xml:space="preserve"> capturar benefícios intangíveis como aprendizado, qualidade de vida e sustentabilidade.</w:t>
      </w:r>
    </w:p>
    <w:p w14:paraId="29F8E5AE" w14:textId="1A1D01FE" w:rsidR="009E113B" w:rsidRPr="00475253" w:rsidRDefault="00057029" w:rsidP="00A80222">
      <w:pPr>
        <w:spacing w:after="0" w:line="240" w:lineRule="auto"/>
        <w:ind w:firstLine="720"/>
        <w:jc w:val="both"/>
        <w:rPr>
          <w:rFonts w:eastAsia="Times New Roman" w:cs="Arial"/>
          <w:szCs w:val="24"/>
          <w:lang w:val="pt-BR" w:eastAsia="pt-BR"/>
        </w:rPr>
      </w:pPr>
      <w:r w:rsidRPr="00556941">
        <w:rPr>
          <w:rFonts w:eastAsia="Times New Roman" w:cs="Arial"/>
          <w:szCs w:val="24"/>
          <w:lang w:val="pt-BR" w:eastAsia="pt-BR"/>
        </w:rPr>
        <w:t xml:space="preserve">Estudos recentes evidenciam que a adoção de IA em ecossistemas de inovação produz efeitos ambíguos sobre sustentabilidade regional. </w:t>
      </w:r>
      <w:proofErr w:type="spellStart"/>
      <w:r w:rsidRPr="00556941">
        <w:rPr>
          <w:rFonts w:eastAsia="Times New Roman" w:cs="Arial"/>
          <w:szCs w:val="24"/>
          <w:lang w:val="pt-BR" w:eastAsia="pt-BR"/>
        </w:rPr>
        <w:t>Pimenow</w:t>
      </w:r>
      <w:proofErr w:type="spellEnd"/>
      <w:r w:rsidRPr="00556941">
        <w:rPr>
          <w:rFonts w:eastAsia="Times New Roman" w:cs="Arial"/>
          <w:szCs w:val="24"/>
          <w:lang w:val="pt-BR" w:eastAsia="pt-BR"/>
        </w:rPr>
        <w:t xml:space="preserve"> et al. (2025) destacam que, embora a IA potencialize ganhos de eficiência e atração de investimentos, também pode aprofundar desigualdades digitais e ampliar riscos relacionados à governança de dados e à exclusão de atores com menor capacitação tecnológica. Assim, a avaliação de hubs inteligentes deve considerar não apenas indicadores de eficiência econômica, mas também métricas de equidade, inclusão e sustentabilidade social</w:t>
      </w:r>
      <w:r w:rsidR="009E113B" w:rsidRPr="00475253">
        <w:rPr>
          <w:rFonts w:eastAsia="Times New Roman" w:cs="Arial"/>
          <w:szCs w:val="24"/>
          <w:lang w:val="pt-BR" w:eastAsia="pt-BR"/>
        </w:rPr>
        <w:t xml:space="preserve">. </w:t>
      </w:r>
    </w:p>
    <w:p w14:paraId="65E22BD6" w14:textId="77777777" w:rsidR="00A80222" w:rsidRPr="00556941" w:rsidRDefault="00A80222" w:rsidP="00A80222">
      <w:pPr>
        <w:spacing w:after="0" w:line="240" w:lineRule="auto"/>
        <w:jc w:val="both"/>
        <w:rPr>
          <w:rFonts w:eastAsia="Times New Roman" w:cs="Arial"/>
          <w:szCs w:val="24"/>
          <w:lang w:val="pt-BR" w:eastAsia="pt-BR"/>
        </w:rPr>
      </w:pPr>
    </w:p>
    <w:p w14:paraId="5F56CFCF" w14:textId="5BDC2479" w:rsidR="00AE74FE" w:rsidRPr="00475253" w:rsidRDefault="00AE74FE" w:rsidP="00A80222">
      <w:pPr>
        <w:pStyle w:val="Ttulo1"/>
        <w:keepNext w:val="0"/>
        <w:keepLines w:val="0"/>
        <w:spacing w:before="0" w:line="240" w:lineRule="auto"/>
        <w:rPr>
          <w:rFonts w:ascii="Arial" w:hAnsi="Arial" w:cs="Arial"/>
          <w:bCs w:val="0"/>
          <w:color w:val="auto"/>
          <w:sz w:val="24"/>
          <w:szCs w:val="24"/>
          <w:lang w:val="pt-BR"/>
        </w:rPr>
      </w:pPr>
      <w:bookmarkStart w:id="4" w:name="_pat2opvu2h7a" w:colFirst="0" w:colLast="0"/>
      <w:bookmarkEnd w:id="4"/>
      <w:r w:rsidRPr="00475253">
        <w:rPr>
          <w:rFonts w:ascii="Arial" w:hAnsi="Arial" w:cs="Arial"/>
          <w:bCs w:val="0"/>
          <w:color w:val="auto"/>
          <w:sz w:val="24"/>
          <w:szCs w:val="24"/>
          <w:lang w:val="pt-BR"/>
        </w:rPr>
        <w:t>3.Procedimentos Metodológicos</w:t>
      </w:r>
    </w:p>
    <w:p w14:paraId="14EF6F98" w14:textId="77777777"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 xml:space="preserve">Este estudo adotou uma abordagem qualitativa, exploratória e bibliográfica, orientada pela lógica do ensaio teórico, conforme proposto por </w:t>
      </w:r>
      <w:proofErr w:type="spellStart"/>
      <w:r w:rsidRPr="0044104D">
        <w:rPr>
          <w:rFonts w:eastAsia="Times New Roman" w:cs="Arial"/>
          <w:szCs w:val="24"/>
          <w:lang w:val="pt-BR" w:eastAsia="pt-BR"/>
        </w:rPr>
        <w:t>Meneghetti</w:t>
      </w:r>
      <w:proofErr w:type="spellEnd"/>
      <w:r w:rsidRPr="0044104D">
        <w:rPr>
          <w:rFonts w:eastAsia="Times New Roman" w:cs="Arial"/>
          <w:szCs w:val="24"/>
          <w:lang w:val="pt-BR" w:eastAsia="pt-BR"/>
        </w:rPr>
        <w:t xml:space="preserve"> (2011), </w:t>
      </w:r>
      <w:r w:rsidRPr="0044104D">
        <w:rPr>
          <w:rFonts w:eastAsia="Times New Roman" w:cs="Arial"/>
          <w:szCs w:val="24"/>
          <w:lang w:val="pt-BR" w:eastAsia="pt-BR"/>
        </w:rPr>
        <w:lastRenderedPageBreak/>
        <w:t>com o objetivo de desenvolver novas articulações conceituais sobre a transição de ecossistemas tradicionais para hubs inteligentes mediados por inteligência artificial. Essa estratégia permite integrar criticamente contribuições teóricas consolidadas, documentos institucionais e estudos de caso secundários, ampliando a compreensão sobre os impactos socioeconômicos e tecnológicos desses ambientes inovadores.</w:t>
      </w:r>
    </w:p>
    <w:p w14:paraId="4098E79F" w14:textId="77777777"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O procedimento metodológico seguiu um processo sistemático, envolvendo as seguintes etapas: (i) definição do tema e delimitação do problema de pesquisa; (</w:t>
      </w:r>
      <w:proofErr w:type="spellStart"/>
      <w:r w:rsidRPr="0044104D">
        <w:rPr>
          <w:rFonts w:eastAsia="Times New Roman" w:cs="Arial"/>
          <w:szCs w:val="24"/>
          <w:lang w:val="pt-BR" w:eastAsia="pt-BR"/>
        </w:rPr>
        <w:t>ii</w:t>
      </w:r>
      <w:proofErr w:type="spellEnd"/>
      <w:r w:rsidRPr="0044104D">
        <w:rPr>
          <w:rFonts w:eastAsia="Times New Roman" w:cs="Arial"/>
          <w:szCs w:val="24"/>
          <w:lang w:val="pt-BR" w:eastAsia="pt-BR"/>
        </w:rPr>
        <w:t>) busca e seleção de fontes científicas e institucionais; (</w:t>
      </w:r>
      <w:proofErr w:type="spellStart"/>
      <w:r w:rsidRPr="0044104D">
        <w:rPr>
          <w:rFonts w:eastAsia="Times New Roman" w:cs="Arial"/>
          <w:szCs w:val="24"/>
          <w:lang w:val="pt-BR" w:eastAsia="pt-BR"/>
        </w:rPr>
        <w:t>iii</w:t>
      </w:r>
      <w:proofErr w:type="spellEnd"/>
      <w:r w:rsidRPr="0044104D">
        <w:rPr>
          <w:rFonts w:eastAsia="Times New Roman" w:cs="Arial"/>
          <w:szCs w:val="24"/>
          <w:lang w:val="pt-BR" w:eastAsia="pt-BR"/>
        </w:rPr>
        <w:t>) organização do material; e (</w:t>
      </w:r>
      <w:proofErr w:type="spellStart"/>
      <w:r w:rsidRPr="0044104D">
        <w:rPr>
          <w:rFonts w:eastAsia="Times New Roman" w:cs="Arial"/>
          <w:szCs w:val="24"/>
          <w:lang w:val="pt-BR" w:eastAsia="pt-BR"/>
        </w:rPr>
        <w:t>iv</w:t>
      </w:r>
      <w:proofErr w:type="spellEnd"/>
      <w:r w:rsidRPr="0044104D">
        <w:rPr>
          <w:rFonts w:eastAsia="Times New Roman" w:cs="Arial"/>
          <w:szCs w:val="24"/>
          <w:lang w:val="pt-BR" w:eastAsia="pt-BR"/>
        </w:rPr>
        <w:t>) análise interpretativa baseada em categorias temáticas emergentes.</w:t>
      </w:r>
    </w:p>
    <w:p w14:paraId="44FA8A97" w14:textId="60736244"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 xml:space="preserve">A revisão de literatura foi conduzida entre março e abril de 2025, com foco em identificar contribuições relevantes nos campos de ecossistemas de inovação, hubs inteligentes, inteligência artificial aplicada ao empreendedorismo, governança digital e impacto socioeconômico da transformação digital. As buscas foram realizadas nas bases Scopus, Web </w:t>
      </w:r>
      <w:proofErr w:type="spellStart"/>
      <w:r w:rsidRPr="0044104D">
        <w:rPr>
          <w:rFonts w:eastAsia="Times New Roman" w:cs="Arial"/>
          <w:szCs w:val="24"/>
          <w:lang w:val="pt-BR" w:eastAsia="pt-BR"/>
        </w:rPr>
        <w:t>of</w:t>
      </w:r>
      <w:proofErr w:type="spellEnd"/>
      <w:r w:rsidRPr="0044104D">
        <w:rPr>
          <w:rFonts w:eastAsia="Times New Roman" w:cs="Arial"/>
          <w:szCs w:val="24"/>
          <w:lang w:val="pt-BR" w:eastAsia="pt-BR"/>
        </w:rPr>
        <w:t xml:space="preserve"> Science, SciELO, Spell e Google Acadêmico, além de documentos emitidos por organizações como IDB (</w:t>
      </w:r>
      <w:proofErr w:type="spellStart"/>
      <w:r w:rsidRPr="0044104D">
        <w:rPr>
          <w:rFonts w:eastAsia="Times New Roman" w:cs="Arial"/>
          <w:szCs w:val="24"/>
          <w:lang w:val="pt-BR" w:eastAsia="pt-BR"/>
        </w:rPr>
        <w:t>Inter-American</w:t>
      </w:r>
      <w:proofErr w:type="spellEnd"/>
      <w:r w:rsidRPr="0044104D">
        <w:rPr>
          <w:rFonts w:eastAsia="Times New Roman" w:cs="Arial"/>
          <w:szCs w:val="24"/>
          <w:lang w:val="pt-BR" w:eastAsia="pt-BR"/>
        </w:rPr>
        <w:t xml:space="preserve"> </w:t>
      </w:r>
      <w:proofErr w:type="spellStart"/>
      <w:r w:rsidRPr="0044104D">
        <w:rPr>
          <w:rFonts w:eastAsia="Times New Roman" w:cs="Arial"/>
          <w:szCs w:val="24"/>
          <w:lang w:val="pt-BR" w:eastAsia="pt-BR"/>
        </w:rPr>
        <w:t>Development</w:t>
      </w:r>
      <w:proofErr w:type="spellEnd"/>
      <w:r w:rsidRPr="0044104D">
        <w:rPr>
          <w:rFonts w:eastAsia="Times New Roman" w:cs="Arial"/>
          <w:szCs w:val="24"/>
          <w:lang w:val="pt-BR" w:eastAsia="pt-BR"/>
        </w:rPr>
        <w:t xml:space="preserve"> Bank) e </w:t>
      </w:r>
      <w:proofErr w:type="spellStart"/>
      <w:r w:rsidRPr="0044104D">
        <w:rPr>
          <w:rFonts w:eastAsia="Times New Roman" w:cs="Arial"/>
          <w:szCs w:val="24"/>
          <w:lang w:val="pt-BR" w:eastAsia="pt-BR"/>
        </w:rPr>
        <w:t>Deep</w:t>
      </w:r>
      <w:proofErr w:type="spellEnd"/>
      <w:r w:rsidRPr="0044104D">
        <w:rPr>
          <w:rFonts w:eastAsia="Times New Roman" w:cs="Arial"/>
          <w:szCs w:val="24"/>
          <w:lang w:val="pt-BR" w:eastAsia="pt-BR"/>
        </w:rPr>
        <w:t xml:space="preserve"> Search (2025).</w:t>
      </w:r>
    </w:p>
    <w:p w14:paraId="72AD67BA" w14:textId="220BB534" w:rsidR="001A1AA8" w:rsidRPr="00475253" w:rsidRDefault="001A1AA8" w:rsidP="001A1AA8">
      <w:pPr>
        <w:spacing w:after="0" w:line="240" w:lineRule="auto"/>
        <w:ind w:firstLine="720"/>
        <w:jc w:val="both"/>
        <w:rPr>
          <w:rFonts w:eastAsia="Times New Roman" w:cs="Arial"/>
          <w:szCs w:val="24"/>
          <w:lang w:val="pt-BR" w:eastAsia="pt-BR"/>
        </w:rPr>
      </w:pPr>
      <w:r w:rsidRPr="00475253">
        <w:rPr>
          <w:lang w:val="pt-BR"/>
        </w:rPr>
        <w:t xml:space="preserve">As palavras-chave e combinações utilizadas na pesquisa foram: </w:t>
      </w:r>
      <w:r w:rsidRPr="00475253">
        <w:rPr>
          <w:rStyle w:val="nfase"/>
          <w:lang w:val="pt-BR"/>
        </w:rPr>
        <w:t>“</w:t>
      </w:r>
      <w:proofErr w:type="spellStart"/>
      <w:r w:rsidRPr="00475253">
        <w:rPr>
          <w:rStyle w:val="nfase"/>
          <w:lang w:val="pt-BR"/>
        </w:rPr>
        <w:t>intelligent</w:t>
      </w:r>
      <w:proofErr w:type="spellEnd"/>
      <w:r w:rsidRPr="00475253">
        <w:rPr>
          <w:rStyle w:val="nfase"/>
          <w:lang w:val="pt-BR"/>
        </w:rPr>
        <w:t xml:space="preserve"> </w:t>
      </w:r>
      <w:proofErr w:type="spellStart"/>
      <w:r w:rsidRPr="00475253">
        <w:rPr>
          <w:rStyle w:val="nfase"/>
          <w:lang w:val="pt-BR"/>
        </w:rPr>
        <w:t>innovation</w:t>
      </w:r>
      <w:proofErr w:type="spellEnd"/>
      <w:r w:rsidRPr="00475253">
        <w:rPr>
          <w:rStyle w:val="nfase"/>
          <w:lang w:val="pt-BR"/>
        </w:rPr>
        <w:t xml:space="preserve"> hubs”</w:t>
      </w:r>
      <w:r w:rsidRPr="00475253">
        <w:rPr>
          <w:lang w:val="pt-BR"/>
        </w:rPr>
        <w:t xml:space="preserve">, </w:t>
      </w:r>
      <w:r w:rsidRPr="00475253">
        <w:rPr>
          <w:rStyle w:val="nfase"/>
          <w:lang w:val="pt-BR"/>
        </w:rPr>
        <w:t>“AI-</w:t>
      </w:r>
      <w:proofErr w:type="spellStart"/>
      <w:r w:rsidRPr="00475253">
        <w:rPr>
          <w:rStyle w:val="nfase"/>
          <w:lang w:val="pt-BR"/>
        </w:rPr>
        <w:t>driven</w:t>
      </w:r>
      <w:proofErr w:type="spellEnd"/>
      <w:r w:rsidRPr="00475253">
        <w:rPr>
          <w:rStyle w:val="nfase"/>
          <w:lang w:val="pt-BR"/>
        </w:rPr>
        <w:t xml:space="preserve"> </w:t>
      </w:r>
      <w:proofErr w:type="spellStart"/>
      <w:r w:rsidRPr="00475253">
        <w:rPr>
          <w:rStyle w:val="nfase"/>
          <w:lang w:val="pt-BR"/>
        </w:rPr>
        <w:t>ecosystems</w:t>
      </w:r>
      <w:proofErr w:type="spellEnd"/>
      <w:r w:rsidRPr="00475253">
        <w:rPr>
          <w:rStyle w:val="nfase"/>
          <w:lang w:val="pt-BR"/>
        </w:rPr>
        <w:t>”</w:t>
      </w:r>
      <w:r w:rsidRPr="00475253">
        <w:rPr>
          <w:lang w:val="pt-BR"/>
        </w:rPr>
        <w:t xml:space="preserve">, </w:t>
      </w:r>
      <w:r w:rsidRPr="00475253">
        <w:rPr>
          <w:rStyle w:val="nfase"/>
          <w:lang w:val="pt-BR"/>
        </w:rPr>
        <w:t>“</w:t>
      </w:r>
      <w:proofErr w:type="spellStart"/>
      <w:r w:rsidRPr="00475253">
        <w:rPr>
          <w:rStyle w:val="nfase"/>
          <w:lang w:val="pt-BR"/>
        </w:rPr>
        <w:t>smart</w:t>
      </w:r>
      <w:proofErr w:type="spellEnd"/>
      <w:r w:rsidRPr="00475253">
        <w:rPr>
          <w:rStyle w:val="nfase"/>
          <w:lang w:val="pt-BR"/>
        </w:rPr>
        <w:t xml:space="preserve"> </w:t>
      </w:r>
      <w:proofErr w:type="spellStart"/>
      <w:r w:rsidRPr="00475253">
        <w:rPr>
          <w:rStyle w:val="nfase"/>
          <w:lang w:val="pt-BR"/>
        </w:rPr>
        <w:t>cities</w:t>
      </w:r>
      <w:proofErr w:type="spellEnd"/>
      <w:r w:rsidRPr="00475253">
        <w:rPr>
          <w:rStyle w:val="nfase"/>
          <w:lang w:val="pt-BR"/>
        </w:rPr>
        <w:t xml:space="preserve"> </w:t>
      </w:r>
      <w:proofErr w:type="spellStart"/>
      <w:r w:rsidRPr="00475253">
        <w:rPr>
          <w:rStyle w:val="nfase"/>
          <w:lang w:val="pt-BR"/>
        </w:rPr>
        <w:t>and</w:t>
      </w:r>
      <w:proofErr w:type="spellEnd"/>
      <w:r w:rsidRPr="00475253">
        <w:rPr>
          <w:rStyle w:val="nfase"/>
          <w:lang w:val="pt-BR"/>
        </w:rPr>
        <w:t xml:space="preserve"> </w:t>
      </w:r>
      <w:proofErr w:type="spellStart"/>
      <w:r w:rsidRPr="00475253">
        <w:rPr>
          <w:rStyle w:val="nfase"/>
          <w:lang w:val="pt-BR"/>
        </w:rPr>
        <w:t>entrepreneurship</w:t>
      </w:r>
      <w:proofErr w:type="spellEnd"/>
      <w:r w:rsidRPr="00475253">
        <w:rPr>
          <w:rStyle w:val="nfase"/>
          <w:lang w:val="pt-BR"/>
        </w:rPr>
        <w:t>”</w:t>
      </w:r>
      <w:r w:rsidRPr="00475253">
        <w:rPr>
          <w:lang w:val="pt-BR"/>
        </w:rPr>
        <w:t xml:space="preserve">, </w:t>
      </w:r>
      <w:r w:rsidRPr="00475253">
        <w:rPr>
          <w:rStyle w:val="nfase"/>
          <w:lang w:val="pt-BR"/>
        </w:rPr>
        <w:t xml:space="preserve">“digital </w:t>
      </w:r>
      <w:proofErr w:type="spellStart"/>
      <w:r w:rsidRPr="00475253">
        <w:rPr>
          <w:rStyle w:val="nfase"/>
          <w:lang w:val="pt-BR"/>
        </w:rPr>
        <w:t>transformation</w:t>
      </w:r>
      <w:proofErr w:type="spellEnd"/>
      <w:r w:rsidRPr="00475253">
        <w:rPr>
          <w:rStyle w:val="nfase"/>
          <w:lang w:val="pt-BR"/>
        </w:rPr>
        <w:t xml:space="preserve"> in </w:t>
      </w:r>
      <w:proofErr w:type="spellStart"/>
      <w:r w:rsidRPr="00475253">
        <w:rPr>
          <w:rStyle w:val="nfase"/>
          <w:lang w:val="pt-BR"/>
        </w:rPr>
        <w:t>innovation</w:t>
      </w:r>
      <w:proofErr w:type="spellEnd"/>
      <w:r w:rsidRPr="00475253">
        <w:rPr>
          <w:rStyle w:val="nfase"/>
          <w:lang w:val="pt-BR"/>
        </w:rPr>
        <w:t xml:space="preserve"> </w:t>
      </w:r>
      <w:proofErr w:type="spellStart"/>
      <w:r w:rsidRPr="00475253">
        <w:rPr>
          <w:rStyle w:val="nfase"/>
          <w:lang w:val="pt-BR"/>
        </w:rPr>
        <w:t>districts</w:t>
      </w:r>
      <w:proofErr w:type="spellEnd"/>
      <w:r w:rsidRPr="00475253">
        <w:rPr>
          <w:rStyle w:val="nfase"/>
          <w:lang w:val="pt-BR"/>
        </w:rPr>
        <w:t>”</w:t>
      </w:r>
      <w:r w:rsidRPr="00475253">
        <w:rPr>
          <w:lang w:val="pt-BR"/>
        </w:rPr>
        <w:t xml:space="preserve">, </w:t>
      </w:r>
      <w:r w:rsidRPr="00475253">
        <w:rPr>
          <w:rStyle w:val="nfase"/>
          <w:lang w:val="pt-BR"/>
        </w:rPr>
        <w:t>“governança em ecossistemas digitais”</w:t>
      </w:r>
      <w:r w:rsidRPr="00475253">
        <w:rPr>
          <w:lang w:val="pt-BR"/>
        </w:rPr>
        <w:t xml:space="preserve"> e </w:t>
      </w:r>
      <w:r w:rsidRPr="00475253">
        <w:rPr>
          <w:rStyle w:val="nfase"/>
          <w:lang w:val="pt-BR"/>
        </w:rPr>
        <w:t xml:space="preserve">“impacto socioeconômico da </w:t>
      </w:r>
      <w:proofErr w:type="gramStart"/>
      <w:r w:rsidRPr="00475253">
        <w:rPr>
          <w:rStyle w:val="nfase"/>
          <w:lang w:val="pt-BR"/>
        </w:rPr>
        <w:t>IA”</w:t>
      </w:r>
      <w:r w:rsidRPr="00475253">
        <w:rPr>
          <w:lang w:val="pt-BR"/>
        </w:rPr>
        <w:t>,</w:t>
      </w:r>
      <w:r w:rsidR="00B4702A" w:rsidRPr="00475253">
        <w:rPr>
          <w:lang w:val="pt-BR"/>
        </w:rPr>
        <w:t xml:space="preserve"> </w:t>
      </w:r>
      <w:r w:rsidRPr="00475253">
        <w:rPr>
          <w:lang w:val="pt-BR"/>
        </w:rPr>
        <w:t>permitindo</w:t>
      </w:r>
      <w:proofErr w:type="gramEnd"/>
      <w:r w:rsidRPr="00475253">
        <w:rPr>
          <w:lang w:val="pt-BR"/>
        </w:rPr>
        <w:t xml:space="preserve"> abranger aspectos tecnológicos, de governança, socioeconômicos e territoriais relacionados à transição de ecossistemas tradicionais para hubs inteligentes mediados por inteligência artificial.</w:t>
      </w:r>
    </w:p>
    <w:p w14:paraId="2814D115" w14:textId="013213E1"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 xml:space="preserve">A triagem inicial resultou em aproximadamente </w:t>
      </w:r>
      <w:r w:rsidRPr="00475253">
        <w:rPr>
          <w:rFonts w:eastAsia="Times New Roman" w:cs="Arial"/>
          <w:szCs w:val="24"/>
          <w:lang w:val="pt-BR" w:eastAsia="pt-BR"/>
        </w:rPr>
        <w:t>6</w:t>
      </w:r>
      <w:r w:rsidRPr="0044104D">
        <w:rPr>
          <w:rFonts w:eastAsia="Times New Roman" w:cs="Arial"/>
          <w:szCs w:val="24"/>
          <w:lang w:val="pt-BR" w:eastAsia="pt-BR"/>
        </w:rPr>
        <w:t xml:space="preserve">.200 documentos internacionais e cerca de </w:t>
      </w:r>
      <w:r w:rsidR="001A1AA8" w:rsidRPr="00475253">
        <w:rPr>
          <w:rFonts w:eastAsia="Times New Roman" w:cs="Arial"/>
          <w:szCs w:val="24"/>
          <w:lang w:val="pt-BR" w:eastAsia="pt-BR"/>
        </w:rPr>
        <w:t>95</w:t>
      </w:r>
      <w:r w:rsidRPr="0044104D">
        <w:rPr>
          <w:rFonts w:eastAsia="Times New Roman" w:cs="Arial"/>
          <w:szCs w:val="24"/>
          <w:lang w:val="pt-BR" w:eastAsia="pt-BR"/>
        </w:rPr>
        <w:t>0 fontes regionais, considerando relatórios institucionais e literatura científica. Os critérios de inclusão adotados foram: (a) publicações revisadas por pares ou relatórios institucionais reconhecidos; (b) aderência temática ao objeto de estudo; e (c) período de publicação entre 201</w:t>
      </w:r>
      <w:r w:rsidRPr="00475253">
        <w:rPr>
          <w:rFonts w:eastAsia="Times New Roman" w:cs="Arial"/>
          <w:szCs w:val="24"/>
          <w:lang w:val="pt-BR" w:eastAsia="pt-BR"/>
        </w:rPr>
        <w:t>5</w:t>
      </w:r>
      <w:r w:rsidRPr="0044104D">
        <w:rPr>
          <w:rFonts w:eastAsia="Times New Roman" w:cs="Arial"/>
          <w:szCs w:val="24"/>
          <w:lang w:val="pt-BR" w:eastAsia="pt-BR"/>
        </w:rPr>
        <w:t xml:space="preserve"> e 2025, refletindo a evolução recente dos hubs digitais. Foram excluídas fontes repetidas, estudos excessivamente técnicos sem abordagem socioeconômica e análises restritas a contextos distintos da realidade brasileira ou latino-americana.</w:t>
      </w:r>
    </w:p>
    <w:p w14:paraId="41A5EAF8" w14:textId="5608249A"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 xml:space="preserve">Após o refinamento e leitura crítica do material, foram selecionadas </w:t>
      </w:r>
      <w:r w:rsidR="00276509" w:rsidRPr="00475253">
        <w:rPr>
          <w:rFonts w:eastAsia="Times New Roman" w:cs="Arial"/>
          <w:szCs w:val="24"/>
          <w:lang w:val="pt-BR" w:eastAsia="pt-BR"/>
        </w:rPr>
        <w:t>26</w:t>
      </w:r>
      <w:r w:rsidRPr="0044104D">
        <w:rPr>
          <w:rFonts w:eastAsia="Times New Roman" w:cs="Arial"/>
          <w:szCs w:val="24"/>
          <w:lang w:val="pt-BR" w:eastAsia="pt-BR"/>
        </w:rPr>
        <w:t xml:space="preserve"> fontes para compor o arcabouço teórico, incluindo artigos, livros, relatórios técnicos e documentos institucionais. A análise dos dados seguiu uma abordagem temática de conteúdo (Bardin, 2011), permitindo a categorização de padrões conceituais e estratégias de incorporação da IA. Em seguida, foi aplicada uma análise narrativa (XIAO; WATSON, 2019), com o intuito de integrar os achados em um modelo teórico interpretativo.</w:t>
      </w:r>
    </w:p>
    <w:p w14:paraId="15340BDB" w14:textId="77777777" w:rsidR="00B5265A" w:rsidRPr="0044104D" w:rsidRDefault="00B5265A" w:rsidP="00A80222">
      <w:pPr>
        <w:spacing w:after="0" w:line="240" w:lineRule="auto"/>
        <w:ind w:firstLine="720"/>
        <w:jc w:val="both"/>
        <w:rPr>
          <w:rFonts w:eastAsia="Times New Roman" w:cs="Arial"/>
          <w:szCs w:val="24"/>
          <w:lang w:val="pt-BR" w:eastAsia="pt-BR"/>
        </w:rPr>
      </w:pPr>
      <w:r w:rsidRPr="0044104D">
        <w:rPr>
          <w:rFonts w:eastAsia="Times New Roman" w:cs="Arial"/>
          <w:szCs w:val="24"/>
          <w:lang w:val="pt-BR" w:eastAsia="pt-BR"/>
        </w:rPr>
        <w:t>Esse percurso metodológico foi essencial para elaborar uma reflexão crítica sobre os mecanismos de transformação dos ecossistemas de inovação, a partir da digitalização intensiva, e para discutir os desafios e oportunidades relacionados à governança, inclusão digital e sustentabilidade social nos hubs inteligentes. A opção por fontes secundárias foi complementada por estudo comparativo de múltiplos casos, selecionados com base em diversidade geográfica, maturidade institucional e disponibilidade de dados, ampliando a validade analítica do ensaio.</w:t>
      </w:r>
    </w:p>
    <w:p w14:paraId="25D43475" w14:textId="431D4A8B" w:rsidR="003022B9" w:rsidRPr="00475253" w:rsidRDefault="003022B9" w:rsidP="00A80222">
      <w:pPr>
        <w:spacing w:after="0" w:line="240" w:lineRule="auto"/>
        <w:ind w:firstLine="720"/>
        <w:jc w:val="both"/>
        <w:rPr>
          <w:lang w:val="pt-BR"/>
        </w:rPr>
      </w:pPr>
      <w:r w:rsidRPr="00475253">
        <w:rPr>
          <w:lang w:val="pt-BR"/>
        </w:rPr>
        <w:t xml:space="preserve">O procedimento de coleta de dados envolveu duas etapas. Na primeira, foi realizado um levantamento bibliográfico em bases de dados acadêmicas e documentos de organizações nacionais e internacionais, complementado pelo relatório </w:t>
      </w:r>
      <w:proofErr w:type="spellStart"/>
      <w:r w:rsidRPr="00475253">
        <w:rPr>
          <w:lang w:val="pt-BR"/>
        </w:rPr>
        <w:t>Deep</w:t>
      </w:r>
      <w:proofErr w:type="spellEnd"/>
      <w:r w:rsidRPr="00475253">
        <w:rPr>
          <w:lang w:val="pt-BR"/>
        </w:rPr>
        <w:t xml:space="preserve"> Search (2025), que sistematiza a literatura mais atual sobre hubs inteligentes. Na segunda etapa, foram consultados artigos de periódicos científicos, relatórios institucionais e notícias especializadas que descrevem experiências </w:t>
      </w:r>
      <w:r w:rsidRPr="00475253">
        <w:rPr>
          <w:lang w:val="pt-BR"/>
        </w:rPr>
        <w:lastRenderedPageBreak/>
        <w:t xml:space="preserve">concretas de ecossistemas emergentes, como o Porto Digital (Brasil), o </w:t>
      </w:r>
      <w:proofErr w:type="spellStart"/>
      <w:r w:rsidRPr="00475253">
        <w:rPr>
          <w:lang w:val="pt-BR"/>
        </w:rPr>
        <w:t>Station</w:t>
      </w:r>
      <w:proofErr w:type="spellEnd"/>
      <w:r w:rsidRPr="00475253">
        <w:rPr>
          <w:lang w:val="pt-BR"/>
        </w:rPr>
        <w:t xml:space="preserve"> F (França), o Distrito 22@ (Espanha), o Asia New </w:t>
      </w:r>
      <w:proofErr w:type="spellStart"/>
      <w:r w:rsidRPr="00475253">
        <w:rPr>
          <w:lang w:val="pt-BR"/>
        </w:rPr>
        <w:t>Bay</w:t>
      </w:r>
      <w:proofErr w:type="spellEnd"/>
      <w:r w:rsidRPr="00475253">
        <w:rPr>
          <w:lang w:val="pt-BR"/>
        </w:rPr>
        <w:t xml:space="preserve"> Area (Taiwan)</w:t>
      </w:r>
      <w:r w:rsidR="00C1511F" w:rsidRPr="00475253">
        <w:rPr>
          <w:lang w:val="pt-BR"/>
        </w:rPr>
        <w:t xml:space="preserve">, o </w:t>
      </w:r>
      <w:r w:rsidR="00C1511F" w:rsidRPr="00475253">
        <w:rPr>
          <w:lang w:val="pt-BR"/>
        </w:rPr>
        <w:t>Cubo Itaú (São Paulo)</w:t>
      </w:r>
      <w:r w:rsidR="00C1511F" w:rsidRPr="00475253">
        <w:rPr>
          <w:lang w:val="pt-BR"/>
        </w:rPr>
        <w:t>, o</w:t>
      </w:r>
      <w:r w:rsidR="00C1511F" w:rsidRPr="00475253">
        <w:rPr>
          <w:lang w:val="pt-BR"/>
        </w:rPr>
        <w:t xml:space="preserve"> Silicon </w:t>
      </w:r>
      <w:proofErr w:type="spellStart"/>
      <w:r w:rsidR="00C1511F" w:rsidRPr="00475253">
        <w:rPr>
          <w:lang w:val="pt-BR"/>
        </w:rPr>
        <w:t>Roundabout</w:t>
      </w:r>
      <w:proofErr w:type="spellEnd"/>
      <w:r w:rsidR="00C1511F" w:rsidRPr="00475253">
        <w:rPr>
          <w:lang w:val="pt-BR"/>
        </w:rPr>
        <w:t xml:space="preserve"> (Londres)</w:t>
      </w:r>
      <w:r w:rsidR="00C1511F" w:rsidRPr="00475253">
        <w:rPr>
          <w:lang w:val="pt-BR"/>
        </w:rPr>
        <w:t xml:space="preserve"> </w:t>
      </w:r>
      <w:r w:rsidRPr="00475253">
        <w:rPr>
          <w:lang w:val="pt-BR"/>
        </w:rPr>
        <w:t>e o Programa Vila A Inteligente (</w:t>
      </w:r>
      <w:r w:rsidR="00EF32E2" w:rsidRPr="00475253">
        <w:rPr>
          <w:lang w:val="pt-BR"/>
        </w:rPr>
        <w:t>Foz do Iguaçu</w:t>
      </w:r>
      <w:r w:rsidR="00EF32E2" w:rsidRPr="00475253">
        <w:rPr>
          <w:lang w:val="pt-BR"/>
        </w:rPr>
        <w:t>, Brasil)</w:t>
      </w:r>
      <w:r w:rsidRPr="00475253">
        <w:rPr>
          <w:lang w:val="pt-BR"/>
        </w:rPr>
        <w:t>.</w:t>
      </w:r>
    </w:p>
    <w:p w14:paraId="216B72BF" w14:textId="5E718913" w:rsidR="003022B9" w:rsidRPr="00475253" w:rsidRDefault="003022B9" w:rsidP="00A80222">
      <w:pPr>
        <w:spacing w:after="0" w:line="240" w:lineRule="auto"/>
        <w:ind w:firstLine="720"/>
        <w:jc w:val="both"/>
        <w:rPr>
          <w:lang w:val="pt-BR"/>
        </w:rPr>
      </w:pPr>
      <w:r w:rsidRPr="00475253">
        <w:rPr>
          <w:lang w:val="pt-BR"/>
        </w:rPr>
        <w:t>O estudo adot</w:t>
      </w:r>
      <w:r w:rsidR="002F071B" w:rsidRPr="00475253">
        <w:rPr>
          <w:lang w:val="pt-BR"/>
        </w:rPr>
        <w:t>ou</w:t>
      </w:r>
      <w:r w:rsidRPr="00475253">
        <w:rPr>
          <w:lang w:val="pt-BR"/>
        </w:rPr>
        <w:t xml:space="preserve"> o método comparativo de múltiplos caso</w:t>
      </w:r>
      <w:r w:rsidR="002F071B" w:rsidRPr="00475253">
        <w:rPr>
          <w:lang w:val="pt-BR"/>
        </w:rPr>
        <w:t>s</w:t>
      </w:r>
      <w:r w:rsidRPr="00475253">
        <w:rPr>
          <w:lang w:val="pt-BR"/>
        </w:rPr>
        <w:t>, selecionados segundo três critérios: (i) diversidade geográfica, abrangendo exemplos no Brasil, Europa e Ásia; (</w:t>
      </w:r>
      <w:proofErr w:type="spellStart"/>
      <w:r w:rsidRPr="00475253">
        <w:rPr>
          <w:lang w:val="pt-BR"/>
        </w:rPr>
        <w:t>ii</w:t>
      </w:r>
      <w:proofErr w:type="spellEnd"/>
      <w:r w:rsidRPr="00475253">
        <w:rPr>
          <w:lang w:val="pt-BR"/>
        </w:rPr>
        <w:t>) nível de maturidade, contemplando desde parques tecnológicos consolidados até hubs emergentes; e (</w:t>
      </w:r>
      <w:proofErr w:type="spellStart"/>
      <w:r w:rsidRPr="00475253">
        <w:rPr>
          <w:lang w:val="pt-BR"/>
        </w:rPr>
        <w:t>iii</w:t>
      </w:r>
      <w:proofErr w:type="spellEnd"/>
      <w:r w:rsidRPr="00475253">
        <w:rPr>
          <w:lang w:val="pt-BR"/>
        </w:rPr>
        <w:t>) disponibilidade de dados secundários confiáveis. Essa escolha metodológica busca garantir representatividade e viabilidade, além de permitir identificar padrões e contrastes entre diferentes contextos.</w:t>
      </w:r>
    </w:p>
    <w:p w14:paraId="3D24D674" w14:textId="2B06B6BF" w:rsidR="003022B9" w:rsidRPr="00475253" w:rsidRDefault="003022B9" w:rsidP="00A80222">
      <w:pPr>
        <w:spacing w:after="0" w:line="240" w:lineRule="auto"/>
        <w:ind w:firstLine="720"/>
        <w:jc w:val="both"/>
        <w:rPr>
          <w:lang w:val="pt-BR"/>
        </w:rPr>
      </w:pPr>
      <w:r w:rsidRPr="00475253">
        <w:rPr>
          <w:lang w:val="pt-BR"/>
        </w:rPr>
        <w:t>Para cada caso, foram coletadas informações sobre estrutura organizacional, tecnologias empregadas, formas de governança, métricas de desempenho e impactos econômicos e sociais. A análise seguiu os procedimentos da análise de conteúdo, voltada à identificação de conceitos-chave, estratégias de adoção de IA e evidências de impacto. A síntese dos resultados possibilitou a construção de uma tabela comparativa entre ecossistemas tradicionais e hubs inteligentes e a elaboração de recomendações práticas e teóricas.</w:t>
      </w:r>
    </w:p>
    <w:p w14:paraId="2313938B" w14:textId="77777777" w:rsidR="00827DC3" w:rsidRPr="00556941" w:rsidRDefault="00827DC3" w:rsidP="00A80222">
      <w:pPr>
        <w:spacing w:after="0" w:line="240" w:lineRule="auto"/>
        <w:ind w:firstLine="720"/>
        <w:jc w:val="both"/>
        <w:rPr>
          <w:rFonts w:eastAsia="Times New Roman" w:cs="Arial"/>
          <w:szCs w:val="24"/>
          <w:lang w:val="pt-BR" w:eastAsia="pt-BR"/>
        </w:rPr>
      </w:pPr>
      <w:r w:rsidRPr="00556941">
        <w:rPr>
          <w:rFonts w:eastAsia="Times New Roman" w:cs="Arial"/>
          <w:szCs w:val="24"/>
          <w:lang w:val="pt-BR" w:eastAsia="pt-BR"/>
        </w:rPr>
        <w:t xml:space="preserve">Além da análise qualitativa, estudos como o de </w:t>
      </w:r>
      <w:proofErr w:type="spellStart"/>
      <w:r w:rsidRPr="00556941">
        <w:rPr>
          <w:rFonts w:eastAsia="Times New Roman" w:cs="Arial"/>
          <w:szCs w:val="24"/>
          <w:lang w:val="pt-BR" w:eastAsia="pt-BR"/>
        </w:rPr>
        <w:t>Sundaram</w:t>
      </w:r>
      <w:proofErr w:type="spellEnd"/>
      <w:r w:rsidRPr="00556941">
        <w:rPr>
          <w:rFonts w:eastAsia="Times New Roman" w:cs="Arial"/>
          <w:szCs w:val="24"/>
          <w:lang w:val="pt-BR" w:eastAsia="pt-BR"/>
        </w:rPr>
        <w:t xml:space="preserve"> et al. (2025) sugerem que a própria IA pode ser utilizada como ferramenta metodológica para mapear redes de políticas públicas, fluxos de financiamento e padrões de interação entre atores em ecossistemas empreendedores. Essa possibilidade aponta caminhos para pesquisas futuras que, ao incorporar análise automatizada de grandes volumes de dados, podem ampliar a precisão na identificação de lacunas e oportunidades de políticas voltadas à governança dos hubs inteligentes</w:t>
      </w:r>
    </w:p>
    <w:p w14:paraId="27701737" w14:textId="1D5FF4E9" w:rsidR="003022B9" w:rsidRPr="00475253" w:rsidRDefault="003022B9" w:rsidP="00A80222">
      <w:pPr>
        <w:spacing w:after="0" w:line="240" w:lineRule="auto"/>
        <w:ind w:firstLine="720"/>
        <w:jc w:val="both"/>
        <w:rPr>
          <w:lang w:val="pt-BR"/>
        </w:rPr>
      </w:pPr>
      <w:r w:rsidRPr="00475253">
        <w:rPr>
          <w:lang w:val="pt-BR"/>
        </w:rPr>
        <w:t>Reconhece-se, contudo, que parte das evidências utilizadas deriva de fontes institucionais e relatórios de divulgação, que não passam pelo processo de revisão por pares. Embora úteis para caracterizar iniciativas recentes, essas fontes apresentam limitações quanto à robustez científica. Assim, futuras pesquisas deverão complementar este estudo com levantamentos empíricos primários e artigos indexados em bases internacionais, de modo a aumentar a validade e a confiabilidade das conclusões.</w:t>
      </w:r>
    </w:p>
    <w:p w14:paraId="054351DC" w14:textId="77777777" w:rsidR="00A80222" w:rsidRPr="00475253" w:rsidRDefault="00A80222" w:rsidP="00A80222">
      <w:pPr>
        <w:spacing w:after="0" w:line="240" w:lineRule="auto"/>
        <w:ind w:firstLine="720"/>
        <w:jc w:val="both"/>
        <w:rPr>
          <w:lang w:val="pt-BR"/>
        </w:rPr>
      </w:pPr>
    </w:p>
    <w:p w14:paraId="0CD9AEA2" w14:textId="1350F08E" w:rsidR="00AE74FE" w:rsidRPr="00475253" w:rsidRDefault="00AE74FE" w:rsidP="003578BF">
      <w:pPr>
        <w:pStyle w:val="Ttulo1"/>
        <w:keepNext w:val="0"/>
        <w:keepLines w:val="0"/>
        <w:spacing w:before="0" w:line="240" w:lineRule="auto"/>
        <w:jc w:val="both"/>
        <w:rPr>
          <w:rFonts w:ascii="Arial" w:hAnsi="Arial" w:cs="Arial"/>
          <w:bCs w:val="0"/>
          <w:color w:val="auto"/>
          <w:sz w:val="24"/>
          <w:szCs w:val="24"/>
          <w:lang w:val="pt-BR"/>
        </w:rPr>
      </w:pPr>
      <w:bookmarkStart w:id="5" w:name="_r2l0wh9xvd6i" w:colFirst="0" w:colLast="0"/>
      <w:bookmarkEnd w:id="5"/>
      <w:r w:rsidRPr="00475253">
        <w:rPr>
          <w:rFonts w:ascii="Arial" w:hAnsi="Arial" w:cs="Arial"/>
          <w:bCs w:val="0"/>
          <w:color w:val="auto"/>
          <w:sz w:val="24"/>
          <w:szCs w:val="24"/>
          <w:lang w:val="pt-BR"/>
        </w:rPr>
        <w:t>4.Resultados e discussão</w:t>
      </w:r>
    </w:p>
    <w:p w14:paraId="160D3F64" w14:textId="5668E3E1" w:rsidR="00AE74FE" w:rsidRPr="00475253" w:rsidRDefault="00AE74FE" w:rsidP="003578BF">
      <w:pPr>
        <w:pStyle w:val="Ttulo2"/>
        <w:keepNext w:val="0"/>
        <w:keepLines w:val="0"/>
        <w:spacing w:before="0" w:line="240" w:lineRule="auto"/>
        <w:jc w:val="both"/>
        <w:rPr>
          <w:rFonts w:ascii="Arial" w:hAnsi="Arial" w:cs="Arial"/>
          <w:b w:val="0"/>
          <w:color w:val="auto"/>
          <w:sz w:val="24"/>
          <w:szCs w:val="24"/>
          <w:lang w:val="pt-BR"/>
        </w:rPr>
      </w:pPr>
      <w:bookmarkStart w:id="6" w:name="_lqz7nyttkw0h" w:colFirst="0" w:colLast="0"/>
      <w:bookmarkEnd w:id="6"/>
      <w:r w:rsidRPr="00475253">
        <w:rPr>
          <w:rFonts w:ascii="Arial" w:hAnsi="Arial" w:cs="Arial"/>
          <w:b w:val="0"/>
          <w:color w:val="auto"/>
          <w:sz w:val="24"/>
          <w:szCs w:val="24"/>
          <w:lang w:val="pt-BR"/>
        </w:rPr>
        <w:t>4.1.Estratégias para incorporação de IA em ecossistemas de inovação</w:t>
      </w:r>
    </w:p>
    <w:p w14:paraId="15459E32" w14:textId="77777777" w:rsidR="00AE74FE" w:rsidRPr="00475253" w:rsidRDefault="00AE74FE" w:rsidP="003578BF">
      <w:pPr>
        <w:spacing w:after="0" w:line="240" w:lineRule="auto"/>
        <w:ind w:firstLine="720"/>
        <w:jc w:val="both"/>
        <w:rPr>
          <w:rFonts w:eastAsia="Times New Roman" w:cs="Arial"/>
          <w:szCs w:val="24"/>
          <w:lang w:val="pt-BR"/>
        </w:rPr>
      </w:pPr>
      <w:r w:rsidRPr="00475253">
        <w:rPr>
          <w:rFonts w:eastAsia="Times New Roman" w:cs="Arial"/>
          <w:szCs w:val="24"/>
          <w:lang w:val="pt-BR"/>
        </w:rPr>
        <w:t xml:space="preserve">A incorporação de inteligência artificial em hubs inteligentes demanda, em primeiro lugar, uma governança de dados sólida, com regras claras para coleta, uso e compartilhamento das informações. A experiência de cidades como Barcelona, que desenvolveu a política </w:t>
      </w:r>
      <w:r w:rsidRPr="00475253">
        <w:rPr>
          <w:rFonts w:eastAsia="Times New Roman" w:cs="Arial"/>
          <w:i/>
          <w:iCs/>
          <w:szCs w:val="24"/>
          <w:lang w:val="pt-BR"/>
        </w:rPr>
        <w:t>City Data Commons</w:t>
      </w:r>
      <w:r w:rsidRPr="00475253">
        <w:rPr>
          <w:rFonts w:eastAsia="Times New Roman" w:cs="Arial"/>
          <w:szCs w:val="24"/>
          <w:lang w:val="pt-BR"/>
        </w:rPr>
        <w:t xml:space="preserve"> para garantir transparência no uso de dados urbanos, evidencia como a ausência de governança pode comprometer a confiança dos atores envolvidos e limitar a adesão a novas soluções. Além da governança, o investimento em infraestrutura digital é condição essencial para sustentar o ecossistema. A implantação da rede 5G em hubs como o </w:t>
      </w:r>
      <w:proofErr w:type="spellStart"/>
      <w:r w:rsidRPr="00475253">
        <w:rPr>
          <w:rFonts w:eastAsia="Times New Roman" w:cs="Arial"/>
          <w:szCs w:val="24"/>
          <w:lang w:val="pt-BR"/>
        </w:rPr>
        <w:t>Station</w:t>
      </w:r>
      <w:proofErr w:type="spellEnd"/>
      <w:r w:rsidRPr="00475253">
        <w:rPr>
          <w:rFonts w:eastAsia="Times New Roman" w:cs="Arial"/>
          <w:szCs w:val="24"/>
          <w:lang w:val="pt-BR"/>
        </w:rPr>
        <w:t xml:space="preserve"> F (França) e o Porto Digital (Recife) mostra a importância de conectividade avançada, sensores distribuídos e plataformas em nuvem capazes de viabilizar soluções em tempo real.</w:t>
      </w:r>
    </w:p>
    <w:p w14:paraId="2AD2A6DA" w14:textId="77777777" w:rsidR="00AE74FE" w:rsidRPr="00475253" w:rsidRDefault="00AE74FE" w:rsidP="00A80222">
      <w:pPr>
        <w:spacing w:after="0" w:line="240" w:lineRule="auto"/>
        <w:ind w:firstLine="720"/>
        <w:jc w:val="both"/>
        <w:rPr>
          <w:rFonts w:eastAsia="Times New Roman" w:cs="Arial"/>
          <w:szCs w:val="24"/>
          <w:lang w:val="pt-BR"/>
        </w:rPr>
      </w:pPr>
      <w:r w:rsidRPr="00475253">
        <w:rPr>
          <w:rFonts w:eastAsia="Times New Roman" w:cs="Arial"/>
          <w:szCs w:val="24"/>
          <w:lang w:val="pt-BR"/>
        </w:rPr>
        <w:t xml:space="preserve">Outro aspecto central é a capacitação de talentos, visto que a qualidade do capital humano define a sustentabilidade das iniciativas. Programas de formação em IA e ciência de dados, como o AI </w:t>
      </w:r>
      <w:proofErr w:type="spellStart"/>
      <w:r w:rsidRPr="00475253">
        <w:rPr>
          <w:rFonts w:eastAsia="Times New Roman" w:cs="Arial"/>
          <w:szCs w:val="24"/>
          <w:lang w:val="pt-BR"/>
        </w:rPr>
        <w:t>Academy</w:t>
      </w:r>
      <w:proofErr w:type="spellEnd"/>
      <w:r w:rsidRPr="00475253">
        <w:rPr>
          <w:rFonts w:eastAsia="Times New Roman" w:cs="Arial"/>
          <w:szCs w:val="24"/>
          <w:lang w:val="pt-BR"/>
        </w:rPr>
        <w:t xml:space="preserve"> da NVIDIA e o MIT AI </w:t>
      </w:r>
      <w:proofErr w:type="spellStart"/>
      <w:r w:rsidRPr="00475253">
        <w:rPr>
          <w:rFonts w:eastAsia="Times New Roman" w:cs="Arial"/>
          <w:szCs w:val="24"/>
          <w:lang w:val="pt-BR"/>
        </w:rPr>
        <w:t>and</w:t>
      </w:r>
      <w:proofErr w:type="spellEnd"/>
      <w:r w:rsidRPr="00475253">
        <w:rPr>
          <w:rFonts w:eastAsia="Times New Roman" w:cs="Arial"/>
          <w:szCs w:val="24"/>
          <w:lang w:val="pt-BR"/>
        </w:rPr>
        <w:t xml:space="preserve"> Future </w:t>
      </w:r>
      <w:proofErr w:type="spellStart"/>
      <w:r w:rsidRPr="00475253">
        <w:rPr>
          <w:rFonts w:eastAsia="Times New Roman" w:cs="Arial"/>
          <w:szCs w:val="24"/>
          <w:lang w:val="pt-BR"/>
        </w:rPr>
        <w:t>of</w:t>
      </w:r>
      <w:proofErr w:type="spellEnd"/>
      <w:r w:rsidRPr="00475253">
        <w:rPr>
          <w:rFonts w:eastAsia="Times New Roman" w:cs="Arial"/>
          <w:szCs w:val="24"/>
          <w:lang w:val="pt-BR"/>
        </w:rPr>
        <w:t xml:space="preserve"> </w:t>
      </w:r>
      <w:proofErr w:type="spellStart"/>
      <w:r w:rsidRPr="00475253">
        <w:rPr>
          <w:rFonts w:eastAsia="Times New Roman" w:cs="Arial"/>
          <w:szCs w:val="24"/>
          <w:lang w:val="pt-BR"/>
        </w:rPr>
        <w:t>Work</w:t>
      </w:r>
      <w:proofErr w:type="spellEnd"/>
      <w:r w:rsidRPr="00475253">
        <w:rPr>
          <w:rFonts w:eastAsia="Times New Roman" w:cs="Arial"/>
          <w:szCs w:val="24"/>
          <w:lang w:val="pt-BR"/>
        </w:rPr>
        <w:t xml:space="preserve">, têm atraído estudantes e profissionais de diferentes países, reforçando o papel dos </w:t>
      </w:r>
      <w:r w:rsidRPr="00475253">
        <w:rPr>
          <w:rFonts w:eastAsia="Times New Roman" w:cs="Arial"/>
          <w:szCs w:val="24"/>
          <w:lang w:val="pt-BR"/>
        </w:rPr>
        <w:lastRenderedPageBreak/>
        <w:t xml:space="preserve">hubs na formação e retenção de especialistas. Nesse contexto, parcerias entre universidades, startups, empresas e governos assumem papel estratégico, pois ampliam o potencial de </w:t>
      </w:r>
      <w:proofErr w:type="spellStart"/>
      <w:r w:rsidRPr="00475253">
        <w:rPr>
          <w:rFonts w:eastAsia="Times New Roman" w:cs="Arial"/>
          <w:szCs w:val="24"/>
          <w:lang w:val="pt-BR"/>
        </w:rPr>
        <w:t>co-criação</w:t>
      </w:r>
      <w:proofErr w:type="spellEnd"/>
      <w:r w:rsidRPr="00475253">
        <w:rPr>
          <w:rFonts w:eastAsia="Times New Roman" w:cs="Arial"/>
          <w:szCs w:val="24"/>
          <w:lang w:val="pt-BR"/>
        </w:rPr>
        <w:t>. O caso do Distrito 22@ em Barcelona, que articula empresas globais com instituições locais de ensino e pesquisa, mostra como a cooperação entre diferentes atores favorece a inovação e acelera a geração de soluções digitais.</w:t>
      </w:r>
    </w:p>
    <w:p w14:paraId="6E57C5FF" w14:textId="0CA813B1" w:rsidR="00AE74FE" w:rsidRPr="00475253" w:rsidRDefault="00AE74FE" w:rsidP="00A80222">
      <w:pPr>
        <w:spacing w:after="0" w:line="240" w:lineRule="auto"/>
        <w:ind w:firstLine="720"/>
        <w:jc w:val="both"/>
        <w:rPr>
          <w:rFonts w:eastAsia="Times New Roman" w:cs="Arial"/>
          <w:szCs w:val="24"/>
          <w:lang w:val="pt-BR"/>
        </w:rPr>
      </w:pPr>
      <w:r w:rsidRPr="00475253">
        <w:rPr>
          <w:rFonts w:eastAsia="Times New Roman" w:cs="Arial"/>
          <w:szCs w:val="24"/>
          <w:lang w:val="pt-BR"/>
        </w:rPr>
        <w:t xml:space="preserve">A transformação digital também abre espaço para modelos de negócio inovadores, baseados em dados e serviços digitais. Plataformas como a </w:t>
      </w:r>
      <w:proofErr w:type="spellStart"/>
      <w:r w:rsidRPr="00475253">
        <w:rPr>
          <w:rFonts w:eastAsia="Times New Roman" w:cs="Arial"/>
          <w:szCs w:val="24"/>
          <w:lang w:val="pt-BR"/>
        </w:rPr>
        <w:t>iFood</w:t>
      </w:r>
      <w:proofErr w:type="spellEnd"/>
      <w:r w:rsidRPr="00475253">
        <w:rPr>
          <w:rFonts w:eastAsia="Times New Roman" w:cs="Arial"/>
          <w:szCs w:val="24"/>
          <w:lang w:val="pt-BR"/>
        </w:rPr>
        <w:t xml:space="preserve"> no Brasil, que utiliza IA para roteirização logística e recomendação de produtos, exemplificam a criação de valor a partir da experimentação em hubs de inovação. Ao mesmo tempo, a incorporação da inteligência artificial deve estar alinhada a compromissos de sustentabilidade e impacto social. Projetos como o Amazonia 4.0, que utiliza tecnologias digitais para agregar valor </w:t>
      </w:r>
      <w:proofErr w:type="spellStart"/>
      <w:r w:rsidRPr="00475253">
        <w:rPr>
          <w:rFonts w:eastAsia="Times New Roman" w:cs="Arial"/>
          <w:szCs w:val="24"/>
          <w:lang w:val="pt-BR"/>
        </w:rPr>
        <w:t>a</w:t>
      </w:r>
      <w:proofErr w:type="spellEnd"/>
      <w:r w:rsidRPr="00475253">
        <w:rPr>
          <w:rFonts w:eastAsia="Times New Roman" w:cs="Arial"/>
          <w:szCs w:val="24"/>
          <w:lang w:val="pt-BR"/>
        </w:rPr>
        <w:t xml:space="preserve"> cadeias produtivas sustentáveis, reforçam que os hubs não devem apenas buscar eficiência econômica, mas também endereçar desafios ambientais e sociais</w:t>
      </w:r>
      <w:r w:rsidR="00816926">
        <w:rPr>
          <w:rFonts w:eastAsia="Times New Roman" w:cs="Arial"/>
          <w:szCs w:val="24"/>
          <w:lang w:val="pt-BR"/>
        </w:rPr>
        <w:t xml:space="preserve"> (NOBRE, NOBRE, 2019).</w:t>
      </w:r>
    </w:p>
    <w:p w14:paraId="3853A872" w14:textId="77777777" w:rsidR="00AE74FE" w:rsidRPr="00475253" w:rsidRDefault="00AE74FE" w:rsidP="00A80222">
      <w:pPr>
        <w:spacing w:after="0" w:line="240" w:lineRule="auto"/>
        <w:ind w:firstLine="720"/>
        <w:jc w:val="both"/>
        <w:rPr>
          <w:rFonts w:eastAsia="Times New Roman" w:cs="Arial"/>
          <w:szCs w:val="24"/>
          <w:lang w:val="pt-BR"/>
        </w:rPr>
      </w:pPr>
      <w:r w:rsidRPr="00475253">
        <w:rPr>
          <w:rFonts w:eastAsia="Times New Roman" w:cs="Arial"/>
          <w:szCs w:val="24"/>
          <w:lang w:val="pt-BR"/>
        </w:rPr>
        <w:t xml:space="preserve">Por fim, a internacionalização dos hubs e sua inserção em redes globais ampliam a visibilidade e atraem investimentos. O caso do Taiwan Asia New </w:t>
      </w:r>
      <w:proofErr w:type="spellStart"/>
      <w:r w:rsidRPr="00475253">
        <w:rPr>
          <w:rFonts w:eastAsia="Times New Roman" w:cs="Arial"/>
          <w:szCs w:val="24"/>
          <w:lang w:val="pt-BR"/>
        </w:rPr>
        <w:t>Bay</w:t>
      </w:r>
      <w:proofErr w:type="spellEnd"/>
      <w:r w:rsidRPr="00475253">
        <w:rPr>
          <w:rFonts w:eastAsia="Times New Roman" w:cs="Arial"/>
          <w:szCs w:val="24"/>
          <w:lang w:val="pt-BR"/>
        </w:rPr>
        <w:t xml:space="preserve"> Area, que se consolidou como polo de inovação ao integrar-se a redes internacionais de tecnologia, demonstra como a articulação global fortalece a posição competitiva dos ecossistemas locais. Esses exemplos revelam que a transição dos ecossistemas tradicionais para hubs inteligentes não se limita à dimensão tecnológica, mas envolve escolhas políticas, sociais e estratégicas que moldam o futuro do desenvolvimento econômico regional.</w:t>
      </w:r>
    </w:p>
    <w:p w14:paraId="7C71EAF6" w14:textId="5895EE61"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A análise bibliográfica e o estudo dos casos </w:t>
      </w:r>
      <w:proofErr w:type="gramStart"/>
      <w:r w:rsidRPr="00475253">
        <w:rPr>
          <w:rFonts w:cs="Arial"/>
          <w:szCs w:val="24"/>
          <w:lang w:val="pt-BR"/>
        </w:rPr>
        <w:t>possibilitou</w:t>
      </w:r>
      <w:proofErr w:type="gramEnd"/>
      <w:r w:rsidRPr="00475253">
        <w:rPr>
          <w:rFonts w:cs="Arial"/>
          <w:szCs w:val="24"/>
          <w:lang w:val="pt-BR"/>
        </w:rPr>
        <w:t xml:space="preserve"> identificar sete estratégias convergentes para a transição de ecossistemas tradicionais para hubs inteligentes, conforme apresentado no quadro 1.</w:t>
      </w:r>
    </w:p>
    <w:p w14:paraId="0AE6D8E5" w14:textId="77777777" w:rsidR="00A80222" w:rsidRPr="00475253" w:rsidRDefault="00A80222" w:rsidP="00A80222">
      <w:pPr>
        <w:spacing w:after="0" w:line="240" w:lineRule="auto"/>
        <w:ind w:firstLine="720"/>
        <w:jc w:val="both"/>
        <w:rPr>
          <w:rFonts w:cs="Arial"/>
          <w:szCs w:val="24"/>
          <w:lang w:val="pt-BR"/>
        </w:rPr>
      </w:pPr>
    </w:p>
    <w:p w14:paraId="25B6A1B5" w14:textId="4E3CFA3A" w:rsidR="00A80222" w:rsidRPr="00475253" w:rsidRDefault="00AE74FE" w:rsidP="0086071B">
      <w:pPr>
        <w:spacing w:after="0" w:line="240" w:lineRule="auto"/>
        <w:outlineLvl w:val="1"/>
        <w:rPr>
          <w:rFonts w:eastAsia="Times New Roman" w:cs="Arial"/>
          <w:szCs w:val="24"/>
          <w:lang w:val="pt-BR" w:eastAsia="pt-BR"/>
        </w:rPr>
      </w:pPr>
      <w:r w:rsidRPr="00475253">
        <w:rPr>
          <w:rFonts w:eastAsia="Times New Roman" w:cs="Arial"/>
          <w:szCs w:val="24"/>
          <w:lang w:val="pt-BR" w:eastAsia="pt-BR"/>
        </w:rPr>
        <w:t xml:space="preserve">Quadro </w:t>
      </w:r>
      <w:r w:rsidRPr="00475253">
        <w:rPr>
          <w:rFonts w:eastAsia="Times New Roman" w:cs="Arial"/>
          <w:szCs w:val="24"/>
          <w:lang w:val="pt-BR"/>
        </w:rPr>
        <w:t xml:space="preserve">1 </w:t>
      </w:r>
      <w:r w:rsidRPr="00475253">
        <w:rPr>
          <w:rFonts w:eastAsia="Times New Roman" w:cs="Arial"/>
          <w:szCs w:val="24"/>
          <w:lang w:val="pt-BR" w:eastAsia="pt-BR"/>
        </w:rPr>
        <w:t>– Estratégias de Incorporação de IA em Hubs Inteligentes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
        <w:gridCol w:w="2410"/>
        <w:gridCol w:w="6342"/>
      </w:tblGrid>
      <w:tr w:rsidR="00475253" w:rsidRPr="00475253" w14:paraId="1475A375" w14:textId="77777777" w:rsidTr="007972C8">
        <w:trPr>
          <w:tblHeader/>
          <w:tblCellSpacing w:w="15" w:type="dxa"/>
        </w:trPr>
        <w:tc>
          <w:tcPr>
            <w:tcW w:w="0" w:type="auto"/>
            <w:vAlign w:val="center"/>
            <w:hideMark/>
          </w:tcPr>
          <w:p w14:paraId="6527D0FD" w14:textId="77777777" w:rsidR="0086071B" w:rsidRPr="00475253" w:rsidRDefault="0086071B" w:rsidP="007972C8">
            <w:pPr>
              <w:spacing w:after="0" w:line="240" w:lineRule="auto"/>
              <w:jc w:val="center"/>
              <w:rPr>
                <w:rFonts w:ascii="Arial Narrow" w:eastAsia="Times New Roman" w:hAnsi="Arial Narrow" w:cs="Times New Roman"/>
                <w:b/>
                <w:bCs/>
                <w:szCs w:val="24"/>
                <w:lang w:eastAsia="pt-BR"/>
              </w:rPr>
            </w:pPr>
            <w:r w:rsidRPr="00475253">
              <w:rPr>
                <w:rFonts w:ascii="Arial Narrow" w:eastAsia="Times New Roman" w:hAnsi="Arial Narrow" w:cs="Times New Roman"/>
                <w:b/>
                <w:bCs/>
                <w:szCs w:val="24"/>
                <w:lang w:eastAsia="pt-BR"/>
              </w:rPr>
              <w:t>Nº</w:t>
            </w:r>
          </w:p>
        </w:tc>
        <w:tc>
          <w:tcPr>
            <w:tcW w:w="0" w:type="auto"/>
            <w:vAlign w:val="center"/>
            <w:hideMark/>
          </w:tcPr>
          <w:p w14:paraId="438976D1" w14:textId="77777777" w:rsidR="0086071B" w:rsidRPr="00475253" w:rsidRDefault="0086071B" w:rsidP="007972C8">
            <w:pPr>
              <w:spacing w:after="0" w:line="240" w:lineRule="auto"/>
              <w:jc w:val="center"/>
              <w:rPr>
                <w:rFonts w:ascii="Arial Narrow" w:eastAsia="Times New Roman" w:hAnsi="Arial Narrow" w:cs="Times New Roman"/>
                <w:b/>
                <w:bCs/>
                <w:szCs w:val="24"/>
                <w:lang w:eastAsia="pt-BR"/>
              </w:rPr>
            </w:pPr>
            <w:r w:rsidRPr="00475253">
              <w:rPr>
                <w:rFonts w:ascii="Arial Narrow" w:eastAsia="Times New Roman" w:hAnsi="Arial Narrow" w:cs="Times New Roman"/>
                <w:b/>
                <w:bCs/>
                <w:szCs w:val="24"/>
              </w:rPr>
              <w:t>ESTRATÉGIA</w:t>
            </w:r>
          </w:p>
        </w:tc>
        <w:tc>
          <w:tcPr>
            <w:tcW w:w="0" w:type="auto"/>
            <w:vAlign w:val="center"/>
            <w:hideMark/>
          </w:tcPr>
          <w:p w14:paraId="0BA001E7" w14:textId="77777777" w:rsidR="0086071B" w:rsidRPr="00475253" w:rsidRDefault="0086071B" w:rsidP="007972C8">
            <w:pPr>
              <w:spacing w:after="0" w:line="240" w:lineRule="auto"/>
              <w:jc w:val="center"/>
              <w:rPr>
                <w:rFonts w:ascii="Arial Narrow" w:eastAsia="Times New Roman" w:hAnsi="Arial Narrow" w:cs="Times New Roman"/>
                <w:b/>
                <w:bCs/>
                <w:szCs w:val="24"/>
                <w:lang w:eastAsia="pt-BR"/>
              </w:rPr>
            </w:pPr>
            <w:r w:rsidRPr="00475253">
              <w:rPr>
                <w:rFonts w:ascii="Arial Narrow" w:eastAsia="Times New Roman" w:hAnsi="Arial Narrow" w:cs="Times New Roman"/>
                <w:b/>
                <w:bCs/>
                <w:szCs w:val="24"/>
              </w:rPr>
              <w:t>SÍNTESE</w:t>
            </w:r>
          </w:p>
        </w:tc>
      </w:tr>
      <w:tr w:rsidR="00475253" w:rsidRPr="00475253" w14:paraId="5CF78C11" w14:textId="77777777" w:rsidTr="007972C8">
        <w:trPr>
          <w:tblCellSpacing w:w="15" w:type="dxa"/>
        </w:trPr>
        <w:tc>
          <w:tcPr>
            <w:tcW w:w="0" w:type="auto"/>
            <w:vAlign w:val="center"/>
            <w:hideMark/>
          </w:tcPr>
          <w:p w14:paraId="000C7D40"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1</w:t>
            </w:r>
          </w:p>
        </w:tc>
        <w:tc>
          <w:tcPr>
            <w:tcW w:w="0" w:type="auto"/>
            <w:vAlign w:val="center"/>
            <w:hideMark/>
          </w:tcPr>
          <w:p w14:paraId="7A2DA722"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Governança</w:t>
            </w:r>
            <w:proofErr w:type="spellEnd"/>
            <w:r w:rsidRPr="00475253">
              <w:rPr>
                <w:rFonts w:ascii="Arial Narrow" w:eastAsia="Times New Roman" w:hAnsi="Arial Narrow" w:cs="Times New Roman"/>
                <w:szCs w:val="24"/>
                <w:lang w:eastAsia="pt-BR"/>
              </w:rPr>
              <w:t xml:space="preserve"> de Dados</w:t>
            </w:r>
          </w:p>
        </w:tc>
        <w:tc>
          <w:tcPr>
            <w:tcW w:w="0" w:type="auto"/>
            <w:vAlign w:val="center"/>
            <w:hideMark/>
          </w:tcPr>
          <w:p w14:paraId="4471CDF8"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Estabelecer políticas claras de coleta, uso e compartilhamento de dados, garantindo segurança, privacidade e transparência.</w:t>
            </w:r>
          </w:p>
        </w:tc>
      </w:tr>
      <w:tr w:rsidR="00475253" w:rsidRPr="00475253" w14:paraId="51EF6781" w14:textId="77777777" w:rsidTr="007972C8">
        <w:trPr>
          <w:tblCellSpacing w:w="15" w:type="dxa"/>
        </w:trPr>
        <w:tc>
          <w:tcPr>
            <w:tcW w:w="0" w:type="auto"/>
            <w:vAlign w:val="center"/>
            <w:hideMark/>
          </w:tcPr>
          <w:p w14:paraId="1FC55460"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2</w:t>
            </w:r>
          </w:p>
        </w:tc>
        <w:tc>
          <w:tcPr>
            <w:tcW w:w="0" w:type="auto"/>
            <w:vAlign w:val="center"/>
            <w:hideMark/>
          </w:tcPr>
          <w:p w14:paraId="7042A570"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Infraestrutura</w:t>
            </w:r>
            <w:proofErr w:type="spellEnd"/>
            <w:r w:rsidRPr="00475253">
              <w:rPr>
                <w:rFonts w:ascii="Arial Narrow" w:eastAsia="Times New Roman" w:hAnsi="Arial Narrow" w:cs="Times New Roman"/>
                <w:szCs w:val="24"/>
                <w:lang w:eastAsia="pt-BR"/>
              </w:rPr>
              <w:t xml:space="preserve"> Digital</w:t>
            </w:r>
          </w:p>
        </w:tc>
        <w:tc>
          <w:tcPr>
            <w:tcW w:w="0" w:type="auto"/>
            <w:vAlign w:val="center"/>
            <w:hideMark/>
          </w:tcPr>
          <w:p w14:paraId="47D1AD3A"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Investir em conectividade de alta velocidade, sensores, plataformas em nuvem e ambientes integrados para processamento massivo de dados.</w:t>
            </w:r>
          </w:p>
        </w:tc>
      </w:tr>
      <w:tr w:rsidR="00475253" w:rsidRPr="00475253" w14:paraId="5DC000A1" w14:textId="77777777" w:rsidTr="007972C8">
        <w:trPr>
          <w:tblCellSpacing w:w="15" w:type="dxa"/>
        </w:trPr>
        <w:tc>
          <w:tcPr>
            <w:tcW w:w="0" w:type="auto"/>
            <w:vAlign w:val="center"/>
            <w:hideMark/>
          </w:tcPr>
          <w:p w14:paraId="6862AD1B"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3</w:t>
            </w:r>
          </w:p>
        </w:tc>
        <w:tc>
          <w:tcPr>
            <w:tcW w:w="0" w:type="auto"/>
            <w:vAlign w:val="center"/>
            <w:hideMark/>
          </w:tcPr>
          <w:p w14:paraId="2C97DE92"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Capacitação</w:t>
            </w:r>
            <w:proofErr w:type="spellEnd"/>
            <w:r w:rsidRPr="00475253">
              <w:rPr>
                <w:rFonts w:ascii="Arial Narrow" w:eastAsia="Times New Roman" w:hAnsi="Arial Narrow" w:cs="Times New Roman"/>
                <w:szCs w:val="24"/>
                <w:lang w:eastAsia="pt-BR"/>
              </w:rPr>
              <w:t xml:space="preserve"> e </w:t>
            </w:r>
            <w:proofErr w:type="spellStart"/>
            <w:r w:rsidRPr="00475253">
              <w:rPr>
                <w:rFonts w:ascii="Arial Narrow" w:eastAsia="Times New Roman" w:hAnsi="Arial Narrow" w:cs="Times New Roman"/>
                <w:szCs w:val="24"/>
                <w:lang w:eastAsia="pt-BR"/>
              </w:rPr>
              <w:t>Talentos</w:t>
            </w:r>
            <w:proofErr w:type="spellEnd"/>
          </w:p>
        </w:tc>
        <w:tc>
          <w:tcPr>
            <w:tcW w:w="0" w:type="auto"/>
            <w:vAlign w:val="center"/>
            <w:hideMark/>
          </w:tcPr>
          <w:p w14:paraId="594240E2"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Desenvolver programas de formação em IA, ciência de dados e empreendedorismo digital para atrair e reter profissionais qualificados.</w:t>
            </w:r>
          </w:p>
        </w:tc>
      </w:tr>
      <w:tr w:rsidR="00475253" w:rsidRPr="00475253" w14:paraId="76514841" w14:textId="77777777" w:rsidTr="007972C8">
        <w:trPr>
          <w:tblCellSpacing w:w="15" w:type="dxa"/>
        </w:trPr>
        <w:tc>
          <w:tcPr>
            <w:tcW w:w="0" w:type="auto"/>
            <w:vAlign w:val="center"/>
            <w:hideMark/>
          </w:tcPr>
          <w:p w14:paraId="29E51B39"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4</w:t>
            </w:r>
          </w:p>
        </w:tc>
        <w:tc>
          <w:tcPr>
            <w:tcW w:w="0" w:type="auto"/>
            <w:vAlign w:val="center"/>
            <w:hideMark/>
          </w:tcPr>
          <w:p w14:paraId="5552216A"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Parcerias</w:t>
            </w:r>
            <w:proofErr w:type="spellEnd"/>
            <w:r w:rsidRPr="00475253">
              <w:rPr>
                <w:rFonts w:ascii="Arial Narrow" w:eastAsia="Times New Roman" w:hAnsi="Arial Narrow" w:cs="Times New Roman"/>
                <w:szCs w:val="24"/>
                <w:lang w:eastAsia="pt-BR"/>
              </w:rPr>
              <w:t xml:space="preserve"> e </w:t>
            </w:r>
            <w:proofErr w:type="spellStart"/>
            <w:r w:rsidRPr="00475253">
              <w:rPr>
                <w:rFonts w:ascii="Arial Narrow" w:eastAsia="Times New Roman" w:hAnsi="Arial Narrow" w:cs="Times New Roman"/>
                <w:szCs w:val="24"/>
                <w:lang w:eastAsia="pt-BR"/>
              </w:rPr>
              <w:t>Ecossistema</w:t>
            </w:r>
            <w:proofErr w:type="spellEnd"/>
          </w:p>
        </w:tc>
        <w:tc>
          <w:tcPr>
            <w:tcW w:w="0" w:type="auto"/>
            <w:vAlign w:val="center"/>
            <w:hideMark/>
          </w:tcPr>
          <w:p w14:paraId="4AD8B2D4"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 xml:space="preserve">Promover cooperação entre universidades, empresas, startups e governo, estimulando a </w:t>
            </w:r>
            <w:proofErr w:type="spellStart"/>
            <w:r w:rsidRPr="00475253">
              <w:rPr>
                <w:rFonts w:ascii="Arial Narrow" w:eastAsia="Times New Roman" w:hAnsi="Arial Narrow" w:cs="Times New Roman"/>
                <w:szCs w:val="24"/>
                <w:lang w:val="pt-BR" w:eastAsia="pt-BR"/>
              </w:rPr>
              <w:t>co-criação</w:t>
            </w:r>
            <w:proofErr w:type="spellEnd"/>
            <w:r w:rsidRPr="00475253">
              <w:rPr>
                <w:rFonts w:ascii="Arial Narrow" w:eastAsia="Times New Roman" w:hAnsi="Arial Narrow" w:cs="Times New Roman"/>
                <w:szCs w:val="24"/>
                <w:lang w:val="pt-BR" w:eastAsia="pt-BR"/>
              </w:rPr>
              <w:t xml:space="preserve"> de soluções baseadas em IA.</w:t>
            </w:r>
          </w:p>
        </w:tc>
      </w:tr>
      <w:tr w:rsidR="00475253" w:rsidRPr="00475253" w14:paraId="2566FF79" w14:textId="77777777" w:rsidTr="007972C8">
        <w:trPr>
          <w:tblCellSpacing w:w="15" w:type="dxa"/>
        </w:trPr>
        <w:tc>
          <w:tcPr>
            <w:tcW w:w="0" w:type="auto"/>
            <w:vAlign w:val="center"/>
            <w:hideMark/>
          </w:tcPr>
          <w:p w14:paraId="274DCC44"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5</w:t>
            </w:r>
          </w:p>
        </w:tc>
        <w:tc>
          <w:tcPr>
            <w:tcW w:w="0" w:type="auto"/>
            <w:vAlign w:val="center"/>
            <w:hideMark/>
          </w:tcPr>
          <w:p w14:paraId="6EA220D8"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Modelos</w:t>
            </w:r>
            <w:proofErr w:type="spellEnd"/>
            <w:r w:rsidRPr="00475253">
              <w:rPr>
                <w:rFonts w:ascii="Arial Narrow" w:eastAsia="Times New Roman" w:hAnsi="Arial Narrow" w:cs="Times New Roman"/>
                <w:szCs w:val="24"/>
                <w:lang w:eastAsia="pt-BR"/>
              </w:rPr>
              <w:t xml:space="preserve"> de </w:t>
            </w:r>
            <w:proofErr w:type="spellStart"/>
            <w:r w:rsidRPr="00475253">
              <w:rPr>
                <w:rFonts w:ascii="Arial Narrow" w:eastAsia="Times New Roman" w:hAnsi="Arial Narrow" w:cs="Times New Roman"/>
                <w:szCs w:val="24"/>
                <w:lang w:eastAsia="pt-BR"/>
              </w:rPr>
              <w:t>Negócio</w:t>
            </w:r>
            <w:proofErr w:type="spellEnd"/>
            <w:r w:rsidRPr="00475253">
              <w:rPr>
                <w:rFonts w:ascii="Arial Narrow" w:eastAsia="Times New Roman" w:hAnsi="Arial Narrow" w:cs="Times New Roman"/>
                <w:szCs w:val="24"/>
                <w:lang w:eastAsia="pt-BR"/>
              </w:rPr>
              <w:t xml:space="preserve"> </w:t>
            </w:r>
            <w:proofErr w:type="spellStart"/>
            <w:r w:rsidRPr="00475253">
              <w:rPr>
                <w:rFonts w:ascii="Arial Narrow" w:eastAsia="Times New Roman" w:hAnsi="Arial Narrow" w:cs="Times New Roman"/>
                <w:szCs w:val="24"/>
                <w:lang w:eastAsia="pt-BR"/>
              </w:rPr>
              <w:t>Inovadores</w:t>
            </w:r>
            <w:proofErr w:type="spellEnd"/>
          </w:p>
        </w:tc>
        <w:tc>
          <w:tcPr>
            <w:tcW w:w="0" w:type="auto"/>
            <w:vAlign w:val="center"/>
            <w:hideMark/>
          </w:tcPr>
          <w:p w14:paraId="5CD2FDFF"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 xml:space="preserve">Explorar serviços digitais, </w:t>
            </w:r>
            <w:proofErr w:type="spellStart"/>
            <w:r w:rsidRPr="00475253">
              <w:rPr>
                <w:rFonts w:ascii="Arial Narrow" w:eastAsia="Times New Roman" w:hAnsi="Arial Narrow" w:cs="Times New Roman"/>
                <w:szCs w:val="24"/>
                <w:lang w:val="pt-BR" w:eastAsia="pt-BR"/>
              </w:rPr>
              <w:t>marketplaces</w:t>
            </w:r>
            <w:proofErr w:type="spellEnd"/>
            <w:r w:rsidRPr="00475253">
              <w:rPr>
                <w:rFonts w:ascii="Arial Narrow" w:eastAsia="Times New Roman" w:hAnsi="Arial Narrow" w:cs="Times New Roman"/>
                <w:szCs w:val="24"/>
                <w:lang w:val="pt-BR" w:eastAsia="pt-BR"/>
              </w:rPr>
              <w:t xml:space="preserve"> e soluções baseadas em dados, criando valor a partir da aplicação prática da IA.</w:t>
            </w:r>
          </w:p>
        </w:tc>
      </w:tr>
      <w:tr w:rsidR="00475253" w:rsidRPr="00475253" w14:paraId="064C3EB2" w14:textId="77777777" w:rsidTr="007972C8">
        <w:trPr>
          <w:tblCellSpacing w:w="15" w:type="dxa"/>
        </w:trPr>
        <w:tc>
          <w:tcPr>
            <w:tcW w:w="0" w:type="auto"/>
            <w:vAlign w:val="center"/>
            <w:hideMark/>
          </w:tcPr>
          <w:p w14:paraId="7B6384A5"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6</w:t>
            </w:r>
          </w:p>
        </w:tc>
        <w:tc>
          <w:tcPr>
            <w:tcW w:w="0" w:type="auto"/>
            <w:vAlign w:val="center"/>
            <w:hideMark/>
          </w:tcPr>
          <w:p w14:paraId="33E496EB"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Sustentabilidade</w:t>
            </w:r>
            <w:proofErr w:type="spellEnd"/>
            <w:r w:rsidRPr="00475253">
              <w:rPr>
                <w:rFonts w:ascii="Arial Narrow" w:eastAsia="Times New Roman" w:hAnsi="Arial Narrow" w:cs="Times New Roman"/>
                <w:szCs w:val="24"/>
                <w:lang w:eastAsia="pt-BR"/>
              </w:rPr>
              <w:t xml:space="preserve"> e </w:t>
            </w:r>
            <w:proofErr w:type="spellStart"/>
            <w:r w:rsidRPr="00475253">
              <w:rPr>
                <w:rFonts w:ascii="Arial Narrow" w:eastAsia="Times New Roman" w:hAnsi="Arial Narrow" w:cs="Times New Roman"/>
                <w:szCs w:val="24"/>
                <w:lang w:eastAsia="pt-BR"/>
              </w:rPr>
              <w:t>Impacto</w:t>
            </w:r>
            <w:proofErr w:type="spellEnd"/>
            <w:r w:rsidRPr="00475253">
              <w:rPr>
                <w:rFonts w:ascii="Arial Narrow" w:eastAsia="Times New Roman" w:hAnsi="Arial Narrow" w:cs="Times New Roman"/>
                <w:szCs w:val="24"/>
                <w:lang w:eastAsia="pt-BR"/>
              </w:rPr>
              <w:t xml:space="preserve"> Social</w:t>
            </w:r>
          </w:p>
        </w:tc>
        <w:tc>
          <w:tcPr>
            <w:tcW w:w="0" w:type="auto"/>
            <w:vAlign w:val="center"/>
            <w:hideMark/>
          </w:tcPr>
          <w:p w14:paraId="637E7B47"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Direcionar a aplicação de IA para desafios ambientais e sociais, reforçando o papel dos hubs como agentes de transformação responsável.</w:t>
            </w:r>
          </w:p>
        </w:tc>
      </w:tr>
      <w:tr w:rsidR="00475253" w:rsidRPr="00475253" w14:paraId="3D24ACE2" w14:textId="77777777" w:rsidTr="007972C8">
        <w:trPr>
          <w:tblCellSpacing w:w="15" w:type="dxa"/>
        </w:trPr>
        <w:tc>
          <w:tcPr>
            <w:tcW w:w="0" w:type="auto"/>
            <w:vAlign w:val="center"/>
            <w:hideMark/>
          </w:tcPr>
          <w:p w14:paraId="360DD55B"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r w:rsidRPr="00475253">
              <w:rPr>
                <w:rFonts w:ascii="Arial Narrow" w:eastAsia="Times New Roman" w:hAnsi="Arial Narrow" w:cs="Times New Roman"/>
                <w:szCs w:val="24"/>
                <w:lang w:eastAsia="pt-BR"/>
              </w:rPr>
              <w:t>7</w:t>
            </w:r>
          </w:p>
        </w:tc>
        <w:tc>
          <w:tcPr>
            <w:tcW w:w="0" w:type="auto"/>
            <w:vAlign w:val="center"/>
            <w:hideMark/>
          </w:tcPr>
          <w:p w14:paraId="4BBEE1B8" w14:textId="77777777" w:rsidR="0086071B" w:rsidRPr="00475253" w:rsidRDefault="0086071B" w:rsidP="007972C8">
            <w:pPr>
              <w:spacing w:after="0" w:line="240" w:lineRule="auto"/>
              <w:jc w:val="center"/>
              <w:rPr>
                <w:rFonts w:ascii="Arial Narrow" w:eastAsia="Times New Roman" w:hAnsi="Arial Narrow" w:cs="Times New Roman"/>
                <w:szCs w:val="24"/>
                <w:lang w:eastAsia="pt-BR"/>
              </w:rPr>
            </w:pPr>
            <w:proofErr w:type="spellStart"/>
            <w:r w:rsidRPr="00475253">
              <w:rPr>
                <w:rFonts w:ascii="Arial Narrow" w:eastAsia="Times New Roman" w:hAnsi="Arial Narrow" w:cs="Times New Roman"/>
                <w:szCs w:val="24"/>
                <w:lang w:eastAsia="pt-BR"/>
              </w:rPr>
              <w:t>Internacionalização</w:t>
            </w:r>
            <w:proofErr w:type="spellEnd"/>
            <w:r w:rsidRPr="00475253">
              <w:rPr>
                <w:rFonts w:ascii="Arial Narrow" w:eastAsia="Times New Roman" w:hAnsi="Arial Narrow" w:cs="Times New Roman"/>
                <w:szCs w:val="24"/>
                <w:lang w:eastAsia="pt-BR"/>
              </w:rPr>
              <w:t xml:space="preserve"> e Redes </w:t>
            </w:r>
            <w:proofErr w:type="spellStart"/>
            <w:r w:rsidRPr="00475253">
              <w:rPr>
                <w:rFonts w:ascii="Arial Narrow" w:eastAsia="Times New Roman" w:hAnsi="Arial Narrow" w:cs="Times New Roman"/>
                <w:szCs w:val="24"/>
                <w:lang w:eastAsia="pt-BR"/>
              </w:rPr>
              <w:t>Globais</w:t>
            </w:r>
            <w:proofErr w:type="spellEnd"/>
          </w:p>
        </w:tc>
        <w:tc>
          <w:tcPr>
            <w:tcW w:w="0" w:type="auto"/>
            <w:vAlign w:val="center"/>
            <w:hideMark/>
          </w:tcPr>
          <w:p w14:paraId="74E62BA1" w14:textId="77777777" w:rsidR="0086071B" w:rsidRPr="00475253" w:rsidRDefault="0086071B" w:rsidP="007972C8">
            <w:pPr>
              <w:spacing w:after="0" w:line="240" w:lineRule="auto"/>
              <w:jc w:val="both"/>
              <w:rPr>
                <w:rFonts w:ascii="Arial Narrow" w:eastAsia="Times New Roman" w:hAnsi="Arial Narrow" w:cs="Times New Roman"/>
                <w:szCs w:val="24"/>
                <w:lang w:val="pt-BR" w:eastAsia="pt-BR"/>
              </w:rPr>
            </w:pPr>
            <w:r w:rsidRPr="00475253">
              <w:rPr>
                <w:rFonts w:ascii="Arial Narrow" w:eastAsia="Times New Roman" w:hAnsi="Arial Narrow" w:cs="Times New Roman"/>
                <w:szCs w:val="24"/>
                <w:lang w:val="pt-BR" w:eastAsia="pt-BR"/>
              </w:rPr>
              <w:t>Inserir os hubs em redes internacionais de inovação, favorecendo transferência de conhecimento, atração de investimentos e benchmarking.</w:t>
            </w:r>
          </w:p>
        </w:tc>
      </w:tr>
    </w:tbl>
    <w:p w14:paraId="46EB9DE9" w14:textId="793152E3" w:rsidR="00AE74FE" w:rsidRPr="00475253" w:rsidRDefault="00AE74FE" w:rsidP="0086071B">
      <w:pPr>
        <w:spacing w:after="0" w:line="240" w:lineRule="auto"/>
        <w:jc w:val="both"/>
        <w:rPr>
          <w:rFonts w:cs="Arial"/>
          <w:szCs w:val="24"/>
          <w:lang w:val="pt-BR"/>
        </w:rPr>
      </w:pPr>
      <w:r w:rsidRPr="00475253">
        <w:rPr>
          <w:rFonts w:cs="Arial"/>
          <w:szCs w:val="24"/>
          <w:lang w:val="pt-BR"/>
        </w:rPr>
        <w:t>Fonte: Resultados da pesquisa, elaborado pelos autores.</w:t>
      </w:r>
    </w:p>
    <w:p w14:paraId="7445B87D" w14:textId="77777777" w:rsidR="001A1AA8" w:rsidRPr="00475253" w:rsidRDefault="001A1AA8" w:rsidP="0086071B">
      <w:pPr>
        <w:spacing w:after="0" w:line="240" w:lineRule="auto"/>
        <w:jc w:val="both"/>
        <w:rPr>
          <w:rFonts w:cs="Arial"/>
          <w:szCs w:val="24"/>
          <w:lang w:val="pt-BR"/>
        </w:rPr>
      </w:pPr>
    </w:p>
    <w:p w14:paraId="7EB29E9A" w14:textId="77777777" w:rsidR="00AE74FE" w:rsidRPr="00475253" w:rsidRDefault="00AE74FE" w:rsidP="0086071B">
      <w:pPr>
        <w:pStyle w:val="Ttulo2"/>
        <w:keepNext w:val="0"/>
        <w:keepLines w:val="0"/>
        <w:spacing w:before="0" w:line="240" w:lineRule="auto"/>
        <w:jc w:val="both"/>
        <w:rPr>
          <w:rFonts w:ascii="Arial" w:hAnsi="Arial" w:cs="Arial"/>
          <w:b w:val="0"/>
          <w:color w:val="auto"/>
          <w:sz w:val="24"/>
          <w:szCs w:val="24"/>
          <w:lang w:val="pt-BR"/>
        </w:rPr>
      </w:pPr>
      <w:bookmarkStart w:id="7" w:name="_vs4r7hc6se9d" w:colFirst="0" w:colLast="0"/>
      <w:bookmarkEnd w:id="7"/>
      <w:r w:rsidRPr="00475253">
        <w:rPr>
          <w:rFonts w:ascii="Arial" w:hAnsi="Arial" w:cs="Arial"/>
          <w:b w:val="0"/>
          <w:color w:val="auto"/>
          <w:sz w:val="24"/>
          <w:szCs w:val="24"/>
          <w:lang w:val="pt-BR"/>
        </w:rPr>
        <w:lastRenderedPageBreak/>
        <w:t>4.2.Comparação entre ecossistemas tradicionais e hubs inteligentes</w:t>
      </w:r>
    </w:p>
    <w:p w14:paraId="257B785A" w14:textId="2D7589CF" w:rsidR="00AE74FE" w:rsidRPr="00475253" w:rsidRDefault="0086071B" w:rsidP="00A80222">
      <w:pPr>
        <w:spacing w:after="0" w:line="240" w:lineRule="auto"/>
        <w:ind w:firstLine="720"/>
        <w:jc w:val="both"/>
        <w:rPr>
          <w:rFonts w:cs="Arial"/>
          <w:szCs w:val="24"/>
          <w:lang w:val="pt-BR"/>
        </w:rPr>
      </w:pPr>
      <w:r w:rsidRPr="00475253">
        <w:rPr>
          <w:rFonts w:cs="Arial"/>
          <w:szCs w:val="24"/>
          <w:lang w:val="pt-BR"/>
        </w:rPr>
        <w:t>O quadro 2</w:t>
      </w:r>
      <w:r w:rsidR="00AE74FE" w:rsidRPr="00475253">
        <w:rPr>
          <w:rFonts w:cs="Arial"/>
          <w:szCs w:val="24"/>
          <w:lang w:val="pt-BR"/>
        </w:rPr>
        <w:t xml:space="preserve"> sintetiza as principais diferenças entre ecossistemas tradicionais de inovação e hubs inteligentes, considerando foco, infraestrutura, tecnologias, governança e métricas.</w:t>
      </w:r>
    </w:p>
    <w:p w14:paraId="7EAB5D51" w14:textId="77777777" w:rsidR="0086071B" w:rsidRPr="00475253" w:rsidRDefault="0086071B" w:rsidP="00A80222">
      <w:pPr>
        <w:spacing w:after="0" w:line="240" w:lineRule="auto"/>
        <w:ind w:firstLine="720"/>
        <w:jc w:val="both"/>
        <w:rPr>
          <w:rFonts w:cs="Arial"/>
          <w:szCs w:val="24"/>
          <w:lang w:val="pt-BR"/>
        </w:rPr>
      </w:pPr>
    </w:p>
    <w:p w14:paraId="0CC4D8A9" w14:textId="5D409906" w:rsidR="00AE74FE" w:rsidRPr="00475253" w:rsidRDefault="0086071B" w:rsidP="0086071B">
      <w:pPr>
        <w:spacing w:after="0" w:line="240" w:lineRule="auto"/>
        <w:jc w:val="both"/>
        <w:rPr>
          <w:rFonts w:cs="Arial"/>
          <w:szCs w:val="24"/>
          <w:lang w:val="pt-BR"/>
        </w:rPr>
      </w:pPr>
      <w:r w:rsidRPr="00475253">
        <w:rPr>
          <w:rFonts w:cs="Arial"/>
          <w:szCs w:val="24"/>
          <w:lang w:val="pt-BR"/>
        </w:rPr>
        <w:t xml:space="preserve">Quadro 2 </w:t>
      </w:r>
      <w:r w:rsidR="00127552" w:rsidRPr="00475253">
        <w:rPr>
          <w:rFonts w:cs="Arial"/>
          <w:szCs w:val="24"/>
          <w:lang w:val="pt-BR"/>
        </w:rPr>
        <w:t>–</w:t>
      </w:r>
      <w:r w:rsidRPr="00475253">
        <w:rPr>
          <w:rFonts w:cs="Arial"/>
          <w:szCs w:val="24"/>
          <w:lang w:val="pt-BR"/>
        </w:rPr>
        <w:t xml:space="preserve"> </w:t>
      </w:r>
      <w:r w:rsidR="00AE74FE" w:rsidRPr="00475253">
        <w:rPr>
          <w:rFonts w:cs="Arial"/>
          <w:szCs w:val="24"/>
          <w:lang w:val="pt-BR"/>
        </w:rPr>
        <w:t>Diferenças entre ecossistema tradicional e hub inteligente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6"/>
        <w:gridCol w:w="4213"/>
        <w:gridCol w:w="3582"/>
      </w:tblGrid>
      <w:tr w:rsidR="00475253" w:rsidRPr="00FF5079" w14:paraId="1FA8F187" w14:textId="77777777" w:rsidTr="007972C8">
        <w:trPr>
          <w:tblHeader/>
          <w:tblCellSpacing w:w="15" w:type="dxa"/>
        </w:trPr>
        <w:tc>
          <w:tcPr>
            <w:tcW w:w="0" w:type="auto"/>
            <w:vAlign w:val="center"/>
            <w:hideMark/>
          </w:tcPr>
          <w:p w14:paraId="68149209" w14:textId="0B3BFB58" w:rsidR="00127552" w:rsidRPr="00FF5079" w:rsidRDefault="00127552" w:rsidP="007972C8">
            <w:pPr>
              <w:spacing w:after="0" w:line="240" w:lineRule="auto"/>
              <w:jc w:val="center"/>
              <w:rPr>
                <w:rFonts w:ascii="Arial Narrow" w:eastAsia="Times New Roman" w:hAnsi="Arial Narrow" w:cs="Times New Roman"/>
                <w:b/>
                <w:bCs/>
                <w:szCs w:val="24"/>
                <w:lang w:eastAsia="pt-BR"/>
              </w:rPr>
            </w:pPr>
            <w:bookmarkStart w:id="8" w:name="_oz06rrs26rdg" w:colFirst="0" w:colLast="0"/>
            <w:bookmarkEnd w:id="8"/>
            <w:r w:rsidRPr="00475253">
              <w:rPr>
                <w:rFonts w:ascii="Arial Narrow" w:eastAsia="Times New Roman" w:hAnsi="Arial Narrow" w:cs="Times New Roman"/>
                <w:b/>
                <w:bCs/>
                <w:szCs w:val="24"/>
                <w:lang w:eastAsia="pt-BR"/>
              </w:rPr>
              <w:t>DIMENSÃO</w:t>
            </w:r>
          </w:p>
        </w:tc>
        <w:tc>
          <w:tcPr>
            <w:tcW w:w="0" w:type="auto"/>
            <w:vAlign w:val="center"/>
            <w:hideMark/>
          </w:tcPr>
          <w:p w14:paraId="7833560E" w14:textId="293CE0FF" w:rsidR="00127552" w:rsidRPr="00FF5079" w:rsidRDefault="00127552" w:rsidP="007972C8">
            <w:pPr>
              <w:spacing w:after="0" w:line="240" w:lineRule="auto"/>
              <w:jc w:val="center"/>
              <w:rPr>
                <w:rFonts w:ascii="Arial Narrow" w:eastAsia="Times New Roman" w:hAnsi="Arial Narrow" w:cs="Times New Roman"/>
                <w:b/>
                <w:bCs/>
                <w:szCs w:val="24"/>
                <w:lang w:eastAsia="pt-BR"/>
              </w:rPr>
            </w:pPr>
            <w:r w:rsidRPr="00475253">
              <w:rPr>
                <w:rFonts w:ascii="Arial Narrow" w:eastAsia="Times New Roman" w:hAnsi="Arial Narrow" w:cs="Times New Roman"/>
                <w:b/>
                <w:bCs/>
                <w:szCs w:val="24"/>
                <w:lang w:eastAsia="pt-BR"/>
              </w:rPr>
              <w:t>ECOSSISTEMA TRADICIONAL</w:t>
            </w:r>
          </w:p>
        </w:tc>
        <w:tc>
          <w:tcPr>
            <w:tcW w:w="0" w:type="auto"/>
            <w:vAlign w:val="center"/>
            <w:hideMark/>
          </w:tcPr>
          <w:p w14:paraId="647961C7" w14:textId="7EA01EE2" w:rsidR="00127552" w:rsidRPr="00FF5079" w:rsidRDefault="00127552" w:rsidP="007972C8">
            <w:pPr>
              <w:spacing w:after="0" w:line="240" w:lineRule="auto"/>
              <w:jc w:val="center"/>
              <w:rPr>
                <w:rFonts w:ascii="Arial Narrow" w:eastAsia="Times New Roman" w:hAnsi="Arial Narrow" w:cs="Times New Roman"/>
                <w:b/>
                <w:bCs/>
                <w:szCs w:val="24"/>
                <w:lang w:eastAsia="pt-BR"/>
              </w:rPr>
            </w:pPr>
            <w:r w:rsidRPr="00475253">
              <w:rPr>
                <w:rFonts w:ascii="Arial Narrow" w:eastAsia="Times New Roman" w:hAnsi="Arial Narrow" w:cs="Times New Roman"/>
                <w:b/>
                <w:bCs/>
                <w:szCs w:val="24"/>
                <w:lang w:eastAsia="pt-BR"/>
              </w:rPr>
              <w:t>HUB INTELIGENTE</w:t>
            </w:r>
          </w:p>
        </w:tc>
      </w:tr>
      <w:tr w:rsidR="00475253" w:rsidRPr="00FF5079" w14:paraId="3AA58AC9" w14:textId="77777777" w:rsidTr="007972C8">
        <w:trPr>
          <w:tblCellSpacing w:w="15" w:type="dxa"/>
        </w:trPr>
        <w:tc>
          <w:tcPr>
            <w:tcW w:w="0" w:type="auto"/>
            <w:vAlign w:val="center"/>
            <w:hideMark/>
          </w:tcPr>
          <w:p w14:paraId="2F46808A" w14:textId="77777777" w:rsidR="00127552" w:rsidRPr="00FF5079" w:rsidRDefault="00127552" w:rsidP="00127552">
            <w:pPr>
              <w:spacing w:after="0" w:line="240" w:lineRule="auto"/>
              <w:jc w:val="center"/>
              <w:rPr>
                <w:rFonts w:ascii="Arial Narrow" w:eastAsia="Times New Roman" w:hAnsi="Arial Narrow" w:cs="Times New Roman"/>
                <w:szCs w:val="24"/>
                <w:lang w:eastAsia="pt-BR"/>
              </w:rPr>
            </w:pPr>
            <w:proofErr w:type="spellStart"/>
            <w:r w:rsidRPr="00FF5079">
              <w:rPr>
                <w:rFonts w:ascii="Arial Narrow" w:eastAsia="Times New Roman" w:hAnsi="Arial Narrow" w:cs="Times New Roman"/>
                <w:szCs w:val="24"/>
                <w:lang w:eastAsia="pt-BR"/>
              </w:rPr>
              <w:t>Foco</w:t>
            </w:r>
            <w:proofErr w:type="spellEnd"/>
          </w:p>
        </w:tc>
        <w:tc>
          <w:tcPr>
            <w:tcW w:w="0" w:type="auto"/>
            <w:vAlign w:val="center"/>
            <w:hideMark/>
          </w:tcPr>
          <w:p w14:paraId="3EBE0653" w14:textId="77777777" w:rsidR="00127552" w:rsidRPr="00FF5079" w:rsidRDefault="00127552" w:rsidP="007972C8">
            <w:pPr>
              <w:spacing w:after="0" w:line="240" w:lineRule="auto"/>
              <w:rPr>
                <w:rFonts w:ascii="Arial Narrow" w:eastAsia="Times New Roman" w:hAnsi="Arial Narrow" w:cs="Times New Roman"/>
                <w:szCs w:val="24"/>
                <w:lang w:eastAsia="pt-BR"/>
              </w:rPr>
            </w:pPr>
            <w:r w:rsidRPr="00FF5079">
              <w:rPr>
                <w:rFonts w:ascii="Arial Narrow" w:eastAsia="Times New Roman" w:hAnsi="Arial Narrow" w:cs="Times New Roman"/>
                <w:szCs w:val="24"/>
                <w:lang w:val="pt-BR" w:eastAsia="pt-BR"/>
              </w:rPr>
              <w:t xml:space="preserve">Ênfase em </w:t>
            </w:r>
            <w:proofErr w:type="spellStart"/>
            <w:r w:rsidRPr="00FF5079">
              <w:rPr>
                <w:rFonts w:ascii="Arial Narrow" w:eastAsia="Times New Roman" w:hAnsi="Arial Narrow" w:cs="Times New Roman"/>
                <w:szCs w:val="24"/>
                <w:lang w:val="pt-BR" w:eastAsia="pt-BR"/>
              </w:rPr>
              <w:t>co-localização</w:t>
            </w:r>
            <w:proofErr w:type="spellEnd"/>
            <w:r w:rsidRPr="00FF5079">
              <w:rPr>
                <w:rFonts w:ascii="Arial Narrow" w:eastAsia="Times New Roman" w:hAnsi="Arial Narrow" w:cs="Times New Roman"/>
                <w:szCs w:val="24"/>
                <w:lang w:val="pt-BR" w:eastAsia="pt-BR"/>
              </w:rPr>
              <w:t xml:space="preserve"> física e suporte básico (infraestrutura e serviços administrativos). </w:t>
            </w:r>
            <w:r w:rsidRPr="00FF5079">
              <w:rPr>
                <w:rFonts w:ascii="Arial Narrow" w:eastAsia="Times New Roman" w:hAnsi="Arial Narrow" w:cs="Times New Roman"/>
                <w:szCs w:val="24"/>
                <w:lang w:eastAsia="pt-BR"/>
              </w:rPr>
              <w:t xml:space="preserve">Ex.: Parque </w:t>
            </w:r>
            <w:proofErr w:type="spellStart"/>
            <w:r w:rsidRPr="00FF5079">
              <w:rPr>
                <w:rFonts w:ascii="Arial Narrow" w:eastAsia="Times New Roman" w:hAnsi="Arial Narrow" w:cs="Times New Roman"/>
                <w:szCs w:val="24"/>
                <w:lang w:eastAsia="pt-BR"/>
              </w:rPr>
              <w:t>Tecnológico</w:t>
            </w:r>
            <w:proofErr w:type="spellEnd"/>
            <w:r w:rsidRPr="00FF5079">
              <w:rPr>
                <w:rFonts w:ascii="Arial Narrow" w:eastAsia="Times New Roman" w:hAnsi="Arial Narrow" w:cs="Times New Roman"/>
                <w:szCs w:val="24"/>
                <w:lang w:eastAsia="pt-BR"/>
              </w:rPr>
              <w:t xml:space="preserve"> de São José dos Campos (</w:t>
            </w:r>
            <w:proofErr w:type="spellStart"/>
            <w:r w:rsidRPr="00FF5079">
              <w:rPr>
                <w:rFonts w:ascii="Arial Narrow" w:eastAsia="Times New Roman" w:hAnsi="Arial Narrow" w:cs="Times New Roman"/>
                <w:szCs w:val="24"/>
                <w:lang w:eastAsia="pt-BR"/>
              </w:rPr>
              <w:t>anos</w:t>
            </w:r>
            <w:proofErr w:type="spellEnd"/>
            <w:r w:rsidRPr="00FF5079">
              <w:rPr>
                <w:rFonts w:ascii="Arial Narrow" w:eastAsia="Times New Roman" w:hAnsi="Arial Narrow" w:cs="Times New Roman"/>
                <w:szCs w:val="24"/>
                <w:lang w:eastAsia="pt-BR"/>
              </w:rPr>
              <w:t xml:space="preserve"> 1990).</w:t>
            </w:r>
          </w:p>
        </w:tc>
        <w:tc>
          <w:tcPr>
            <w:tcW w:w="0" w:type="auto"/>
            <w:vAlign w:val="center"/>
            <w:hideMark/>
          </w:tcPr>
          <w:p w14:paraId="1B056FFA" w14:textId="77777777" w:rsidR="00127552" w:rsidRPr="00FF5079" w:rsidRDefault="00127552" w:rsidP="001A1AA8">
            <w:pPr>
              <w:spacing w:after="0" w:line="240" w:lineRule="auto"/>
              <w:jc w:val="both"/>
              <w:rPr>
                <w:rFonts w:ascii="Arial Narrow" w:eastAsia="Times New Roman" w:hAnsi="Arial Narrow" w:cs="Times New Roman"/>
                <w:szCs w:val="24"/>
                <w:lang w:eastAsia="pt-BR"/>
              </w:rPr>
            </w:pPr>
            <w:r w:rsidRPr="00FF5079">
              <w:rPr>
                <w:rFonts w:ascii="Arial Narrow" w:eastAsia="Times New Roman" w:hAnsi="Arial Narrow" w:cs="Times New Roman"/>
                <w:szCs w:val="24"/>
                <w:lang w:val="pt-BR" w:eastAsia="pt-BR"/>
              </w:rPr>
              <w:t xml:space="preserve">Orientado à conectividade global e inovação aberta, com valor baseado em dados. </w:t>
            </w:r>
            <w:r w:rsidRPr="00FF5079">
              <w:rPr>
                <w:rFonts w:ascii="Arial Narrow" w:eastAsia="Times New Roman" w:hAnsi="Arial Narrow" w:cs="Times New Roman"/>
                <w:szCs w:val="24"/>
                <w:lang w:eastAsia="pt-BR"/>
              </w:rPr>
              <w:t>Ex.: Station F (Paris).</w:t>
            </w:r>
          </w:p>
        </w:tc>
      </w:tr>
      <w:tr w:rsidR="00475253" w:rsidRPr="00FF5079" w14:paraId="2F737C09" w14:textId="77777777" w:rsidTr="007972C8">
        <w:trPr>
          <w:tblCellSpacing w:w="15" w:type="dxa"/>
        </w:trPr>
        <w:tc>
          <w:tcPr>
            <w:tcW w:w="0" w:type="auto"/>
            <w:vAlign w:val="center"/>
            <w:hideMark/>
          </w:tcPr>
          <w:p w14:paraId="7BCA0700" w14:textId="77777777" w:rsidR="00127552" w:rsidRPr="00FF5079" w:rsidRDefault="00127552" w:rsidP="00127552">
            <w:pPr>
              <w:spacing w:after="0" w:line="240" w:lineRule="auto"/>
              <w:jc w:val="center"/>
              <w:rPr>
                <w:rFonts w:ascii="Arial Narrow" w:eastAsia="Times New Roman" w:hAnsi="Arial Narrow" w:cs="Times New Roman"/>
                <w:szCs w:val="24"/>
                <w:lang w:eastAsia="pt-BR"/>
              </w:rPr>
            </w:pPr>
            <w:proofErr w:type="spellStart"/>
            <w:r w:rsidRPr="00FF5079">
              <w:rPr>
                <w:rFonts w:ascii="Arial Narrow" w:eastAsia="Times New Roman" w:hAnsi="Arial Narrow" w:cs="Times New Roman"/>
                <w:szCs w:val="24"/>
                <w:lang w:eastAsia="pt-BR"/>
              </w:rPr>
              <w:t>Infraestrutura</w:t>
            </w:r>
            <w:proofErr w:type="spellEnd"/>
          </w:p>
        </w:tc>
        <w:tc>
          <w:tcPr>
            <w:tcW w:w="0" w:type="auto"/>
            <w:vAlign w:val="center"/>
            <w:hideMark/>
          </w:tcPr>
          <w:p w14:paraId="107B7DDE" w14:textId="77777777" w:rsidR="00127552" w:rsidRPr="00FF5079" w:rsidRDefault="00127552" w:rsidP="007972C8">
            <w:pPr>
              <w:spacing w:after="0" w:line="240" w:lineRule="auto"/>
              <w:rPr>
                <w:rFonts w:ascii="Arial Narrow" w:eastAsia="Times New Roman" w:hAnsi="Arial Narrow" w:cs="Times New Roman"/>
                <w:szCs w:val="24"/>
                <w:lang w:eastAsia="pt-BR"/>
              </w:rPr>
            </w:pPr>
            <w:r w:rsidRPr="00FF5079">
              <w:rPr>
                <w:rFonts w:ascii="Arial Narrow" w:eastAsia="Times New Roman" w:hAnsi="Arial Narrow" w:cs="Times New Roman"/>
                <w:szCs w:val="24"/>
                <w:lang w:val="pt-BR" w:eastAsia="pt-BR"/>
              </w:rPr>
              <w:t xml:space="preserve">Laboratórios e escritórios com conectividade restrita. </w:t>
            </w:r>
            <w:r w:rsidRPr="00FF5079">
              <w:rPr>
                <w:rFonts w:ascii="Arial Narrow" w:eastAsia="Times New Roman" w:hAnsi="Arial Narrow" w:cs="Times New Roman"/>
                <w:szCs w:val="24"/>
                <w:lang w:eastAsia="pt-BR"/>
              </w:rPr>
              <w:t xml:space="preserve">Ex.: </w:t>
            </w:r>
            <w:proofErr w:type="spellStart"/>
            <w:r w:rsidRPr="00FF5079">
              <w:rPr>
                <w:rFonts w:ascii="Arial Narrow" w:eastAsia="Times New Roman" w:hAnsi="Arial Narrow" w:cs="Times New Roman"/>
                <w:szCs w:val="24"/>
                <w:lang w:eastAsia="pt-BR"/>
              </w:rPr>
              <w:t>incubadoras</w:t>
            </w:r>
            <w:proofErr w:type="spellEnd"/>
            <w:r w:rsidRPr="00FF5079">
              <w:rPr>
                <w:rFonts w:ascii="Arial Narrow" w:eastAsia="Times New Roman" w:hAnsi="Arial Narrow" w:cs="Times New Roman"/>
                <w:szCs w:val="24"/>
                <w:lang w:eastAsia="pt-BR"/>
              </w:rPr>
              <w:t xml:space="preserve"> </w:t>
            </w:r>
            <w:proofErr w:type="spellStart"/>
            <w:r w:rsidRPr="00FF5079">
              <w:rPr>
                <w:rFonts w:ascii="Arial Narrow" w:eastAsia="Times New Roman" w:hAnsi="Arial Narrow" w:cs="Times New Roman"/>
                <w:szCs w:val="24"/>
                <w:lang w:eastAsia="pt-BR"/>
              </w:rPr>
              <w:t>universitárias</w:t>
            </w:r>
            <w:proofErr w:type="spellEnd"/>
            <w:r w:rsidRPr="00FF5079">
              <w:rPr>
                <w:rFonts w:ascii="Arial Narrow" w:eastAsia="Times New Roman" w:hAnsi="Arial Narrow" w:cs="Times New Roman"/>
                <w:szCs w:val="24"/>
                <w:lang w:eastAsia="pt-BR"/>
              </w:rPr>
              <w:t>.</w:t>
            </w:r>
          </w:p>
        </w:tc>
        <w:tc>
          <w:tcPr>
            <w:tcW w:w="0" w:type="auto"/>
            <w:vAlign w:val="center"/>
            <w:hideMark/>
          </w:tcPr>
          <w:p w14:paraId="6C9872A8" w14:textId="77777777" w:rsidR="00127552" w:rsidRPr="00FF5079" w:rsidRDefault="00127552" w:rsidP="001A1AA8">
            <w:pPr>
              <w:spacing w:after="0" w:line="240" w:lineRule="auto"/>
              <w:jc w:val="both"/>
              <w:rPr>
                <w:rFonts w:ascii="Arial Narrow" w:eastAsia="Times New Roman" w:hAnsi="Arial Narrow" w:cs="Times New Roman"/>
                <w:szCs w:val="24"/>
                <w:lang w:val="pt-BR" w:eastAsia="pt-BR"/>
              </w:rPr>
            </w:pPr>
            <w:r w:rsidRPr="00FF5079">
              <w:rPr>
                <w:rFonts w:ascii="Arial Narrow" w:eastAsia="Times New Roman" w:hAnsi="Arial Narrow" w:cs="Times New Roman"/>
                <w:szCs w:val="24"/>
                <w:lang w:val="pt-BR" w:eastAsia="pt-BR"/>
              </w:rPr>
              <w:t xml:space="preserve">Fibra óptica, </w:t>
            </w:r>
            <w:proofErr w:type="spellStart"/>
            <w:r w:rsidRPr="00FF5079">
              <w:rPr>
                <w:rFonts w:ascii="Arial Narrow" w:eastAsia="Times New Roman" w:hAnsi="Arial Narrow" w:cs="Times New Roman"/>
                <w:szCs w:val="24"/>
                <w:lang w:val="pt-BR" w:eastAsia="pt-BR"/>
              </w:rPr>
              <w:t>IoT</w:t>
            </w:r>
            <w:proofErr w:type="spellEnd"/>
            <w:r w:rsidRPr="00FF5079">
              <w:rPr>
                <w:rFonts w:ascii="Arial Narrow" w:eastAsia="Times New Roman" w:hAnsi="Arial Narrow" w:cs="Times New Roman"/>
                <w:szCs w:val="24"/>
                <w:lang w:val="pt-BR" w:eastAsia="pt-BR"/>
              </w:rPr>
              <w:t xml:space="preserve">, nuvem e </w:t>
            </w:r>
            <w:proofErr w:type="spellStart"/>
            <w:r w:rsidRPr="00FF5079">
              <w:rPr>
                <w:rFonts w:ascii="Arial Narrow" w:eastAsia="Times New Roman" w:hAnsi="Arial Narrow" w:cs="Times New Roman"/>
                <w:szCs w:val="24"/>
                <w:lang w:val="pt-BR" w:eastAsia="pt-BR"/>
              </w:rPr>
              <w:t>sandboxes</w:t>
            </w:r>
            <w:proofErr w:type="spellEnd"/>
            <w:r w:rsidRPr="00FF5079">
              <w:rPr>
                <w:rFonts w:ascii="Arial Narrow" w:eastAsia="Times New Roman" w:hAnsi="Arial Narrow" w:cs="Times New Roman"/>
                <w:szCs w:val="24"/>
                <w:lang w:val="pt-BR" w:eastAsia="pt-BR"/>
              </w:rPr>
              <w:t xml:space="preserve"> para testes. Ex.: Vila A Inteligente (Foz do Iguaçu).</w:t>
            </w:r>
          </w:p>
        </w:tc>
      </w:tr>
      <w:tr w:rsidR="00475253" w:rsidRPr="00FF5079" w14:paraId="1F00477B" w14:textId="77777777" w:rsidTr="007972C8">
        <w:trPr>
          <w:tblCellSpacing w:w="15" w:type="dxa"/>
        </w:trPr>
        <w:tc>
          <w:tcPr>
            <w:tcW w:w="0" w:type="auto"/>
            <w:vAlign w:val="center"/>
            <w:hideMark/>
          </w:tcPr>
          <w:p w14:paraId="7C6A3969" w14:textId="77777777" w:rsidR="00127552" w:rsidRPr="00FF5079" w:rsidRDefault="00127552" w:rsidP="00127552">
            <w:pPr>
              <w:spacing w:after="0" w:line="240" w:lineRule="auto"/>
              <w:jc w:val="center"/>
              <w:rPr>
                <w:rFonts w:ascii="Arial Narrow" w:eastAsia="Times New Roman" w:hAnsi="Arial Narrow" w:cs="Times New Roman"/>
                <w:szCs w:val="24"/>
                <w:lang w:eastAsia="pt-BR"/>
              </w:rPr>
            </w:pPr>
            <w:proofErr w:type="spellStart"/>
            <w:r w:rsidRPr="00FF5079">
              <w:rPr>
                <w:rFonts w:ascii="Arial Narrow" w:eastAsia="Times New Roman" w:hAnsi="Arial Narrow" w:cs="Times New Roman"/>
                <w:szCs w:val="24"/>
                <w:lang w:eastAsia="pt-BR"/>
              </w:rPr>
              <w:t>Tecnologias</w:t>
            </w:r>
            <w:proofErr w:type="spellEnd"/>
          </w:p>
        </w:tc>
        <w:tc>
          <w:tcPr>
            <w:tcW w:w="0" w:type="auto"/>
            <w:vAlign w:val="center"/>
            <w:hideMark/>
          </w:tcPr>
          <w:p w14:paraId="122970AD" w14:textId="77777777" w:rsidR="00127552" w:rsidRPr="00FF5079" w:rsidRDefault="00127552" w:rsidP="007972C8">
            <w:pPr>
              <w:spacing w:after="0" w:line="240" w:lineRule="auto"/>
              <w:rPr>
                <w:rFonts w:ascii="Arial Narrow" w:eastAsia="Times New Roman" w:hAnsi="Arial Narrow" w:cs="Times New Roman"/>
                <w:szCs w:val="24"/>
                <w:lang w:val="pt-BR" w:eastAsia="pt-BR"/>
              </w:rPr>
            </w:pPr>
            <w:r w:rsidRPr="00FF5079">
              <w:rPr>
                <w:rFonts w:ascii="Arial Narrow" w:eastAsia="Times New Roman" w:hAnsi="Arial Narrow" w:cs="Times New Roman"/>
                <w:szCs w:val="24"/>
                <w:lang w:val="pt-BR" w:eastAsia="pt-BR"/>
              </w:rPr>
              <w:t>Uso de TI convencional e consultorias. Ex.: incubadoras de software nos anos 2000.</w:t>
            </w:r>
          </w:p>
        </w:tc>
        <w:tc>
          <w:tcPr>
            <w:tcW w:w="0" w:type="auto"/>
            <w:vAlign w:val="center"/>
            <w:hideMark/>
          </w:tcPr>
          <w:p w14:paraId="5AD45651" w14:textId="77777777" w:rsidR="00127552" w:rsidRPr="00FF5079" w:rsidRDefault="00127552" w:rsidP="001A1AA8">
            <w:pPr>
              <w:spacing w:after="0" w:line="240" w:lineRule="auto"/>
              <w:jc w:val="both"/>
              <w:rPr>
                <w:rFonts w:ascii="Arial Narrow" w:eastAsia="Times New Roman" w:hAnsi="Arial Narrow" w:cs="Times New Roman"/>
                <w:szCs w:val="24"/>
                <w:lang w:eastAsia="pt-BR"/>
              </w:rPr>
            </w:pPr>
            <w:r w:rsidRPr="00FF5079">
              <w:rPr>
                <w:rFonts w:ascii="Arial Narrow" w:eastAsia="Times New Roman" w:hAnsi="Arial Narrow" w:cs="Times New Roman"/>
                <w:szCs w:val="24"/>
                <w:lang w:val="pt-BR" w:eastAsia="pt-BR"/>
              </w:rPr>
              <w:t xml:space="preserve">IA, big data, </w:t>
            </w:r>
            <w:proofErr w:type="spellStart"/>
            <w:r w:rsidRPr="00FF5079">
              <w:rPr>
                <w:rFonts w:ascii="Arial Narrow" w:eastAsia="Times New Roman" w:hAnsi="Arial Narrow" w:cs="Times New Roman"/>
                <w:szCs w:val="24"/>
                <w:lang w:val="pt-BR" w:eastAsia="pt-BR"/>
              </w:rPr>
              <w:t>blockchain</w:t>
            </w:r>
            <w:proofErr w:type="spellEnd"/>
            <w:r w:rsidRPr="00FF5079">
              <w:rPr>
                <w:rFonts w:ascii="Arial Narrow" w:eastAsia="Times New Roman" w:hAnsi="Arial Narrow" w:cs="Times New Roman"/>
                <w:szCs w:val="24"/>
                <w:lang w:val="pt-BR" w:eastAsia="pt-BR"/>
              </w:rPr>
              <w:t xml:space="preserve"> e automação para otimização. </w:t>
            </w:r>
            <w:r w:rsidRPr="00FF5079">
              <w:rPr>
                <w:rFonts w:ascii="Arial Narrow" w:eastAsia="Times New Roman" w:hAnsi="Arial Narrow" w:cs="Times New Roman"/>
                <w:szCs w:val="24"/>
                <w:lang w:eastAsia="pt-BR"/>
              </w:rPr>
              <w:t>Ex.: 22@ Barcelona.</w:t>
            </w:r>
          </w:p>
        </w:tc>
      </w:tr>
      <w:tr w:rsidR="00475253" w:rsidRPr="00FF5079" w14:paraId="2A462E5D" w14:textId="77777777" w:rsidTr="007972C8">
        <w:trPr>
          <w:tblCellSpacing w:w="15" w:type="dxa"/>
        </w:trPr>
        <w:tc>
          <w:tcPr>
            <w:tcW w:w="0" w:type="auto"/>
            <w:vAlign w:val="center"/>
            <w:hideMark/>
          </w:tcPr>
          <w:p w14:paraId="68C2FC4B" w14:textId="77777777" w:rsidR="00127552" w:rsidRPr="00FF5079" w:rsidRDefault="00127552" w:rsidP="00127552">
            <w:pPr>
              <w:spacing w:after="0" w:line="240" w:lineRule="auto"/>
              <w:jc w:val="center"/>
              <w:rPr>
                <w:rFonts w:ascii="Arial Narrow" w:eastAsia="Times New Roman" w:hAnsi="Arial Narrow" w:cs="Times New Roman"/>
                <w:szCs w:val="24"/>
                <w:lang w:eastAsia="pt-BR"/>
              </w:rPr>
            </w:pPr>
            <w:proofErr w:type="spellStart"/>
            <w:r w:rsidRPr="00FF5079">
              <w:rPr>
                <w:rFonts w:ascii="Arial Narrow" w:eastAsia="Times New Roman" w:hAnsi="Arial Narrow" w:cs="Times New Roman"/>
                <w:szCs w:val="24"/>
                <w:lang w:eastAsia="pt-BR"/>
              </w:rPr>
              <w:t>Governança</w:t>
            </w:r>
            <w:proofErr w:type="spellEnd"/>
          </w:p>
        </w:tc>
        <w:tc>
          <w:tcPr>
            <w:tcW w:w="0" w:type="auto"/>
            <w:vAlign w:val="center"/>
            <w:hideMark/>
          </w:tcPr>
          <w:p w14:paraId="1B55B572" w14:textId="77777777" w:rsidR="00127552" w:rsidRPr="00FF5079" w:rsidRDefault="00127552" w:rsidP="007972C8">
            <w:pPr>
              <w:spacing w:after="0" w:line="240" w:lineRule="auto"/>
              <w:rPr>
                <w:rFonts w:ascii="Arial Narrow" w:eastAsia="Times New Roman" w:hAnsi="Arial Narrow" w:cs="Times New Roman"/>
                <w:szCs w:val="24"/>
                <w:lang w:val="pt-BR" w:eastAsia="pt-BR"/>
              </w:rPr>
            </w:pPr>
            <w:r w:rsidRPr="00FF5079">
              <w:rPr>
                <w:rFonts w:ascii="Arial Narrow" w:eastAsia="Times New Roman" w:hAnsi="Arial Narrow" w:cs="Times New Roman"/>
                <w:szCs w:val="24"/>
                <w:lang w:val="pt-BR" w:eastAsia="pt-BR"/>
              </w:rPr>
              <w:t>Centralizada em universidades ou governos, pouca participação social.</w:t>
            </w:r>
          </w:p>
        </w:tc>
        <w:tc>
          <w:tcPr>
            <w:tcW w:w="0" w:type="auto"/>
            <w:vAlign w:val="center"/>
            <w:hideMark/>
          </w:tcPr>
          <w:p w14:paraId="421E94FB" w14:textId="77777777" w:rsidR="00127552" w:rsidRPr="00FF5079" w:rsidRDefault="00127552" w:rsidP="001A1AA8">
            <w:pPr>
              <w:spacing w:after="0" w:line="240" w:lineRule="auto"/>
              <w:jc w:val="both"/>
              <w:rPr>
                <w:rFonts w:ascii="Arial Narrow" w:eastAsia="Times New Roman" w:hAnsi="Arial Narrow" w:cs="Times New Roman"/>
                <w:szCs w:val="24"/>
                <w:lang w:val="pt-BR" w:eastAsia="pt-BR"/>
              </w:rPr>
            </w:pPr>
            <w:r w:rsidRPr="00FF5079">
              <w:rPr>
                <w:rFonts w:ascii="Arial Narrow" w:eastAsia="Times New Roman" w:hAnsi="Arial Narrow" w:cs="Times New Roman"/>
                <w:szCs w:val="24"/>
                <w:lang w:val="pt-BR" w:eastAsia="pt-BR"/>
              </w:rPr>
              <w:t>Multissetorial (tríplice/quádrupla hélice). Ex.: Porto Digital (Recife).</w:t>
            </w:r>
          </w:p>
        </w:tc>
      </w:tr>
      <w:tr w:rsidR="00475253" w:rsidRPr="00FF5079" w14:paraId="78FBBB3C" w14:textId="77777777" w:rsidTr="007972C8">
        <w:trPr>
          <w:tblCellSpacing w:w="15" w:type="dxa"/>
        </w:trPr>
        <w:tc>
          <w:tcPr>
            <w:tcW w:w="0" w:type="auto"/>
            <w:vAlign w:val="center"/>
            <w:hideMark/>
          </w:tcPr>
          <w:p w14:paraId="616D5CB5" w14:textId="77777777" w:rsidR="00127552" w:rsidRPr="00FF5079" w:rsidRDefault="00127552" w:rsidP="00127552">
            <w:pPr>
              <w:spacing w:after="0" w:line="240" w:lineRule="auto"/>
              <w:jc w:val="center"/>
              <w:rPr>
                <w:rFonts w:ascii="Arial Narrow" w:eastAsia="Times New Roman" w:hAnsi="Arial Narrow" w:cs="Times New Roman"/>
                <w:szCs w:val="24"/>
                <w:lang w:eastAsia="pt-BR"/>
              </w:rPr>
            </w:pPr>
            <w:proofErr w:type="spellStart"/>
            <w:r w:rsidRPr="00FF5079">
              <w:rPr>
                <w:rFonts w:ascii="Arial Narrow" w:eastAsia="Times New Roman" w:hAnsi="Arial Narrow" w:cs="Times New Roman"/>
                <w:szCs w:val="24"/>
                <w:lang w:eastAsia="pt-BR"/>
              </w:rPr>
              <w:t>Métricas</w:t>
            </w:r>
            <w:proofErr w:type="spellEnd"/>
          </w:p>
        </w:tc>
        <w:tc>
          <w:tcPr>
            <w:tcW w:w="0" w:type="auto"/>
            <w:vAlign w:val="center"/>
            <w:hideMark/>
          </w:tcPr>
          <w:p w14:paraId="3B8A6B10" w14:textId="77777777" w:rsidR="00127552" w:rsidRPr="00FF5079" w:rsidRDefault="00127552" w:rsidP="007972C8">
            <w:pPr>
              <w:spacing w:after="0" w:line="240" w:lineRule="auto"/>
              <w:rPr>
                <w:rFonts w:ascii="Arial Narrow" w:eastAsia="Times New Roman" w:hAnsi="Arial Narrow" w:cs="Times New Roman"/>
                <w:szCs w:val="24"/>
                <w:lang w:val="pt-BR" w:eastAsia="pt-BR"/>
              </w:rPr>
            </w:pPr>
            <w:r w:rsidRPr="00FF5079">
              <w:rPr>
                <w:rFonts w:ascii="Arial Narrow" w:eastAsia="Times New Roman" w:hAnsi="Arial Narrow" w:cs="Times New Roman"/>
                <w:szCs w:val="24"/>
                <w:lang w:val="pt-BR" w:eastAsia="pt-BR"/>
              </w:rPr>
              <w:t>Indicadores clássicos: startups, patentes, empregos e investimentos.</w:t>
            </w:r>
          </w:p>
        </w:tc>
        <w:tc>
          <w:tcPr>
            <w:tcW w:w="0" w:type="auto"/>
            <w:vAlign w:val="center"/>
            <w:hideMark/>
          </w:tcPr>
          <w:p w14:paraId="483A2073" w14:textId="77777777" w:rsidR="00127552" w:rsidRPr="00FF5079" w:rsidRDefault="00127552" w:rsidP="001A1AA8">
            <w:pPr>
              <w:spacing w:after="0" w:line="240" w:lineRule="auto"/>
              <w:jc w:val="both"/>
              <w:rPr>
                <w:rFonts w:ascii="Arial Narrow" w:eastAsia="Times New Roman" w:hAnsi="Arial Narrow" w:cs="Times New Roman"/>
                <w:szCs w:val="24"/>
                <w:lang w:eastAsia="pt-BR"/>
              </w:rPr>
            </w:pPr>
            <w:r w:rsidRPr="00FF5079">
              <w:rPr>
                <w:rFonts w:ascii="Arial Narrow" w:eastAsia="Times New Roman" w:hAnsi="Arial Narrow" w:cs="Times New Roman"/>
                <w:szCs w:val="24"/>
                <w:lang w:val="pt-BR" w:eastAsia="pt-BR"/>
              </w:rPr>
              <w:t xml:space="preserve">Métricas ampliadas: PIB local, eficiência energética, impacto social e colaboração. </w:t>
            </w:r>
            <w:r w:rsidRPr="00FF5079">
              <w:rPr>
                <w:rFonts w:ascii="Arial Narrow" w:eastAsia="Times New Roman" w:hAnsi="Arial Narrow" w:cs="Times New Roman"/>
                <w:szCs w:val="24"/>
                <w:lang w:eastAsia="pt-BR"/>
              </w:rPr>
              <w:t>Ex.: Asia New Bay Area (Taiwan).</w:t>
            </w:r>
          </w:p>
        </w:tc>
      </w:tr>
    </w:tbl>
    <w:p w14:paraId="5BBA6961" w14:textId="7DA10341" w:rsidR="0086071B" w:rsidRPr="00475253" w:rsidRDefault="00121215" w:rsidP="00A80222">
      <w:pPr>
        <w:pStyle w:val="Ttulo2"/>
        <w:keepNext w:val="0"/>
        <w:keepLines w:val="0"/>
        <w:spacing w:before="0" w:line="240" w:lineRule="auto"/>
        <w:ind w:firstLine="720"/>
        <w:jc w:val="both"/>
        <w:rPr>
          <w:rFonts w:ascii="Arial" w:hAnsi="Arial" w:cs="Arial"/>
          <w:b w:val="0"/>
          <w:color w:val="auto"/>
          <w:sz w:val="24"/>
          <w:szCs w:val="24"/>
          <w:lang w:val="pt-BR"/>
        </w:rPr>
      </w:pPr>
      <w:r w:rsidRPr="00475253">
        <w:rPr>
          <w:rFonts w:ascii="Arial" w:hAnsi="Arial" w:cs="Arial"/>
          <w:b w:val="0"/>
          <w:color w:val="auto"/>
          <w:sz w:val="24"/>
          <w:szCs w:val="24"/>
          <w:lang w:val="pt-BR"/>
        </w:rPr>
        <w:t>Fonte: Resultados da pesquisa. Elaborado pelos autores.</w:t>
      </w:r>
    </w:p>
    <w:p w14:paraId="0E323A65" w14:textId="77777777" w:rsidR="00121215" w:rsidRPr="00475253" w:rsidRDefault="00121215" w:rsidP="00121215">
      <w:pPr>
        <w:pStyle w:val="Ttulo2"/>
        <w:keepNext w:val="0"/>
        <w:keepLines w:val="0"/>
        <w:spacing w:before="0" w:line="240" w:lineRule="auto"/>
        <w:ind w:firstLine="720"/>
        <w:jc w:val="both"/>
        <w:rPr>
          <w:rFonts w:ascii="Arial" w:hAnsi="Arial" w:cs="Arial"/>
          <w:b w:val="0"/>
          <w:color w:val="auto"/>
          <w:sz w:val="24"/>
          <w:szCs w:val="24"/>
          <w:lang w:val="pt-BR"/>
        </w:rPr>
      </w:pPr>
    </w:p>
    <w:p w14:paraId="63CFFDFD" w14:textId="3B1F1272" w:rsidR="00AE74FE" w:rsidRPr="00475253" w:rsidRDefault="00121215" w:rsidP="00121215">
      <w:pPr>
        <w:pStyle w:val="Ttulo2"/>
        <w:keepNext w:val="0"/>
        <w:keepLines w:val="0"/>
        <w:spacing w:before="0" w:line="240" w:lineRule="auto"/>
        <w:jc w:val="both"/>
        <w:rPr>
          <w:rFonts w:ascii="Arial" w:hAnsi="Arial" w:cs="Arial"/>
          <w:b w:val="0"/>
          <w:bCs w:val="0"/>
          <w:color w:val="auto"/>
          <w:sz w:val="24"/>
          <w:szCs w:val="24"/>
          <w:lang w:val="pt-BR"/>
        </w:rPr>
      </w:pPr>
      <w:r w:rsidRPr="00475253">
        <w:rPr>
          <w:rFonts w:ascii="Arial" w:hAnsi="Arial" w:cs="Arial"/>
          <w:b w:val="0"/>
          <w:bCs w:val="0"/>
          <w:color w:val="auto"/>
          <w:sz w:val="24"/>
          <w:szCs w:val="24"/>
          <w:lang w:val="pt-BR"/>
        </w:rPr>
        <w:t xml:space="preserve">4.3. </w:t>
      </w:r>
      <w:r w:rsidR="00AE74FE" w:rsidRPr="00475253">
        <w:rPr>
          <w:rFonts w:ascii="Arial" w:hAnsi="Arial" w:cs="Arial"/>
          <w:b w:val="0"/>
          <w:bCs w:val="0"/>
          <w:color w:val="auto"/>
          <w:sz w:val="24"/>
          <w:szCs w:val="24"/>
          <w:lang w:val="pt-BR"/>
        </w:rPr>
        <w:t>Benchmarks nacionais</w:t>
      </w:r>
    </w:p>
    <w:p w14:paraId="3D4FCC25" w14:textId="511545EB" w:rsidR="00AE74FE" w:rsidRPr="00475253" w:rsidRDefault="00121215" w:rsidP="00121215">
      <w:pPr>
        <w:pStyle w:val="Ttulo4"/>
        <w:keepNext w:val="0"/>
        <w:keepLines w:val="0"/>
        <w:spacing w:before="0" w:line="240" w:lineRule="auto"/>
        <w:jc w:val="both"/>
        <w:rPr>
          <w:rFonts w:ascii="Arial" w:hAnsi="Arial" w:cs="Arial"/>
          <w:b w:val="0"/>
          <w:bCs w:val="0"/>
          <w:i w:val="0"/>
          <w:iCs w:val="0"/>
          <w:color w:val="auto"/>
          <w:szCs w:val="24"/>
          <w:lang w:val="pt-BR"/>
        </w:rPr>
      </w:pPr>
      <w:bookmarkStart w:id="9" w:name="_8f0r9fubjg2a" w:colFirst="0" w:colLast="0"/>
      <w:bookmarkEnd w:id="9"/>
      <w:r w:rsidRPr="00475253">
        <w:rPr>
          <w:rFonts w:ascii="Arial" w:hAnsi="Arial" w:cs="Arial"/>
          <w:b w:val="0"/>
          <w:bCs w:val="0"/>
          <w:i w:val="0"/>
          <w:iCs w:val="0"/>
          <w:color w:val="auto"/>
          <w:szCs w:val="24"/>
          <w:lang w:val="pt-BR"/>
        </w:rPr>
        <w:t>4.3.1.</w:t>
      </w:r>
      <w:r w:rsidR="00AE74FE" w:rsidRPr="00475253">
        <w:rPr>
          <w:rFonts w:ascii="Arial" w:hAnsi="Arial" w:cs="Arial"/>
          <w:b w:val="0"/>
          <w:bCs w:val="0"/>
          <w:i w:val="0"/>
          <w:iCs w:val="0"/>
          <w:color w:val="auto"/>
          <w:szCs w:val="24"/>
          <w:lang w:val="pt-BR"/>
        </w:rPr>
        <w:t>Porto Digital (Recife</w:t>
      </w:r>
      <w:r w:rsidR="009A0753" w:rsidRPr="00475253">
        <w:rPr>
          <w:rFonts w:ascii="Arial" w:hAnsi="Arial" w:cs="Arial"/>
          <w:b w:val="0"/>
          <w:bCs w:val="0"/>
          <w:i w:val="0"/>
          <w:iCs w:val="0"/>
          <w:color w:val="auto"/>
          <w:szCs w:val="24"/>
          <w:lang w:val="pt-BR"/>
        </w:rPr>
        <w:t>/PE</w:t>
      </w:r>
      <w:r w:rsidR="00AE74FE" w:rsidRPr="00475253">
        <w:rPr>
          <w:rFonts w:ascii="Arial" w:hAnsi="Arial" w:cs="Arial"/>
          <w:b w:val="0"/>
          <w:bCs w:val="0"/>
          <w:i w:val="0"/>
          <w:iCs w:val="0"/>
          <w:color w:val="auto"/>
          <w:szCs w:val="24"/>
          <w:lang w:val="pt-BR"/>
        </w:rPr>
        <w:t>)</w:t>
      </w:r>
    </w:p>
    <w:p w14:paraId="39577D3C"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Fundado em 2000, o Porto Digital tornou-se o principal parque tecnológico do Brasil. Em 2021, o faturamento das empresas cresceu 28,6 %, alcançando R$ 3,67 bilhões, e quase 15 mil profissionais atuavam no polo. A governança do parque é baseada em parceria entre governo estadual, Prefeitura do Recife, universidades e empresas privadas. Entre as estratégias adotadas destacam-se investimentos em infraestrutura urbana (requalificação do bairro do Recife Antigo), criação de programas de aceleração (Porto </w:t>
      </w:r>
      <w:proofErr w:type="spellStart"/>
      <w:r w:rsidRPr="00475253">
        <w:rPr>
          <w:rFonts w:cs="Arial"/>
          <w:szCs w:val="24"/>
          <w:lang w:val="pt-BR"/>
        </w:rPr>
        <w:t>Makers</w:t>
      </w:r>
      <w:proofErr w:type="spellEnd"/>
      <w:r w:rsidRPr="00475253">
        <w:rPr>
          <w:rFonts w:cs="Arial"/>
          <w:szCs w:val="24"/>
          <w:lang w:val="pt-BR"/>
        </w:rPr>
        <w:t xml:space="preserve"> e Mind </w:t>
      </w:r>
      <w:proofErr w:type="spellStart"/>
      <w:r w:rsidRPr="00475253">
        <w:rPr>
          <w:rFonts w:cs="Arial"/>
          <w:szCs w:val="24"/>
          <w:lang w:val="pt-BR"/>
        </w:rPr>
        <w:t>the</w:t>
      </w:r>
      <w:proofErr w:type="spellEnd"/>
      <w:r w:rsidRPr="00475253">
        <w:rPr>
          <w:rFonts w:cs="Arial"/>
          <w:szCs w:val="24"/>
          <w:lang w:val="pt-BR"/>
        </w:rPr>
        <w:t xml:space="preserve"> </w:t>
      </w:r>
      <w:proofErr w:type="spellStart"/>
      <w:r w:rsidRPr="00475253">
        <w:rPr>
          <w:rFonts w:cs="Arial"/>
          <w:szCs w:val="24"/>
          <w:lang w:val="pt-BR"/>
        </w:rPr>
        <w:t>Bizz</w:t>
      </w:r>
      <w:proofErr w:type="spellEnd"/>
      <w:r w:rsidRPr="00475253">
        <w:rPr>
          <w:rFonts w:cs="Arial"/>
          <w:szCs w:val="24"/>
          <w:lang w:val="pt-BR"/>
        </w:rPr>
        <w:t xml:space="preserve">) e iniciativas de formação de talentos em ciência de dados e IA. O parque também abriga o Porto Digital </w:t>
      </w:r>
      <w:proofErr w:type="spellStart"/>
      <w:r w:rsidRPr="00475253">
        <w:rPr>
          <w:rFonts w:cs="Arial"/>
          <w:szCs w:val="24"/>
          <w:lang w:val="pt-BR"/>
        </w:rPr>
        <w:t>Labs</w:t>
      </w:r>
      <w:proofErr w:type="spellEnd"/>
      <w:r w:rsidRPr="00475253">
        <w:rPr>
          <w:rFonts w:cs="Arial"/>
          <w:szCs w:val="24"/>
          <w:lang w:val="pt-BR"/>
        </w:rPr>
        <w:t xml:space="preserve">, onde empresas experimentam soluções de IA e </w:t>
      </w:r>
      <w:proofErr w:type="spellStart"/>
      <w:r w:rsidRPr="00475253">
        <w:rPr>
          <w:rFonts w:cs="Arial"/>
          <w:szCs w:val="24"/>
          <w:lang w:val="pt-BR"/>
        </w:rPr>
        <w:t>IoT</w:t>
      </w:r>
      <w:proofErr w:type="spellEnd"/>
      <w:r w:rsidRPr="00475253">
        <w:rPr>
          <w:rFonts w:cs="Arial"/>
          <w:szCs w:val="24"/>
          <w:lang w:val="pt-BR"/>
        </w:rPr>
        <w:t>. Esses fatores transformaram Recife em referência nacional de inovação, gerando impactos socioeconômicos além do setor de TI (Dantas, 2022).</w:t>
      </w:r>
    </w:p>
    <w:p w14:paraId="2B980255" w14:textId="77777777" w:rsidR="00121215" w:rsidRPr="00475253" w:rsidRDefault="00121215" w:rsidP="00A80222">
      <w:pPr>
        <w:pStyle w:val="Ttulo4"/>
        <w:keepNext w:val="0"/>
        <w:keepLines w:val="0"/>
        <w:spacing w:before="0" w:line="240" w:lineRule="auto"/>
        <w:ind w:firstLine="720"/>
        <w:jc w:val="both"/>
        <w:rPr>
          <w:rFonts w:ascii="Arial" w:hAnsi="Arial" w:cs="Arial"/>
          <w:color w:val="auto"/>
          <w:szCs w:val="24"/>
          <w:lang w:val="pt-BR"/>
        </w:rPr>
      </w:pPr>
      <w:bookmarkStart w:id="10" w:name="_xvsz0zoayx1a" w:colFirst="0" w:colLast="0"/>
      <w:bookmarkEnd w:id="10"/>
    </w:p>
    <w:p w14:paraId="6C6C3FCF" w14:textId="0141053D" w:rsidR="00AE74FE" w:rsidRPr="00475253" w:rsidRDefault="00121215" w:rsidP="00121215">
      <w:pPr>
        <w:pStyle w:val="Ttulo4"/>
        <w:keepNext w:val="0"/>
        <w:keepLines w:val="0"/>
        <w:spacing w:before="0" w:line="240" w:lineRule="auto"/>
        <w:jc w:val="both"/>
        <w:rPr>
          <w:rFonts w:ascii="Arial" w:hAnsi="Arial" w:cs="Arial"/>
          <w:b w:val="0"/>
          <w:bCs w:val="0"/>
          <w:i w:val="0"/>
          <w:iCs w:val="0"/>
          <w:color w:val="auto"/>
          <w:szCs w:val="24"/>
          <w:lang w:val="pt-BR"/>
        </w:rPr>
      </w:pPr>
      <w:r w:rsidRPr="00475253">
        <w:rPr>
          <w:rFonts w:ascii="Arial" w:hAnsi="Arial" w:cs="Arial"/>
          <w:b w:val="0"/>
          <w:bCs w:val="0"/>
          <w:i w:val="0"/>
          <w:iCs w:val="0"/>
          <w:color w:val="auto"/>
          <w:szCs w:val="24"/>
          <w:lang w:val="pt-BR"/>
        </w:rPr>
        <w:t>4.3.2. P</w:t>
      </w:r>
      <w:r w:rsidR="00AE74FE" w:rsidRPr="00475253">
        <w:rPr>
          <w:rFonts w:ascii="Arial" w:hAnsi="Arial" w:cs="Arial"/>
          <w:b w:val="0"/>
          <w:bCs w:val="0"/>
          <w:i w:val="0"/>
          <w:iCs w:val="0"/>
          <w:color w:val="auto"/>
          <w:szCs w:val="24"/>
          <w:lang w:val="pt-BR"/>
        </w:rPr>
        <w:t>rograma Vila A Inteligente (Foz do Iguaçu</w:t>
      </w:r>
      <w:r w:rsidR="009A0753" w:rsidRPr="00475253">
        <w:rPr>
          <w:rFonts w:ascii="Arial" w:hAnsi="Arial" w:cs="Arial"/>
          <w:b w:val="0"/>
          <w:bCs w:val="0"/>
          <w:i w:val="0"/>
          <w:iCs w:val="0"/>
          <w:color w:val="auto"/>
          <w:szCs w:val="24"/>
          <w:lang w:val="pt-BR"/>
        </w:rPr>
        <w:t>/PR</w:t>
      </w:r>
      <w:r w:rsidR="00AE74FE" w:rsidRPr="00475253">
        <w:rPr>
          <w:rFonts w:ascii="Arial" w:hAnsi="Arial" w:cs="Arial"/>
          <w:b w:val="0"/>
          <w:bCs w:val="0"/>
          <w:i w:val="0"/>
          <w:iCs w:val="0"/>
          <w:color w:val="auto"/>
          <w:szCs w:val="24"/>
          <w:lang w:val="pt-BR"/>
        </w:rPr>
        <w:t>).</w:t>
      </w:r>
    </w:p>
    <w:p w14:paraId="0FD8E050" w14:textId="2FCF38AB"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Liderado pelo Parque Tecnológico Itaipu (PTI) em parceria com a Agência Brasileira de Desenvolvimento Industrial (ABDI), Itaipu Binacional e Prefeitura de Foz do Iguaçu, o programa converteu o bairro Vila A no primeiro e maior </w:t>
      </w:r>
      <w:proofErr w:type="spellStart"/>
      <w:r w:rsidRPr="00475253">
        <w:rPr>
          <w:rFonts w:cs="Arial"/>
          <w:i/>
          <w:szCs w:val="24"/>
          <w:lang w:val="pt-BR"/>
        </w:rPr>
        <w:t>sandbox</w:t>
      </w:r>
      <w:proofErr w:type="spellEnd"/>
      <w:r w:rsidRPr="00475253">
        <w:rPr>
          <w:rFonts w:cs="Arial"/>
          <w:szCs w:val="24"/>
          <w:lang w:val="pt-BR"/>
        </w:rPr>
        <w:t xml:space="preserve"> público do Brasil. O bairro abriga totens inteligentes que oferecem internet sem fio, carregamento de celulares e pontos de hidratação, sensores para coleta de óleo e medidores de energia. O objetivo é permitir experimentação de tecnologias de cidades inteligentes, fomentar empreendedorismo e diversificar a economia local. A governança envolve comitê gestor integrado por governo municipal, PTI, associações empresariais e comunidade . A iniciativa mostra como hubs inteligentes podem surgir </w:t>
      </w:r>
      <w:r w:rsidRPr="00475253">
        <w:rPr>
          <w:rFonts w:cs="Arial"/>
          <w:szCs w:val="24"/>
          <w:lang w:val="pt-BR"/>
        </w:rPr>
        <w:lastRenderedPageBreak/>
        <w:t>fora dos grandes centros urbanos e alinhar inovação com vocação regional</w:t>
      </w:r>
      <w:r w:rsidR="00276509" w:rsidRPr="00475253">
        <w:rPr>
          <w:rFonts w:cs="Arial"/>
          <w:szCs w:val="24"/>
          <w:lang w:val="pt-BR"/>
        </w:rPr>
        <w:t xml:space="preserve"> - </w:t>
      </w:r>
      <w:r w:rsidRPr="00475253">
        <w:rPr>
          <w:rFonts w:cs="Arial"/>
          <w:szCs w:val="24"/>
          <w:lang w:val="pt-BR"/>
        </w:rPr>
        <w:t>energia, turismo e mobilidade</w:t>
      </w:r>
      <w:r w:rsidR="00276509" w:rsidRPr="00475253">
        <w:rPr>
          <w:rFonts w:cs="Arial"/>
          <w:szCs w:val="24"/>
          <w:lang w:val="pt-BR"/>
        </w:rPr>
        <w:t>, (KAZAMA, 2023).</w:t>
      </w:r>
    </w:p>
    <w:p w14:paraId="3B65AE00" w14:textId="6DD49353" w:rsidR="00C1511F" w:rsidRPr="00475253" w:rsidRDefault="00C1511F" w:rsidP="00A80222">
      <w:pPr>
        <w:spacing w:after="0" w:line="240" w:lineRule="auto"/>
        <w:ind w:firstLine="720"/>
        <w:jc w:val="both"/>
        <w:rPr>
          <w:rFonts w:cs="Arial"/>
          <w:szCs w:val="24"/>
          <w:lang w:val="pt-BR"/>
        </w:rPr>
      </w:pPr>
    </w:p>
    <w:p w14:paraId="0C55F1FA" w14:textId="5BEFBE01" w:rsidR="00C1511F" w:rsidRPr="00475253" w:rsidRDefault="00C1511F" w:rsidP="00C1511F">
      <w:pPr>
        <w:spacing w:after="0" w:line="240" w:lineRule="auto"/>
        <w:jc w:val="both"/>
        <w:rPr>
          <w:rFonts w:cs="Arial"/>
          <w:szCs w:val="24"/>
          <w:lang w:val="pt-BR"/>
        </w:rPr>
      </w:pPr>
      <w:r w:rsidRPr="00475253">
        <w:rPr>
          <w:rFonts w:cs="Arial"/>
          <w:szCs w:val="24"/>
          <w:lang w:val="pt-BR"/>
        </w:rPr>
        <w:t>4.3.3.</w:t>
      </w:r>
      <w:r w:rsidRPr="00475253">
        <w:rPr>
          <w:lang w:val="pt-BR"/>
        </w:rPr>
        <w:t xml:space="preserve"> </w:t>
      </w:r>
      <w:r w:rsidRPr="00475253">
        <w:rPr>
          <w:rFonts w:cs="Arial"/>
          <w:szCs w:val="24"/>
          <w:lang w:val="pt-BR"/>
        </w:rPr>
        <w:t>Cubo Itaú (São Paulo/SP)</w:t>
      </w:r>
    </w:p>
    <w:p w14:paraId="536CB9F6" w14:textId="2B17EC6D" w:rsidR="009A0753" w:rsidRPr="00475253" w:rsidRDefault="009A0753" w:rsidP="009A0753">
      <w:pPr>
        <w:spacing w:after="0" w:line="240" w:lineRule="auto"/>
        <w:jc w:val="both"/>
        <w:rPr>
          <w:rFonts w:cs="Arial"/>
          <w:szCs w:val="24"/>
          <w:lang w:val="pt-BR"/>
        </w:rPr>
      </w:pPr>
      <w:r w:rsidRPr="00475253">
        <w:rPr>
          <w:rFonts w:cs="Arial"/>
          <w:szCs w:val="24"/>
          <w:lang w:val="pt-BR"/>
        </w:rPr>
        <w:tab/>
        <w:t>C</w:t>
      </w:r>
      <w:r w:rsidRPr="00475253">
        <w:rPr>
          <w:rFonts w:cs="Arial"/>
          <w:szCs w:val="24"/>
          <w:lang w:val="pt-BR"/>
        </w:rPr>
        <w:t xml:space="preserve">riado em 2015 pelo Itaú Unibanco em parceria com a </w:t>
      </w:r>
      <w:proofErr w:type="spellStart"/>
      <w:r w:rsidRPr="00475253">
        <w:rPr>
          <w:rFonts w:cs="Arial"/>
          <w:szCs w:val="24"/>
          <w:lang w:val="pt-BR"/>
        </w:rPr>
        <w:t>Redpoint</w:t>
      </w:r>
      <w:proofErr w:type="spellEnd"/>
      <w:r w:rsidRPr="00475253">
        <w:rPr>
          <w:rFonts w:cs="Arial"/>
          <w:szCs w:val="24"/>
          <w:lang w:val="pt-BR"/>
        </w:rPr>
        <w:t xml:space="preserve"> </w:t>
      </w:r>
      <w:proofErr w:type="spellStart"/>
      <w:r w:rsidRPr="00475253">
        <w:rPr>
          <w:rFonts w:cs="Arial"/>
          <w:szCs w:val="24"/>
          <w:lang w:val="pt-BR"/>
        </w:rPr>
        <w:t>eventures</w:t>
      </w:r>
      <w:proofErr w:type="spellEnd"/>
      <w:r w:rsidRPr="00475253">
        <w:rPr>
          <w:rFonts w:cs="Arial"/>
          <w:szCs w:val="24"/>
          <w:lang w:val="pt-BR"/>
        </w:rPr>
        <w:t>, tornou-se um dos maiores hubs de empreendedorismo tecnológico da América Latina. Instalado em São Paulo, atua como espaço de inovação aberta, conectando startups de diferentes estágios a grandes empresas, investidores, universidades e órgãos públicos. O ecossistema já reuniu mais de 500 startups residentes e alumni, além de mais de 50 grandes corporações parceiras, como Accenture, B3, BRF, GPA e TIM, consolidando-se como referência em articulação entre diferentes atores do ambiente de inovação.</w:t>
      </w:r>
    </w:p>
    <w:p w14:paraId="0D26E6AA" w14:textId="77777777" w:rsidR="009A0753" w:rsidRPr="00475253" w:rsidRDefault="009A0753" w:rsidP="009A0753">
      <w:pPr>
        <w:spacing w:after="0" w:line="240" w:lineRule="auto"/>
        <w:jc w:val="both"/>
        <w:rPr>
          <w:rFonts w:cs="Arial"/>
          <w:szCs w:val="24"/>
          <w:lang w:val="pt-BR"/>
        </w:rPr>
      </w:pPr>
    </w:p>
    <w:p w14:paraId="3EF44B49" w14:textId="4FD5DFF9" w:rsidR="009A0753" w:rsidRPr="00475253" w:rsidRDefault="009A0753" w:rsidP="009A0753">
      <w:pPr>
        <w:spacing w:after="0" w:line="240" w:lineRule="auto"/>
        <w:jc w:val="both"/>
        <w:rPr>
          <w:rFonts w:cs="Arial"/>
          <w:szCs w:val="24"/>
          <w:lang w:val="pt-BR"/>
        </w:rPr>
      </w:pPr>
      <w:r w:rsidRPr="00475253">
        <w:rPr>
          <w:rFonts w:cs="Arial"/>
          <w:szCs w:val="24"/>
          <w:lang w:val="pt-BR"/>
        </w:rPr>
        <w:tab/>
      </w:r>
      <w:r w:rsidRPr="00475253">
        <w:rPr>
          <w:rFonts w:cs="Arial"/>
          <w:szCs w:val="24"/>
          <w:lang w:val="pt-BR"/>
        </w:rPr>
        <w:t>Os resultados obtidos evidenciam o impacto do hub: startups vinculadas ao Cubo captaram bilhões de reais em investimentos e diversas corporações parceiras incorporaram soluções desenvolvidas no espaço para áreas como finanças, varejo, logística, saúde e sustentabilidade. Além disso, o Cubo tem promovido a internacionalização de negócios brasileiros, com startups expandindo para a América Latina, Estados Unidos e Europa, mostrando sua relevância não apenas como plataforma nacional, mas também como trampolim para a projeção global de empreendedores de base tecnológica.</w:t>
      </w:r>
    </w:p>
    <w:p w14:paraId="2296DE30" w14:textId="77777777" w:rsidR="00075E27" w:rsidRPr="00556941" w:rsidRDefault="00075E27" w:rsidP="00A80222">
      <w:pPr>
        <w:spacing w:after="0" w:line="240" w:lineRule="auto"/>
        <w:ind w:firstLine="720"/>
        <w:jc w:val="both"/>
        <w:rPr>
          <w:rFonts w:eastAsia="Times New Roman" w:cs="Arial"/>
          <w:szCs w:val="24"/>
          <w:lang w:val="pt-BR" w:eastAsia="pt-BR"/>
        </w:rPr>
      </w:pPr>
      <w:r w:rsidRPr="00556941">
        <w:rPr>
          <w:rFonts w:eastAsia="Times New Roman" w:cs="Arial"/>
          <w:szCs w:val="24"/>
          <w:lang w:val="pt-BR" w:eastAsia="pt-BR"/>
        </w:rPr>
        <w:t xml:space="preserve">Embora os hubs digitais sejam caracterizados por sua capacidade de articulação global, a literatura ressalta que a dimensão territorial continua relevante. </w:t>
      </w:r>
      <w:proofErr w:type="spellStart"/>
      <w:r w:rsidRPr="00556941">
        <w:rPr>
          <w:rFonts w:eastAsia="Times New Roman" w:cs="Arial"/>
          <w:szCs w:val="24"/>
          <w:lang w:val="pt-BR" w:eastAsia="pt-BR"/>
        </w:rPr>
        <w:t>Fatema</w:t>
      </w:r>
      <w:proofErr w:type="spellEnd"/>
      <w:r w:rsidRPr="00556941">
        <w:rPr>
          <w:rFonts w:eastAsia="Times New Roman" w:cs="Arial"/>
          <w:szCs w:val="24"/>
          <w:lang w:val="pt-BR" w:eastAsia="pt-BR"/>
        </w:rPr>
        <w:t xml:space="preserve"> e </w:t>
      </w:r>
      <w:proofErr w:type="spellStart"/>
      <w:r w:rsidRPr="00556941">
        <w:rPr>
          <w:rFonts w:eastAsia="Times New Roman" w:cs="Arial"/>
          <w:szCs w:val="24"/>
          <w:lang w:val="pt-BR" w:eastAsia="pt-BR"/>
        </w:rPr>
        <w:t>Raza</w:t>
      </w:r>
      <w:proofErr w:type="spellEnd"/>
      <w:r w:rsidRPr="00556941">
        <w:rPr>
          <w:rFonts w:eastAsia="Times New Roman" w:cs="Arial"/>
          <w:szCs w:val="24"/>
          <w:lang w:val="pt-BR" w:eastAsia="pt-BR"/>
        </w:rPr>
        <w:t xml:space="preserve"> (2024) demonstram que fatores como proximidade geográfica, </w:t>
      </w:r>
      <w:proofErr w:type="spellStart"/>
      <w:r w:rsidRPr="00556941">
        <w:rPr>
          <w:rFonts w:eastAsia="Times New Roman" w:cs="Arial"/>
          <w:szCs w:val="24"/>
          <w:lang w:val="pt-BR" w:eastAsia="pt-BR"/>
        </w:rPr>
        <w:t>clustering</w:t>
      </w:r>
      <w:proofErr w:type="spellEnd"/>
      <w:r w:rsidRPr="00556941">
        <w:rPr>
          <w:rFonts w:eastAsia="Times New Roman" w:cs="Arial"/>
          <w:szCs w:val="24"/>
          <w:lang w:val="pt-BR" w:eastAsia="pt-BR"/>
        </w:rPr>
        <w:t xml:space="preserve"> e densidade de interações presenciais ainda desempenham papel fundamental no fortalecimento de redes de colaboração. A principal mudança está na natureza híbrida dos hubs inteligentes, nos quais a conectividade digital amplia o alcance global sem eliminar a importância do enraizamento local</w:t>
      </w:r>
    </w:p>
    <w:p w14:paraId="6B0E671E" w14:textId="77777777" w:rsidR="00075E27" w:rsidRPr="00475253" w:rsidRDefault="00075E27" w:rsidP="00A80222">
      <w:pPr>
        <w:spacing w:after="0" w:line="240" w:lineRule="auto"/>
        <w:ind w:firstLine="720"/>
        <w:jc w:val="both"/>
        <w:rPr>
          <w:rFonts w:cs="Arial"/>
          <w:szCs w:val="24"/>
          <w:lang w:val="pt-BR"/>
        </w:rPr>
      </w:pPr>
    </w:p>
    <w:p w14:paraId="0E221723" w14:textId="77777777" w:rsidR="00AE74FE" w:rsidRPr="00475253" w:rsidRDefault="00AE74FE" w:rsidP="00121215">
      <w:pPr>
        <w:pStyle w:val="Ttulo2"/>
        <w:keepNext w:val="0"/>
        <w:keepLines w:val="0"/>
        <w:spacing w:before="0" w:line="240" w:lineRule="auto"/>
        <w:jc w:val="both"/>
        <w:rPr>
          <w:rFonts w:ascii="Arial" w:hAnsi="Arial" w:cs="Arial"/>
          <w:b w:val="0"/>
          <w:color w:val="auto"/>
          <w:sz w:val="24"/>
          <w:szCs w:val="24"/>
        </w:rPr>
      </w:pPr>
      <w:bookmarkStart w:id="11" w:name="_xgzv1n2536ni" w:colFirst="0" w:colLast="0"/>
      <w:bookmarkEnd w:id="11"/>
      <w:r w:rsidRPr="00475253">
        <w:rPr>
          <w:rFonts w:ascii="Arial" w:hAnsi="Arial" w:cs="Arial"/>
          <w:b w:val="0"/>
          <w:color w:val="auto"/>
          <w:sz w:val="24"/>
          <w:szCs w:val="24"/>
        </w:rPr>
        <w:t>4.</w:t>
      </w:r>
      <w:proofErr w:type="gramStart"/>
      <w:r w:rsidRPr="00475253">
        <w:rPr>
          <w:rFonts w:ascii="Arial" w:hAnsi="Arial" w:cs="Arial"/>
          <w:b w:val="0"/>
          <w:color w:val="auto"/>
          <w:sz w:val="24"/>
          <w:szCs w:val="24"/>
        </w:rPr>
        <w:t>4.Benchmarks</w:t>
      </w:r>
      <w:proofErr w:type="gramEnd"/>
      <w:r w:rsidRPr="00475253">
        <w:rPr>
          <w:rFonts w:ascii="Arial" w:hAnsi="Arial" w:cs="Arial"/>
          <w:b w:val="0"/>
          <w:color w:val="auto"/>
          <w:sz w:val="24"/>
          <w:szCs w:val="24"/>
        </w:rPr>
        <w:t xml:space="preserve"> </w:t>
      </w:r>
      <w:proofErr w:type="spellStart"/>
      <w:r w:rsidRPr="00475253">
        <w:rPr>
          <w:rFonts w:ascii="Arial" w:hAnsi="Arial" w:cs="Arial"/>
          <w:b w:val="0"/>
          <w:color w:val="auto"/>
          <w:sz w:val="24"/>
          <w:szCs w:val="24"/>
        </w:rPr>
        <w:t>internacionais</w:t>
      </w:r>
      <w:proofErr w:type="spellEnd"/>
    </w:p>
    <w:p w14:paraId="4CDE446C" w14:textId="467E2F67" w:rsidR="00AE74FE" w:rsidRPr="00475253" w:rsidRDefault="00121215" w:rsidP="00121215">
      <w:pPr>
        <w:pStyle w:val="Ttulo4"/>
        <w:keepNext w:val="0"/>
        <w:keepLines w:val="0"/>
        <w:spacing w:before="0" w:line="240" w:lineRule="auto"/>
        <w:jc w:val="both"/>
        <w:rPr>
          <w:rFonts w:ascii="Arial" w:hAnsi="Arial" w:cs="Arial"/>
          <w:b w:val="0"/>
          <w:bCs w:val="0"/>
          <w:i w:val="0"/>
          <w:iCs w:val="0"/>
          <w:color w:val="auto"/>
          <w:szCs w:val="24"/>
        </w:rPr>
      </w:pPr>
      <w:bookmarkStart w:id="12" w:name="_985ybh27483m" w:colFirst="0" w:colLast="0"/>
      <w:bookmarkEnd w:id="12"/>
      <w:r w:rsidRPr="00475253">
        <w:rPr>
          <w:rFonts w:ascii="Arial" w:hAnsi="Arial" w:cs="Arial"/>
          <w:b w:val="0"/>
          <w:bCs w:val="0"/>
          <w:i w:val="0"/>
          <w:iCs w:val="0"/>
          <w:color w:val="auto"/>
          <w:szCs w:val="24"/>
        </w:rPr>
        <w:t xml:space="preserve">4.4.1. </w:t>
      </w:r>
      <w:r w:rsidR="00AE74FE" w:rsidRPr="00475253">
        <w:rPr>
          <w:rFonts w:ascii="Arial" w:hAnsi="Arial" w:cs="Arial"/>
          <w:b w:val="0"/>
          <w:bCs w:val="0"/>
          <w:i w:val="0"/>
          <w:iCs w:val="0"/>
          <w:color w:val="auto"/>
          <w:szCs w:val="24"/>
        </w:rPr>
        <w:t>Asia New Bay Area (Kaohsiung, Taiwan).</w:t>
      </w:r>
    </w:p>
    <w:p w14:paraId="05F3D19C"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O Asia New </w:t>
      </w:r>
      <w:proofErr w:type="spellStart"/>
      <w:r w:rsidRPr="00475253">
        <w:rPr>
          <w:rFonts w:cs="Arial"/>
          <w:szCs w:val="24"/>
          <w:lang w:val="pt-BR"/>
        </w:rPr>
        <w:t>Bay</w:t>
      </w:r>
      <w:proofErr w:type="spellEnd"/>
      <w:r w:rsidRPr="00475253">
        <w:rPr>
          <w:rFonts w:cs="Arial"/>
          <w:szCs w:val="24"/>
          <w:lang w:val="pt-BR"/>
        </w:rPr>
        <w:t xml:space="preserve"> Area </w:t>
      </w:r>
      <w:proofErr w:type="spellStart"/>
      <w:r w:rsidRPr="00475253">
        <w:rPr>
          <w:rFonts w:cs="Arial"/>
          <w:szCs w:val="24"/>
          <w:lang w:val="pt-BR"/>
        </w:rPr>
        <w:t>Intelligent</w:t>
      </w:r>
      <w:proofErr w:type="spellEnd"/>
      <w:r w:rsidRPr="00475253">
        <w:rPr>
          <w:rFonts w:cs="Arial"/>
          <w:szCs w:val="24"/>
          <w:lang w:val="pt-BR"/>
        </w:rPr>
        <w:t xml:space="preserve"> Technology </w:t>
      </w:r>
      <w:proofErr w:type="spellStart"/>
      <w:r w:rsidRPr="00475253">
        <w:rPr>
          <w:rFonts w:cs="Arial"/>
          <w:szCs w:val="24"/>
          <w:lang w:val="pt-BR"/>
        </w:rPr>
        <w:t>Innovation</w:t>
      </w:r>
      <w:proofErr w:type="spellEnd"/>
      <w:r w:rsidRPr="00475253">
        <w:rPr>
          <w:rFonts w:cs="Arial"/>
          <w:szCs w:val="24"/>
          <w:lang w:val="pt-BR"/>
        </w:rPr>
        <w:t xml:space="preserve"> Park, inaugurado em 2021, é um cluster de tecnologia orientado pela política pública Taiwan 2.0. Em 2024, o parque havia atraído mais de 175 empresas líderes, apoiadas por cinco aceleradoras internacionais. Entre os destaques estão investimentos da IBM em centro de integração de software e a instalação de centros de inovação da </w:t>
      </w:r>
      <w:proofErr w:type="spellStart"/>
      <w:r w:rsidRPr="00475253">
        <w:rPr>
          <w:rFonts w:cs="Arial"/>
          <w:szCs w:val="24"/>
          <w:lang w:val="pt-BR"/>
        </w:rPr>
        <w:t>Qualcomm</w:t>
      </w:r>
      <w:proofErr w:type="spellEnd"/>
      <w:r w:rsidRPr="00475253">
        <w:rPr>
          <w:rFonts w:cs="Arial"/>
          <w:szCs w:val="24"/>
          <w:lang w:val="pt-BR"/>
        </w:rPr>
        <w:t xml:space="preserve">, </w:t>
      </w:r>
      <w:proofErr w:type="spellStart"/>
      <w:r w:rsidRPr="00475253">
        <w:rPr>
          <w:rFonts w:cs="Arial"/>
          <w:szCs w:val="24"/>
          <w:lang w:val="pt-BR"/>
        </w:rPr>
        <w:t>Cathay</w:t>
      </w:r>
      <w:proofErr w:type="spellEnd"/>
      <w:r w:rsidRPr="00475253">
        <w:rPr>
          <w:rFonts w:cs="Arial"/>
          <w:szCs w:val="24"/>
          <w:lang w:val="pt-BR"/>
        </w:rPr>
        <w:t xml:space="preserve"> Financial e NVIDIA. O parque atua como plataforma para desenvolver soluções em 5G, IA, eletrônicos, veículos elétricos e cidades inteligentes, servindo como base de exportação tecnológica para o mercado da ASEAN. A estratégia taiwanesa mostra como hubs inteligentes podem ser alavancados por políticas industriais coordenadas e parcerias público-privadas internacionais (Magazine, 2024).</w:t>
      </w:r>
    </w:p>
    <w:p w14:paraId="75BCF023"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 </w:t>
      </w:r>
    </w:p>
    <w:p w14:paraId="6C555DD5" w14:textId="3C899574" w:rsidR="00AE74FE" w:rsidRPr="00475253" w:rsidRDefault="00121215" w:rsidP="00121215">
      <w:pPr>
        <w:pStyle w:val="Ttulo4"/>
        <w:keepNext w:val="0"/>
        <w:keepLines w:val="0"/>
        <w:spacing w:before="0" w:line="240" w:lineRule="auto"/>
        <w:jc w:val="both"/>
        <w:rPr>
          <w:rFonts w:ascii="Arial" w:hAnsi="Arial" w:cs="Arial"/>
          <w:b w:val="0"/>
          <w:bCs w:val="0"/>
          <w:i w:val="0"/>
          <w:iCs w:val="0"/>
          <w:color w:val="auto"/>
          <w:szCs w:val="24"/>
          <w:lang w:val="pt-BR"/>
        </w:rPr>
      </w:pPr>
      <w:bookmarkStart w:id="13" w:name="_ni0wx117se0f" w:colFirst="0" w:colLast="0"/>
      <w:bookmarkEnd w:id="13"/>
      <w:r w:rsidRPr="00475253">
        <w:rPr>
          <w:rFonts w:ascii="Arial" w:hAnsi="Arial" w:cs="Arial"/>
          <w:b w:val="0"/>
          <w:bCs w:val="0"/>
          <w:i w:val="0"/>
          <w:iCs w:val="0"/>
          <w:color w:val="auto"/>
          <w:szCs w:val="24"/>
          <w:lang w:val="pt-BR"/>
        </w:rPr>
        <w:t xml:space="preserve">4.4.2. </w:t>
      </w:r>
      <w:proofErr w:type="spellStart"/>
      <w:r w:rsidR="00AE74FE" w:rsidRPr="00475253">
        <w:rPr>
          <w:rFonts w:ascii="Arial" w:hAnsi="Arial" w:cs="Arial"/>
          <w:b w:val="0"/>
          <w:bCs w:val="0"/>
          <w:i w:val="0"/>
          <w:iCs w:val="0"/>
          <w:color w:val="auto"/>
          <w:szCs w:val="24"/>
          <w:lang w:val="pt-BR"/>
        </w:rPr>
        <w:t>Station</w:t>
      </w:r>
      <w:proofErr w:type="spellEnd"/>
      <w:r w:rsidR="00AE74FE" w:rsidRPr="00475253">
        <w:rPr>
          <w:rFonts w:ascii="Arial" w:hAnsi="Arial" w:cs="Arial"/>
          <w:b w:val="0"/>
          <w:bCs w:val="0"/>
          <w:i w:val="0"/>
          <w:iCs w:val="0"/>
          <w:color w:val="auto"/>
          <w:szCs w:val="24"/>
          <w:lang w:val="pt-BR"/>
        </w:rPr>
        <w:t xml:space="preserve"> F (Paris)</w:t>
      </w:r>
    </w:p>
    <w:p w14:paraId="34AA85C2" w14:textId="19592819" w:rsidR="00121215" w:rsidRPr="00475253" w:rsidRDefault="00AE74FE" w:rsidP="00121215">
      <w:pPr>
        <w:spacing w:after="0" w:line="240" w:lineRule="auto"/>
        <w:ind w:firstLine="720"/>
        <w:jc w:val="both"/>
        <w:rPr>
          <w:rFonts w:cs="Arial"/>
          <w:szCs w:val="24"/>
          <w:lang w:val="pt-BR"/>
        </w:rPr>
      </w:pPr>
      <w:r w:rsidRPr="00475253">
        <w:rPr>
          <w:rFonts w:cs="Arial"/>
          <w:szCs w:val="24"/>
          <w:lang w:val="pt-BR"/>
        </w:rPr>
        <w:t xml:space="preserve">Considerado o maior campus de startups do mundo, </w:t>
      </w:r>
      <w:proofErr w:type="spellStart"/>
      <w:r w:rsidRPr="00475253">
        <w:rPr>
          <w:rFonts w:cs="Arial"/>
          <w:szCs w:val="24"/>
          <w:lang w:val="pt-BR"/>
        </w:rPr>
        <w:t>Station</w:t>
      </w:r>
      <w:proofErr w:type="spellEnd"/>
      <w:r w:rsidRPr="00475253">
        <w:rPr>
          <w:rFonts w:cs="Arial"/>
          <w:szCs w:val="24"/>
          <w:lang w:val="pt-BR"/>
        </w:rPr>
        <w:t xml:space="preserve"> F abriga mais de 1.000 startups, 30 programas de aceleração e 600 investidores. O campus oferece infraestrutura completa com espaços de trabalho, programas de mentoria e apoio institucional. Em 2024, startups instaladas no campus arrecadaram mais de € 1 bilhão em investimentos. Operado por consórcio privado, </w:t>
      </w:r>
      <w:proofErr w:type="spellStart"/>
      <w:r w:rsidRPr="00475253">
        <w:rPr>
          <w:rFonts w:cs="Arial"/>
          <w:szCs w:val="24"/>
          <w:lang w:val="pt-BR"/>
        </w:rPr>
        <w:t>Station</w:t>
      </w:r>
      <w:proofErr w:type="spellEnd"/>
      <w:r w:rsidRPr="00475253">
        <w:rPr>
          <w:rFonts w:cs="Arial"/>
          <w:szCs w:val="24"/>
          <w:lang w:val="pt-BR"/>
        </w:rPr>
        <w:t xml:space="preserve"> F promove inovação aberta ao reunir grandes empresas (Google, LVMH, Microsoft), universidades (HEC, INSEAD) e investidores em um único ambiente. O modelo demonstra como hubs </w:t>
      </w:r>
      <w:r w:rsidRPr="00475253">
        <w:rPr>
          <w:rFonts w:cs="Arial"/>
          <w:szCs w:val="24"/>
          <w:lang w:val="pt-BR"/>
        </w:rPr>
        <w:lastRenderedPageBreak/>
        <w:t>inteligentes conseguem atrair talentos globais e gerar investimentos significativos (</w:t>
      </w:r>
      <w:r w:rsidR="00033340" w:rsidRPr="00475253">
        <w:rPr>
          <w:rFonts w:cs="Arial"/>
          <w:bCs/>
          <w:szCs w:val="24"/>
          <w:lang w:val="pt-BR"/>
        </w:rPr>
        <w:t xml:space="preserve">STATION </w:t>
      </w:r>
      <w:r w:rsidR="00033340" w:rsidRPr="00475253">
        <w:rPr>
          <w:rFonts w:cs="Arial"/>
          <w:bCs/>
          <w:szCs w:val="24"/>
          <w:lang w:val="pt-BR"/>
        </w:rPr>
        <w:t xml:space="preserve">F, </w:t>
      </w:r>
      <w:r w:rsidRPr="00475253">
        <w:rPr>
          <w:rFonts w:cs="Arial"/>
          <w:bCs/>
          <w:szCs w:val="24"/>
          <w:lang w:val="pt-BR"/>
        </w:rPr>
        <w:t>2024).</w:t>
      </w:r>
      <w:bookmarkStart w:id="14" w:name="_d04c71mbkz3r" w:colFirst="0" w:colLast="0"/>
      <w:bookmarkEnd w:id="14"/>
    </w:p>
    <w:p w14:paraId="41F4874A" w14:textId="77777777" w:rsidR="00121215" w:rsidRPr="00475253" w:rsidRDefault="00121215" w:rsidP="00121215">
      <w:pPr>
        <w:spacing w:after="0" w:line="240" w:lineRule="auto"/>
        <w:ind w:firstLine="720"/>
        <w:jc w:val="both"/>
        <w:rPr>
          <w:rFonts w:cs="Arial"/>
          <w:szCs w:val="24"/>
          <w:lang w:val="pt-BR"/>
        </w:rPr>
      </w:pPr>
    </w:p>
    <w:p w14:paraId="196DB343" w14:textId="6A3B4400" w:rsidR="00AE74FE" w:rsidRPr="00475253" w:rsidRDefault="00121215" w:rsidP="00121215">
      <w:pPr>
        <w:spacing w:after="0" w:line="240" w:lineRule="auto"/>
        <w:jc w:val="both"/>
        <w:rPr>
          <w:rFonts w:cs="Arial"/>
          <w:szCs w:val="24"/>
          <w:lang w:val="pt-BR"/>
        </w:rPr>
      </w:pPr>
      <w:r w:rsidRPr="00475253">
        <w:rPr>
          <w:rFonts w:cs="Arial"/>
          <w:szCs w:val="24"/>
          <w:lang w:val="pt-BR"/>
        </w:rPr>
        <w:t xml:space="preserve">4.4.3. </w:t>
      </w:r>
      <w:r w:rsidR="00AE74FE" w:rsidRPr="00475253">
        <w:rPr>
          <w:rFonts w:cs="Arial"/>
          <w:szCs w:val="24"/>
          <w:lang w:val="pt-BR"/>
        </w:rPr>
        <w:t>22@ Barcelona (Espanha)</w:t>
      </w:r>
    </w:p>
    <w:p w14:paraId="2082D9B9" w14:textId="5AFE2D25"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O distrito 22@ Barcelona é exemplo de regeneração urbana orientada à inovação. A transformação do antigo bairro industrial de </w:t>
      </w:r>
      <w:proofErr w:type="spellStart"/>
      <w:r w:rsidRPr="00475253">
        <w:rPr>
          <w:rFonts w:cs="Arial"/>
          <w:szCs w:val="24"/>
          <w:lang w:val="pt-BR"/>
        </w:rPr>
        <w:t>Poblenou</w:t>
      </w:r>
      <w:proofErr w:type="spellEnd"/>
      <w:r w:rsidRPr="00475253">
        <w:rPr>
          <w:rFonts w:cs="Arial"/>
          <w:szCs w:val="24"/>
          <w:lang w:val="pt-BR"/>
        </w:rPr>
        <w:t xml:space="preserve"> em distrito tecnológico envolveu a criação de 4 milhões de metros quadrados de espaço produtivo e atraiu mais de 4.500 empresas, empregando 90.000 pessoas. No primeiro semestre de 2022, 96 % dos €2 bilhões investidos em imóveis em Barcelona foram destinados ao 22@. O distrito sedia empresas como Meta, </w:t>
      </w:r>
      <w:proofErr w:type="spellStart"/>
      <w:r w:rsidRPr="00475253">
        <w:rPr>
          <w:rFonts w:cs="Arial"/>
          <w:szCs w:val="24"/>
          <w:lang w:val="pt-BR"/>
        </w:rPr>
        <w:t>Amazon</w:t>
      </w:r>
      <w:proofErr w:type="spellEnd"/>
      <w:r w:rsidRPr="00475253">
        <w:rPr>
          <w:rFonts w:cs="Arial"/>
          <w:szCs w:val="24"/>
          <w:lang w:val="pt-BR"/>
        </w:rPr>
        <w:t xml:space="preserve"> e Microsoft e busca conciliar inovação com inclusão social e sustentabilidade, promovendo habitação acessível, transporte público e espaços públicos qualificados. A experiência demonstra como hubs inteligentes podem revitalizar áreas degradadas, atrair empresas de alta tecnologia e impulsionar o desenvolvimento urbano (</w:t>
      </w:r>
      <w:proofErr w:type="spellStart"/>
      <w:r w:rsidRPr="00475253">
        <w:rPr>
          <w:rFonts w:cs="Arial"/>
          <w:szCs w:val="24"/>
          <w:lang w:val="pt-BR"/>
        </w:rPr>
        <w:t>SeedSprint</w:t>
      </w:r>
      <w:proofErr w:type="spellEnd"/>
      <w:r w:rsidRPr="00475253">
        <w:rPr>
          <w:rFonts w:cs="Arial"/>
          <w:szCs w:val="24"/>
          <w:lang w:val="pt-BR"/>
        </w:rPr>
        <w:t xml:space="preserve"> 2021; </w:t>
      </w:r>
      <w:proofErr w:type="spellStart"/>
      <w:r w:rsidRPr="00475253">
        <w:rPr>
          <w:rFonts w:cs="Arial"/>
          <w:szCs w:val="24"/>
          <w:lang w:val="pt-BR"/>
        </w:rPr>
        <w:t>Estate</w:t>
      </w:r>
      <w:proofErr w:type="spellEnd"/>
      <w:r w:rsidRPr="00475253">
        <w:rPr>
          <w:rFonts w:cs="Arial"/>
          <w:szCs w:val="24"/>
          <w:lang w:val="pt-BR"/>
        </w:rPr>
        <w:t xml:space="preserve"> 2022)</w:t>
      </w:r>
      <w:r w:rsidR="004F2296" w:rsidRPr="00475253">
        <w:rPr>
          <w:rFonts w:cs="Arial"/>
          <w:szCs w:val="24"/>
          <w:lang w:val="pt-BR"/>
        </w:rPr>
        <w:t>.</w:t>
      </w:r>
    </w:p>
    <w:p w14:paraId="6416CE8A" w14:textId="59FE65C3" w:rsidR="009A0753" w:rsidRPr="00475253" w:rsidRDefault="009A0753" w:rsidP="00A80222">
      <w:pPr>
        <w:spacing w:after="0" w:line="240" w:lineRule="auto"/>
        <w:ind w:firstLine="720"/>
        <w:jc w:val="both"/>
        <w:rPr>
          <w:rFonts w:cs="Arial"/>
          <w:szCs w:val="24"/>
          <w:lang w:val="pt-BR"/>
        </w:rPr>
      </w:pPr>
    </w:p>
    <w:p w14:paraId="0F92DDAF" w14:textId="104F2F03" w:rsidR="009A0753" w:rsidRPr="00475253" w:rsidRDefault="009A0753" w:rsidP="00A80222">
      <w:pPr>
        <w:spacing w:after="0" w:line="240" w:lineRule="auto"/>
        <w:ind w:firstLine="720"/>
        <w:jc w:val="both"/>
        <w:rPr>
          <w:rFonts w:cs="Arial"/>
          <w:szCs w:val="24"/>
          <w:lang w:val="pt-BR"/>
        </w:rPr>
      </w:pPr>
    </w:p>
    <w:p w14:paraId="5916E339" w14:textId="77777777" w:rsidR="009A0753" w:rsidRPr="00475253" w:rsidRDefault="009A0753" w:rsidP="009A0753">
      <w:pPr>
        <w:spacing w:after="0" w:line="240" w:lineRule="auto"/>
        <w:jc w:val="both"/>
        <w:rPr>
          <w:rFonts w:cs="Arial"/>
          <w:szCs w:val="24"/>
          <w:lang w:val="pt-BR"/>
        </w:rPr>
      </w:pPr>
      <w:r w:rsidRPr="00475253">
        <w:rPr>
          <w:rFonts w:cs="Arial"/>
          <w:szCs w:val="24"/>
          <w:lang w:val="pt-BR"/>
        </w:rPr>
        <w:t>4.4.4.</w:t>
      </w:r>
      <w:r w:rsidRPr="00475253">
        <w:rPr>
          <w:lang w:val="pt-BR"/>
        </w:rPr>
        <w:t xml:space="preserve"> </w:t>
      </w:r>
      <w:r w:rsidRPr="00475253">
        <w:rPr>
          <w:rFonts w:cs="Arial"/>
          <w:szCs w:val="24"/>
          <w:lang w:val="pt-BR"/>
        </w:rPr>
        <w:t xml:space="preserve">Silicon </w:t>
      </w:r>
      <w:proofErr w:type="spellStart"/>
      <w:r w:rsidRPr="00475253">
        <w:rPr>
          <w:rFonts w:cs="Arial"/>
          <w:szCs w:val="24"/>
          <w:lang w:val="pt-BR"/>
        </w:rPr>
        <w:t>Roundabout</w:t>
      </w:r>
      <w:proofErr w:type="spellEnd"/>
      <w:r w:rsidRPr="00475253">
        <w:rPr>
          <w:rFonts w:cs="Arial"/>
          <w:szCs w:val="24"/>
          <w:lang w:val="pt-BR"/>
        </w:rPr>
        <w:t xml:space="preserve"> (Londres, Reino Unido) </w:t>
      </w:r>
    </w:p>
    <w:p w14:paraId="2A4380A1" w14:textId="77777777" w:rsidR="009A0753" w:rsidRPr="00475253" w:rsidRDefault="009A0753" w:rsidP="009A0753">
      <w:pPr>
        <w:spacing w:after="0" w:line="240" w:lineRule="auto"/>
        <w:ind w:firstLine="720"/>
        <w:jc w:val="both"/>
        <w:rPr>
          <w:rFonts w:cs="Arial"/>
          <w:szCs w:val="24"/>
          <w:lang w:val="pt-BR"/>
        </w:rPr>
      </w:pPr>
      <w:r w:rsidRPr="00475253">
        <w:rPr>
          <w:rFonts w:cs="Arial"/>
          <w:szCs w:val="24"/>
          <w:lang w:val="pt-BR"/>
        </w:rPr>
        <w:t xml:space="preserve">O Silicon </w:t>
      </w:r>
      <w:proofErr w:type="spellStart"/>
      <w:r w:rsidRPr="00475253">
        <w:rPr>
          <w:rFonts w:cs="Arial"/>
          <w:szCs w:val="24"/>
          <w:lang w:val="pt-BR"/>
        </w:rPr>
        <w:t>Roundabout</w:t>
      </w:r>
      <w:proofErr w:type="spellEnd"/>
      <w:r w:rsidRPr="00475253">
        <w:rPr>
          <w:rFonts w:cs="Arial"/>
          <w:szCs w:val="24"/>
          <w:lang w:val="pt-BR"/>
        </w:rPr>
        <w:t xml:space="preserve">, também conhecido como Tech City ou East London Tech City, surgiu no início dos anos 2000 como um aglomerado espontâneo de startups digitais no bairro de </w:t>
      </w:r>
      <w:proofErr w:type="spellStart"/>
      <w:r w:rsidRPr="00475253">
        <w:rPr>
          <w:rFonts w:cs="Arial"/>
          <w:szCs w:val="24"/>
          <w:lang w:val="pt-BR"/>
        </w:rPr>
        <w:t>Shoreditch</w:t>
      </w:r>
      <w:proofErr w:type="spellEnd"/>
      <w:r w:rsidRPr="00475253">
        <w:rPr>
          <w:rFonts w:cs="Arial"/>
          <w:szCs w:val="24"/>
          <w:lang w:val="pt-BR"/>
        </w:rPr>
        <w:t xml:space="preserve">, no leste de Londres. Com o apoio do governo britânico, que em 2010 lançou o programa oficial Tech City UK, a região rapidamente se consolidou como o maior polo europeu de tecnologia e inovação. Hoje, abriga milhares de startups, especialmente em áreas como </w:t>
      </w:r>
      <w:proofErr w:type="spellStart"/>
      <w:r w:rsidRPr="00475253">
        <w:rPr>
          <w:rFonts w:cs="Arial"/>
          <w:szCs w:val="24"/>
          <w:lang w:val="pt-BR"/>
        </w:rPr>
        <w:t>fintechs</w:t>
      </w:r>
      <w:proofErr w:type="spellEnd"/>
      <w:r w:rsidRPr="00475253">
        <w:rPr>
          <w:rFonts w:cs="Arial"/>
          <w:szCs w:val="24"/>
          <w:lang w:val="pt-BR"/>
        </w:rPr>
        <w:t xml:space="preserve">, inteligência artificial, e-commerce e marketing digital, além de sedes de gigantes globais como Google, </w:t>
      </w:r>
      <w:proofErr w:type="spellStart"/>
      <w:r w:rsidRPr="00475253">
        <w:rPr>
          <w:rFonts w:cs="Arial"/>
          <w:szCs w:val="24"/>
          <w:lang w:val="pt-BR"/>
        </w:rPr>
        <w:t>Amazon</w:t>
      </w:r>
      <w:proofErr w:type="spellEnd"/>
      <w:r w:rsidRPr="00475253">
        <w:rPr>
          <w:rFonts w:cs="Arial"/>
          <w:szCs w:val="24"/>
          <w:lang w:val="pt-BR"/>
        </w:rPr>
        <w:t>, Cisco e Facebook, que instalaram centros de inovação no distrito.</w:t>
      </w:r>
    </w:p>
    <w:p w14:paraId="7CA4FECA" w14:textId="73DF96D7" w:rsidR="009A0753" w:rsidRPr="00475253" w:rsidRDefault="009A0753" w:rsidP="009A0753">
      <w:pPr>
        <w:spacing w:after="0" w:line="240" w:lineRule="auto"/>
        <w:ind w:firstLine="720"/>
        <w:jc w:val="both"/>
        <w:rPr>
          <w:rFonts w:cs="Arial"/>
          <w:szCs w:val="24"/>
          <w:lang w:val="pt-BR"/>
        </w:rPr>
      </w:pPr>
      <w:r w:rsidRPr="00475253">
        <w:rPr>
          <w:rFonts w:cs="Arial"/>
          <w:szCs w:val="24"/>
          <w:lang w:val="pt-BR"/>
        </w:rPr>
        <w:t xml:space="preserve">Os resultados são expressivos tanto em termos econômicos quanto sociais. O ecossistema contribuiu para que Londres se tornasse a principal capital europeia de venture capital, atraindo bilhões de libras em investimentos para startups. Além disso, o Silicon </w:t>
      </w:r>
      <w:proofErr w:type="spellStart"/>
      <w:r w:rsidRPr="00475253">
        <w:rPr>
          <w:rFonts w:cs="Arial"/>
          <w:szCs w:val="24"/>
          <w:lang w:val="pt-BR"/>
        </w:rPr>
        <w:t>Roundabout</w:t>
      </w:r>
      <w:proofErr w:type="spellEnd"/>
      <w:r w:rsidRPr="00475253">
        <w:rPr>
          <w:rFonts w:cs="Arial"/>
          <w:szCs w:val="24"/>
          <w:lang w:val="pt-BR"/>
        </w:rPr>
        <w:t xml:space="preserve"> impulsionou o crescimento do setor de </w:t>
      </w:r>
      <w:proofErr w:type="spellStart"/>
      <w:r w:rsidRPr="00475253">
        <w:rPr>
          <w:rFonts w:cs="Arial"/>
          <w:szCs w:val="24"/>
          <w:lang w:val="pt-BR"/>
        </w:rPr>
        <w:t>fintechs</w:t>
      </w:r>
      <w:proofErr w:type="spellEnd"/>
      <w:r w:rsidRPr="00475253">
        <w:rPr>
          <w:rFonts w:cs="Arial"/>
          <w:szCs w:val="24"/>
          <w:lang w:val="pt-BR"/>
        </w:rPr>
        <w:t xml:space="preserve">, fazendo do Reino Unido líder no segmento na Europa, com exemplos de unicórnios como </w:t>
      </w:r>
      <w:proofErr w:type="spellStart"/>
      <w:r w:rsidRPr="00475253">
        <w:rPr>
          <w:rFonts w:cs="Arial"/>
          <w:szCs w:val="24"/>
          <w:lang w:val="pt-BR"/>
        </w:rPr>
        <w:t>TransferWise</w:t>
      </w:r>
      <w:proofErr w:type="spellEnd"/>
      <w:r w:rsidRPr="00475253">
        <w:rPr>
          <w:rFonts w:cs="Arial"/>
          <w:szCs w:val="24"/>
          <w:lang w:val="pt-BR"/>
        </w:rPr>
        <w:t xml:space="preserve"> (hoje </w:t>
      </w:r>
      <w:proofErr w:type="spellStart"/>
      <w:r w:rsidRPr="00475253">
        <w:rPr>
          <w:rFonts w:cs="Arial"/>
          <w:szCs w:val="24"/>
          <w:lang w:val="pt-BR"/>
        </w:rPr>
        <w:t>Wise</w:t>
      </w:r>
      <w:proofErr w:type="spellEnd"/>
      <w:r w:rsidRPr="00475253">
        <w:rPr>
          <w:rFonts w:cs="Arial"/>
          <w:szCs w:val="24"/>
          <w:lang w:val="pt-BR"/>
        </w:rPr>
        <w:t xml:space="preserve">) e </w:t>
      </w:r>
      <w:proofErr w:type="spellStart"/>
      <w:r w:rsidRPr="00475253">
        <w:rPr>
          <w:rFonts w:cs="Arial"/>
          <w:szCs w:val="24"/>
          <w:lang w:val="pt-BR"/>
        </w:rPr>
        <w:t>Revolut</w:t>
      </w:r>
      <w:proofErr w:type="spellEnd"/>
      <w:r w:rsidRPr="00475253">
        <w:rPr>
          <w:rFonts w:cs="Arial"/>
          <w:szCs w:val="24"/>
          <w:lang w:val="pt-BR"/>
        </w:rPr>
        <w:t>, que nasceram nesse ambiente. O distrito também serviu como modelo de política pública de fomento à inovação, demonstrando como a articulação entre governo, setor privado e empreendedores pode gerar impactos estruturais no desenvolvimento econômico e na projeção internacional de um ecossistema.</w:t>
      </w:r>
    </w:p>
    <w:p w14:paraId="4B91AF18" w14:textId="2EF7148B" w:rsidR="009A0753" w:rsidRPr="00475253" w:rsidRDefault="009A0753" w:rsidP="00A80222">
      <w:pPr>
        <w:spacing w:after="0" w:line="240" w:lineRule="auto"/>
        <w:ind w:firstLine="720"/>
        <w:jc w:val="both"/>
        <w:rPr>
          <w:rFonts w:cs="Arial"/>
          <w:szCs w:val="24"/>
          <w:lang w:val="pt-BR"/>
        </w:rPr>
      </w:pPr>
    </w:p>
    <w:p w14:paraId="4907153A" w14:textId="46D731A3" w:rsidR="004F2296" w:rsidRPr="00475253" w:rsidRDefault="004F2296" w:rsidP="00A80222">
      <w:pPr>
        <w:spacing w:after="0" w:line="240" w:lineRule="auto"/>
        <w:ind w:firstLine="720"/>
        <w:jc w:val="both"/>
        <w:rPr>
          <w:rFonts w:cs="Arial"/>
          <w:szCs w:val="24"/>
          <w:lang w:val="pt-BR"/>
        </w:rPr>
      </w:pPr>
      <w:r w:rsidRPr="00475253">
        <w:rPr>
          <w:rFonts w:cs="Arial"/>
          <w:szCs w:val="24"/>
          <w:lang w:val="pt-BR"/>
        </w:rPr>
        <w:t>Para consolidar os achados discutidos ao longo do trabalho, o Quadro 3 apresenta uma síntese comparativa entre os ecossistemas tradicionais e os hubs inteligentes mediados por inteligência artificial. A proposta é evidenciar, de forma integrada, como dimensões-chave</w:t>
      </w:r>
      <w:r w:rsidRPr="00475253">
        <w:rPr>
          <w:rFonts w:cs="Arial"/>
          <w:szCs w:val="24"/>
          <w:lang w:val="pt-BR"/>
        </w:rPr>
        <w:t>,</w:t>
      </w:r>
      <w:r w:rsidRPr="00475253">
        <w:rPr>
          <w:rFonts w:cs="Arial"/>
          <w:szCs w:val="24"/>
          <w:lang w:val="pt-BR"/>
        </w:rPr>
        <w:t xml:space="preserve"> governança, infraestrutura, tecnologias, métricas, escopo e sustentabilidade</w:t>
      </w:r>
      <w:r w:rsidRPr="00475253">
        <w:rPr>
          <w:rFonts w:cs="Arial"/>
          <w:szCs w:val="24"/>
          <w:lang w:val="pt-BR"/>
        </w:rPr>
        <w:t>,</w:t>
      </w:r>
      <w:r w:rsidRPr="00475253">
        <w:rPr>
          <w:rFonts w:cs="Arial"/>
          <w:szCs w:val="24"/>
          <w:lang w:val="pt-BR"/>
        </w:rPr>
        <w:t xml:space="preserve"> evoluem de arranjos locais e centralizados para estruturas globais, digitais e colaborativas. Além de organizar os principais elementos conceituais, o quadro agrega exemplos internacionais e nacionais que ilustram a transição em curso, reforçando a aplicabilidade prática das discussões desenvolvidas no artigo.</w:t>
      </w:r>
    </w:p>
    <w:p w14:paraId="1EC7061D" w14:textId="544245EC" w:rsidR="004F2296" w:rsidRPr="00475253" w:rsidRDefault="004F2296" w:rsidP="00A80222">
      <w:pPr>
        <w:spacing w:after="0" w:line="240" w:lineRule="auto"/>
        <w:ind w:firstLine="720"/>
        <w:jc w:val="both"/>
        <w:rPr>
          <w:rFonts w:cs="Arial"/>
          <w:szCs w:val="24"/>
          <w:lang w:val="pt-BR"/>
        </w:rPr>
      </w:pPr>
    </w:p>
    <w:p w14:paraId="0D816234" w14:textId="37A114D8" w:rsidR="004F2296" w:rsidRPr="00475253" w:rsidRDefault="004F2296" w:rsidP="00A80222">
      <w:pPr>
        <w:spacing w:after="0" w:line="240" w:lineRule="auto"/>
        <w:ind w:firstLine="720"/>
        <w:jc w:val="both"/>
        <w:rPr>
          <w:rFonts w:cs="Arial"/>
          <w:szCs w:val="24"/>
          <w:lang w:val="pt-BR"/>
        </w:rPr>
      </w:pPr>
    </w:p>
    <w:p w14:paraId="39A985E6" w14:textId="522AD2D0" w:rsidR="004F2296" w:rsidRPr="00475253" w:rsidRDefault="004F2296" w:rsidP="00A80222">
      <w:pPr>
        <w:spacing w:after="0" w:line="240" w:lineRule="auto"/>
        <w:ind w:firstLine="720"/>
        <w:jc w:val="both"/>
        <w:rPr>
          <w:rFonts w:cs="Arial"/>
          <w:szCs w:val="24"/>
          <w:lang w:val="pt-BR"/>
        </w:rPr>
      </w:pPr>
    </w:p>
    <w:p w14:paraId="4FE65432" w14:textId="5238EBD0" w:rsidR="00ED41CE" w:rsidRPr="00475253" w:rsidRDefault="00ED41CE" w:rsidP="00A80222">
      <w:pPr>
        <w:spacing w:after="0" w:line="240" w:lineRule="auto"/>
        <w:ind w:firstLine="720"/>
        <w:jc w:val="both"/>
        <w:rPr>
          <w:rFonts w:cs="Arial"/>
          <w:szCs w:val="24"/>
          <w:lang w:val="pt-BR"/>
        </w:rPr>
      </w:pPr>
    </w:p>
    <w:p w14:paraId="792FD99A" w14:textId="2E45ACD6" w:rsidR="00ED41CE" w:rsidRPr="00475253" w:rsidRDefault="00ED41CE" w:rsidP="00ED41CE">
      <w:pPr>
        <w:spacing w:after="0" w:line="240" w:lineRule="auto"/>
        <w:outlineLvl w:val="2"/>
        <w:rPr>
          <w:rFonts w:eastAsia="Times New Roman" w:cs="Arial"/>
          <w:szCs w:val="24"/>
          <w:lang w:val="pt-BR" w:eastAsia="pt-BR"/>
        </w:rPr>
      </w:pPr>
      <w:r w:rsidRPr="00807BD4">
        <w:rPr>
          <w:rFonts w:eastAsia="Times New Roman" w:cs="Arial"/>
          <w:szCs w:val="24"/>
          <w:lang w:val="pt-BR" w:eastAsia="pt-BR"/>
        </w:rPr>
        <w:lastRenderedPageBreak/>
        <w:t>Quadro 3 –</w:t>
      </w:r>
      <w:r w:rsidR="003E25EF">
        <w:rPr>
          <w:rFonts w:eastAsia="Times New Roman" w:cs="Arial"/>
          <w:szCs w:val="24"/>
          <w:lang w:val="pt-BR" w:eastAsia="pt-BR"/>
        </w:rPr>
        <w:t xml:space="preserve"> T</w:t>
      </w:r>
      <w:r w:rsidRPr="00807BD4">
        <w:rPr>
          <w:rFonts w:eastAsia="Times New Roman" w:cs="Arial"/>
          <w:szCs w:val="24"/>
          <w:lang w:val="pt-BR" w:eastAsia="pt-BR"/>
        </w:rPr>
        <w:t xml:space="preserve">ransição de ecossistemas tradicionais para hubs inteligentes </w:t>
      </w:r>
      <w:r w:rsidR="003E25EF">
        <w:rPr>
          <w:rFonts w:eastAsia="Times New Roman" w:cs="Arial"/>
          <w:szCs w:val="24"/>
          <w:lang w:val="pt-BR" w:eastAsia="pt-BR"/>
        </w:rPr>
        <w:tab/>
      </w:r>
      <w:r w:rsidR="003E25EF">
        <w:rPr>
          <w:rFonts w:eastAsia="Times New Roman" w:cs="Arial"/>
          <w:szCs w:val="24"/>
          <w:lang w:val="pt-BR" w:eastAsia="pt-BR"/>
        </w:rPr>
        <w:tab/>
        <w:t xml:space="preserve">         </w:t>
      </w:r>
      <w:r w:rsidRPr="00807BD4">
        <w:rPr>
          <w:rFonts w:eastAsia="Times New Roman" w:cs="Arial"/>
          <w:szCs w:val="24"/>
          <w:lang w:val="pt-BR" w:eastAsia="pt-BR"/>
        </w:rPr>
        <w:t>mediados por IA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545"/>
        <w:gridCol w:w="2821"/>
        <w:gridCol w:w="1999"/>
      </w:tblGrid>
      <w:tr w:rsidR="00475253" w:rsidRPr="00475253" w14:paraId="6F07E591" w14:textId="77777777" w:rsidTr="007972C8">
        <w:trPr>
          <w:tblHeader/>
          <w:tblCellSpacing w:w="15" w:type="dxa"/>
        </w:trPr>
        <w:tc>
          <w:tcPr>
            <w:tcW w:w="0" w:type="auto"/>
            <w:vAlign w:val="center"/>
            <w:hideMark/>
          </w:tcPr>
          <w:p w14:paraId="4C3AF4A8" w14:textId="77777777" w:rsidR="009A0753" w:rsidRPr="00E229D6" w:rsidRDefault="009A0753" w:rsidP="007972C8">
            <w:pPr>
              <w:spacing w:after="0" w:line="240" w:lineRule="auto"/>
              <w:jc w:val="center"/>
              <w:rPr>
                <w:rFonts w:ascii="Arial Narrow" w:eastAsia="Times New Roman" w:hAnsi="Arial Narrow" w:cs="Times New Roman"/>
                <w:b/>
                <w:bCs/>
                <w:szCs w:val="24"/>
                <w:lang w:eastAsia="pt-BR"/>
              </w:rPr>
            </w:pPr>
            <w:proofErr w:type="spellStart"/>
            <w:r w:rsidRPr="00E229D6">
              <w:rPr>
                <w:rFonts w:ascii="Arial Narrow" w:eastAsia="Times New Roman" w:hAnsi="Arial Narrow" w:cs="Times New Roman"/>
                <w:b/>
                <w:bCs/>
                <w:szCs w:val="24"/>
                <w:lang w:eastAsia="pt-BR"/>
              </w:rPr>
              <w:t>Dimensão</w:t>
            </w:r>
            <w:proofErr w:type="spellEnd"/>
          </w:p>
        </w:tc>
        <w:tc>
          <w:tcPr>
            <w:tcW w:w="0" w:type="auto"/>
            <w:vAlign w:val="center"/>
            <w:hideMark/>
          </w:tcPr>
          <w:p w14:paraId="0CC8C0E7" w14:textId="77777777" w:rsidR="009A0753" w:rsidRPr="00E229D6" w:rsidRDefault="009A0753" w:rsidP="007972C8">
            <w:pPr>
              <w:spacing w:after="0" w:line="240" w:lineRule="auto"/>
              <w:jc w:val="center"/>
              <w:rPr>
                <w:rFonts w:ascii="Arial Narrow" w:eastAsia="Times New Roman" w:hAnsi="Arial Narrow" w:cs="Times New Roman"/>
                <w:b/>
                <w:bCs/>
                <w:szCs w:val="24"/>
                <w:lang w:eastAsia="pt-BR"/>
              </w:rPr>
            </w:pPr>
            <w:proofErr w:type="spellStart"/>
            <w:r w:rsidRPr="00E229D6">
              <w:rPr>
                <w:rFonts w:ascii="Arial Narrow" w:eastAsia="Times New Roman" w:hAnsi="Arial Narrow" w:cs="Times New Roman"/>
                <w:b/>
                <w:bCs/>
                <w:szCs w:val="24"/>
                <w:lang w:eastAsia="pt-BR"/>
              </w:rPr>
              <w:t>Evidências</w:t>
            </w:r>
            <w:proofErr w:type="spellEnd"/>
            <w:r w:rsidRPr="00E229D6">
              <w:rPr>
                <w:rFonts w:ascii="Arial Narrow" w:eastAsia="Times New Roman" w:hAnsi="Arial Narrow" w:cs="Times New Roman"/>
                <w:b/>
                <w:bCs/>
                <w:szCs w:val="24"/>
                <w:lang w:eastAsia="pt-BR"/>
              </w:rPr>
              <w:t xml:space="preserve"> </w:t>
            </w:r>
            <w:proofErr w:type="spellStart"/>
            <w:r w:rsidRPr="00E229D6">
              <w:rPr>
                <w:rFonts w:ascii="Arial Narrow" w:eastAsia="Times New Roman" w:hAnsi="Arial Narrow" w:cs="Times New Roman"/>
                <w:b/>
                <w:bCs/>
                <w:szCs w:val="24"/>
                <w:lang w:eastAsia="pt-BR"/>
              </w:rPr>
              <w:t>em</w:t>
            </w:r>
            <w:proofErr w:type="spellEnd"/>
            <w:r w:rsidRPr="00E229D6">
              <w:rPr>
                <w:rFonts w:ascii="Arial Narrow" w:eastAsia="Times New Roman" w:hAnsi="Arial Narrow" w:cs="Times New Roman"/>
                <w:b/>
                <w:bCs/>
                <w:szCs w:val="24"/>
                <w:lang w:eastAsia="pt-BR"/>
              </w:rPr>
              <w:t xml:space="preserve"> </w:t>
            </w:r>
            <w:proofErr w:type="spellStart"/>
            <w:r w:rsidRPr="00E229D6">
              <w:rPr>
                <w:rFonts w:ascii="Arial Narrow" w:eastAsia="Times New Roman" w:hAnsi="Arial Narrow" w:cs="Times New Roman"/>
                <w:b/>
                <w:bCs/>
                <w:szCs w:val="24"/>
                <w:lang w:eastAsia="pt-BR"/>
              </w:rPr>
              <w:t>Ecossistemas</w:t>
            </w:r>
            <w:proofErr w:type="spellEnd"/>
            <w:r w:rsidRPr="00E229D6">
              <w:rPr>
                <w:rFonts w:ascii="Arial Narrow" w:eastAsia="Times New Roman" w:hAnsi="Arial Narrow" w:cs="Times New Roman"/>
                <w:b/>
                <w:bCs/>
                <w:szCs w:val="24"/>
                <w:lang w:eastAsia="pt-BR"/>
              </w:rPr>
              <w:t xml:space="preserve"> </w:t>
            </w:r>
            <w:proofErr w:type="spellStart"/>
            <w:r w:rsidRPr="00E229D6">
              <w:rPr>
                <w:rFonts w:ascii="Arial Narrow" w:eastAsia="Times New Roman" w:hAnsi="Arial Narrow" w:cs="Times New Roman"/>
                <w:b/>
                <w:bCs/>
                <w:szCs w:val="24"/>
                <w:lang w:eastAsia="pt-BR"/>
              </w:rPr>
              <w:t>Tradicionais</w:t>
            </w:r>
            <w:proofErr w:type="spellEnd"/>
          </w:p>
        </w:tc>
        <w:tc>
          <w:tcPr>
            <w:tcW w:w="0" w:type="auto"/>
            <w:vAlign w:val="center"/>
            <w:hideMark/>
          </w:tcPr>
          <w:p w14:paraId="5E1DA5DA" w14:textId="77777777" w:rsidR="003E25EF" w:rsidRDefault="009A0753" w:rsidP="007972C8">
            <w:pPr>
              <w:spacing w:after="0" w:line="240" w:lineRule="auto"/>
              <w:jc w:val="center"/>
              <w:rPr>
                <w:rFonts w:ascii="Arial Narrow" w:eastAsia="Times New Roman" w:hAnsi="Arial Narrow" w:cs="Times New Roman"/>
                <w:b/>
                <w:bCs/>
                <w:szCs w:val="24"/>
                <w:lang w:eastAsia="pt-BR"/>
              </w:rPr>
            </w:pPr>
            <w:proofErr w:type="spellStart"/>
            <w:r w:rsidRPr="00E229D6">
              <w:rPr>
                <w:rFonts w:ascii="Arial Narrow" w:eastAsia="Times New Roman" w:hAnsi="Arial Narrow" w:cs="Times New Roman"/>
                <w:b/>
                <w:bCs/>
                <w:szCs w:val="24"/>
                <w:lang w:eastAsia="pt-BR"/>
              </w:rPr>
              <w:t>Transformações</w:t>
            </w:r>
            <w:proofErr w:type="spellEnd"/>
            <w:r w:rsidRPr="00E229D6">
              <w:rPr>
                <w:rFonts w:ascii="Arial Narrow" w:eastAsia="Times New Roman" w:hAnsi="Arial Narrow" w:cs="Times New Roman"/>
                <w:b/>
                <w:bCs/>
                <w:szCs w:val="24"/>
                <w:lang w:eastAsia="pt-BR"/>
              </w:rPr>
              <w:t xml:space="preserve"> </w:t>
            </w:r>
            <w:proofErr w:type="spellStart"/>
            <w:r w:rsidRPr="00E229D6">
              <w:rPr>
                <w:rFonts w:ascii="Arial Narrow" w:eastAsia="Times New Roman" w:hAnsi="Arial Narrow" w:cs="Times New Roman"/>
                <w:b/>
                <w:bCs/>
                <w:szCs w:val="24"/>
                <w:lang w:eastAsia="pt-BR"/>
              </w:rPr>
              <w:t>nos</w:t>
            </w:r>
            <w:proofErr w:type="spellEnd"/>
            <w:r w:rsidRPr="00E229D6">
              <w:rPr>
                <w:rFonts w:ascii="Arial Narrow" w:eastAsia="Times New Roman" w:hAnsi="Arial Narrow" w:cs="Times New Roman"/>
                <w:b/>
                <w:bCs/>
                <w:szCs w:val="24"/>
                <w:lang w:eastAsia="pt-BR"/>
              </w:rPr>
              <w:t xml:space="preserve"> </w:t>
            </w:r>
          </w:p>
          <w:p w14:paraId="0C9D18AA" w14:textId="6023F292" w:rsidR="009A0753" w:rsidRPr="00E229D6" w:rsidRDefault="009A0753" w:rsidP="007972C8">
            <w:pPr>
              <w:spacing w:after="0" w:line="240" w:lineRule="auto"/>
              <w:jc w:val="center"/>
              <w:rPr>
                <w:rFonts w:ascii="Arial Narrow" w:eastAsia="Times New Roman" w:hAnsi="Arial Narrow" w:cs="Times New Roman"/>
                <w:b/>
                <w:bCs/>
                <w:szCs w:val="24"/>
                <w:lang w:eastAsia="pt-BR"/>
              </w:rPr>
            </w:pPr>
            <w:r w:rsidRPr="00E229D6">
              <w:rPr>
                <w:rFonts w:ascii="Arial Narrow" w:eastAsia="Times New Roman" w:hAnsi="Arial Narrow" w:cs="Times New Roman"/>
                <w:b/>
                <w:bCs/>
                <w:szCs w:val="24"/>
                <w:lang w:eastAsia="pt-BR"/>
              </w:rPr>
              <w:t xml:space="preserve">Hubs </w:t>
            </w:r>
            <w:proofErr w:type="spellStart"/>
            <w:r w:rsidRPr="00E229D6">
              <w:rPr>
                <w:rFonts w:ascii="Arial Narrow" w:eastAsia="Times New Roman" w:hAnsi="Arial Narrow" w:cs="Times New Roman"/>
                <w:b/>
                <w:bCs/>
                <w:szCs w:val="24"/>
                <w:lang w:eastAsia="pt-BR"/>
              </w:rPr>
              <w:t>Inteligentes</w:t>
            </w:r>
            <w:proofErr w:type="spellEnd"/>
          </w:p>
        </w:tc>
        <w:tc>
          <w:tcPr>
            <w:tcW w:w="0" w:type="auto"/>
            <w:vAlign w:val="center"/>
            <w:hideMark/>
          </w:tcPr>
          <w:p w14:paraId="01C7F4D3" w14:textId="77777777" w:rsidR="009A0753" w:rsidRPr="00E229D6" w:rsidRDefault="009A0753" w:rsidP="007972C8">
            <w:pPr>
              <w:spacing w:after="0" w:line="240" w:lineRule="auto"/>
              <w:jc w:val="center"/>
              <w:rPr>
                <w:rFonts w:ascii="Arial Narrow" w:eastAsia="Times New Roman" w:hAnsi="Arial Narrow" w:cs="Times New Roman"/>
                <w:b/>
                <w:bCs/>
                <w:szCs w:val="24"/>
                <w:lang w:eastAsia="pt-BR"/>
              </w:rPr>
            </w:pPr>
            <w:proofErr w:type="spellStart"/>
            <w:r w:rsidRPr="00E229D6">
              <w:rPr>
                <w:rFonts w:ascii="Arial Narrow" w:eastAsia="Times New Roman" w:hAnsi="Arial Narrow" w:cs="Times New Roman"/>
                <w:b/>
                <w:bCs/>
                <w:szCs w:val="24"/>
                <w:lang w:eastAsia="pt-BR"/>
              </w:rPr>
              <w:t>Exemplos</w:t>
            </w:r>
            <w:proofErr w:type="spellEnd"/>
          </w:p>
        </w:tc>
      </w:tr>
      <w:tr w:rsidR="00475253" w:rsidRPr="00475253" w14:paraId="202B393A" w14:textId="77777777" w:rsidTr="007972C8">
        <w:trPr>
          <w:tblCellSpacing w:w="15" w:type="dxa"/>
        </w:trPr>
        <w:tc>
          <w:tcPr>
            <w:tcW w:w="0" w:type="auto"/>
            <w:vAlign w:val="center"/>
            <w:hideMark/>
          </w:tcPr>
          <w:p w14:paraId="1CFEDE3F"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Governança</w:t>
            </w:r>
            <w:proofErr w:type="spellEnd"/>
          </w:p>
        </w:tc>
        <w:tc>
          <w:tcPr>
            <w:tcW w:w="0" w:type="auto"/>
            <w:vAlign w:val="center"/>
            <w:hideMark/>
          </w:tcPr>
          <w:p w14:paraId="78A0D6F3"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Centralizada em universidades ou governo, pouca participação social.</w:t>
            </w:r>
          </w:p>
        </w:tc>
        <w:tc>
          <w:tcPr>
            <w:tcW w:w="0" w:type="auto"/>
            <w:vAlign w:val="center"/>
            <w:hideMark/>
          </w:tcPr>
          <w:p w14:paraId="4D630DBB"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Estruturas multissetoriais (tríplice/quádrupla hélice) com maior colaboração.</w:t>
            </w:r>
          </w:p>
        </w:tc>
        <w:tc>
          <w:tcPr>
            <w:tcW w:w="0" w:type="auto"/>
            <w:vAlign w:val="center"/>
            <w:hideMark/>
          </w:tcPr>
          <w:p w14:paraId="6C1296AC"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 xml:space="preserve">Porto Digital </w:t>
            </w:r>
            <w:r w:rsidRPr="00475253">
              <w:rPr>
                <w:rFonts w:ascii="Arial Narrow" w:eastAsia="Times New Roman" w:hAnsi="Arial Narrow" w:cs="Times New Roman"/>
                <w:szCs w:val="24"/>
                <w:lang w:val="pt-BR" w:eastAsia="pt-BR"/>
              </w:rPr>
              <w:t xml:space="preserve">e </w:t>
            </w:r>
            <w:r w:rsidRPr="00E229D6">
              <w:rPr>
                <w:rFonts w:ascii="Arial Narrow" w:eastAsia="Times New Roman" w:hAnsi="Arial Narrow" w:cs="Times New Roman"/>
                <w:szCs w:val="24"/>
                <w:lang w:val="pt-BR" w:eastAsia="pt-BR"/>
              </w:rPr>
              <w:t xml:space="preserve"> Cubo Itaú (Brasil)</w:t>
            </w:r>
          </w:p>
        </w:tc>
      </w:tr>
      <w:tr w:rsidR="00475253" w:rsidRPr="00475253" w14:paraId="139F7DFF" w14:textId="77777777" w:rsidTr="007972C8">
        <w:trPr>
          <w:tblCellSpacing w:w="15" w:type="dxa"/>
        </w:trPr>
        <w:tc>
          <w:tcPr>
            <w:tcW w:w="0" w:type="auto"/>
            <w:vAlign w:val="center"/>
            <w:hideMark/>
          </w:tcPr>
          <w:p w14:paraId="353F198C"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Infraestrutura</w:t>
            </w:r>
            <w:proofErr w:type="spellEnd"/>
          </w:p>
        </w:tc>
        <w:tc>
          <w:tcPr>
            <w:tcW w:w="0" w:type="auto"/>
            <w:vAlign w:val="center"/>
            <w:hideMark/>
          </w:tcPr>
          <w:p w14:paraId="50C3E188"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Predomínio de espaços físicos e conectividade limitada.</w:t>
            </w:r>
          </w:p>
        </w:tc>
        <w:tc>
          <w:tcPr>
            <w:tcW w:w="0" w:type="auto"/>
            <w:vAlign w:val="center"/>
            <w:hideMark/>
          </w:tcPr>
          <w:p w14:paraId="05AFF7CD"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 xml:space="preserve">Infraestrutura digital integrada (5G, </w:t>
            </w:r>
            <w:proofErr w:type="spellStart"/>
            <w:r w:rsidRPr="00E229D6">
              <w:rPr>
                <w:rFonts w:ascii="Arial Narrow" w:eastAsia="Times New Roman" w:hAnsi="Arial Narrow" w:cs="Times New Roman"/>
                <w:szCs w:val="24"/>
                <w:lang w:val="pt-BR" w:eastAsia="pt-BR"/>
              </w:rPr>
              <w:t>IoT</w:t>
            </w:r>
            <w:proofErr w:type="spellEnd"/>
            <w:r w:rsidRPr="00E229D6">
              <w:rPr>
                <w:rFonts w:ascii="Arial Narrow" w:eastAsia="Times New Roman" w:hAnsi="Arial Narrow" w:cs="Times New Roman"/>
                <w:szCs w:val="24"/>
                <w:lang w:val="pt-BR" w:eastAsia="pt-BR"/>
              </w:rPr>
              <w:t xml:space="preserve">, nuvem, </w:t>
            </w:r>
            <w:proofErr w:type="spellStart"/>
            <w:r w:rsidRPr="00E229D6">
              <w:rPr>
                <w:rFonts w:ascii="Arial Narrow" w:eastAsia="Times New Roman" w:hAnsi="Arial Narrow" w:cs="Times New Roman"/>
                <w:szCs w:val="24"/>
                <w:lang w:val="pt-BR" w:eastAsia="pt-BR"/>
              </w:rPr>
              <w:t>sandboxes</w:t>
            </w:r>
            <w:proofErr w:type="spellEnd"/>
            <w:r w:rsidRPr="00E229D6">
              <w:rPr>
                <w:rFonts w:ascii="Arial Narrow" w:eastAsia="Times New Roman" w:hAnsi="Arial Narrow" w:cs="Times New Roman"/>
                <w:szCs w:val="24"/>
                <w:lang w:val="pt-BR" w:eastAsia="pt-BR"/>
              </w:rPr>
              <w:t>).</w:t>
            </w:r>
          </w:p>
        </w:tc>
        <w:tc>
          <w:tcPr>
            <w:tcW w:w="0" w:type="auto"/>
            <w:vAlign w:val="center"/>
            <w:hideMark/>
          </w:tcPr>
          <w:p w14:paraId="4AC21B56" w14:textId="77777777" w:rsidR="009A0753" w:rsidRPr="00E229D6" w:rsidRDefault="009A0753" w:rsidP="007972C8">
            <w:pPr>
              <w:spacing w:after="0" w:line="240" w:lineRule="auto"/>
              <w:rPr>
                <w:rFonts w:ascii="Arial Narrow" w:eastAsia="Times New Roman" w:hAnsi="Arial Narrow" w:cs="Times New Roman"/>
                <w:szCs w:val="24"/>
                <w:lang w:eastAsia="pt-BR"/>
              </w:rPr>
            </w:pPr>
            <w:r w:rsidRPr="00E229D6">
              <w:rPr>
                <w:rFonts w:ascii="Arial Narrow" w:eastAsia="Times New Roman" w:hAnsi="Arial Narrow" w:cs="Times New Roman"/>
                <w:szCs w:val="24"/>
                <w:lang w:eastAsia="pt-BR"/>
              </w:rPr>
              <w:t xml:space="preserve">Vila A </w:t>
            </w:r>
            <w:proofErr w:type="spellStart"/>
            <w:r w:rsidRPr="00E229D6">
              <w:rPr>
                <w:rFonts w:ascii="Arial Narrow" w:eastAsia="Times New Roman" w:hAnsi="Arial Narrow" w:cs="Times New Roman"/>
                <w:szCs w:val="24"/>
                <w:lang w:eastAsia="pt-BR"/>
              </w:rPr>
              <w:t>Inteligente</w:t>
            </w:r>
            <w:proofErr w:type="spellEnd"/>
            <w:r w:rsidRPr="00E229D6">
              <w:rPr>
                <w:rFonts w:ascii="Arial Narrow" w:eastAsia="Times New Roman" w:hAnsi="Arial Narrow" w:cs="Times New Roman"/>
                <w:szCs w:val="24"/>
                <w:lang w:eastAsia="pt-BR"/>
              </w:rPr>
              <w:t xml:space="preserve"> (</w:t>
            </w:r>
            <w:proofErr w:type="spellStart"/>
            <w:r w:rsidRPr="00E229D6">
              <w:rPr>
                <w:rFonts w:ascii="Arial Narrow" w:eastAsia="Times New Roman" w:hAnsi="Arial Narrow" w:cs="Times New Roman"/>
                <w:szCs w:val="24"/>
                <w:lang w:eastAsia="pt-BR"/>
              </w:rPr>
              <w:t>Brasil</w:t>
            </w:r>
            <w:proofErr w:type="spellEnd"/>
            <w:r w:rsidRPr="00E229D6">
              <w:rPr>
                <w:rFonts w:ascii="Arial Narrow" w:eastAsia="Times New Roman" w:hAnsi="Arial Narrow" w:cs="Times New Roman"/>
                <w:szCs w:val="24"/>
                <w:lang w:eastAsia="pt-BR"/>
              </w:rPr>
              <w:t>)</w:t>
            </w:r>
          </w:p>
        </w:tc>
      </w:tr>
      <w:tr w:rsidR="00475253" w:rsidRPr="00475253" w14:paraId="131CEE0A" w14:textId="77777777" w:rsidTr="007972C8">
        <w:trPr>
          <w:tblCellSpacing w:w="15" w:type="dxa"/>
        </w:trPr>
        <w:tc>
          <w:tcPr>
            <w:tcW w:w="0" w:type="auto"/>
            <w:vAlign w:val="center"/>
            <w:hideMark/>
          </w:tcPr>
          <w:p w14:paraId="68B16B9D"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Tecnologias</w:t>
            </w:r>
            <w:proofErr w:type="spellEnd"/>
          </w:p>
        </w:tc>
        <w:tc>
          <w:tcPr>
            <w:tcW w:w="0" w:type="auto"/>
            <w:vAlign w:val="center"/>
            <w:hideMark/>
          </w:tcPr>
          <w:p w14:paraId="797A46EA"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Serviços de TI e consultoria básica.</w:t>
            </w:r>
          </w:p>
        </w:tc>
        <w:tc>
          <w:tcPr>
            <w:tcW w:w="0" w:type="auto"/>
            <w:vAlign w:val="center"/>
            <w:hideMark/>
          </w:tcPr>
          <w:p w14:paraId="62FF79E3"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 xml:space="preserve">Uso intensivo de IA, big data, </w:t>
            </w:r>
            <w:proofErr w:type="spellStart"/>
            <w:r w:rsidRPr="00E229D6">
              <w:rPr>
                <w:rFonts w:ascii="Arial Narrow" w:eastAsia="Times New Roman" w:hAnsi="Arial Narrow" w:cs="Times New Roman"/>
                <w:szCs w:val="24"/>
                <w:lang w:val="pt-BR" w:eastAsia="pt-BR"/>
              </w:rPr>
              <w:t>blockchain</w:t>
            </w:r>
            <w:proofErr w:type="spellEnd"/>
            <w:r w:rsidRPr="00E229D6">
              <w:rPr>
                <w:rFonts w:ascii="Arial Narrow" w:eastAsia="Times New Roman" w:hAnsi="Arial Narrow" w:cs="Times New Roman"/>
                <w:szCs w:val="24"/>
                <w:lang w:val="pt-BR" w:eastAsia="pt-BR"/>
              </w:rPr>
              <w:t xml:space="preserve"> e automação.</w:t>
            </w:r>
          </w:p>
        </w:tc>
        <w:tc>
          <w:tcPr>
            <w:tcW w:w="0" w:type="auto"/>
            <w:vAlign w:val="center"/>
            <w:hideMark/>
          </w:tcPr>
          <w:p w14:paraId="7DF3F578" w14:textId="77777777" w:rsidR="009A0753" w:rsidRPr="00E229D6" w:rsidRDefault="009A0753" w:rsidP="007972C8">
            <w:pPr>
              <w:spacing w:after="0" w:line="240" w:lineRule="auto"/>
              <w:rPr>
                <w:rFonts w:ascii="Arial Narrow" w:eastAsia="Times New Roman" w:hAnsi="Arial Narrow" w:cs="Times New Roman"/>
                <w:szCs w:val="24"/>
                <w:lang w:eastAsia="pt-BR"/>
              </w:rPr>
            </w:pPr>
            <w:r w:rsidRPr="00E229D6">
              <w:rPr>
                <w:rFonts w:ascii="Arial Narrow" w:eastAsia="Times New Roman" w:hAnsi="Arial Narrow" w:cs="Times New Roman"/>
                <w:szCs w:val="24"/>
                <w:lang w:eastAsia="pt-BR"/>
              </w:rPr>
              <w:t>22@ Barcelona (</w:t>
            </w:r>
            <w:proofErr w:type="spellStart"/>
            <w:r w:rsidRPr="00E229D6">
              <w:rPr>
                <w:rFonts w:ascii="Arial Narrow" w:eastAsia="Times New Roman" w:hAnsi="Arial Narrow" w:cs="Times New Roman"/>
                <w:szCs w:val="24"/>
                <w:lang w:eastAsia="pt-BR"/>
              </w:rPr>
              <w:t>Espanha</w:t>
            </w:r>
            <w:proofErr w:type="spellEnd"/>
            <w:r w:rsidRPr="00E229D6">
              <w:rPr>
                <w:rFonts w:ascii="Arial Narrow" w:eastAsia="Times New Roman" w:hAnsi="Arial Narrow" w:cs="Times New Roman"/>
                <w:szCs w:val="24"/>
                <w:lang w:eastAsia="pt-BR"/>
              </w:rPr>
              <w:t>)</w:t>
            </w:r>
          </w:p>
        </w:tc>
      </w:tr>
      <w:tr w:rsidR="00475253" w:rsidRPr="00475253" w14:paraId="4E12DFE7" w14:textId="77777777" w:rsidTr="007972C8">
        <w:trPr>
          <w:tblCellSpacing w:w="15" w:type="dxa"/>
        </w:trPr>
        <w:tc>
          <w:tcPr>
            <w:tcW w:w="0" w:type="auto"/>
            <w:vAlign w:val="center"/>
            <w:hideMark/>
          </w:tcPr>
          <w:p w14:paraId="57E4A968"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Foco</w:t>
            </w:r>
            <w:proofErr w:type="spellEnd"/>
            <w:r w:rsidRPr="00E229D6">
              <w:rPr>
                <w:rFonts w:ascii="Arial Narrow" w:eastAsia="Times New Roman" w:hAnsi="Arial Narrow" w:cs="Times New Roman"/>
                <w:b/>
                <w:bCs/>
                <w:szCs w:val="24"/>
                <w:lang w:eastAsia="pt-BR"/>
              </w:rPr>
              <w:t xml:space="preserve"> </w:t>
            </w:r>
            <w:proofErr w:type="spellStart"/>
            <w:r w:rsidRPr="00E229D6">
              <w:rPr>
                <w:rFonts w:ascii="Arial Narrow" w:eastAsia="Times New Roman" w:hAnsi="Arial Narrow" w:cs="Times New Roman"/>
                <w:b/>
                <w:bCs/>
                <w:szCs w:val="24"/>
                <w:lang w:eastAsia="pt-BR"/>
              </w:rPr>
              <w:t>Econômico</w:t>
            </w:r>
            <w:proofErr w:type="spellEnd"/>
          </w:p>
        </w:tc>
        <w:tc>
          <w:tcPr>
            <w:tcW w:w="0" w:type="auto"/>
            <w:vAlign w:val="center"/>
            <w:hideMark/>
          </w:tcPr>
          <w:p w14:paraId="7A43E853"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Métricas clássicas: startups, patentes, empregos.</w:t>
            </w:r>
          </w:p>
        </w:tc>
        <w:tc>
          <w:tcPr>
            <w:tcW w:w="0" w:type="auto"/>
            <w:vAlign w:val="center"/>
            <w:hideMark/>
          </w:tcPr>
          <w:p w14:paraId="1A34A76C"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Métricas ampliadas: PIB local, impacto social e eficiência energética.</w:t>
            </w:r>
          </w:p>
        </w:tc>
        <w:tc>
          <w:tcPr>
            <w:tcW w:w="0" w:type="auto"/>
            <w:vAlign w:val="center"/>
            <w:hideMark/>
          </w:tcPr>
          <w:p w14:paraId="7107AA08" w14:textId="77777777" w:rsidR="009A0753" w:rsidRPr="00E229D6" w:rsidRDefault="009A0753" w:rsidP="007972C8">
            <w:pPr>
              <w:spacing w:after="0" w:line="240" w:lineRule="auto"/>
              <w:rPr>
                <w:rFonts w:ascii="Arial Narrow" w:eastAsia="Times New Roman" w:hAnsi="Arial Narrow" w:cs="Times New Roman"/>
                <w:szCs w:val="24"/>
                <w:lang w:eastAsia="pt-BR"/>
              </w:rPr>
            </w:pPr>
            <w:r w:rsidRPr="00E229D6">
              <w:rPr>
                <w:rFonts w:ascii="Arial Narrow" w:eastAsia="Times New Roman" w:hAnsi="Arial Narrow" w:cs="Times New Roman"/>
                <w:szCs w:val="24"/>
                <w:lang w:eastAsia="pt-BR"/>
              </w:rPr>
              <w:t>Asia New Bay Area (Taiwan)</w:t>
            </w:r>
          </w:p>
        </w:tc>
      </w:tr>
      <w:tr w:rsidR="00475253" w:rsidRPr="00475253" w14:paraId="3CE57968" w14:textId="77777777" w:rsidTr="007972C8">
        <w:trPr>
          <w:tblCellSpacing w:w="15" w:type="dxa"/>
        </w:trPr>
        <w:tc>
          <w:tcPr>
            <w:tcW w:w="0" w:type="auto"/>
            <w:vAlign w:val="center"/>
            <w:hideMark/>
          </w:tcPr>
          <w:p w14:paraId="45248971"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Escopo</w:t>
            </w:r>
            <w:proofErr w:type="spellEnd"/>
            <w:r w:rsidRPr="00E229D6">
              <w:rPr>
                <w:rFonts w:ascii="Arial Narrow" w:eastAsia="Times New Roman" w:hAnsi="Arial Narrow" w:cs="Times New Roman"/>
                <w:b/>
                <w:bCs/>
                <w:szCs w:val="24"/>
                <w:lang w:eastAsia="pt-BR"/>
              </w:rPr>
              <w:t xml:space="preserve"> e </w:t>
            </w:r>
            <w:proofErr w:type="spellStart"/>
            <w:r w:rsidRPr="00E229D6">
              <w:rPr>
                <w:rFonts w:ascii="Arial Narrow" w:eastAsia="Times New Roman" w:hAnsi="Arial Narrow" w:cs="Times New Roman"/>
                <w:b/>
                <w:bCs/>
                <w:szCs w:val="24"/>
                <w:lang w:eastAsia="pt-BR"/>
              </w:rPr>
              <w:t>Alcance</w:t>
            </w:r>
            <w:proofErr w:type="spellEnd"/>
          </w:p>
        </w:tc>
        <w:tc>
          <w:tcPr>
            <w:tcW w:w="0" w:type="auto"/>
            <w:vAlign w:val="center"/>
            <w:hideMark/>
          </w:tcPr>
          <w:p w14:paraId="25B99CCD"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Ênfase regional, com pouca inserção global.</w:t>
            </w:r>
          </w:p>
        </w:tc>
        <w:tc>
          <w:tcPr>
            <w:tcW w:w="0" w:type="auto"/>
            <w:vAlign w:val="center"/>
            <w:hideMark/>
          </w:tcPr>
          <w:p w14:paraId="5CC13BC3"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Conectividade global e redes internacionais de inovação.</w:t>
            </w:r>
          </w:p>
        </w:tc>
        <w:tc>
          <w:tcPr>
            <w:tcW w:w="0" w:type="auto"/>
            <w:vAlign w:val="center"/>
            <w:hideMark/>
          </w:tcPr>
          <w:p w14:paraId="7C1E9921" w14:textId="77777777" w:rsidR="009A0753" w:rsidRPr="00E229D6" w:rsidRDefault="009A0753" w:rsidP="007972C8">
            <w:pPr>
              <w:spacing w:after="0" w:line="240" w:lineRule="auto"/>
              <w:rPr>
                <w:rFonts w:ascii="Arial Narrow" w:eastAsia="Times New Roman" w:hAnsi="Arial Narrow" w:cs="Times New Roman"/>
                <w:szCs w:val="24"/>
                <w:lang w:eastAsia="pt-BR"/>
              </w:rPr>
            </w:pPr>
            <w:r w:rsidRPr="00E229D6">
              <w:rPr>
                <w:rFonts w:ascii="Arial Narrow" w:eastAsia="Times New Roman" w:hAnsi="Arial Narrow" w:cs="Times New Roman"/>
                <w:szCs w:val="24"/>
                <w:lang w:eastAsia="pt-BR"/>
              </w:rPr>
              <w:t>Station F (</w:t>
            </w:r>
            <w:proofErr w:type="spellStart"/>
            <w:r w:rsidRPr="00E229D6">
              <w:rPr>
                <w:rFonts w:ascii="Arial Narrow" w:eastAsia="Times New Roman" w:hAnsi="Arial Narrow" w:cs="Times New Roman"/>
                <w:szCs w:val="24"/>
                <w:lang w:eastAsia="pt-BR"/>
              </w:rPr>
              <w:t>França</w:t>
            </w:r>
            <w:proofErr w:type="spellEnd"/>
            <w:r w:rsidRPr="00E229D6">
              <w:rPr>
                <w:rFonts w:ascii="Arial Narrow" w:eastAsia="Times New Roman" w:hAnsi="Arial Narrow" w:cs="Times New Roman"/>
                <w:szCs w:val="24"/>
                <w:lang w:eastAsia="pt-BR"/>
              </w:rPr>
              <w:t>); Silicon Roundabout (</w:t>
            </w:r>
            <w:proofErr w:type="spellStart"/>
            <w:r w:rsidRPr="00E229D6">
              <w:rPr>
                <w:rFonts w:ascii="Arial Narrow" w:eastAsia="Times New Roman" w:hAnsi="Arial Narrow" w:cs="Times New Roman"/>
                <w:szCs w:val="24"/>
                <w:lang w:eastAsia="pt-BR"/>
              </w:rPr>
              <w:t>Reino</w:t>
            </w:r>
            <w:proofErr w:type="spellEnd"/>
            <w:r w:rsidRPr="00E229D6">
              <w:rPr>
                <w:rFonts w:ascii="Arial Narrow" w:eastAsia="Times New Roman" w:hAnsi="Arial Narrow" w:cs="Times New Roman"/>
                <w:szCs w:val="24"/>
                <w:lang w:eastAsia="pt-BR"/>
              </w:rPr>
              <w:t xml:space="preserve"> </w:t>
            </w:r>
            <w:proofErr w:type="spellStart"/>
            <w:r w:rsidRPr="00E229D6">
              <w:rPr>
                <w:rFonts w:ascii="Arial Narrow" w:eastAsia="Times New Roman" w:hAnsi="Arial Narrow" w:cs="Times New Roman"/>
                <w:szCs w:val="24"/>
                <w:lang w:eastAsia="pt-BR"/>
              </w:rPr>
              <w:t>Unido</w:t>
            </w:r>
            <w:proofErr w:type="spellEnd"/>
            <w:r w:rsidRPr="00E229D6">
              <w:rPr>
                <w:rFonts w:ascii="Arial Narrow" w:eastAsia="Times New Roman" w:hAnsi="Arial Narrow" w:cs="Times New Roman"/>
                <w:szCs w:val="24"/>
                <w:lang w:eastAsia="pt-BR"/>
              </w:rPr>
              <w:t>)</w:t>
            </w:r>
          </w:p>
        </w:tc>
      </w:tr>
      <w:tr w:rsidR="00475253" w:rsidRPr="00475253" w14:paraId="1E90D9F4" w14:textId="77777777" w:rsidTr="007972C8">
        <w:trPr>
          <w:trHeight w:val="44"/>
          <w:tblCellSpacing w:w="15" w:type="dxa"/>
        </w:trPr>
        <w:tc>
          <w:tcPr>
            <w:tcW w:w="0" w:type="auto"/>
            <w:vAlign w:val="center"/>
            <w:hideMark/>
          </w:tcPr>
          <w:p w14:paraId="4A6F4C58" w14:textId="77777777" w:rsidR="009A0753" w:rsidRPr="00E229D6" w:rsidRDefault="009A0753" w:rsidP="007972C8">
            <w:pPr>
              <w:spacing w:after="0" w:line="240" w:lineRule="auto"/>
              <w:rPr>
                <w:rFonts w:ascii="Arial Narrow" w:eastAsia="Times New Roman" w:hAnsi="Arial Narrow" w:cs="Times New Roman"/>
                <w:szCs w:val="24"/>
                <w:lang w:eastAsia="pt-BR"/>
              </w:rPr>
            </w:pPr>
            <w:proofErr w:type="spellStart"/>
            <w:r w:rsidRPr="00E229D6">
              <w:rPr>
                <w:rFonts w:ascii="Arial Narrow" w:eastAsia="Times New Roman" w:hAnsi="Arial Narrow" w:cs="Times New Roman"/>
                <w:b/>
                <w:bCs/>
                <w:szCs w:val="24"/>
                <w:lang w:eastAsia="pt-BR"/>
              </w:rPr>
              <w:t>Sustentabilidade</w:t>
            </w:r>
            <w:proofErr w:type="spellEnd"/>
          </w:p>
        </w:tc>
        <w:tc>
          <w:tcPr>
            <w:tcW w:w="0" w:type="auto"/>
            <w:vAlign w:val="center"/>
            <w:hideMark/>
          </w:tcPr>
          <w:p w14:paraId="2AD0A356"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Pouca integração explícita com agenda socioambiental.</w:t>
            </w:r>
          </w:p>
        </w:tc>
        <w:tc>
          <w:tcPr>
            <w:tcW w:w="0" w:type="auto"/>
            <w:vAlign w:val="center"/>
            <w:hideMark/>
          </w:tcPr>
          <w:p w14:paraId="2116EC24"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Alinhamento com ODS, inclusão digital e impacto ambiental positivo.</w:t>
            </w:r>
          </w:p>
        </w:tc>
        <w:tc>
          <w:tcPr>
            <w:tcW w:w="0" w:type="auto"/>
            <w:vAlign w:val="center"/>
            <w:hideMark/>
          </w:tcPr>
          <w:p w14:paraId="076DE903" w14:textId="77777777" w:rsidR="009A0753" w:rsidRPr="00E229D6" w:rsidRDefault="009A0753" w:rsidP="007972C8">
            <w:pPr>
              <w:spacing w:after="0" w:line="240" w:lineRule="auto"/>
              <w:rPr>
                <w:rFonts w:ascii="Arial Narrow" w:eastAsia="Times New Roman" w:hAnsi="Arial Narrow" w:cs="Times New Roman"/>
                <w:szCs w:val="24"/>
                <w:lang w:val="pt-BR" w:eastAsia="pt-BR"/>
              </w:rPr>
            </w:pPr>
            <w:r w:rsidRPr="00E229D6">
              <w:rPr>
                <w:rFonts w:ascii="Arial Narrow" w:eastAsia="Times New Roman" w:hAnsi="Arial Narrow" w:cs="Times New Roman"/>
                <w:szCs w:val="24"/>
                <w:lang w:val="pt-BR" w:eastAsia="pt-BR"/>
              </w:rPr>
              <w:t>Iniciativas na África (</w:t>
            </w:r>
            <w:proofErr w:type="spellStart"/>
            <w:r w:rsidRPr="00E229D6">
              <w:rPr>
                <w:rFonts w:ascii="Arial Narrow" w:eastAsia="Times New Roman" w:hAnsi="Arial Narrow" w:cs="Times New Roman"/>
                <w:szCs w:val="24"/>
                <w:lang w:val="pt-BR" w:eastAsia="pt-BR"/>
              </w:rPr>
              <w:t>Adeola</w:t>
            </w:r>
            <w:proofErr w:type="spellEnd"/>
            <w:r w:rsidRPr="00E229D6">
              <w:rPr>
                <w:rFonts w:ascii="Arial Narrow" w:eastAsia="Times New Roman" w:hAnsi="Arial Narrow" w:cs="Times New Roman"/>
                <w:szCs w:val="24"/>
                <w:lang w:val="pt-BR" w:eastAsia="pt-BR"/>
              </w:rPr>
              <w:t xml:space="preserve">, Evans, </w:t>
            </w:r>
            <w:proofErr w:type="spellStart"/>
            <w:r w:rsidRPr="00E229D6">
              <w:rPr>
                <w:rFonts w:ascii="Arial Narrow" w:eastAsia="Times New Roman" w:hAnsi="Arial Narrow" w:cs="Times New Roman"/>
                <w:szCs w:val="24"/>
                <w:lang w:val="pt-BR" w:eastAsia="pt-BR"/>
              </w:rPr>
              <w:t>Ngare</w:t>
            </w:r>
            <w:proofErr w:type="spellEnd"/>
            <w:r w:rsidRPr="00E229D6">
              <w:rPr>
                <w:rFonts w:ascii="Arial Narrow" w:eastAsia="Times New Roman" w:hAnsi="Arial Narrow" w:cs="Times New Roman"/>
                <w:szCs w:val="24"/>
                <w:lang w:val="pt-BR" w:eastAsia="pt-BR"/>
              </w:rPr>
              <w:t>, 2024)</w:t>
            </w:r>
          </w:p>
        </w:tc>
      </w:tr>
    </w:tbl>
    <w:p w14:paraId="42E6BFF3" w14:textId="358F9C9D" w:rsidR="00ED41CE" w:rsidRPr="00807BD4" w:rsidRDefault="00ED41CE" w:rsidP="00ED41CE">
      <w:pPr>
        <w:spacing w:after="0" w:line="240" w:lineRule="auto"/>
        <w:rPr>
          <w:rFonts w:eastAsia="Times New Roman" w:cs="Arial"/>
          <w:szCs w:val="24"/>
          <w:lang w:val="pt-BR" w:eastAsia="pt-BR"/>
        </w:rPr>
      </w:pPr>
      <w:r w:rsidRPr="00807BD4">
        <w:rPr>
          <w:rFonts w:eastAsia="Times New Roman" w:cs="Arial"/>
          <w:b/>
          <w:bCs/>
          <w:szCs w:val="24"/>
          <w:lang w:val="pt-BR" w:eastAsia="pt-BR"/>
        </w:rPr>
        <w:t>Fonte:</w:t>
      </w:r>
      <w:r w:rsidR="006B05BE">
        <w:rPr>
          <w:rFonts w:eastAsia="Times New Roman" w:cs="Arial"/>
          <w:b/>
          <w:bCs/>
          <w:szCs w:val="24"/>
          <w:lang w:val="pt-BR" w:eastAsia="pt-BR"/>
        </w:rPr>
        <w:t xml:space="preserve"> </w:t>
      </w:r>
      <w:r w:rsidR="006B05BE">
        <w:rPr>
          <w:rFonts w:eastAsia="Times New Roman" w:cs="Arial"/>
          <w:szCs w:val="24"/>
          <w:lang w:val="pt-BR" w:eastAsia="pt-BR"/>
        </w:rPr>
        <w:t>Resultados da pesquisa.</w:t>
      </w:r>
      <w:r w:rsidRPr="00807BD4">
        <w:rPr>
          <w:rFonts w:eastAsia="Times New Roman" w:cs="Arial"/>
          <w:szCs w:val="24"/>
          <w:lang w:val="pt-BR" w:eastAsia="pt-BR"/>
        </w:rPr>
        <w:t xml:space="preserve"> Elaborado pelos autores</w:t>
      </w:r>
    </w:p>
    <w:p w14:paraId="217DFBC1" w14:textId="77777777" w:rsidR="00ED41CE" w:rsidRPr="00475253" w:rsidRDefault="00ED41CE" w:rsidP="00A80222">
      <w:pPr>
        <w:spacing w:after="0" w:line="240" w:lineRule="auto"/>
        <w:ind w:firstLine="720"/>
        <w:jc w:val="both"/>
        <w:rPr>
          <w:rFonts w:cs="Arial"/>
          <w:szCs w:val="24"/>
          <w:lang w:val="pt-BR"/>
        </w:rPr>
      </w:pPr>
    </w:p>
    <w:p w14:paraId="7F981768" w14:textId="4C1A32D8" w:rsidR="00CD346E" w:rsidRPr="00475253" w:rsidRDefault="00CD346E" w:rsidP="00CD346E">
      <w:pPr>
        <w:spacing w:after="0" w:line="240" w:lineRule="auto"/>
        <w:ind w:firstLine="720"/>
        <w:jc w:val="both"/>
        <w:rPr>
          <w:rFonts w:cs="Arial"/>
          <w:szCs w:val="24"/>
          <w:lang w:val="pt-BR"/>
        </w:rPr>
      </w:pPr>
      <w:r w:rsidRPr="00475253">
        <w:rPr>
          <w:rFonts w:cs="Arial"/>
          <w:szCs w:val="24"/>
          <w:lang w:val="pt-BR"/>
        </w:rPr>
        <w:t xml:space="preserve">A incorporação da </w:t>
      </w:r>
      <w:r w:rsidR="00161F99" w:rsidRPr="00475253">
        <w:rPr>
          <w:rFonts w:cs="Arial"/>
          <w:szCs w:val="24"/>
          <w:lang w:val="pt-BR"/>
        </w:rPr>
        <w:t xml:space="preserve">IA </w:t>
      </w:r>
      <w:r w:rsidRPr="00475253">
        <w:rPr>
          <w:rFonts w:cs="Arial"/>
          <w:szCs w:val="24"/>
          <w:lang w:val="pt-BR"/>
        </w:rPr>
        <w:t xml:space="preserve">nos ecossistemas de inovação, embora promissora, traz riscos éticos e socioeconômicos que não podem ser negligenciados. </w:t>
      </w:r>
      <w:proofErr w:type="spellStart"/>
      <w:r w:rsidRPr="00475253">
        <w:rPr>
          <w:rFonts w:cs="Arial"/>
          <w:szCs w:val="24"/>
          <w:lang w:val="pt-BR"/>
        </w:rPr>
        <w:t>Maiti</w:t>
      </w:r>
      <w:proofErr w:type="spellEnd"/>
      <w:r w:rsidR="00FF34BB" w:rsidRPr="00475253">
        <w:rPr>
          <w:rFonts w:cs="Arial"/>
          <w:szCs w:val="24"/>
          <w:lang w:val="pt-BR"/>
        </w:rPr>
        <w:t xml:space="preserve">,  </w:t>
      </w:r>
      <w:proofErr w:type="spellStart"/>
      <w:r w:rsidR="00FF34BB" w:rsidRPr="00475253">
        <w:rPr>
          <w:rFonts w:cs="Arial"/>
          <w:szCs w:val="24"/>
          <w:lang w:val="pt-BR"/>
        </w:rPr>
        <w:t>Kayal</w:t>
      </w:r>
      <w:proofErr w:type="spellEnd"/>
      <w:r w:rsidR="00FF34BB" w:rsidRPr="00475253">
        <w:rPr>
          <w:rFonts w:cs="Arial"/>
          <w:szCs w:val="24"/>
          <w:lang w:val="pt-BR"/>
        </w:rPr>
        <w:t xml:space="preserve">, </w:t>
      </w:r>
      <w:proofErr w:type="spellStart"/>
      <w:r w:rsidR="00FF34BB" w:rsidRPr="00475253">
        <w:rPr>
          <w:rFonts w:cs="Arial"/>
          <w:szCs w:val="24"/>
          <w:lang w:val="pt-BR"/>
        </w:rPr>
        <w:t>Vujko</w:t>
      </w:r>
      <w:proofErr w:type="spellEnd"/>
      <w:r w:rsidR="00FF34BB" w:rsidRPr="00475253">
        <w:rPr>
          <w:rFonts w:cs="Arial"/>
          <w:szCs w:val="24"/>
          <w:lang w:val="pt-BR"/>
        </w:rPr>
        <w:t xml:space="preserve"> </w:t>
      </w:r>
      <w:r w:rsidR="00FF34BB" w:rsidRPr="00475253">
        <w:rPr>
          <w:rFonts w:cs="Arial"/>
          <w:szCs w:val="24"/>
          <w:lang w:val="pt-BR"/>
        </w:rPr>
        <w:t>(2025)</w:t>
      </w:r>
      <w:r w:rsidR="00FF34BB" w:rsidRPr="00475253">
        <w:rPr>
          <w:rFonts w:cs="Arial"/>
          <w:szCs w:val="24"/>
          <w:lang w:val="pt-BR"/>
        </w:rPr>
        <w:t xml:space="preserve"> </w:t>
      </w:r>
      <w:r w:rsidRPr="00475253">
        <w:rPr>
          <w:rFonts w:cs="Arial"/>
          <w:szCs w:val="24"/>
          <w:lang w:val="pt-BR"/>
        </w:rPr>
        <w:t>alerta</w:t>
      </w:r>
      <w:r w:rsidR="00FF34BB" w:rsidRPr="00475253">
        <w:rPr>
          <w:rFonts w:cs="Arial"/>
          <w:szCs w:val="24"/>
          <w:lang w:val="pt-BR"/>
        </w:rPr>
        <w:t>m</w:t>
      </w:r>
      <w:r w:rsidRPr="00475253">
        <w:rPr>
          <w:rFonts w:cs="Arial"/>
          <w:szCs w:val="24"/>
          <w:lang w:val="pt-BR"/>
        </w:rPr>
        <w:t xml:space="preserve"> que a concentração de dados em grandes plataformas digitais pode acentuar desigualdades, criando assimetrias de poder entre atores que dominam tecnologias avançadas e aqueles com acesso limitado a infraestrutura digital. Esse cenário reforça a exclusão de pequenas empresas e comunidades locais, fragilizando a promessa de inclusão inerente aos hubs inteligentes. Além disso, questões éticas como vigilância algorítmica e viés nos processos de decisão automatizada ampliam os dilemas sobre confiança e legitimidade dessas soluções no espaço público.</w:t>
      </w:r>
    </w:p>
    <w:p w14:paraId="29D36BE8" w14:textId="303CCC1C" w:rsidR="004F2296" w:rsidRPr="00475253" w:rsidRDefault="00CD346E" w:rsidP="00CD346E">
      <w:pPr>
        <w:spacing w:after="0" w:line="240" w:lineRule="auto"/>
        <w:ind w:firstLine="720"/>
        <w:jc w:val="both"/>
        <w:rPr>
          <w:rFonts w:cs="Arial"/>
          <w:szCs w:val="24"/>
          <w:lang w:val="pt-BR"/>
        </w:rPr>
      </w:pPr>
      <w:r w:rsidRPr="00475253">
        <w:rPr>
          <w:rFonts w:cs="Arial"/>
          <w:szCs w:val="24"/>
          <w:lang w:val="pt-BR"/>
        </w:rPr>
        <w:t>De forma convergente</w:t>
      </w:r>
      <w:r w:rsidRPr="00475253">
        <w:rPr>
          <w:rFonts w:cs="Arial"/>
          <w:szCs w:val="24"/>
          <w:lang w:val="pt-BR"/>
        </w:rPr>
        <w:t xml:space="preserve"> </w:t>
      </w:r>
      <w:r w:rsidR="00FF34BB" w:rsidRPr="00475253">
        <w:rPr>
          <w:rFonts w:cs="Arial"/>
          <w:szCs w:val="24"/>
          <w:lang w:val="pt-BR"/>
        </w:rPr>
        <w:t xml:space="preserve">Kumar </w:t>
      </w:r>
      <w:r w:rsidRPr="00475253">
        <w:rPr>
          <w:rFonts w:cs="Arial"/>
          <w:szCs w:val="24"/>
          <w:lang w:val="pt-BR"/>
        </w:rPr>
        <w:t xml:space="preserve">et. al </w:t>
      </w:r>
      <w:r w:rsidRPr="00475253">
        <w:rPr>
          <w:rFonts w:cs="Arial"/>
          <w:szCs w:val="24"/>
          <w:lang w:val="pt-BR"/>
        </w:rPr>
        <w:t>(2024) ressalta</w:t>
      </w:r>
      <w:r w:rsidRPr="00475253">
        <w:rPr>
          <w:rFonts w:cs="Arial"/>
          <w:szCs w:val="24"/>
          <w:lang w:val="pt-BR"/>
        </w:rPr>
        <w:t>m</w:t>
      </w:r>
      <w:r w:rsidRPr="00475253">
        <w:rPr>
          <w:rFonts w:cs="Arial"/>
          <w:szCs w:val="24"/>
          <w:lang w:val="pt-BR"/>
        </w:rPr>
        <w:t xml:space="preserve"> que a expansão de sistemas de IA em ecossistemas urbanos e produtivos pode gerar uma “dupla vulnerabilidade”: de um lado, a dependência tecnológica de soluções proprietárias que reduzem a autonomia dos territórios; de outro, a precarização de empregos diante da automação acelerada. Os autores argumentam que a governança da IA deve ir </w:t>
      </w:r>
      <w:proofErr w:type="gramStart"/>
      <w:r w:rsidRPr="00475253">
        <w:rPr>
          <w:rFonts w:cs="Arial"/>
          <w:szCs w:val="24"/>
          <w:lang w:val="pt-BR"/>
        </w:rPr>
        <w:t>além da tríplice</w:t>
      </w:r>
      <w:proofErr w:type="gramEnd"/>
      <w:r w:rsidRPr="00475253">
        <w:rPr>
          <w:rFonts w:cs="Arial"/>
          <w:szCs w:val="24"/>
          <w:lang w:val="pt-BR"/>
        </w:rPr>
        <w:t xml:space="preserve"> hélice e incluir salvaguardas regulatórias, mecanismos de </w:t>
      </w:r>
      <w:proofErr w:type="spellStart"/>
      <w:r w:rsidRPr="00475253">
        <w:rPr>
          <w:rFonts w:cs="Arial"/>
          <w:i/>
          <w:iCs/>
          <w:szCs w:val="24"/>
          <w:lang w:val="pt-BR"/>
        </w:rPr>
        <w:t>accountability</w:t>
      </w:r>
      <w:proofErr w:type="spellEnd"/>
      <w:r w:rsidRPr="00475253">
        <w:rPr>
          <w:rFonts w:cs="Arial"/>
          <w:szCs w:val="24"/>
          <w:lang w:val="pt-BR"/>
        </w:rPr>
        <w:t xml:space="preserve"> e participação ativa da sociedade civil, assegurando que os ganhos de produtividade não ocorram em detrimento da coesão social e da justiça distributiva.</w:t>
      </w:r>
    </w:p>
    <w:p w14:paraId="78A3F110" w14:textId="77777777" w:rsidR="000B2E19" w:rsidRPr="00475253" w:rsidRDefault="000B2E19" w:rsidP="000B2E19">
      <w:pPr>
        <w:spacing w:after="0" w:line="240" w:lineRule="auto"/>
        <w:ind w:firstLine="720"/>
        <w:jc w:val="both"/>
        <w:rPr>
          <w:rFonts w:cs="Arial"/>
          <w:szCs w:val="24"/>
          <w:lang w:val="pt-BR"/>
        </w:rPr>
      </w:pPr>
      <w:r w:rsidRPr="00475253">
        <w:rPr>
          <w:rFonts w:cs="Arial"/>
          <w:szCs w:val="24"/>
          <w:lang w:val="pt-BR"/>
        </w:rPr>
        <w:t>Apesar da identificação de estratégias convergentes e dos benchmarks nacionais e internacionais analisados, é necessário reconhecer que a transição para hubs inteligentes não se limita a ganhos tecnológicos ou econômicos. Ela envolve também tensões críticas entre governança, inclusão e sustentabilidade, que moldam tanto o potencial de impacto quanto os riscos desses ecossistemas.</w:t>
      </w:r>
    </w:p>
    <w:p w14:paraId="4463EFCB" w14:textId="77777777" w:rsidR="000B2E19" w:rsidRPr="00475253" w:rsidRDefault="000B2E19" w:rsidP="000B2E19">
      <w:pPr>
        <w:spacing w:after="0" w:line="240" w:lineRule="auto"/>
        <w:ind w:firstLine="720"/>
        <w:jc w:val="both"/>
        <w:rPr>
          <w:rFonts w:cs="Arial"/>
          <w:szCs w:val="24"/>
          <w:lang w:val="pt-BR"/>
        </w:rPr>
      </w:pPr>
    </w:p>
    <w:p w14:paraId="48F317B0" w14:textId="77777777" w:rsidR="000B2E19" w:rsidRPr="00475253" w:rsidRDefault="000B2E19" w:rsidP="000B2E19">
      <w:pPr>
        <w:spacing w:after="0" w:line="240" w:lineRule="auto"/>
        <w:ind w:firstLine="720"/>
        <w:jc w:val="both"/>
        <w:rPr>
          <w:rFonts w:cs="Arial"/>
          <w:szCs w:val="24"/>
          <w:lang w:val="pt-BR"/>
        </w:rPr>
      </w:pPr>
      <w:r w:rsidRPr="00475253">
        <w:rPr>
          <w:rFonts w:cs="Arial"/>
          <w:szCs w:val="24"/>
          <w:lang w:val="pt-BR"/>
        </w:rPr>
        <w:lastRenderedPageBreak/>
        <w:t xml:space="preserve">No campo da governança, embora a tríplice/quádrupla hélice busque integrar universidades, governos, empresas e sociedade civil, observa-se que, em muitos casos, as decisões estratégicas permanecem concentradas em governos centrais ou grandes corporações globais de tecnologia. O caso do </w:t>
      </w:r>
      <w:proofErr w:type="spellStart"/>
      <w:r w:rsidRPr="00475253">
        <w:rPr>
          <w:rFonts w:cs="Arial"/>
          <w:szCs w:val="24"/>
          <w:lang w:val="pt-BR"/>
        </w:rPr>
        <w:t>Station</w:t>
      </w:r>
      <w:proofErr w:type="spellEnd"/>
      <w:r w:rsidRPr="00475253">
        <w:rPr>
          <w:rFonts w:cs="Arial"/>
          <w:szCs w:val="24"/>
          <w:lang w:val="pt-BR"/>
        </w:rPr>
        <w:t xml:space="preserve"> F em Paris, altamente dependente da articulação com grandes empresas como Google e Microsoft, ilustra como hubs podem reforçar assimetrias de poder e suscitar riscos de captura regulatória. Da mesma forma, a experiência do 22@ Barcelona evidencia que, mesmo em ecossistemas avançados, a ausência de mecanismos claros de transparência no uso de dados urbanos gera debates sobre privacidade e legitimidade.</w:t>
      </w:r>
    </w:p>
    <w:p w14:paraId="3076A1F6" w14:textId="77777777" w:rsidR="000B2E19" w:rsidRPr="00475253" w:rsidRDefault="000B2E19" w:rsidP="000B2E19">
      <w:pPr>
        <w:spacing w:after="0" w:line="240" w:lineRule="auto"/>
        <w:ind w:firstLine="720"/>
        <w:jc w:val="both"/>
        <w:rPr>
          <w:rFonts w:cs="Arial"/>
          <w:szCs w:val="24"/>
          <w:lang w:val="pt-BR"/>
        </w:rPr>
      </w:pPr>
      <w:r w:rsidRPr="00475253">
        <w:rPr>
          <w:rFonts w:cs="Arial"/>
          <w:szCs w:val="24"/>
          <w:lang w:val="pt-BR"/>
        </w:rPr>
        <w:t>No que se refere à inclusão digital, ainda que os hubs inteligentes ampliem oportunidades de capacitação e geração de talentos, eles também podem intensificar desigualdades regionais. Experiências como o Porto Digital, em Recife, e o Cubo Itaú, em São Paulo, mostram o impacto positivo na geração de empregos e no fortalecimento do ecossistema nacional, mas também evidenciam a concentração de benefícios em centros urbanos consolidados. Em contrapartida, o Programa Vila A Inteligente, em Foz do Iguaçu, demonstra como iniciativas localizadas fora dos grandes centros podem alinhar inovação a vocações regionais, contribuindo para reduzir assimetrias territoriais. No entanto, tais experiências ainda são pontuais e carecem de maior apoio sistêmico para evitar que a digitalização se torne um vetor de exclusão social.</w:t>
      </w:r>
    </w:p>
    <w:p w14:paraId="1BE5A2BC" w14:textId="5E6B8E3B" w:rsidR="000B2E19" w:rsidRPr="00475253" w:rsidRDefault="000B2E19" w:rsidP="000B2E19">
      <w:pPr>
        <w:spacing w:after="0" w:line="240" w:lineRule="auto"/>
        <w:ind w:firstLine="720"/>
        <w:jc w:val="both"/>
        <w:rPr>
          <w:rFonts w:cs="Arial"/>
          <w:szCs w:val="24"/>
          <w:lang w:val="pt-BR"/>
        </w:rPr>
      </w:pPr>
      <w:r w:rsidRPr="00475253">
        <w:rPr>
          <w:rFonts w:cs="Arial"/>
          <w:szCs w:val="24"/>
          <w:lang w:val="pt-BR"/>
        </w:rPr>
        <w:t xml:space="preserve">A terceira tensão refere-se à sustentabilidade socioambiental. Embora projetos como o Amazonia 4.0 </w:t>
      </w:r>
      <w:r w:rsidR="00816926">
        <w:rPr>
          <w:rFonts w:cs="Arial"/>
          <w:szCs w:val="24"/>
          <w:lang w:val="pt-BR"/>
        </w:rPr>
        <w:t xml:space="preserve">(NOBRE, NOBRE, 2019) </w:t>
      </w:r>
      <w:r w:rsidRPr="00475253">
        <w:rPr>
          <w:rFonts w:cs="Arial"/>
          <w:szCs w:val="24"/>
          <w:lang w:val="pt-BR"/>
        </w:rPr>
        <w:t xml:space="preserve">mostrem como tecnologias digitais podem apoiar cadeias produtivas sustentáveis, muitos hubs internacionais, como o Silicon </w:t>
      </w:r>
      <w:proofErr w:type="spellStart"/>
      <w:r w:rsidRPr="00475253">
        <w:rPr>
          <w:rFonts w:cs="Arial"/>
          <w:szCs w:val="24"/>
          <w:lang w:val="pt-BR"/>
        </w:rPr>
        <w:t>Roundabout</w:t>
      </w:r>
      <w:proofErr w:type="spellEnd"/>
      <w:r w:rsidRPr="00475253">
        <w:rPr>
          <w:rFonts w:cs="Arial"/>
          <w:szCs w:val="24"/>
          <w:lang w:val="pt-BR"/>
        </w:rPr>
        <w:t xml:space="preserve"> em Londres, priorizam métricas econômicas de investimento e crescimento, relegando a segundo plano a agenda socioambiental. Esse paradoxo levanta o risco de um </w:t>
      </w:r>
      <w:proofErr w:type="spellStart"/>
      <w:r w:rsidRPr="006B05BE">
        <w:rPr>
          <w:rFonts w:cs="Arial"/>
          <w:i/>
          <w:iCs/>
          <w:szCs w:val="24"/>
          <w:lang w:val="pt-BR"/>
        </w:rPr>
        <w:t>greenwashing</w:t>
      </w:r>
      <w:proofErr w:type="spellEnd"/>
      <w:r w:rsidRPr="006B05BE">
        <w:rPr>
          <w:rFonts w:cs="Arial"/>
          <w:i/>
          <w:iCs/>
          <w:szCs w:val="24"/>
          <w:lang w:val="pt-BR"/>
        </w:rPr>
        <w:t xml:space="preserve"> dig</w:t>
      </w:r>
      <w:r w:rsidR="006B05BE">
        <w:rPr>
          <w:rFonts w:cs="Arial"/>
          <w:i/>
          <w:iCs/>
          <w:szCs w:val="24"/>
          <w:lang w:val="pt-BR"/>
        </w:rPr>
        <w:t>ital</w:t>
      </w:r>
      <w:r w:rsidRPr="00475253">
        <w:rPr>
          <w:rFonts w:cs="Arial"/>
          <w:szCs w:val="24"/>
          <w:lang w:val="pt-BR"/>
        </w:rPr>
        <w:t>, em que a inovação é apresentada como sustentável sem enfrentar de fato dilemas como o alto consumo energético de infraestruturas digitais, o descarte de hardware e a exclusão social em contextos periféricos.</w:t>
      </w:r>
    </w:p>
    <w:p w14:paraId="73544331" w14:textId="587F4D0A" w:rsidR="000B2E19" w:rsidRPr="00475253" w:rsidRDefault="000B2E19" w:rsidP="000B2E19">
      <w:pPr>
        <w:spacing w:after="0" w:line="240" w:lineRule="auto"/>
        <w:ind w:firstLine="720"/>
        <w:jc w:val="both"/>
        <w:rPr>
          <w:rFonts w:cs="Arial"/>
          <w:szCs w:val="24"/>
          <w:lang w:val="pt-BR"/>
        </w:rPr>
      </w:pPr>
      <w:r w:rsidRPr="00475253">
        <w:rPr>
          <w:rFonts w:cs="Arial"/>
          <w:szCs w:val="24"/>
          <w:lang w:val="pt-BR"/>
        </w:rPr>
        <w:t>Portanto, a análise crítica dos hubs inteligentes deve ir além da descrição de casos de sucesso, incorporando o debate sobre quem governa, quem é incluído e quem efetivamente se beneficia da digitalização dos ecossistemas de inovação. Ao reconhecer tais tensões, amplia-se a compreensão de que hubs inteligentes só alcançarão legitimidade plena se forem tecnologicamente avançados, socialmente justos, politicamente transparentes e ambientalmente sustentáveis.</w:t>
      </w:r>
    </w:p>
    <w:p w14:paraId="358B11D6" w14:textId="33380F38" w:rsidR="000B2E19" w:rsidRPr="00475253" w:rsidRDefault="000B2E19" w:rsidP="00CD346E">
      <w:pPr>
        <w:spacing w:after="0" w:line="240" w:lineRule="auto"/>
        <w:ind w:firstLine="720"/>
        <w:jc w:val="both"/>
        <w:rPr>
          <w:rFonts w:cs="Arial"/>
          <w:szCs w:val="24"/>
          <w:lang w:val="pt-BR"/>
        </w:rPr>
      </w:pPr>
    </w:p>
    <w:p w14:paraId="56E75384" w14:textId="71ED5237" w:rsidR="00AE74FE" w:rsidRPr="00475253" w:rsidRDefault="00AE74FE" w:rsidP="00121215">
      <w:pPr>
        <w:pStyle w:val="Ttulo1"/>
        <w:keepNext w:val="0"/>
        <w:keepLines w:val="0"/>
        <w:spacing w:before="0" w:line="240" w:lineRule="auto"/>
        <w:jc w:val="both"/>
        <w:rPr>
          <w:rFonts w:ascii="Arial" w:hAnsi="Arial" w:cs="Arial"/>
          <w:bCs w:val="0"/>
          <w:color w:val="auto"/>
          <w:sz w:val="24"/>
          <w:szCs w:val="24"/>
          <w:lang w:val="pt-BR"/>
        </w:rPr>
      </w:pPr>
      <w:bookmarkStart w:id="15" w:name="_suq0s3feezb7" w:colFirst="0" w:colLast="0"/>
      <w:bookmarkEnd w:id="15"/>
      <w:r w:rsidRPr="00475253">
        <w:rPr>
          <w:rFonts w:ascii="Arial" w:hAnsi="Arial" w:cs="Arial"/>
          <w:bCs w:val="0"/>
          <w:color w:val="auto"/>
          <w:sz w:val="24"/>
          <w:szCs w:val="24"/>
          <w:lang w:val="pt-BR"/>
        </w:rPr>
        <w:t>5.Conclusão e Contribuições</w:t>
      </w:r>
    </w:p>
    <w:p w14:paraId="037BC978"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Este estudo analisou a transição de ecossistemas tradicionais para hubs inteligentes, identificando estratégias de incorporação de IA e avaliando impactos em diferentes contextos. Os resultados mostram que hubs inteligentes se diferenciam pela infraestrutura digital, pelo uso intensivo de dados, pela governança colaborativa e por métricas ampliadas. Esses elementos propiciam maior eficiência, atração de investimentos e geração de empregos qualificados. Exemplos como Porto Digital, Vila A Inteligente, </w:t>
      </w:r>
      <w:proofErr w:type="spellStart"/>
      <w:r w:rsidRPr="00475253">
        <w:rPr>
          <w:rFonts w:cs="Arial"/>
          <w:szCs w:val="24"/>
          <w:lang w:val="pt-BR"/>
        </w:rPr>
        <w:t>Station</w:t>
      </w:r>
      <w:proofErr w:type="spellEnd"/>
      <w:r w:rsidRPr="00475253">
        <w:rPr>
          <w:rFonts w:cs="Arial"/>
          <w:szCs w:val="24"/>
          <w:lang w:val="pt-BR"/>
        </w:rPr>
        <w:t xml:space="preserve"> F, 22@ Barcelona e Asia New </w:t>
      </w:r>
      <w:proofErr w:type="spellStart"/>
      <w:r w:rsidRPr="00475253">
        <w:rPr>
          <w:rFonts w:cs="Arial"/>
          <w:szCs w:val="24"/>
          <w:lang w:val="pt-BR"/>
        </w:rPr>
        <w:t>Bay</w:t>
      </w:r>
      <w:proofErr w:type="spellEnd"/>
      <w:r w:rsidRPr="00475253">
        <w:rPr>
          <w:rFonts w:cs="Arial"/>
          <w:szCs w:val="24"/>
          <w:lang w:val="pt-BR"/>
        </w:rPr>
        <w:t xml:space="preserve"> Area evidenciam a capacidade dos hubs inteligentes de dinamizar o desenvolvimento local, transformar áreas degradadas e integrar players globais.</w:t>
      </w:r>
    </w:p>
    <w:p w14:paraId="3EECC441"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 xml:space="preserve">Como contribuições teóricas, o artigo aprofunda a compreensão sobre a evolução dos ecossistemas de inovação, propondo a integração entre o modelo </w:t>
      </w:r>
      <w:proofErr w:type="gramStart"/>
      <w:r w:rsidRPr="00475253">
        <w:rPr>
          <w:rFonts w:cs="Arial"/>
          <w:szCs w:val="24"/>
          <w:lang w:val="pt-BR"/>
        </w:rPr>
        <w:t>da tríplice</w:t>
      </w:r>
      <w:proofErr w:type="gramEnd"/>
      <w:r w:rsidRPr="00475253">
        <w:rPr>
          <w:rFonts w:cs="Arial"/>
          <w:szCs w:val="24"/>
          <w:lang w:val="pt-BR"/>
        </w:rPr>
        <w:t xml:space="preserve"> hélice e a digitalização baseada em IA. Ao contrastar ecossistemas tradicionais e hubs inteligentes, sugere</w:t>
      </w:r>
      <w:r w:rsidRPr="00475253">
        <w:rPr>
          <w:rFonts w:ascii="Cambria Math" w:hAnsi="Cambria Math" w:cs="Cambria Math"/>
          <w:szCs w:val="24"/>
          <w:lang w:val="pt-BR"/>
        </w:rPr>
        <w:t>‑</w:t>
      </w:r>
      <w:r w:rsidRPr="00475253">
        <w:rPr>
          <w:rFonts w:cs="Arial"/>
          <w:szCs w:val="24"/>
          <w:lang w:val="pt-BR"/>
        </w:rPr>
        <w:t xml:space="preserve">se que a digitalização não substitui a </w:t>
      </w:r>
      <w:proofErr w:type="spellStart"/>
      <w:r w:rsidRPr="00475253">
        <w:rPr>
          <w:rFonts w:cs="Arial"/>
          <w:szCs w:val="24"/>
          <w:lang w:val="pt-BR"/>
        </w:rPr>
        <w:t>co</w:t>
      </w:r>
      <w:r w:rsidRPr="00475253">
        <w:rPr>
          <w:rFonts w:ascii="Cambria Math" w:hAnsi="Cambria Math" w:cs="Cambria Math"/>
          <w:szCs w:val="24"/>
          <w:lang w:val="pt-BR"/>
        </w:rPr>
        <w:t>‑</w:t>
      </w:r>
      <w:r w:rsidRPr="00475253">
        <w:rPr>
          <w:rFonts w:cs="Arial"/>
          <w:szCs w:val="24"/>
          <w:lang w:val="pt-BR"/>
        </w:rPr>
        <w:t>localização</w:t>
      </w:r>
      <w:proofErr w:type="spellEnd"/>
      <w:r w:rsidRPr="00475253">
        <w:rPr>
          <w:rFonts w:cs="Arial"/>
          <w:szCs w:val="24"/>
          <w:lang w:val="pt-BR"/>
        </w:rPr>
        <w:t xml:space="preserve"> física, </w:t>
      </w:r>
      <w:r w:rsidRPr="00475253">
        <w:rPr>
          <w:rFonts w:cs="Arial"/>
          <w:szCs w:val="24"/>
          <w:lang w:val="pt-BR"/>
        </w:rPr>
        <w:lastRenderedPageBreak/>
        <w:t xml:space="preserve">mas amplia o alcance e intensifica a colaboração. Ao incorporar IA e </w:t>
      </w:r>
      <w:proofErr w:type="spellStart"/>
      <w:r w:rsidRPr="00475253">
        <w:rPr>
          <w:rFonts w:cs="Arial"/>
          <w:szCs w:val="24"/>
          <w:lang w:val="pt-BR"/>
        </w:rPr>
        <w:t>IoT</w:t>
      </w:r>
      <w:proofErr w:type="spellEnd"/>
      <w:r w:rsidRPr="00475253">
        <w:rPr>
          <w:rFonts w:cs="Arial"/>
          <w:szCs w:val="24"/>
          <w:lang w:val="pt-BR"/>
        </w:rPr>
        <w:t>, esses ambientes tornam</w:t>
      </w:r>
      <w:r w:rsidRPr="00475253">
        <w:rPr>
          <w:rFonts w:ascii="Cambria Math" w:hAnsi="Cambria Math" w:cs="Cambria Math"/>
          <w:szCs w:val="24"/>
          <w:lang w:val="pt-BR"/>
        </w:rPr>
        <w:t>‑</w:t>
      </w:r>
      <w:r w:rsidRPr="00475253">
        <w:rPr>
          <w:rFonts w:cs="Arial"/>
          <w:szCs w:val="24"/>
          <w:lang w:val="pt-BR"/>
        </w:rPr>
        <w:t xml:space="preserve">se mais adaptativos, capazes de aprender com dados e oferecer serviços personalizados. Para a prática, o estudo apresenta um conjunto de estratégias que podem orientar gestores de parques tecnológicos, aceleradoras e formuladores de políticas: investir em infraestrutura digital, desenvolver programas de capacitação em </w:t>
      </w:r>
      <w:proofErr w:type="gramStart"/>
      <w:r w:rsidRPr="00475253">
        <w:rPr>
          <w:rFonts w:cs="Arial"/>
          <w:szCs w:val="24"/>
          <w:lang w:val="pt-BR"/>
        </w:rPr>
        <w:t>IA, adotar</w:t>
      </w:r>
      <w:proofErr w:type="gramEnd"/>
      <w:r w:rsidRPr="00475253">
        <w:rPr>
          <w:rFonts w:cs="Arial"/>
          <w:szCs w:val="24"/>
          <w:lang w:val="pt-BR"/>
        </w:rPr>
        <w:t xml:space="preserve"> governança multissetorial e ampliar métricas para captar impactos sociais e ambientais.</w:t>
      </w:r>
    </w:p>
    <w:p w14:paraId="1C31CC47" w14:textId="6BD6F4A9" w:rsidR="00AE74FE" w:rsidRPr="00475253" w:rsidRDefault="00AE74FE" w:rsidP="00A80222">
      <w:pPr>
        <w:spacing w:after="0" w:line="240" w:lineRule="auto"/>
        <w:ind w:firstLine="720"/>
        <w:jc w:val="both"/>
        <w:rPr>
          <w:rFonts w:eastAsia="Times New Roman" w:cs="Arial"/>
          <w:szCs w:val="24"/>
          <w:lang w:val="pt-BR" w:eastAsia="pt-BR"/>
        </w:rPr>
      </w:pPr>
      <w:r w:rsidRPr="00475253">
        <w:rPr>
          <w:rFonts w:eastAsia="Times New Roman" w:cs="Arial"/>
          <w:szCs w:val="24"/>
          <w:lang w:val="pt-BR" w:eastAsia="pt-BR"/>
        </w:rPr>
        <w:t>Apesar dos benefícios identificados, os hubs inteligentes também enfrentam desafios. A concentração de recursos em grandes centros pode aprofundar desigualdades regionais; a governança de dados levanta questões sobre privacidade, transparência algorítmica e dependência tecnológica; e a inclusão digital permanece limitada em países em desenvolvimento. Esses aspectos indicam que a transição para hubs inteligentes não é apenas técnica, mas envolve escolhas políticas e sociais que exigem maior debate acadêmico e institucional.</w:t>
      </w:r>
    </w:p>
    <w:p w14:paraId="0FE45602" w14:textId="3C5D208A" w:rsidR="00075E27" w:rsidRPr="00556941" w:rsidRDefault="00075E27" w:rsidP="00A80222">
      <w:pPr>
        <w:spacing w:after="0" w:line="240" w:lineRule="auto"/>
        <w:ind w:firstLine="720"/>
        <w:jc w:val="both"/>
        <w:rPr>
          <w:rFonts w:eastAsia="Times New Roman" w:cs="Arial"/>
          <w:szCs w:val="24"/>
          <w:lang w:val="pt-BR" w:eastAsia="pt-BR"/>
        </w:rPr>
      </w:pPr>
      <w:r w:rsidRPr="00556941">
        <w:rPr>
          <w:rFonts w:eastAsia="Times New Roman" w:cs="Arial"/>
          <w:szCs w:val="24"/>
          <w:lang w:val="pt-BR" w:eastAsia="pt-BR"/>
        </w:rPr>
        <w:t xml:space="preserve">A literatura também enfatiza que a expansão de hubs inteligentes depende da criação de ambientes digitais seguros e confiáveis. </w:t>
      </w:r>
      <w:proofErr w:type="spellStart"/>
      <w:r w:rsidRPr="00556941">
        <w:rPr>
          <w:rFonts w:eastAsia="Times New Roman" w:cs="Arial"/>
          <w:szCs w:val="24"/>
          <w:lang w:val="pt-BR" w:eastAsia="pt-BR"/>
        </w:rPr>
        <w:t>Abisoye</w:t>
      </w:r>
      <w:proofErr w:type="spellEnd"/>
      <w:r w:rsidRPr="00556941">
        <w:rPr>
          <w:rFonts w:eastAsia="Times New Roman" w:cs="Arial"/>
          <w:szCs w:val="24"/>
          <w:lang w:val="pt-BR" w:eastAsia="pt-BR"/>
        </w:rPr>
        <w:t xml:space="preserve"> </w:t>
      </w:r>
      <w:r w:rsidR="006D40BE" w:rsidRPr="00475253">
        <w:rPr>
          <w:rFonts w:eastAsia="Times New Roman" w:cs="Arial"/>
          <w:szCs w:val="24"/>
          <w:lang w:val="pt-BR" w:eastAsia="pt-BR"/>
        </w:rPr>
        <w:t>et al.</w:t>
      </w:r>
      <w:r w:rsidRPr="00556941">
        <w:rPr>
          <w:rFonts w:eastAsia="Times New Roman" w:cs="Arial"/>
          <w:szCs w:val="24"/>
          <w:lang w:val="pt-BR" w:eastAsia="pt-BR"/>
        </w:rPr>
        <w:t xml:space="preserve"> (202</w:t>
      </w:r>
      <w:r w:rsidR="006D40BE" w:rsidRPr="00475253">
        <w:rPr>
          <w:rFonts w:eastAsia="Times New Roman" w:cs="Arial"/>
          <w:szCs w:val="24"/>
          <w:lang w:val="pt-BR" w:eastAsia="pt-BR"/>
        </w:rPr>
        <w:t>1</w:t>
      </w:r>
      <w:r w:rsidRPr="00556941">
        <w:rPr>
          <w:rFonts w:eastAsia="Times New Roman" w:cs="Arial"/>
          <w:szCs w:val="24"/>
          <w:lang w:val="pt-BR" w:eastAsia="pt-BR"/>
        </w:rPr>
        <w:t xml:space="preserve">) destacam que a </w:t>
      </w:r>
      <w:proofErr w:type="spellStart"/>
      <w:r w:rsidRPr="00556941">
        <w:rPr>
          <w:rFonts w:eastAsia="Times New Roman" w:cs="Arial"/>
          <w:szCs w:val="24"/>
          <w:lang w:val="pt-BR" w:eastAsia="pt-BR"/>
        </w:rPr>
        <w:t>cibersegurança</w:t>
      </w:r>
      <w:proofErr w:type="spellEnd"/>
      <w:r w:rsidRPr="00556941">
        <w:rPr>
          <w:rFonts w:eastAsia="Times New Roman" w:cs="Arial"/>
          <w:szCs w:val="24"/>
          <w:lang w:val="pt-BR" w:eastAsia="pt-BR"/>
        </w:rPr>
        <w:t xml:space="preserve"> é condição indispensável para que ecossistemas digitais funcionem de forma estável, protegendo dados sensíveis, garantindo privacidade e promovendo a confiança de investidores e usuários. Sem essa camada de proteção, os hubs correm o risco de comprometer sua legitimidade e sua capacidade de atrair capital e talentos</w:t>
      </w:r>
    </w:p>
    <w:p w14:paraId="3D769164" w14:textId="77777777" w:rsidR="00AE74FE" w:rsidRPr="00475253" w:rsidRDefault="00AE74FE" w:rsidP="00A80222">
      <w:pPr>
        <w:spacing w:after="0" w:line="240" w:lineRule="auto"/>
        <w:ind w:firstLine="720"/>
        <w:jc w:val="both"/>
        <w:rPr>
          <w:rFonts w:cs="Arial"/>
          <w:szCs w:val="24"/>
          <w:lang w:val="pt-BR"/>
        </w:rPr>
      </w:pPr>
      <w:r w:rsidRPr="00475253">
        <w:rPr>
          <w:rFonts w:cs="Arial"/>
          <w:szCs w:val="24"/>
          <w:lang w:val="pt-BR"/>
        </w:rPr>
        <w:t>Existem limitações. A pesquisa baseia</w:t>
      </w:r>
      <w:r w:rsidRPr="00475253">
        <w:rPr>
          <w:rFonts w:ascii="Cambria Math" w:hAnsi="Cambria Math" w:cs="Cambria Math"/>
          <w:szCs w:val="24"/>
          <w:lang w:val="pt-BR"/>
        </w:rPr>
        <w:t>‑</w:t>
      </w:r>
      <w:r w:rsidRPr="00475253">
        <w:rPr>
          <w:rFonts w:cs="Arial"/>
          <w:szCs w:val="24"/>
          <w:lang w:val="pt-BR"/>
        </w:rPr>
        <w:t>se em fontes secundárias e não contempla observação direta dos hubs analisados; portanto, algumas informações podem estar defasadas ou incompletas. Além disso, as experiências relatadas concentram</w:t>
      </w:r>
      <w:r w:rsidRPr="00475253">
        <w:rPr>
          <w:rFonts w:ascii="Cambria Math" w:hAnsi="Cambria Math" w:cs="Cambria Math"/>
          <w:szCs w:val="24"/>
          <w:lang w:val="pt-BR"/>
        </w:rPr>
        <w:t>‑</w:t>
      </w:r>
      <w:r w:rsidRPr="00475253">
        <w:rPr>
          <w:rFonts w:cs="Arial"/>
          <w:szCs w:val="24"/>
          <w:lang w:val="pt-BR"/>
        </w:rPr>
        <w:t>se em regiões específicas, podendo não refletir realidades de ecossistemas em países menos desenvolvidos. Sugere</w:t>
      </w:r>
      <w:r w:rsidRPr="00475253">
        <w:rPr>
          <w:rFonts w:ascii="Cambria Math" w:hAnsi="Cambria Math" w:cs="Cambria Math"/>
          <w:szCs w:val="24"/>
          <w:lang w:val="pt-BR"/>
        </w:rPr>
        <w:t>‑</w:t>
      </w:r>
      <w:r w:rsidRPr="00475253">
        <w:rPr>
          <w:rFonts w:cs="Arial"/>
          <w:szCs w:val="24"/>
          <w:lang w:val="pt-BR"/>
        </w:rPr>
        <w:t>se como agenda futura: (i) realizar estudos de caso em profundidade com entrevistas e dados quantitativos para avaliar o desempenho dos hubs ao longo do tempo; (</w:t>
      </w:r>
      <w:proofErr w:type="spellStart"/>
      <w:r w:rsidRPr="00475253">
        <w:rPr>
          <w:rFonts w:cs="Arial"/>
          <w:szCs w:val="24"/>
          <w:lang w:val="pt-BR"/>
        </w:rPr>
        <w:t>ii</w:t>
      </w:r>
      <w:proofErr w:type="spellEnd"/>
      <w:r w:rsidRPr="00475253">
        <w:rPr>
          <w:rFonts w:cs="Arial"/>
          <w:szCs w:val="24"/>
          <w:lang w:val="pt-BR"/>
        </w:rPr>
        <w:t>) investigar modelos de governança que conciliem interesses públicos e privados e garantam transparência algorítmica; (</w:t>
      </w:r>
      <w:proofErr w:type="spellStart"/>
      <w:r w:rsidRPr="00475253">
        <w:rPr>
          <w:rFonts w:cs="Arial"/>
          <w:szCs w:val="24"/>
          <w:lang w:val="pt-BR"/>
        </w:rPr>
        <w:t>iii</w:t>
      </w:r>
      <w:proofErr w:type="spellEnd"/>
      <w:r w:rsidRPr="00475253">
        <w:rPr>
          <w:rFonts w:cs="Arial"/>
          <w:szCs w:val="24"/>
          <w:lang w:val="pt-BR"/>
        </w:rPr>
        <w:t>) analisar políticas de inclusão digital e seus efeitos sobre desigualdades regionais; e (</w:t>
      </w:r>
      <w:proofErr w:type="spellStart"/>
      <w:r w:rsidRPr="00475253">
        <w:rPr>
          <w:rFonts w:cs="Arial"/>
          <w:szCs w:val="24"/>
          <w:lang w:val="pt-BR"/>
        </w:rPr>
        <w:t>iv</w:t>
      </w:r>
      <w:proofErr w:type="spellEnd"/>
      <w:r w:rsidRPr="00475253">
        <w:rPr>
          <w:rFonts w:cs="Arial"/>
          <w:szCs w:val="24"/>
          <w:lang w:val="pt-BR"/>
        </w:rPr>
        <w:t>) explorar questões éticas do uso de IA, como viés algorítmico, privacidade e segurança, no contexto de hubs inteligentes.</w:t>
      </w:r>
    </w:p>
    <w:p w14:paraId="08B47BC1" w14:textId="5BF4EBA5" w:rsidR="00AE74FE" w:rsidRPr="00475253" w:rsidRDefault="00DD3B5D" w:rsidP="00A80222">
      <w:pPr>
        <w:spacing w:after="0" w:line="240" w:lineRule="auto"/>
        <w:ind w:firstLine="720"/>
        <w:jc w:val="both"/>
        <w:rPr>
          <w:rFonts w:cs="Arial"/>
          <w:szCs w:val="24"/>
          <w:lang w:val="pt-BR"/>
        </w:rPr>
      </w:pPr>
      <w:r w:rsidRPr="00475253">
        <w:rPr>
          <w:rFonts w:cs="Arial"/>
          <w:szCs w:val="24"/>
          <w:lang w:val="pt-BR"/>
        </w:rPr>
        <w:t>A</w:t>
      </w:r>
      <w:r w:rsidR="00AE74FE" w:rsidRPr="00475253">
        <w:rPr>
          <w:rFonts w:cs="Arial"/>
          <w:szCs w:val="24"/>
          <w:lang w:val="pt-BR"/>
        </w:rPr>
        <w:t xml:space="preserve"> transição para hubs inteligentes representa uma oportunidade estratégica para países que desejam acelerar sua transformação digital e promover desenvolvimento econômico sustentável. A adoção de IA, combinada com políticas inclusivas e governança colaborativa, pode posicionar regiões em rede global de inovação e reduzir assimetrias de oportunidades.</w:t>
      </w:r>
    </w:p>
    <w:p w14:paraId="5E00F148" w14:textId="34166C07" w:rsidR="00DD3B5D" w:rsidRPr="00475253" w:rsidRDefault="00DD3B5D" w:rsidP="00A80222">
      <w:pPr>
        <w:spacing w:after="0" w:line="240" w:lineRule="auto"/>
        <w:ind w:firstLine="720"/>
        <w:jc w:val="both"/>
        <w:rPr>
          <w:rFonts w:cs="Arial"/>
          <w:szCs w:val="24"/>
          <w:lang w:val="pt-BR"/>
        </w:rPr>
      </w:pPr>
      <w:r w:rsidRPr="00475253">
        <w:rPr>
          <w:rFonts w:cs="Arial"/>
          <w:szCs w:val="24"/>
          <w:lang w:val="pt-BR"/>
        </w:rPr>
        <w:t xml:space="preserve">O </w:t>
      </w:r>
      <w:r w:rsidRPr="00475253">
        <w:rPr>
          <w:rFonts w:cs="Arial"/>
          <w:szCs w:val="24"/>
          <w:lang w:val="pt-BR"/>
        </w:rPr>
        <w:t xml:space="preserve">trabalho contribui ao oferecer um quadro conceitual que integra dimensões tecnológicas, sociais e ambientais, servindo como referência para pesquisas futuras e para gestores que enfrentam dilemas práticos na construção de ecossistemas digitais. Como desdobramento, sugere-se </w:t>
      </w:r>
      <w:r w:rsidRPr="00475253">
        <w:rPr>
          <w:rFonts w:cs="Arial"/>
          <w:szCs w:val="24"/>
          <w:lang w:val="pt-BR"/>
        </w:rPr>
        <w:t xml:space="preserve">também </w:t>
      </w:r>
      <w:r w:rsidRPr="00475253">
        <w:rPr>
          <w:rFonts w:cs="Arial"/>
          <w:szCs w:val="24"/>
          <w:lang w:val="pt-BR"/>
        </w:rPr>
        <w:t>ampliar os estudos para contextos setoriais específicos, como saúde, energia e agronegócio, onde a aplicação da IA em hubs inteligentes pode gerar impactos diferenciados. Outra linha promissora consiste em analisar longitudinalmente hubs em diferentes estágios de maturidade, comparando trajetórias de países centrais e periféricos, de modo a evidenciar não apenas fatores de sucesso, mas também barreiras estruturais que condicionam a difusão de modelos mais inclusivos e sustentáveis.</w:t>
      </w:r>
    </w:p>
    <w:p w14:paraId="6B87F77A" w14:textId="77777777" w:rsidR="00B4702A" w:rsidRPr="00475253" w:rsidRDefault="00B4702A" w:rsidP="00AE74FE">
      <w:pPr>
        <w:spacing w:before="240" w:after="240"/>
        <w:jc w:val="both"/>
        <w:rPr>
          <w:rFonts w:cs="Arial"/>
          <w:b/>
          <w:bCs/>
          <w:szCs w:val="24"/>
          <w:lang w:val="pt-BR"/>
        </w:rPr>
      </w:pPr>
    </w:p>
    <w:p w14:paraId="4F266859" w14:textId="5A2DEA45" w:rsidR="00AE74FE" w:rsidRPr="00475253" w:rsidRDefault="00AE74FE" w:rsidP="00AE74FE">
      <w:pPr>
        <w:spacing w:before="240" w:after="240"/>
        <w:jc w:val="both"/>
        <w:rPr>
          <w:rFonts w:cs="Arial"/>
          <w:b/>
          <w:bCs/>
          <w:szCs w:val="24"/>
          <w:lang w:val="pt-BR"/>
        </w:rPr>
      </w:pPr>
      <w:r w:rsidRPr="00475253">
        <w:rPr>
          <w:rFonts w:cs="Arial"/>
          <w:b/>
          <w:bCs/>
          <w:szCs w:val="24"/>
          <w:lang w:val="pt-BR"/>
        </w:rPr>
        <w:lastRenderedPageBreak/>
        <w:t xml:space="preserve">6.Referências Bibliográficas </w:t>
      </w:r>
    </w:p>
    <w:p w14:paraId="3182CF2B"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816926">
        <w:rPr>
          <w:rFonts w:ascii="Arial" w:hAnsi="Arial" w:cs="Arial"/>
        </w:rPr>
        <w:t xml:space="preserve">ABISOYE, A. I. et al. </w:t>
      </w:r>
      <w:r w:rsidRPr="00475253">
        <w:rPr>
          <w:rStyle w:val="Forte"/>
          <w:rFonts w:ascii="Arial" w:hAnsi="Arial" w:cs="Arial"/>
          <w:b w:val="0"/>
          <w:bCs w:val="0"/>
          <w:lang w:val="en-US"/>
        </w:rPr>
        <w:t>Digital entrepreneurship: Insights into motivation, challenges, and strategies in emerging economies</w:t>
      </w:r>
      <w:r w:rsidRPr="00475253">
        <w:rPr>
          <w:rFonts w:ascii="Arial" w:hAnsi="Arial" w:cs="Arial"/>
          <w:b/>
          <w:bCs/>
          <w:lang w:val="en-US"/>
        </w:rPr>
        <w:t>.</w:t>
      </w:r>
      <w:r w:rsidRPr="00475253">
        <w:rPr>
          <w:rFonts w:ascii="Arial" w:hAnsi="Arial" w:cs="Arial"/>
          <w:lang w:val="en-US"/>
        </w:rPr>
        <w:t xml:space="preserve"> </w:t>
      </w:r>
      <w:r w:rsidRPr="00475253">
        <w:rPr>
          <w:rStyle w:val="nfase"/>
          <w:rFonts w:ascii="Arial" w:hAnsi="Arial" w:cs="Arial"/>
          <w:b/>
          <w:bCs/>
          <w:lang w:val="en-US"/>
        </w:rPr>
        <w:t>Journal of Business Venturing Insights</w:t>
      </w:r>
      <w:r w:rsidRPr="00475253">
        <w:rPr>
          <w:rFonts w:ascii="Arial" w:hAnsi="Arial" w:cs="Arial"/>
          <w:lang w:val="en-US"/>
        </w:rPr>
        <w:t xml:space="preserve">, v. 15, p. e00315, 2021. </w:t>
      </w:r>
    </w:p>
    <w:p w14:paraId="02526FEE"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475253">
        <w:rPr>
          <w:rFonts w:ascii="Arial" w:hAnsi="Arial" w:cs="Arial"/>
          <w:lang w:val="en-US"/>
        </w:rPr>
        <w:t xml:space="preserve">ADEOLA, O.; EVANS, O.; NGARE, I. </w:t>
      </w:r>
      <w:r w:rsidRPr="00475253">
        <w:rPr>
          <w:rFonts w:ascii="Arial" w:hAnsi="Arial" w:cs="Arial"/>
          <w:b/>
          <w:bCs/>
          <w:lang w:val="en-US"/>
        </w:rPr>
        <w:t>Gender Equality, Climate Action, and Technological Innovation for Sustainable Development in Africa</w:t>
      </w:r>
      <w:r w:rsidRPr="00475253">
        <w:rPr>
          <w:rFonts w:ascii="Arial" w:hAnsi="Arial" w:cs="Arial"/>
          <w:lang w:val="en-US"/>
        </w:rPr>
        <w:t>. Cham: Springer, 2024. Open access. https://library.oapen.org/handle/20.500.12657/86115</w:t>
      </w:r>
    </w:p>
    <w:p w14:paraId="2F9CAB22"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ASSOCIAÇÃO CUBO COWORKING ITAU. </w:t>
      </w:r>
      <w:r w:rsidRPr="00475253">
        <w:rPr>
          <w:rFonts w:ascii="Arial" w:hAnsi="Arial" w:cs="Arial"/>
          <w:b/>
          <w:bCs/>
        </w:rPr>
        <w:t>Institucional.</w:t>
      </w:r>
      <w:r w:rsidRPr="00475253">
        <w:rPr>
          <w:rFonts w:ascii="Arial" w:hAnsi="Arial" w:cs="Arial"/>
        </w:rPr>
        <w:t xml:space="preserve"> São Paulo: Cubo Itaú, 2015. São Paulo, Disponível em: https://cubo.network/institucional. Acesso em: </w:t>
      </w:r>
      <w:r w:rsidRPr="00475253">
        <w:rPr>
          <w:rFonts w:ascii="Arial" w:hAnsi="Arial" w:cs="Arial"/>
        </w:rPr>
        <w:t xml:space="preserve">10 </w:t>
      </w:r>
      <w:proofErr w:type="spellStart"/>
      <w:r w:rsidRPr="00475253">
        <w:rPr>
          <w:rFonts w:ascii="Arial" w:hAnsi="Arial" w:cs="Arial"/>
        </w:rPr>
        <w:t>ago</w:t>
      </w:r>
      <w:proofErr w:type="spellEnd"/>
      <w:r w:rsidRPr="00475253">
        <w:rPr>
          <w:rFonts w:ascii="Arial" w:hAnsi="Arial" w:cs="Arial"/>
        </w:rPr>
        <w:t xml:space="preserve"> 2025.</w:t>
      </w:r>
    </w:p>
    <w:p w14:paraId="285DF2E3"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BARDIN, Laurence. </w:t>
      </w:r>
      <w:r w:rsidRPr="00475253">
        <w:rPr>
          <w:rFonts w:ascii="Arial" w:hAnsi="Arial" w:cs="Arial"/>
          <w:b/>
          <w:bCs/>
        </w:rPr>
        <w:t>Análise de conteúdo.</w:t>
      </w:r>
      <w:r w:rsidRPr="00475253">
        <w:rPr>
          <w:rFonts w:ascii="Arial" w:hAnsi="Arial" w:cs="Arial"/>
        </w:rPr>
        <w:t xml:space="preserve"> Lisboa: Edições 70, 2011.</w:t>
      </w:r>
    </w:p>
    <w:p w14:paraId="373BB1CA"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475253">
        <w:rPr>
          <w:rFonts w:ascii="Arial" w:hAnsi="Arial" w:cs="Arial"/>
          <w:lang w:val="en-US"/>
        </w:rPr>
        <w:t xml:space="preserve">CHESBROUGH, Henry W. </w:t>
      </w:r>
      <w:r w:rsidRPr="00475253">
        <w:rPr>
          <w:rStyle w:val="nfase"/>
          <w:rFonts w:ascii="Arial" w:hAnsi="Arial" w:cs="Arial"/>
          <w:b/>
          <w:bCs/>
          <w:i w:val="0"/>
          <w:iCs w:val="0"/>
          <w:lang w:val="en-US"/>
        </w:rPr>
        <w:t>Open innovation: the new imperative for creating and profiting from technology</w:t>
      </w:r>
      <w:r w:rsidRPr="00475253">
        <w:rPr>
          <w:rFonts w:ascii="Arial" w:hAnsi="Arial" w:cs="Arial"/>
          <w:lang w:val="en-US"/>
        </w:rPr>
        <w:t>. Boston: Harvard Business School Press, 2003.</w:t>
      </w:r>
    </w:p>
    <w:p w14:paraId="082060E0"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DANTAS, M. Porto Digital registra salto de 28,6% no faturamento e quase 15 mil empregos em 2021. </w:t>
      </w:r>
      <w:r w:rsidRPr="00475253">
        <w:rPr>
          <w:rStyle w:val="nfase"/>
          <w:rFonts w:ascii="Arial" w:hAnsi="Arial" w:cs="Arial"/>
          <w:b/>
          <w:bCs/>
          <w:i w:val="0"/>
          <w:iCs w:val="0"/>
        </w:rPr>
        <w:t xml:space="preserve">Revista </w:t>
      </w:r>
      <w:proofErr w:type="spellStart"/>
      <w:r w:rsidRPr="00475253">
        <w:rPr>
          <w:rStyle w:val="nfase"/>
          <w:rFonts w:ascii="Arial" w:hAnsi="Arial" w:cs="Arial"/>
          <w:b/>
          <w:bCs/>
          <w:i w:val="0"/>
          <w:iCs w:val="0"/>
        </w:rPr>
        <w:t>Algomais</w:t>
      </w:r>
      <w:proofErr w:type="spellEnd"/>
      <w:r w:rsidRPr="00475253">
        <w:rPr>
          <w:rFonts w:ascii="Arial" w:hAnsi="Arial" w:cs="Arial"/>
        </w:rPr>
        <w:t>, Recife, 2022.</w:t>
      </w:r>
    </w:p>
    <w:p w14:paraId="5D311BEF"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DEEP SEARCH. </w:t>
      </w:r>
      <w:r w:rsidRPr="00475253">
        <w:rPr>
          <w:rFonts w:ascii="Arial" w:hAnsi="Arial" w:cs="Arial"/>
          <w:b/>
          <w:bCs/>
        </w:rPr>
        <w:t>Panorama científico atualizado sobre ecossistemas de inovação e hubs inteligentes</w:t>
      </w:r>
      <w:r w:rsidRPr="00475253">
        <w:rPr>
          <w:rFonts w:ascii="Arial" w:hAnsi="Arial" w:cs="Arial"/>
        </w:rPr>
        <w:t>. Relatório interno, 2025.</w:t>
      </w:r>
    </w:p>
    <w:p w14:paraId="40098042"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lang w:val="en-US"/>
        </w:rPr>
        <w:t xml:space="preserve">ESTATE, </w:t>
      </w:r>
      <w:proofErr w:type="spellStart"/>
      <w:r w:rsidRPr="00475253">
        <w:rPr>
          <w:rFonts w:ascii="Arial" w:hAnsi="Arial" w:cs="Arial"/>
          <w:lang w:val="en-US"/>
        </w:rPr>
        <w:t>Lasose</w:t>
      </w:r>
      <w:proofErr w:type="spellEnd"/>
      <w:r w:rsidRPr="00475253">
        <w:rPr>
          <w:rFonts w:ascii="Arial" w:hAnsi="Arial" w:cs="Arial"/>
          <w:lang w:val="en-US"/>
        </w:rPr>
        <w:t xml:space="preserve"> Real. Distrito 22@, Barcelona’s prime area for property investment. </w:t>
      </w:r>
      <w:r w:rsidRPr="00475253">
        <w:rPr>
          <w:rStyle w:val="nfase"/>
          <w:rFonts w:ascii="Arial" w:hAnsi="Arial" w:cs="Arial"/>
        </w:rPr>
        <w:t xml:space="preserve">Blog </w:t>
      </w:r>
      <w:proofErr w:type="spellStart"/>
      <w:r w:rsidRPr="00475253">
        <w:rPr>
          <w:rStyle w:val="nfase"/>
          <w:rFonts w:ascii="Arial" w:hAnsi="Arial" w:cs="Arial"/>
        </w:rPr>
        <w:t>Estate</w:t>
      </w:r>
      <w:proofErr w:type="spellEnd"/>
      <w:r w:rsidRPr="00475253">
        <w:rPr>
          <w:rFonts w:ascii="Arial" w:hAnsi="Arial" w:cs="Arial"/>
        </w:rPr>
        <w:t>, Barcelona, 2022. Disponível em: https://lasoserealestate.com/barcelona-22@. Acesso em: 13 ago. 2025.</w:t>
      </w:r>
    </w:p>
    <w:p w14:paraId="478A350D"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lang w:val="en-US"/>
        </w:rPr>
        <w:t xml:space="preserve">ETZKOWITZ, Henry; LEYDESDORFF, </w:t>
      </w:r>
      <w:proofErr w:type="spellStart"/>
      <w:r w:rsidRPr="00475253">
        <w:rPr>
          <w:rFonts w:ascii="Arial" w:hAnsi="Arial" w:cs="Arial"/>
          <w:lang w:val="en-US"/>
        </w:rPr>
        <w:t>Loet</w:t>
      </w:r>
      <w:proofErr w:type="spellEnd"/>
      <w:r w:rsidRPr="00475253">
        <w:rPr>
          <w:rFonts w:ascii="Arial" w:hAnsi="Arial" w:cs="Arial"/>
          <w:lang w:val="en-US"/>
        </w:rPr>
        <w:t xml:space="preserve">. The triple helix: university–industry–government relations: a laboratory for knowledge-based economic development. </w:t>
      </w:r>
      <w:proofErr w:type="spellStart"/>
      <w:r w:rsidRPr="00475253">
        <w:rPr>
          <w:rStyle w:val="nfase"/>
          <w:rFonts w:ascii="Arial" w:hAnsi="Arial" w:cs="Arial"/>
          <w:b/>
          <w:bCs/>
          <w:i w:val="0"/>
          <w:iCs w:val="0"/>
        </w:rPr>
        <w:t>Research</w:t>
      </w:r>
      <w:proofErr w:type="spellEnd"/>
      <w:r w:rsidRPr="00475253">
        <w:rPr>
          <w:rStyle w:val="nfase"/>
          <w:rFonts w:ascii="Arial" w:hAnsi="Arial" w:cs="Arial"/>
          <w:b/>
          <w:bCs/>
          <w:i w:val="0"/>
          <w:iCs w:val="0"/>
        </w:rPr>
        <w:t xml:space="preserve"> </w:t>
      </w:r>
      <w:proofErr w:type="spellStart"/>
      <w:r w:rsidRPr="00475253">
        <w:rPr>
          <w:rStyle w:val="nfase"/>
          <w:rFonts w:ascii="Arial" w:hAnsi="Arial" w:cs="Arial"/>
          <w:b/>
          <w:bCs/>
          <w:i w:val="0"/>
          <w:iCs w:val="0"/>
        </w:rPr>
        <w:t>Policy</w:t>
      </w:r>
      <w:proofErr w:type="spellEnd"/>
      <w:r w:rsidRPr="00475253">
        <w:rPr>
          <w:rFonts w:ascii="Arial" w:hAnsi="Arial" w:cs="Arial"/>
          <w:b/>
          <w:bCs/>
          <w:i/>
          <w:iCs/>
        </w:rPr>
        <w:t>,</w:t>
      </w:r>
      <w:r w:rsidRPr="00475253">
        <w:rPr>
          <w:rFonts w:ascii="Arial" w:hAnsi="Arial" w:cs="Arial"/>
        </w:rPr>
        <w:t xml:space="preserve"> v. 25, n. 3, p. 293–301, 1995.</w:t>
      </w:r>
    </w:p>
    <w:p w14:paraId="1C21FBBB"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364B24">
        <w:rPr>
          <w:rFonts w:ascii="Arial" w:hAnsi="Arial" w:cs="Arial"/>
        </w:rPr>
        <w:t xml:space="preserve">FATEMA, </w:t>
      </w:r>
      <w:proofErr w:type="spellStart"/>
      <w:r w:rsidRPr="00364B24">
        <w:rPr>
          <w:rFonts w:ascii="Arial" w:hAnsi="Arial" w:cs="Arial"/>
        </w:rPr>
        <w:t>Shagufta</w:t>
      </w:r>
      <w:proofErr w:type="spellEnd"/>
      <w:r w:rsidRPr="00364B24">
        <w:rPr>
          <w:rFonts w:ascii="Arial" w:hAnsi="Arial" w:cs="Arial"/>
        </w:rPr>
        <w:t xml:space="preserve">; RAZA, </w:t>
      </w:r>
      <w:proofErr w:type="spellStart"/>
      <w:r w:rsidRPr="00364B24">
        <w:rPr>
          <w:rFonts w:ascii="Arial" w:hAnsi="Arial" w:cs="Arial"/>
        </w:rPr>
        <w:t>Md</w:t>
      </w:r>
      <w:proofErr w:type="spellEnd"/>
      <w:r w:rsidRPr="00364B24">
        <w:rPr>
          <w:rFonts w:ascii="Arial" w:hAnsi="Arial" w:cs="Arial"/>
        </w:rPr>
        <w:t xml:space="preserve">. Khalid. </w:t>
      </w:r>
      <w:r w:rsidRPr="00364B24">
        <w:rPr>
          <w:rFonts w:ascii="Arial" w:hAnsi="Arial" w:cs="Arial"/>
          <w:lang w:val="en-US"/>
        </w:rPr>
        <w:t xml:space="preserve">Entrepreneurship in the age of technology: a study of start-up ecosystems and innovation hubs. </w:t>
      </w:r>
      <w:r w:rsidRPr="002478C6">
        <w:rPr>
          <w:rFonts w:ascii="Arial" w:hAnsi="Arial" w:cs="Arial"/>
          <w:b/>
          <w:bCs/>
          <w:lang w:val="en-US"/>
        </w:rPr>
        <w:t>Journal of Research and Innovation in Technology, Commerce and Management</w:t>
      </w:r>
      <w:r w:rsidRPr="00364B24">
        <w:rPr>
          <w:rFonts w:ascii="Arial" w:hAnsi="Arial" w:cs="Arial"/>
          <w:lang w:val="en-US"/>
        </w:rPr>
        <w:t xml:space="preserve">, v. 1, n. 8, p. 1-5, Dec. 2024. </w:t>
      </w:r>
      <w:proofErr w:type="spellStart"/>
      <w:r w:rsidRPr="00364B24">
        <w:rPr>
          <w:rFonts w:ascii="Arial" w:hAnsi="Arial" w:cs="Arial"/>
          <w:lang w:val="en-US"/>
        </w:rPr>
        <w:t>Disponível</w:t>
      </w:r>
      <w:proofErr w:type="spellEnd"/>
      <w:r w:rsidRPr="00364B24">
        <w:rPr>
          <w:rFonts w:ascii="Arial" w:hAnsi="Arial" w:cs="Arial"/>
          <w:lang w:val="en-US"/>
        </w:rPr>
        <w:t xml:space="preserve"> </w:t>
      </w:r>
      <w:proofErr w:type="spellStart"/>
      <w:r w:rsidRPr="00364B24">
        <w:rPr>
          <w:rFonts w:ascii="Arial" w:hAnsi="Arial" w:cs="Arial"/>
          <w:lang w:val="en-US"/>
        </w:rPr>
        <w:t>em</w:t>
      </w:r>
      <w:proofErr w:type="spellEnd"/>
      <w:r w:rsidRPr="00364B24">
        <w:rPr>
          <w:rFonts w:ascii="Arial" w:hAnsi="Arial" w:cs="Arial"/>
          <w:lang w:val="en-US"/>
        </w:rPr>
        <w:t xml:space="preserve">: http://www.jritm.org/. </w:t>
      </w:r>
      <w:proofErr w:type="spellStart"/>
      <w:r w:rsidRPr="00364B24">
        <w:rPr>
          <w:rFonts w:ascii="Arial" w:hAnsi="Arial" w:cs="Arial"/>
          <w:lang w:val="en-US"/>
        </w:rPr>
        <w:t>Acesso</w:t>
      </w:r>
      <w:proofErr w:type="spellEnd"/>
      <w:r w:rsidRPr="00364B24">
        <w:rPr>
          <w:rFonts w:ascii="Arial" w:hAnsi="Arial" w:cs="Arial"/>
          <w:lang w:val="en-US"/>
        </w:rPr>
        <w:t xml:space="preserve"> </w:t>
      </w:r>
      <w:proofErr w:type="spellStart"/>
      <w:r w:rsidRPr="00364B24">
        <w:rPr>
          <w:rFonts w:ascii="Arial" w:hAnsi="Arial" w:cs="Arial"/>
          <w:lang w:val="en-US"/>
        </w:rPr>
        <w:t>em</w:t>
      </w:r>
      <w:proofErr w:type="spellEnd"/>
      <w:r w:rsidRPr="00364B24">
        <w:rPr>
          <w:rFonts w:ascii="Arial" w:hAnsi="Arial" w:cs="Arial"/>
          <w:lang w:val="en-US"/>
        </w:rPr>
        <w:t>: 4 set. 2025.</w:t>
      </w:r>
    </w:p>
    <w:p w14:paraId="5EC2FDC3" w14:textId="77777777" w:rsidR="00816926" w:rsidRPr="00475253" w:rsidRDefault="00816926" w:rsidP="003E25EF">
      <w:pPr>
        <w:pStyle w:val="NormalWeb"/>
        <w:spacing w:before="0" w:beforeAutospacing="0" w:after="120" w:afterAutospacing="0"/>
        <w:ind w:left="360"/>
        <w:jc w:val="both"/>
        <w:rPr>
          <w:rStyle w:val="relative"/>
          <w:rFonts w:ascii="Arial" w:eastAsiaTheme="majorEastAsia" w:hAnsi="Arial" w:cs="Arial"/>
          <w:lang w:val="en-US"/>
        </w:rPr>
      </w:pPr>
      <w:r w:rsidRPr="00475253">
        <w:rPr>
          <w:rFonts w:ascii="Arial" w:hAnsi="Arial" w:cs="Arial"/>
          <w:lang w:val="en-US"/>
        </w:rPr>
        <w:t xml:space="preserve">HAUKIPURO, L.; VÄINÄMÖ, S.; VIRTA, V.; PERÄLÄ-HEAPE, M. </w:t>
      </w:r>
      <w:r w:rsidRPr="00475253">
        <w:rPr>
          <w:rStyle w:val="Forte"/>
          <w:rFonts w:ascii="Arial" w:hAnsi="Arial" w:cs="Arial"/>
          <w:b w:val="0"/>
          <w:bCs w:val="0"/>
          <w:lang w:val="en-US"/>
        </w:rPr>
        <w:t>Key aspects of establishing research, knowledge, and innovation-based hubs as part of the local innovation ecosystem</w:t>
      </w:r>
      <w:r w:rsidRPr="00475253">
        <w:rPr>
          <w:rFonts w:ascii="Arial" w:hAnsi="Arial" w:cs="Arial"/>
          <w:lang w:val="en-US"/>
        </w:rPr>
        <w:t xml:space="preserve">. </w:t>
      </w:r>
      <w:r w:rsidRPr="00475253">
        <w:rPr>
          <w:rStyle w:val="nfase"/>
          <w:rFonts w:ascii="Arial" w:hAnsi="Arial" w:cs="Arial"/>
          <w:b/>
          <w:bCs/>
          <w:lang w:val="en-US"/>
        </w:rPr>
        <w:t>R&amp;D Management</w:t>
      </w:r>
      <w:r w:rsidRPr="00475253">
        <w:rPr>
          <w:rFonts w:ascii="Arial" w:hAnsi="Arial" w:cs="Arial"/>
          <w:b/>
          <w:bCs/>
          <w:lang w:val="en-US"/>
        </w:rPr>
        <w:t>,</w:t>
      </w:r>
      <w:r w:rsidRPr="00475253">
        <w:rPr>
          <w:rFonts w:ascii="Arial" w:hAnsi="Arial" w:cs="Arial"/>
          <w:lang w:val="en-US"/>
        </w:rPr>
        <w:t xml:space="preserve"> v. 54, n. 2, p. 283-298, 2024. </w:t>
      </w:r>
    </w:p>
    <w:p w14:paraId="798E10F5" w14:textId="77777777" w:rsidR="00816926"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KAZAMA, Márcio. </w:t>
      </w:r>
      <w:r w:rsidRPr="00475253">
        <w:rPr>
          <w:rFonts w:ascii="Arial" w:hAnsi="Arial" w:cs="Arial"/>
          <w:b/>
          <w:bCs/>
        </w:rPr>
        <w:t>Cidades inteligentes: entraves tecnológicos ou desenvolvimento para a sociedade?</w:t>
      </w:r>
      <w:r w:rsidRPr="00475253">
        <w:rPr>
          <w:rFonts w:ascii="Arial" w:hAnsi="Arial" w:cs="Arial"/>
        </w:rPr>
        <w:t xml:space="preserve"> Estudo de caso Programa </w:t>
      </w:r>
      <w:proofErr w:type="spellStart"/>
      <w:r w:rsidRPr="00475253">
        <w:rPr>
          <w:rFonts w:ascii="Arial" w:hAnsi="Arial" w:cs="Arial"/>
        </w:rPr>
        <w:t>Sandbox</w:t>
      </w:r>
      <w:proofErr w:type="spellEnd"/>
      <w:r w:rsidRPr="00475253">
        <w:rPr>
          <w:rFonts w:ascii="Arial" w:hAnsi="Arial" w:cs="Arial"/>
        </w:rPr>
        <w:t xml:space="preserve"> Vila A Inteligente do município de Foz do Iguaçu-PR. 2023. 143 f. Dissertação (Mestrado em Desenvolvimento Regional e Agronegócio) - Universidade Estadual do Oeste do Paraná, Toledo, 2023.</w:t>
      </w:r>
    </w:p>
    <w:p w14:paraId="5A2D6F27"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lang w:val="en-US"/>
        </w:rPr>
        <w:t xml:space="preserve">KUMAR, S.; VERMA, A. K.; MIRZA, A. Digital revolution, artificial intelligence, and ethical challenges. In: </w:t>
      </w:r>
      <w:r w:rsidRPr="00475253">
        <w:rPr>
          <w:rFonts w:ascii="Arial" w:hAnsi="Arial" w:cs="Arial"/>
          <w:b/>
          <w:bCs/>
          <w:lang w:val="en-US"/>
        </w:rPr>
        <w:t>Digital transformation, artificial intelligence and society. Frontiers of Artificial Intelligence, Ethics and Multidisciplinary Applications</w:t>
      </w:r>
      <w:r w:rsidRPr="00475253">
        <w:rPr>
          <w:rFonts w:ascii="Arial" w:hAnsi="Arial" w:cs="Arial"/>
          <w:lang w:val="en-US"/>
        </w:rPr>
        <w:t xml:space="preserve">. </w:t>
      </w:r>
      <w:r w:rsidRPr="00475253">
        <w:rPr>
          <w:rFonts w:ascii="Arial" w:hAnsi="Arial" w:cs="Arial"/>
        </w:rPr>
        <w:t>Singapore: Springer, 2024. DOI: https://doi.org/10.1007/978-981-97-5656-8_11</w:t>
      </w:r>
    </w:p>
    <w:p w14:paraId="1C0E1797" w14:textId="77777777" w:rsidR="00816926" w:rsidRPr="00475253" w:rsidRDefault="00816926" w:rsidP="003E25EF">
      <w:pPr>
        <w:pStyle w:val="NormalWeb"/>
        <w:spacing w:before="0" w:beforeAutospacing="0" w:after="120" w:afterAutospacing="0"/>
        <w:ind w:left="360"/>
        <w:jc w:val="both"/>
        <w:rPr>
          <w:rFonts w:ascii="Arial" w:hAnsi="Arial" w:cs="Arial"/>
        </w:rPr>
      </w:pPr>
      <w:r w:rsidRPr="00CE3F30">
        <w:rPr>
          <w:rFonts w:ascii="Arial" w:hAnsi="Arial" w:cs="Arial"/>
          <w:lang w:val="en-US"/>
        </w:rPr>
        <w:t xml:space="preserve">LEYDESDORFF, </w:t>
      </w:r>
      <w:proofErr w:type="spellStart"/>
      <w:r w:rsidRPr="00CE3F30">
        <w:rPr>
          <w:rFonts w:ascii="Arial" w:hAnsi="Arial" w:cs="Arial"/>
          <w:lang w:val="en-US"/>
        </w:rPr>
        <w:t>Loet</w:t>
      </w:r>
      <w:proofErr w:type="spellEnd"/>
      <w:r w:rsidRPr="00CE3F30">
        <w:rPr>
          <w:rFonts w:ascii="Arial" w:hAnsi="Arial" w:cs="Arial"/>
          <w:lang w:val="en-US"/>
        </w:rPr>
        <w:t xml:space="preserve">; ETZKOWITZ, Henry. </w:t>
      </w:r>
      <w:r w:rsidRPr="00CE3F30">
        <w:rPr>
          <w:rFonts w:ascii="Arial" w:hAnsi="Arial" w:cs="Arial"/>
          <w:b/>
          <w:bCs/>
          <w:lang w:val="en-US"/>
        </w:rPr>
        <w:t xml:space="preserve">Triple Helix of innovation: introduction. </w:t>
      </w:r>
      <w:r w:rsidRPr="00CE3F30">
        <w:rPr>
          <w:rFonts w:ascii="Arial" w:hAnsi="Arial" w:cs="Arial"/>
          <w:b/>
          <w:bCs/>
        </w:rPr>
        <w:t xml:space="preserve">Science </w:t>
      </w:r>
      <w:proofErr w:type="spellStart"/>
      <w:r w:rsidRPr="00CE3F30">
        <w:rPr>
          <w:rFonts w:ascii="Arial" w:hAnsi="Arial" w:cs="Arial"/>
          <w:b/>
          <w:bCs/>
        </w:rPr>
        <w:t>and</w:t>
      </w:r>
      <w:proofErr w:type="spellEnd"/>
      <w:r w:rsidRPr="00CE3F30">
        <w:rPr>
          <w:rFonts w:ascii="Arial" w:hAnsi="Arial" w:cs="Arial"/>
          <w:b/>
          <w:bCs/>
        </w:rPr>
        <w:t xml:space="preserve"> </w:t>
      </w:r>
      <w:proofErr w:type="spellStart"/>
      <w:r w:rsidRPr="00CE3F30">
        <w:rPr>
          <w:rFonts w:ascii="Arial" w:hAnsi="Arial" w:cs="Arial"/>
          <w:b/>
          <w:bCs/>
        </w:rPr>
        <w:t>public</w:t>
      </w:r>
      <w:proofErr w:type="spellEnd"/>
      <w:r w:rsidRPr="00CE3F30">
        <w:rPr>
          <w:rFonts w:ascii="Arial" w:hAnsi="Arial" w:cs="Arial"/>
          <w:b/>
          <w:bCs/>
        </w:rPr>
        <w:t xml:space="preserve"> </w:t>
      </w:r>
      <w:proofErr w:type="spellStart"/>
      <w:r w:rsidRPr="00CE3F30">
        <w:rPr>
          <w:rFonts w:ascii="Arial" w:hAnsi="Arial" w:cs="Arial"/>
          <w:b/>
          <w:bCs/>
        </w:rPr>
        <w:t>policy</w:t>
      </w:r>
      <w:proofErr w:type="spellEnd"/>
      <w:r w:rsidRPr="00CE3F30">
        <w:rPr>
          <w:rFonts w:ascii="Arial" w:hAnsi="Arial" w:cs="Arial"/>
        </w:rPr>
        <w:t>, v. 25, n. 6, p. 358-364, 1998.</w:t>
      </w:r>
    </w:p>
    <w:p w14:paraId="63ABCF53"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lastRenderedPageBreak/>
        <w:t xml:space="preserve">LIMA, Edvaldo. </w:t>
      </w:r>
      <w:r w:rsidRPr="00475253">
        <w:rPr>
          <w:rFonts w:ascii="Arial" w:hAnsi="Arial" w:cs="Arial"/>
          <w:b/>
          <w:bCs/>
        </w:rPr>
        <w:t>A relação entre universidades e mercado produz os resultados esperados no Brasil?</w:t>
      </w:r>
      <w:r w:rsidRPr="00475253">
        <w:rPr>
          <w:rFonts w:ascii="Arial" w:hAnsi="Arial" w:cs="Arial"/>
        </w:rPr>
        <w:t xml:space="preserve"> – Parte 1. </w:t>
      </w:r>
      <w:proofErr w:type="spellStart"/>
      <w:r w:rsidRPr="00475253">
        <w:rPr>
          <w:rFonts w:ascii="Arial" w:hAnsi="Arial" w:cs="Arial"/>
        </w:rPr>
        <w:t>Elima</w:t>
      </w:r>
      <w:proofErr w:type="spellEnd"/>
      <w:r w:rsidRPr="00475253">
        <w:rPr>
          <w:rFonts w:ascii="Arial" w:hAnsi="Arial" w:cs="Arial"/>
        </w:rPr>
        <w:t xml:space="preserve"> Assessoria, 13 set. 2021. Disponível em: https://elima-assessoria.com.br/a-relacao-entre-universidades-e-mercado-produz-os-resultados-esperados-no-brasil-parte-1 Acesso em: 14 ago. 2025.</w:t>
      </w:r>
    </w:p>
    <w:p w14:paraId="513D8A54"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lang w:val="en-US"/>
        </w:rPr>
        <w:t xml:space="preserve">MAGAZINE, </w:t>
      </w:r>
      <w:proofErr w:type="spellStart"/>
      <w:r w:rsidRPr="00475253">
        <w:rPr>
          <w:rFonts w:ascii="Arial" w:hAnsi="Arial" w:cs="Arial"/>
          <w:lang w:val="en-US"/>
        </w:rPr>
        <w:t>CommonWealth</w:t>
      </w:r>
      <w:proofErr w:type="spellEnd"/>
      <w:r w:rsidRPr="00475253">
        <w:rPr>
          <w:rFonts w:ascii="Arial" w:hAnsi="Arial" w:cs="Arial"/>
          <w:lang w:val="en-US"/>
        </w:rPr>
        <w:t xml:space="preserve">. Asia New Bay Area: Taiwan’s smart innovation hub attracts global tech players. </w:t>
      </w:r>
      <w:proofErr w:type="spellStart"/>
      <w:r w:rsidRPr="00475253">
        <w:rPr>
          <w:rStyle w:val="nfase"/>
          <w:rFonts w:ascii="Arial" w:hAnsi="Arial" w:cs="Arial"/>
          <w:b/>
          <w:bCs/>
          <w:i w:val="0"/>
          <w:iCs w:val="0"/>
        </w:rPr>
        <w:t>CommonWealth</w:t>
      </w:r>
      <w:proofErr w:type="spellEnd"/>
      <w:r w:rsidRPr="00475253">
        <w:rPr>
          <w:rStyle w:val="nfase"/>
          <w:rFonts w:ascii="Arial" w:hAnsi="Arial" w:cs="Arial"/>
          <w:b/>
          <w:bCs/>
          <w:i w:val="0"/>
          <w:iCs w:val="0"/>
        </w:rPr>
        <w:t xml:space="preserve"> Magazine</w:t>
      </w:r>
      <w:r w:rsidRPr="00475253">
        <w:rPr>
          <w:rFonts w:ascii="Arial" w:hAnsi="Arial" w:cs="Arial"/>
        </w:rPr>
        <w:t>, Taiwan, 2024. Disponível em: https://english.cw.com.tw. Acesso em: 13 jun. 2025.</w:t>
      </w:r>
    </w:p>
    <w:p w14:paraId="40F096ED"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475253">
        <w:rPr>
          <w:rFonts w:ascii="Arial" w:hAnsi="Arial" w:cs="Arial"/>
          <w:lang w:val="en-US"/>
        </w:rPr>
        <w:t xml:space="preserve">MAITI, </w:t>
      </w:r>
      <w:proofErr w:type="spellStart"/>
      <w:r w:rsidRPr="00475253">
        <w:rPr>
          <w:rFonts w:ascii="Arial" w:hAnsi="Arial" w:cs="Arial"/>
          <w:lang w:val="en-US"/>
        </w:rPr>
        <w:t>Moinak</w:t>
      </w:r>
      <w:proofErr w:type="spellEnd"/>
      <w:r w:rsidRPr="00475253">
        <w:rPr>
          <w:rFonts w:ascii="Arial" w:hAnsi="Arial" w:cs="Arial"/>
          <w:lang w:val="en-US"/>
        </w:rPr>
        <w:t xml:space="preserve">; KAYAL, </w:t>
      </w:r>
      <w:proofErr w:type="spellStart"/>
      <w:r w:rsidRPr="00475253">
        <w:rPr>
          <w:rFonts w:ascii="Arial" w:hAnsi="Arial" w:cs="Arial"/>
          <w:lang w:val="en-US"/>
        </w:rPr>
        <w:t>Parthajit</w:t>
      </w:r>
      <w:proofErr w:type="spellEnd"/>
      <w:r w:rsidRPr="00475253">
        <w:rPr>
          <w:rFonts w:ascii="Arial" w:hAnsi="Arial" w:cs="Arial"/>
          <w:lang w:val="en-US"/>
        </w:rPr>
        <w:t xml:space="preserve">; VUJKO, Aleksandra. A study on ethical implications of artificial intelligence adoption in business: challenges and best practices. </w:t>
      </w:r>
      <w:r w:rsidRPr="00475253">
        <w:rPr>
          <w:rFonts w:ascii="Arial" w:hAnsi="Arial" w:cs="Arial"/>
          <w:b/>
          <w:bCs/>
          <w:lang w:val="en-US"/>
        </w:rPr>
        <w:t>Future Business Journal</w:t>
      </w:r>
      <w:r w:rsidRPr="00475253">
        <w:rPr>
          <w:rFonts w:ascii="Arial" w:hAnsi="Arial" w:cs="Arial"/>
          <w:lang w:val="en-US"/>
        </w:rPr>
        <w:t xml:space="preserve">, v. 11, n. 34, p. 1-22, 2025. </w:t>
      </w:r>
      <w:proofErr w:type="spellStart"/>
      <w:r w:rsidRPr="00475253">
        <w:rPr>
          <w:rFonts w:ascii="Arial" w:hAnsi="Arial" w:cs="Arial"/>
          <w:lang w:val="en-US"/>
        </w:rPr>
        <w:t>SpringerOpen</w:t>
      </w:r>
      <w:proofErr w:type="spellEnd"/>
      <w:r w:rsidRPr="00475253">
        <w:rPr>
          <w:rFonts w:ascii="Arial" w:hAnsi="Arial" w:cs="Arial"/>
          <w:lang w:val="en-US"/>
        </w:rPr>
        <w:t>. DOI: https://doi.org/10.1186/s43093-025-00462-5</w:t>
      </w:r>
    </w:p>
    <w:p w14:paraId="68DAD6D7"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rPr>
        <w:t xml:space="preserve">MENEGHETTI, Fabio </w:t>
      </w:r>
      <w:proofErr w:type="spellStart"/>
      <w:r w:rsidRPr="00475253">
        <w:rPr>
          <w:rFonts w:ascii="Arial" w:hAnsi="Arial" w:cs="Arial"/>
        </w:rPr>
        <w:t>Koiti</w:t>
      </w:r>
      <w:proofErr w:type="spellEnd"/>
      <w:r w:rsidRPr="00475253">
        <w:rPr>
          <w:rFonts w:ascii="Arial" w:hAnsi="Arial" w:cs="Arial"/>
        </w:rPr>
        <w:t xml:space="preserve">. O que é um ensaio teórico? </w:t>
      </w:r>
      <w:r w:rsidRPr="00475253">
        <w:rPr>
          <w:rFonts w:ascii="Arial" w:hAnsi="Arial" w:cs="Arial"/>
          <w:b/>
          <w:bCs/>
        </w:rPr>
        <w:t>Revista de Administração Contemporânea</w:t>
      </w:r>
      <w:r w:rsidRPr="00475253">
        <w:rPr>
          <w:rFonts w:ascii="Arial" w:hAnsi="Arial" w:cs="Arial"/>
        </w:rPr>
        <w:t>, v. 15, n. 2, p. 320–332, 2011</w:t>
      </w:r>
      <w:r w:rsidRPr="00475253">
        <w:rPr>
          <w:rFonts w:ascii="Arial" w:hAnsi="Arial" w:cs="Arial"/>
        </w:rPr>
        <w:t>.</w:t>
      </w:r>
    </w:p>
    <w:p w14:paraId="2E70E0A8" w14:textId="77777777" w:rsidR="00816926" w:rsidRPr="00475253" w:rsidRDefault="00816926" w:rsidP="003E25EF">
      <w:pPr>
        <w:pStyle w:val="NormalWeb"/>
        <w:spacing w:before="0" w:beforeAutospacing="0" w:after="120" w:afterAutospacing="0"/>
        <w:ind w:left="360"/>
        <w:jc w:val="both"/>
        <w:rPr>
          <w:rFonts w:ascii="Arial" w:hAnsi="Arial" w:cs="Arial"/>
          <w:lang w:val="en-US"/>
        </w:rPr>
      </w:pPr>
      <w:r w:rsidRPr="00816926">
        <w:rPr>
          <w:rFonts w:ascii="Arial" w:hAnsi="Arial" w:cs="Arial"/>
        </w:rPr>
        <w:t xml:space="preserve">NOBRE, Ismael; NOBRE, Carlos. Projeto “Amazônia 4.0”. </w:t>
      </w:r>
      <w:proofErr w:type="spellStart"/>
      <w:r w:rsidRPr="00816926">
        <w:rPr>
          <w:rFonts w:ascii="Arial" w:hAnsi="Arial" w:cs="Arial"/>
          <w:b/>
          <w:bCs/>
          <w:lang w:val="en-US"/>
        </w:rPr>
        <w:t>Futuribles</w:t>
      </w:r>
      <w:proofErr w:type="spellEnd"/>
      <w:r w:rsidRPr="00816926">
        <w:rPr>
          <w:rFonts w:ascii="Arial" w:hAnsi="Arial" w:cs="Arial"/>
          <w:lang w:val="en-US"/>
        </w:rPr>
        <w:t>, v. 2, n. PT2, p. 7-20, 2019.</w:t>
      </w:r>
    </w:p>
    <w:p w14:paraId="3B674BBF" w14:textId="77777777" w:rsidR="00816926" w:rsidRPr="00475253" w:rsidRDefault="00816926" w:rsidP="003E25EF">
      <w:pPr>
        <w:pStyle w:val="NormalWeb"/>
        <w:spacing w:before="0" w:beforeAutospacing="0" w:after="120" w:afterAutospacing="0"/>
        <w:ind w:left="360"/>
        <w:jc w:val="both"/>
        <w:rPr>
          <w:rStyle w:val="relative"/>
          <w:rFonts w:ascii="Arial" w:eastAsiaTheme="majorEastAsia" w:hAnsi="Arial" w:cs="Arial"/>
          <w:lang w:val="en-US"/>
        </w:rPr>
      </w:pPr>
      <w:r w:rsidRPr="00475253">
        <w:rPr>
          <w:rFonts w:ascii="Arial" w:hAnsi="Arial" w:cs="Arial"/>
          <w:lang w:val="en-US"/>
        </w:rPr>
        <w:t xml:space="preserve">PIMENOW, S.; PIMENOWA, O.; PRUS, P.; NIKLAS, A. </w:t>
      </w:r>
      <w:r w:rsidRPr="00475253">
        <w:rPr>
          <w:rStyle w:val="Forte"/>
          <w:rFonts w:ascii="Arial" w:hAnsi="Arial" w:cs="Arial"/>
          <w:b w:val="0"/>
          <w:bCs w:val="0"/>
          <w:lang w:val="en-US"/>
        </w:rPr>
        <w:t>The impact of artificial intelligence on the sustainability of regional ecosystems: Current challenges and future prospects</w:t>
      </w:r>
      <w:r w:rsidRPr="00475253">
        <w:rPr>
          <w:rFonts w:ascii="Arial" w:hAnsi="Arial" w:cs="Arial"/>
          <w:b/>
          <w:bCs/>
          <w:lang w:val="en-US"/>
        </w:rPr>
        <w:t>.</w:t>
      </w:r>
      <w:r w:rsidRPr="00475253">
        <w:rPr>
          <w:rFonts w:ascii="Arial" w:hAnsi="Arial" w:cs="Arial"/>
          <w:lang w:val="en-US"/>
        </w:rPr>
        <w:t xml:space="preserve"> </w:t>
      </w:r>
      <w:r w:rsidRPr="00475253">
        <w:rPr>
          <w:rStyle w:val="nfase"/>
          <w:rFonts w:ascii="Arial" w:hAnsi="Arial" w:cs="Arial"/>
          <w:b/>
          <w:bCs/>
          <w:lang w:val="en-US"/>
        </w:rPr>
        <w:t>Sustainability</w:t>
      </w:r>
      <w:r w:rsidRPr="00475253">
        <w:rPr>
          <w:rFonts w:ascii="Arial" w:hAnsi="Arial" w:cs="Arial"/>
          <w:b/>
          <w:bCs/>
          <w:lang w:val="en-US"/>
        </w:rPr>
        <w:t xml:space="preserve">, </w:t>
      </w:r>
      <w:r w:rsidRPr="00475253">
        <w:rPr>
          <w:rFonts w:ascii="Arial" w:hAnsi="Arial" w:cs="Arial"/>
          <w:lang w:val="en-US"/>
        </w:rPr>
        <w:t xml:space="preserve">v. 17, n. 4795, p. 1-42, 2025. </w:t>
      </w:r>
    </w:p>
    <w:p w14:paraId="04D1B981" w14:textId="77777777" w:rsidR="00816926" w:rsidRPr="00475253" w:rsidRDefault="00816926" w:rsidP="003E25EF">
      <w:pPr>
        <w:pStyle w:val="NormalWeb"/>
        <w:spacing w:before="0" w:beforeAutospacing="0" w:after="120" w:afterAutospacing="0"/>
        <w:ind w:left="360"/>
        <w:jc w:val="both"/>
        <w:rPr>
          <w:rFonts w:ascii="Arial" w:hAnsi="Arial" w:cs="Arial"/>
        </w:rPr>
      </w:pPr>
      <w:r w:rsidRPr="00475253">
        <w:rPr>
          <w:rFonts w:ascii="Arial" w:hAnsi="Arial" w:cs="Arial"/>
          <w:lang w:val="en-US"/>
        </w:rPr>
        <w:t xml:space="preserve">SEEDSPRINT. Innovation districts: Barcelona’s 22@ transforms industrial areas into innovation hubs. </w:t>
      </w:r>
      <w:proofErr w:type="spellStart"/>
      <w:r w:rsidRPr="00475253">
        <w:rPr>
          <w:rStyle w:val="nfase"/>
          <w:rFonts w:ascii="Arial" w:hAnsi="Arial" w:cs="Arial"/>
          <w:b/>
          <w:bCs/>
          <w:i w:val="0"/>
          <w:iCs w:val="0"/>
        </w:rPr>
        <w:t>SeedSprint</w:t>
      </w:r>
      <w:proofErr w:type="spellEnd"/>
      <w:r w:rsidRPr="00475253">
        <w:rPr>
          <w:rStyle w:val="nfase"/>
          <w:rFonts w:ascii="Arial" w:hAnsi="Arial" w:cs="Arial"/>
          <w:b/>
          <w:bCs/>
          <w:i w:val="0"/>
          <w:iCs w:val="0"/>
        </w:rPr>
        <w:t xml:space="preserve"> Blog</w:t>
      </w:r>
      <w:r w:rsidRPr="00475253">
        <w:rPr>
          <w:rFonts w:ascii="Arial" w:hAnsi="Arial" w:cs="Arial"/>
        </w:rPr>
        <w:t>, Barcelona, 2021. Disponível em: https://seedsprint.com. Acesso em: 13 ago. 2025.</w:t>
      </w:r>
    </w:p>
    <w:p w14:paraId="7CC6388A" w14:textId="77777777" w:rsidR="00816926" w:rsidRDefault="00816926" w:rsidP="003E25EF">
      <w:pPr>
        <w:pStyle w:val="NormalWeb"/>
        <w:spacing w:before="0" w:beforeAutospacing="0" w:after="120" w:afterAutospacing="0"/>
        <w:ind w:left="360"/>
        <w:jc w:val="both"/>
        <w:rPr>
          <w:rFonts w:ascii="Arial" w:hAnsi="Arial" w:cs="Arial"/>
          <w:lang w:val="en-US"/>
        </w:rPr>
      </w:pPr>
      <w:r w:rsidRPr="00475253">
        <w:rPr>
          <w:rFonts w:ascii="Arial" w:hAnsi="Arial" w:cs="Arial"/>
          <w:lang w:val="en-US"/>
        </w:rPr>
        <w:t xml:space="preserve">STATION F. Campus metrics and programs. </w:t>
      </w:r>
      <w:r w:rsidRPr="00475253">
        <w:rPr>
          <w:rStyle w:val="nfase"/>
          <w:rFonts w:ascii="Arial" w:hAnsi="Arial" w:cs="Arial"/>
          <w:b/>
          <w:bCs/>
          <w:i w:val="0"/>
          <w:iCs w:val="0"/>
          <w:lang w:val="en-US"/>
        </w:rPr>
        <w:t>Station F – Institutional Website</w:t>
      </w:r>
      <w:r w:rsidRPr="00475253">
        <w:rPr>
          <w:rFonts w:ascii="Arial" w:hAnsi="Arial" w:cs="Arial"/>
          <w:lang w:val="en-US"/>
        </w:rPr>
        <w:t xml:space="preserve">, Paris, 2024. </w:t>
      </w:r>
      <w:proofErr w:type="spellStart"/>
      <w:r w:rsidRPr="00475253">
        <w:rPr>
          <w:rFonts w:ascii="Arial" w:hAnsi="Arial" w:cs="Arial"/>
          <w:lang w:val="en-US"/>
        </w:rPr>
        <w:t>Disponível</w:t>
      </w:r>
      <w:proofErr w:type="spellEnd"/>
      <w:r w:rsidRPr="00475253">
        <w:rPr>
          <w:rFonts w:ascii="Arial" w:hAnsi="Arial" w:cs="Arial"/>
          <w:lang w:val="en-US"/>
        </w:rPr>
        <w:t xml:space="preserve"> </w:t>
      </w:r>
      <w:proofErr w:type="spellStart"/>
      <w:r w:rsidRPr="00475253">
        <w:rPr>
          <w:rFonts w:ascii="Arial" w:hAnsi="Arial" w:cs="Arial"/>
          <w:lang w:val="en-US"/>
        </w:rPr>
        <w:t>em</w:t>
      </w:r>
      <w:proofErr w:type="spellEnd"/>
      <w:r w:rsidRPr="00475253">
        <w:rPr>
          <w:rFonts w:ascii="Arial" w:hAnsi="Arial" w:cs="Arial"/>
          <w:lang w:val="en-US"/>
        </w:rPr>
        <w:t xml:space="preserve">: https://stationf.co. </w:t>
      </w:r>
      <w:proofErr w:type="spellStart"/>
      <w:r w:rsidRPr="00475253">
        <w:rPr>
          <w:rFonts w:ascii="Arial" w:hAnsi="Arial" w:cs="Arial"/>
          <w:lang w:val="en-US"/>
        </w:rPr>
        <w:t>Acesso</w:t>
      </w:r>
      <w:proofErr w:type="spellEnd"/>
      <w:r w:rsidRPr="00475253">
        <w:rPr>
          <w:rFonts w:ascii="Arial" w:hAnsi="Arial" w:cs="Arial"/>
          <w:lang w:val="en-US"/>
        </w:rPr>
        <w:t xml:space="preserve"> </w:t>
      </w:r>
      <w:proofErr w:type="spellStart"/>
      <w:r w:rsidRPr="00475253">
        <w:rPr>
          <w:rFonts w:ascii="Arial" w:hAnsi="Arial" w:cs="Arial"/>
          <w:lang w:val="en-US"/>
        </w:rPr>
        <w:t>em</w:t>
      </w:r>
      <w:proofErr w:type="spellEnd"/>
      <w:r w:rsidRPr="00475253">
        <w:rPr>
          <w:rFonts w:ascii="Arial" w:hAnsi="Arial" w:cs="Arial"/>
          <w:lang w:val="en-US"/>
        </w:rPr>
        <w:t>: 13 set. 2025.</w:t>
      </w:r>
    </w:p>
    <w:p w14:paraId="5B740C8E" w14:textId="77777777" w:rsidR="00816926" w:rsidRDefault="00816926" w:rsidP="003E25EF">
      <w:pPr>
        <w:pStyle w:val="NormalWeb"/>
        <w:spacing w:before="0" w:beforeAutospacing="0" w:after="120" w:afterAutospacing="0"/>
        <w:ind w:left="360"/>
        <w:jc w:val="both"/>
        <w:rPr>
          <w:rFonts w:ascii="Arial" w:hAnsi="Arial" w:cs="Arial"/>
          <w:lang w:val="en-US"/>
        </w:rPr>
      </w:pPr>
      <w:r w:rsidRPr="00475253">
        <w:rPr>
          <w:rFonts w:ascii="Arial" w:hAnsi="Arial" w:cs="Arial"/>
          <w:lang w:val="en-US"/>
        </w:rPr>
        <w:t xml:space="preserve">SUNDARAM, S. S.; ALI, A.; KUMAR, K. </w:t>
      </w:r>
      <w:r w:rsidRPr="00475253">
        <w:rPr>
          <w:rStyle w:val="Forte"/>
          <w:rFonts w:ascii="Arial" w:hAnsi="Arial" w:cs="Arial"/>
          <w:b w:val="0"/>
          <w:bCs w:val="0"/>
          <w:lang w:val="en-US"/>
        </w:rPr>
        <w:t>Entrepreneurship education: Insights into learning approaches and impact on entrepreneurial intentions</w:t>
      </w:r>
      <w:r w:rsidRPr="00475253">
        <w:rPr>
          <w:rFonts w:ascii="Arial" w:hAnsi="Arial" w:cs="Arial"/>
          <w:b/>
          <w:bCs/>
          <w:lang w:val="en-US"/>
        </w:rPr>
        <w:t>.</w:t>
      </w:r>
      <w:r w:rsidRPr="00475253">
        <w:rPr>
          <w:rFonts w:ascii="Arial" w:hAnsi="Arial" w:cs="Arial"/>
          <w:lang w:val="en-US"/>
        </w:rPr>
        <w:t xml:space="preserve"> </w:t>
      </w:r>
      <w:r w:rsidRPr="00475253">
        <w:rPr>
          <w:rStyle w:val="nfase"/>
          <w:rFonts w:ascii="Arial" w:hAnsi="Arial" w:cs="Arial"/>
          <w:b/>
          <w:bCs/>
          <w:i w:val="0"/>
          <w:iCs w:val="0"/>
          <w:lang w:val="en-US"/>
        </w:rPr>
        <w:t>Journal of Entrepreneurship in Emerging Economies</w:t>
      </w:r>
      <w:r w:rsidRPr="00475253">
        <w:rPr>
          <w:rFonts w:ascii="Arial" w:hAnsi="Arial" w:cs="Arial"/>
          <w:b/>
          <w:bCs/>
          <w:i/>
          <w:iCs/>
          <w:lang w:val="en-US"/>
        </w:rPr>
        <w:t>,</w:t>
      </w:r>
      <w:r w:rsidRPr="00475253">
        <w:rPr>
          <w:rFonts w:ascii="Arial" w:hAnsi="Arial" w:cs="Arial"/>
          <w:lang w:val="en-US"/>
        </w:rPr>
        <w:t xml:space="preserve"> v. 14, n. 2, p. 231-250, 2022. </w:t>
      </w:r>
    </w:p>
    <w:p w14:paraId="0E127855" w14:textId="77777777" w:rsidR="00816926" w:rsidRPr="00475253" w:rsidRDefault="00816926" w:rsidP="003E25EF">
      <w:pPr>
        <w:pStyle w:val="NormalWeb"/>
        <w:spacing w:before="0" w:beforeAutospacing="0" w:after="120" w:afterAutospacing="0"/>
        <w:ind w:left="360"/>
        <w:jc w:val="both"/>
        <w:rPr>
          <w:rFonts w:cs="Arial"/>
          <w:b/>
          <w:bCs/>
        </w:rPr>
      </w:pPr>
      <w:r w:rsidRPr="00475253">
        <w:rPr>
          <w:rFonts w:ascii="Arial" w:hAnsi="Arial" w:cs="Arial"/>
          <w:lang w:val="en-US"/>
        </w:rPr>
        <w:t xml:space="preserve">XIAO, Yu.; WATSON, Maria. Guidance on conducting a narrative literature review. </w:t>
      </w:r>
      <w:r w:rsidRPr="00475253">
        <w:rPr>
          <w:rFonts w:ascii="Arial" w:hAnsi="Arial" w:cs="Arial"/>
          <w:b/>
          <w:bCs/>
          <w:lang w:val="en-US"/>
        </w:rPr>
        <w:t>Journal of Planning Education and Research</w:t>
      </w:r>
      <w:r w:rsidRPr="00475253">
        <w:rPr>
          <w:rFonts w:ascii="Arial" w:hAnsi="Arial" w:cs="Arial"/>
          <w:lang w:val="en-US"/>
        </w:rPr>
        <w:t>, v. 39, n. 1, p. 93–112, 2019.</w:t>
      </w:r>
    </w:p>
    <w:sectPr w:rsidR="00816926" w:rsidRPr="00475253" w:rsidSect="0041192D">
      <w:headerReference w:type="default" r:id="rId10"/>
      <w:footerReference w:type="default" r:id="rId11"/>
      <w:pgSz w:w="11906" w:h="16838" w:code="9"/>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48390" w14:textId="77777777" w:rsidR="00D70619" w:rsidRDefault="00D70619" w:rsidP="005753F9">
      <w:pPr>
        <w:spacing w:after="0" w:line="240" w:lineRule="auto"/>
      </w:pPr>
      <w:r>
        <w:separator/>
      </w:r>
    </w:p>
  </w:endnote>
  <w:endnote w:type="continuationSeparator" w:id="0">
    <w:p w14:paraId="74A4B4F2" w14:textId="77777777" w:rsidR="00D70619" w:rsidRDefault="00D70619" w:rsidP="0057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818483"/>
      <w:docPartObj>
        <w:docPartGallery w:val="Page Numbers (Bottom of Page)"/>
        <w:docPartUnique/>
      </w:docPartObj>
    </w:sdtPr>
    <w:sdtEndPr/>
    <w:sdtContent>
      <w:p w14:paraId="6B2033D4" w14:textId="0DEA9914" w:rsidR="007F7EE9" w:rsidRDefault="007F7EE9">
        <w:pPr>
          <w:pStyle w:val="Rodap"/>
          <w:jc w:val="center"/>
        </w:pPr>
        <w:r>
          <w:fldChar w:fldCharType="begin"/>
        </w:r>
        <w:r>
          <w:instrText>PAGE   \* MERGEFORMAT</w:instrText>
        </w:r>
        <w:r>
          <w:fldChar w:fldCharType="separate"/>
        </w:r>
        <w:r>
          <w:rPr>
            <w:lang w:val="pt-BR"/>
          </w:rPr>
          <w:t>2</w:t>
        </w:r>
        <w:r>
          <w:fldChar w:fldCharType="end"/>
        </w:r>
      </w:p>
    </w:sdtContent>
  </w:sdt>
  <w:p w14:paraId="0D0FA162" w14:textId="77777777" w:rsidR="007F7EE9" w:rsidRDefault="007F7EE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D241A" w14:textId="77777777" w:rsidR="00D70619" w:rsidRDefault="00D70619" w:rsidP="005753F9">
      <w:pPr>
        <w:spacing w:after="0" w:line="240" w:lineRule="auto"/>
      </w:pPr>
      <w:r>
        <w:separator/>
      </w:r>
    </w:p>
  </w:footnote>
  <w:footnote w:type="continuationSeparator" w:id="0">
    <w:p w14:paraId="665D6819" w14:textId="77777777" w:rsidR="00D70619" w:rsidRDefault="00D70619" w:rsidP="00575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C607" w14:textId="5F153166" w:rsidR="005753F9" w:rsidRDefault="002C6613" w:rsidP="005753F9">
    <w:pPr>
      <w:pStyle w:val="Cabealho"/>
      <w:tabs>
        <w:tab w:val="clear" w:pos="4680"/>
        <w:tab w:val="clear" w:pos="9360"/>
        <w:tab w:val="left" w:pos="2692"/>
      </w:tabs>
    </w:pPr>
    <w:r>
      <w:rPr>
        <w:noProof/>
      </w:rPr>
      <w:drawing>
        <wp:anchor distT="0" distB="0" distL="114300" distR="114300" simplePos="0" relativeHeight="251658240" behindDoc="1" locked="0" layoutInCell="1" allowOverlap="1" wp14:anchorId="4B1507F2" wp14:editId="6A4134FB">
          <wp:simplePos x="0" y="0"/>
          <wp:positionH relativeFrom="column">
            <wp:posOffset>-1261883</wp:posOffset>
          </wp:positionH>
          <wp:positionV relativeFrom="paragraph">
            <wp:posOffset>-639445</wp:posOffset>
          </wp:positionV>
          <wp:extent cx="7784327" cy="11008271"/>
          <wp:effectExtent l="0" t="0" r="762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stretch>
                    <a:fillRect/>
                  </a:stretch>
                </pic:blipFill>
                <pic:spPr>
                  <a:xfrm>
                    <a:off x="0" y="0"/>
                    <a:ext cx="7784327" cy="11008271"/>
                  </a:xfrm>
                  <a:prstGeom prst="rect">
                    <a:avLst/>
                  </a:prstGeom>
                </pic:spPr>
              </pic:pic>
            </a:graphicData>
          </a:graphic>
          <wp14:sizeRelH relativeFrom="margin">
            <wp14:pctWidth>0</wp14:pctWidth>
          </wp14:sizeRelH>
          <wp14:sizeRelV relativeFrom="margin">
            <wp14:pctHeight>0</wp14:pctHeight>
          </wp14:sizeRelV>
        </wp:anchor>
      </w:drawing>
    </w:r>
    <w:r w:rsidR="005753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abstractNum w:abstractNumId="9" w15:restartNumberingAfterBreak="0">
    <w:nsid w:val="014B3988"/>
    <w:multiLevelType w:val="multilevel"/>
    <w:tmpl w:val="D3225A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B45299"/>
    <w:multiLevelType w:val="multilevel"/>
    <w:tmpl w:val="737E11C0"/>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080" w:hanging="1800"/>
      </w:pPr>
      <w:rPr>
        <w:rFonts w:hint="default"/>
      </w:rPr>
    </w:lvl>
  </w:abstractNum>
  <w:abstractNum w:abstractNumId="11" w15:restartNumberingAfterBreak="0">
    <w:nsid w:val="0BC82732"/>
    <w:multiLevelType w:val="hybridMultilevel"/>
    <w:tmpl w:val="D57CB500"/>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11F4633D"/>
    <w:multiLevelType w:val="hybridMultilevel"/>
    <w:tmpl w:val="E9E49414"/>
    <w:lvl w:ilvl="0" w:tplc="D368FAAC">
      <w:start w:val="2"/>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1B682AB4"/>
    <w:multiLevelType w:val="hybridMultilevel"/>
    <w:tmpl w:val="E4A29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06C138C"/>
    <w:multiLevelType w:val="hybridMultilevel"/>
    <w:tmpl w:val="261081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23E66D69"/>
    <w:multiLevelType w:val="multilevel"/>
    <w:tmpl w:val="69BA8B3E"/>
    <w:lvl w:ilvl="0">
      <w:start w:val="2"/>
      <w:numFmt w:val="decimal"/>
      <w:lvlText w:val="%1."/>
      <w:lvlJc w:val="left"/>
      <w:pPr>
        <w:ind w:left="390" w:hanging="39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15:restartNumberingAfterBreak="0">
    <w:nsid w:val="24ED46E1"/>
    <w:multiLevelType w:val="multilevel"/>
    <w:tmpl w:val="EAA694D2"/>
    <w:lvl w:ilvl="0">
      <w:start w:val="2"/>
      <w:numFmt w:val="decimal"/>
      <w:lvlText w:val="%1."/>
      <w:lvlJc w:val="left"/>
      <w:pPr>
        <w:ind w:left="525" w:hanging="525"/>
      </w:pPr>
      <w:rPr>
        <w:rFonts w:hint="default"/>
        <w:b/>
      </w:rPr>
    </w:lvl>
    <w:lvl w:ilvl="1">
      <w:start w:val="2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7" w15:restartNumberingAfterBreak="0">
    <w:nsid w:val="28422C5D"/>
    <w:multiLevelType w:val="multilevel"/>
    <w:tmpl w:val="6C661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E1CA9"/>
    <w:multiLevelType w:val="hybridMultilevel"/>
    <w:tmpl w:val="31DE5962"/>
    <w:lvl w:ilvl="0" w:tplc="D368FAAC">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2827532"/>
    <w:multiLevelType w:val="multilevel"/>
    <w:tmpl w:val="6C661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F8597C"/>
    <w:multiLevelType w:val="multilevel"/>
    <w:tmpl w:val="D3225A6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C31607C"/>
    <w:multiLevelType w:val="hybridMultilevel"/>
    <w:tmpl w:val="DCDEEEF4"/>
    <w:lvl w:ilvl="0" w:tplc="BC28C544">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033A3A"/>
    <w:multiLevelType w:val="multilevel"/>
    <w:tmpl w:val="E4808EDE"/>
    <w:lvl w:ilvl="0">
      <w:start w:val="2"/>
      <w:numFmt w:val="decimal"/>
      <w:lvlText w:val="%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8D20E0"/>
    <w:multiLevelType w:val="multilevel"/>
    <w:tmpl w:val="D3225A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A0BD7"/>
    <w:multiLevelType w:val="multilevel"/>
    <w:tmpl w:val="D3225A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0A1C2B"/>
    <w:multiLevelType w:val="multilevel"/>
    <w:tmpl w:val="A5705F22"/>
    <w:lvl w:ilvl="0">
      <w:start w:val="2"/>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6" w15:restartNumberingAfterBreak="0">
    <w:nsid w:val="6538696D"/>
    <w:multiLevelType w:val="multilevel"/>
    <w:tmpl w:val="E4808EDE"/>
    <w:lvl w:ilvl="0">
      <w:start w:val="2"/>
      <w:numFmt w:val="decimal"/>
      <w:lvlText w:val="%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790E26"/>
    <w:multiLevelType w:val="hybridMultilevel"/>
    <w:tmpl w:val="D0640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CEB54D5"/>
    <w:multiLevelType w:val="hybridMultilevel"/>
    <w:tmpl w:val="93B88B8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71092DE1"/>
    <w:multiLevelType w:val="hybridMultilevel"/>
    <w:tmpl w:val="9F4A456E"/>
    <w:lvl w:ilvl="0" w:tplc="BC28C544">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5A45710"/>
    <w:multiLevelType w:val="hybridMultilevel"/>
    <w:tmpl w:val="A4641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D9766FB"/>
    <w:multiLevelType w:val="multilevel"/>
    <w:tmpl w:val="0DA2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FD23CB"/>
    <w:multiLevelType w:val="hybridMultilevel"/>
    <w:tmpl w:val="668C824C"/>
    <w:lvl w:ilvl="0" w:tplc="BC28C544">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32"/>
  </w:num>
  <w:num w:numId="12">
    <w:abstractNumId w:val="29"/>
  </w:num>
  <w:num w:numId="13">
    <w:abstractNumId w:val="21"/>
  </w:num>
  <w:num w:numId="14">
    <w:abstractNumId w:val="17"/>
  </w:num>
  <w:num w:numId="15">
    <w:abstractNumId w:val="10"/>
  </w:num>
  <w:num w:numId="16">
    <w:abstractNumId w:val="11"/>
  </w:num>
  <w:num w:numId="17">
    <w:abstractNumId w:val="16"/>
  </w:num>
  <w:num w:numId="18">
    <w:abstractNumId w:val="25"/>
  </w:num>
  <w:num w:numId="19">
    <w:abstractNumId w:val="15"/>
  </w:num>
  <w:num w:numId="20">
    <w:abstractNumId w:val="27"/>
  </w:num>
  <w:num w:numId="21">
    <w:abstractNumId w:val="28"/>
  </w:num>
  <w:num w:numId="22">
    <w:abstractNumId w:val="14"/>
  </w:num>
  <w:num w:numId="23">
    <w:abstractNumId w:val="19"/>
  </w:num>
  <w:num w:numId="24">
    <w:abstractNumId w:val="31"/>
  </w:num>
  <w:num w:numId="25">
    <w:abstractNumId w:val="30"/>
  </w:num>
  <w:num w:numId="26">
    <w:abstractNumId w:val="24"/>
  </w:num>
  <w:num w:numId="27">
    <w:abstractNumId w:val="20"/>
  </w:num>
  <w:num w:numId="28">
    <w:abstractNumId w:val="18"/>
  </w:num>
  <w:num w:numId="29">
    <w:abstractNumId w:val="23"/>
  </w:num>
  <w:num w:numId="30">
    <w:abstractNumId w:val="12"/>
  </w:num>
  <w:num w:numId="31">
    <w:abstractNumId w:val="9"/>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B46"/>
    <w:rsid w:val="00033340"/>
    <w:rsid w:val="00034616"/>
    <w:rsid w:val="00057029"/>
    <w:rsid w:val="0006063C"/>
    <w:rsid w:val="00075E27"/>
    <w:rsid w:val="000B2E19"/>
    <w:rsid w:val="00121215"/>
    <w:rsid w:val="00127552"/>
    <w:rsid w:val="0015074B"/>
    <w:rsid w:val="00161F99"/>
    <w:rsid w:val="00181D9C"/>
    <w:rsid w:val="0018674C"/>
    <w:rsid w:val="001A1AA8"/>
    <w:rsid w:val="001D34D9"/>
    <w:rsid w:val="001D3513"/>
    <w:rsid w:val="0023339B"/>
    <w:rsid w:val="002478C6"/>
    <w:rsid w:val="00276509"/>
    <w:rsid w:val="0029639D"/>
    <w:rsid w:val="002C1637"/>
    <w:rsid w:val="002C6613"/>
    <w:rsid w:val="002E4EAE"/>
    <w:rsid w:val="002F071B"/>
    <w:rsid w:val="003022B9"/>
    <w:rsid w:val="00326F90"/>
    <w:rsid w:val="003578BF"/>
    <w:rsid w:val="00364B24"/>
    <w:rsid w:val="003B66C3"/>
    <w:rsid w:val="003E25EF"/>
    <w:rsid w:val="003F0685"/>
    <w:rsid w:val="0041192D"/>
    <w:rsid w:val="004178D1"/>
    <w:rsid w:val="00475253"/>
    <w:rsid w:val="004931D4"/>
    <w:rsid w:val="004E47ED"/>
    <w:rsid w:val="004F2296"/>
    <w:rsid w:val="004F7315"/>
    <w:rsid w:val="00572D56"/>
    <w:rsid w:val="005753F9"/>
    <w:rsid w:val="005819DA"/>
    <w:rsid w:val="006949C4"/>
    <w:rsid w:val="00694CA6"/>
    <w:rsid w:val="006B05BE"/>
    <w:rsid w:val="006D40BE"/>
    <w:rsid w:val="00710AA5"/>
    <w:rsid w:val="00725F09"/>
    <w:rsid w:val="007F7EE9"/>
    <w:rsid w:val="00816926"/>
    <w:rsid w:val="00827DC3"/>
    <w:rsid w:val="0086071B"/>
    <w:rsid w:val="00862A75"/>
    <w:rsid w:val="008F50BC"/>
    <w:rsid w:val="00925601"/>
    <w:rsid w:val="009A0753"/>
    <w:rsid w:val="009E113B"/>
    <w:rsid w:val="00A5286A"/>
    <w:rsid w:val="00A573AD"/>
    <w:rsid w:val="00A80222"/>
    <w:rsid w:val="00AA1D8D"/>
    <w:rsid w:val="00AE74FE"/>
    <w:rsid w:val="00B010C5"/>
    <w:rsid w:val="00B4702A"/>
    <w:rsid w:val="00B47730"/>
    <w:rsid w:val="00B5265A"/>
    <w:rsid w:val="00B70B34"/>
    <w:rsid w:val="00B874C9"/>
    <w:rsid w:val="00B92711"/>
    <w:rsid w:val="00BB2E8D"/>
    <w:rsid w:val="00C1511F"/>
    <w:rsid w:val="00C72A84"/>
    <w:rsid w:val="00C86A37"/>
    <w:rsid w:val="00CB0664"/>
    <w:rsid w:val="00CC0DDC"/>
    <w:rsid w:val="00CD346E"/>
    <w:rsid w:val="00CE3F30"/>
    <w:rsid w:val="00D70619"/>
    <w:rsid w:val="00D729AC"/>
    <w:rsid w:val="00DB7861"/>
    <w:rsid w:val="00DD3B5D"/>
    <w:rsid w:val="00DE4BFC"/>
    <w:rsid w:val="00DF5334"/>
    <w:rsid w:val="00E36CF4"/>
    <w:rsid w:val="00E461A6"/>
    <w:rsid w:val="00E51B61"/>
    <w:rsid w:val="00E779E5"/>
    <w:rsid w:val="00E84415"/>
    <w:rsid w:val="00ED41CE"/>
    <w:rsid w:val="00EF32E2"/>
    <w:rsid w:val="00F204AC"/>
    <w:rsid w:val="00F30A07"/>
    <w:rsid w:val="00F34C19"/>
    <w:rsid w:val="00F57569"/>
    <w:rsid w:val="00FC693F"/>
    <w:rsid w:val="00FD23FD"/>
    <w:rsid w:val="00FF3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0AF231E"/>
  <w14:defaultImageDpi w14:val="300"/>
  <w15:docId w15:val="{0EC34E5F-93DA-46D6-8075-ADC813C4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sz w:val="24"/>
    </w:rPr>
  </w:style>
  <w:style w:type="paragraph" w:styleId="Ttulo1">
    <w:name w:val="heading 1"/>
    <w:basedOn w:val="Normal"/>
    <w:next w:val="Normal"/>
    <w:link w:val="Ttulo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numPr>
        <w:numId w:val="2"/>
      </w:numPr>
      <w:contextualSpacing/>
    </w:pPr>
  </w:style>
  <w:style w:type="paragraph" w:styleId="Commarcadores3">
    <w:name w:val="List Bullet 3"/>
    <w:basedOn w:val="Normal"/>
    <w:uiPriority w:val="99"/>
    <w:unhideWhenUsed/>
    <w:rsid w:val="00326F90"/>
    <w:pPr>
      <w:numPr>
        <w:numId w:val="3"/>
      </w:numPr>
      <w:contextualSpacing/>
    </w:pPr>
  </w:style>
  <w:style w:type="paragraph" w:styleId="Numerada">
    <w:name w:val="List Number"/>
    <w:basedOn w:val="Normal"/>
    <w:uiPriority w:val="99"/>
    <w:unhideWhenUsed/>
    <w:rsid w:val="00326F90"/>
    <w:pPr>
      <w:numPr>
        <w:numId w:val="5"/>
      </w:numPr>
      <w:contextualSpacing/>
    </w:pPr>
  </w:style>
  <w:style w:type="paragraph" w:styleId="Numerada2">
    <w:name w:val="List Number 2"/>
    <w:basedOn w:val="Normal"/>
    <w:uiPriority w:val="99"/>
    <w:unhideWhenUsed/>
    <w:rsid w:val="0029639D"/>
    <w:pPr>
      <w:numPr>
        <w:numId w:val="6"/>
      </w:numPr>
      <w:contextualSpacing/>
    </w:pPr>
  </w:style>
  <w:style w:type="paragraph" w:styleId="Numerada3">
    <w:name w:val="List Number 3"/>
    <w:basedOn w:val="Normal"/>
    <w:uiPriority w:val="99"/>
    <w:unhideWhenUsed/>
    <w:rsid w:val="0029639D"/>
    <w:pPr>
      <w:numPr>
        <w:numId w:val="7"/>
      </w:numPr>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basedOn w:val="Ttulo1"/>
    <w:next w:val="Normal"/>
    <w:uiPriority w:val="39"/>
    <w:semiHidden/>
    <w:unhideWhenUsed/>
    <w:qFormat/>
    <w:rsid w:val="00FC693F"/>
    <w:pPr>
      <w:outlineLvl w:val="9"/>
    </w:pPr>
  </w:style>
  <w:style w:type="table" w:styleId="Tabelacomgrade">
    <w:name w:val="Table Grid"/>
    <w:basedOn w:val="Tabe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Fontepargpadro"/>
    <w:uiPriority w:val="99"/>
    <w:unhideWhenUsed/>
    <w:rsid w:val="00E461A6"/>
    <w:rPr>
      <w:color w:val="0000FF" w:themeColor="hyperlink"/>
      <w:u w:val="single"/>
    </w:rPr>
  </w:style>
  <w:style w:type="character" w:styleId="MenoPendente">
    <w:name w:val="Unresolved Mention"/>
    <w:basedOn w:val="Fontepargpadro"/>
    <w:uiPriority w:val="99"/>
    <w:semiHidden/>
    <w:unhideWhenUsed/>
    <w:rsid w:val="00E461A6"/>
    <w:rPr>
      <w:color w:val="605E5C"/>
      <w:shd w:val="clear" w:color="auto" w:fill="E1DFDD"/>
    </w:rPr>
  </w:style>
  <w:style w:type="paragraph" w:styleId="NormalWeb">
    <w:name w:val="Normal (Web)"/>
    <w:basedOn w:val="Normal"/>
    <w:uiPriority w:val="99"/>
    <w:unhideWhenUsed/>
    <w:rsid w:val="00AE74FE"/>
    <w:pPr>
      <w:spacing w:before="100" w:beforeAutospacing="1" w:after="100" w:afterAutospacing="1" w:line="240" w:lineRule="auto"/>
    </w:pPr>
    <w:rPr>
      <w:rFonts w:ascii="Times New Roman" w:eastAsia="Times New Roman" w:hAnsi="Times New Roman" w:cs="Times New Roman"/>
      <w:szCs w:val="24"/>
      <w:lang w:val="pt-BR" w:eastAsia="pt-BR"/>
    </w:rPr>
  </w:style>
  <w:style w:type="character" w:customStyle="1" w:styleId="relative">
    <w:name w:val="relative"/>
    <w:basedOn w:val="Fontepargpadro"/>
    <w:rsid w:val="00710AA5"/>
  </w:style>
  <w:style w:type="paragraph" w:customStyle="1" w:styleId="not-prose">
    <w:name w:val="not-prose"/>
    <w:basedOn w:val="Normal"/>
    <w:rsid w:val="00710AA5"/>
    <w:pPr>
      <w:spacing w:before="100" w:beforeAutospacing="1" w:after="100" w:afterAutospacing="1" w:line="240" w:lineRule="auto"/>
    </w:pPr>
    <w:rPr>
      <w:rFonts w:ascii="Times New Roman" w:eastAsia="Times New Roman" w:hAnsi="Times New Roman" w:cs="Times New Roman"/>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0928">
      <w:bodyDiv w:val="1"/>
      <w:marLeft w:val="0"/>
      <w:marRight w:val="0"/>
      <w:marTop w:val="0"/>
      <w:marBottom w:val="0"/>
      <w:divBdr>
        <w:top w:val="none" w:sz="0" w:space="0" w:color="auto"/>
        <w:left w:val="none" w:sz="0" w:space="0" w:color="auto"/>
        <w:bottom w:val="none" w:sz="0" w:space="0" w:color="auto"/>
        <w:right w:val="none" w:sz="0" w:space="0" w:color="auto"/>
      </w:divBdr>
    </w:div>
    <w:div w:id="1144809812">
      <w:bodyDiv w:val="1"/>
      <w:marLeft w:val="0"/>
      <w:marRight w:val="0"/>
      <w:marTop w:val="0"/>
      <w:marBottom w:val="0"/>
      <w:divBdr>
        <w:top w:val="none" w:sz="0" w:space="0" w:color="auto"/>
        <w:left w:val="none" w:sz="0" w:space="0" w:color="auto"/>
        <w:bottom w:val="none" w:sz="0" w:space="0" w:color="auto"/>
        <w:right w:val="none" w:sz="0" w:space="0" w:color="auto"/>
      </w:divBdr>
      <w:divsChild>
        <w:div w:id="1186595455">
          <w:marLeft w:val="0"/>
          <w:marRight w:val="0"/>
          <w:marTop w:val="0"/>
          <w:marBottom w:val="0"/>
          <w:divBdr>
            <w:top w:val="none" w:sz="0" w:space="0" w:color="auto"/>
            <w:left w:val="none" w:sz="0" w:space="0" w:color="auto"/>
            <w:bottom w:val="none" w:sz="0" w:space="0" w:color="auto"/>
            <w:right w:val="none" w:sz="0" w:space="0" w:color="auto"/>
          </w:divBdr>
          <w:divsChild>
            <w:div w:id="16440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032">
      <w:bodyDiv w:val="1"/>
      <w:marLeft w:val="0"/>
      <w:marRight w:val="0"/>
      <w:marTop w:val="0"/>
      <w:marBottom w:val="0"/>
      <w:divBdr>
        <w:top w:val="none" w:sz="0" w:space="0" w:color="auto"/>
        <w:left w:val="none" w:sz="0" w:space="0" w:color="auto"/>
        <w:bottom w:val="none" w:sz="0" w:space="0" w:color="auto"/>
        <w:right w:val="none" w:sz="0" w:space="0" w:color="auto"/>
      </w:divBdr>
    </w:div>
    <w:div w:id="1782801975">
      <w:bodyDiv w:val="1"/>
      <w:marLeft w:val="0"/>
      <w:marRight w:val="0"/>
      <w:marTop w:val="0"/>
      <w:marBottom w:val="0"/>
      <w:divBdr>
        <w:top w:val="none" w:sz="0" w:space="0" w:color="auto"/>
        <w:left w:val="none" w:sz="0" w:space="0" w:color="auto"/>
        <w:bottom w:val="none" w:sz="0" w:space="0" w:color="auto"/>
        <w:right w:val="none" w:sz="0" w:space="0" w:color="auto"/>
      </w:divBdr>
    </w:div>
    <w:div w:id="2036736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7781</Words>
  <Characters>42020</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49702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ANGRAD</dc:creator>
  <cp:keywords/>
  <dc:description>generated by python-docx</dc:description>
  <cp:lastModifiedBy>Luciel Henrique de Oliveira</cp:lastModifiedBy>
  <cp:revision>7</cp:revision>
  <cp:lastPrinted>2025-05-08T18:58:00Z</cp:lastPrinted>
  <dcterms:created xsi:type="dcterms:W3CDTF">2025-09-15T16:27:00Z</dcterms:created>
  <dcterms:modified xsi:type="dcterms:W3CDTF">2025-09-15T16:43:00Z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