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86" w:rsidRDefault="00344CD2">
      <w:pPr>
        <w:pStyle w:val="Corpodetexto"/>
        <w:rPr>
          <w:sz w:val="16"/>
        </w:rPr>
      </w:pPr>
      <w:r>
        <w:rPr>
          <w:noProof/>
          <w:sz w:val="16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15240</wp:posOffset>
            </wp:positionH>
            <wp:positionV relativeFrom="page">
              <wp:posOffset>68580</wp:posOffset>
            </wp:positionV>
            <wp:extent cx="7505700" cy="13563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599" cy="135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AE7786">
      <w:pPr>
        <w:pStyle w:val="Corpodetexto"/>
        <w:rPr>
          <w:sz w:val="16"/>
        </w:rPr>
      </w:pPr>
    </w:p>
    <w:p w:rsidR="00AE7786" w:rsidRDefault="00344CD2" w:rsidP="00D969F4">
      <w:pPr>
        <w:tabs>
          <w:tab w:val="left" w:pos="1365"/>
          <w:tab w:val="left" w:pos="9866"/>
        </w:tabs>
        <w:rPr>
          <w:rFonts w:ascii="Calibri" w:hAnsi="Calibri"/>
          <w:b/>
          <w:sz w:val="16"/>
        </w:rPr>
      </w:pPr>
      <w:r>
        <w:rPr>
          <w:rFonts w:ascii="Calibri" w:hAnsi="Calibri"/>
          <w:b/>
          <w:color w:val="FFFFFF"/>
          <w:sz w:val="16"/>
          <w:shd w:val="clear" w:color="auto" w:fill="365F91"/>
        </w:rPr>
        <w:tab/>
        <w:t>ANAIS</w:t>
      </w:r>
      <w:r>
        <w:rPr>
          <w:rFonts w:ascii="Calibri" w:hAnsi="Calibri"/>
          <w:b/>
          <w:color w:val="FFFFFF"/>
          <w:spacing w:val="-6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5º</w:t>
      </w:r>
      <w:r>
        <w:rPr>
          <w:rFonts w:ascii="Calibri" w:hAnsi="Calibri"/>
          <w:b/>
          <w:color w:val="FFFFFF"/>
          <w:spacing w:val="-2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JAO</w:t>
      </w:r>
      <w:r>
        <w:rPr>
          <w:rFonts w:ascii="Calibri" w:hAnsi="Calibri"/>
          <w:b/>
          <w:color w:val="FFFFFF"/>
          <w:spacing w:val="-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UNIFSA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2025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|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29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e</w:t>
      </w:r>
      <w:r>
        <w:rPr>
          <w:rFonts w:ascii="Calibri" w:hAnsi="Calibri"/>
          <w:b/>
          <w:color w:val="FFFFFF"/>
          <w:spacing w:val="2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30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de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maio</w:t>
      </w:r>
      <w:r>
        <w:rPr>
          <w:rFonts w:ascii="Calibri" w:hAnsi="Calibri"/>
          <w:b/>
          <w:color w:val="FFFFFF"/>
          <w:spacing w:val="-3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de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2025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|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Centro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Universitário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Santo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Agostinho</w:t>
      </w:r>
      <w:r>
        <w:rPr>
          <w:rFonts w:ascii="Calibri" w:hAnsi="Calibri"/>
          <w:b/>
          <w:color w:val="FFFFFF"/>
          <w:spacing w:val="-3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-</w:t>
      </w:r>
      <w:r>
        <w:rPr>
          <w:rFonts w:ascii="Calibri" w:hAnsi="Calibri"/>
          <w:b/>
          <w:color w:val="FFFFFF"/>
          <w:spacing w:val="-3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Teresina</w:t>
      </w:r>
      <w:r>
        <w:rPr>
          <w:rFonts w:ascii="Calibri" w:hAnsi="Calibri"/>
          <w:b/>
          <w:color w:val="FFFFFF"/>
          <w:spacing w:val="-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–</w:t>
      </w:r>
      <w:r>
        <w:rPr>
          <w:rFonts w:ascii="Calibri" w:hAnsi="Calibri"/>
          <w:b/>
          <w:color w:val="FFFFFF"/>
          <w:spacing w:val="-2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>PI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ab/>
      </w:r>
    </w:p>
    <w:p w:rsidR="00AE7786" w:rsidRDefault="00AE7786">
      <w:pPr>
        <w:pStyle w:val="Corpodetexto"/>
        <w:rPr>
          <w:rFonts w:ascii="Calibri"/>
          <w:b/>
          <w:sz w:val="16"/>
        </w:rPr>
      </w:pPr>
    </w:p>
    <w:p w:rsidR="00AE7786" w:rsidRDefault="00AE7786">
      <w:pPr>
        <w:pStyle w:val="Corpodetexto"/>
        <w:rPr>
          <w:rFonts w:ascii="Calibri"/>
          <w:b/>
          <w:sz w:val="16"/>
        </w:rPr>
      </w:pPr>
    </w:p>
    <w:p w:rsidR="00AE7786" w:rsidRPr="00BB05D6" w:rsidRDefault="00BB05D6" w:rsidP="00BB05D6">
      <w:pPr>
        <w:spacing w:after="120"/>
        <w:ind w:left="709" w:right="665"/>
        <w:jc w:val="center"/>
        <w:rPr>
          <w:sz w:val="28"/>
        </w:rPr>
      </w:pPr>
      <w:r w:rsidRPr="00BB05D6">
        <w:rPr>
          <w:b/>
          <w:color w:val="000000" w:themeColor="text1"/>
          <w:sz w:val="28"/>
        </w:rPr>
        <w:t>RELAÇÃO DA EXODONTIA DE TERCEIROS MOLARES E A OCORRÊNCIA DE PARESTESIA DO NERVO ALVELAR INFERIOR</w:t>
      </w:r>
      <w:hyperlink w:anchor="_bookmark0" w:history="1">
        <w:r w:rsidR="00344CD2" w:rsidRPr="00BB05D6">
          <w:rPr>
            <w:vertAlign w:val="superscript"/>
          </w:rPr>
          <w:t>1</w:t>
        </w:r>
      </w:hyperlink>
    </w:p>
    <w:p w:rsidR="006E17A5" w:rsidRDefault="006E17A5" w:rsidP="007B7EC5">
      <w:pPr>
        <w:pStyle w:val="Ttulo"/>
        <w:spacing w:line="237" w:lineRule="auto"/>
        <w:rPr>
          <w:vertAlign w:val="superscript"/>
        </w:rPr>
      </w:pPr>
    </w:p>
    <w:p w:rsidR="006E17A5" w:rsidRDefault="006E17A5">
      <w:pPr>
        <w:pStyle w:val="Ttulo"/>
        <w:spacing w:line="237" w:lineRule="auto"/>
      </w:pPr>
    </w:p>
    <w:p w:rsidR="006E17A5" w:rsidRDefault="006E17A5" w:rsidP="00DE45C6">
      <w:pPr>
        <w:ind w:left="6045" w:right="421"/>
        <w:jc w:val="right"/>
      </w:pPr>
    </w:p>
    <w:p w:rsidR="00AE7786" w:rsidRDefault="006E17A5" w:rsidP="00DE45C6">
      <w:pPr>
        <w:tabs>
          <w:tab w:val="left" w:pos="4111"/>
        </w:tabs>
        <w:ind w:left="6300" w:right="421"/>
        <w:jc w:val="right"/>
      </w:pPr>
      <w:r w:rsidRPr="00DE45C6">
        <w:rPr>
          <w:b/>
        </w:rPr>
        <w:t>Rebeca Carolina de Sousa Firmeza</w:t>
      </w:r>
      <w:r w:rsidR="00FA5B49">
        <w:rPr>
          <w:sz w:val="20"/>
          <w:vertAlign w:val="superscript"/>
        </w:rPr>
        <w:t>2</w:t>
      </w:r>
    </w:p>
    <w:p w:rsidR="00BB05D6" w:rsidRPr="00DE45C6" w:rsidRDefault="00BB05D6" w:rsidP="00DE45C6">
      <w:pPr>
        <w:tabs>
          <w:tab w:val="left" w:pos="4111"/>
        </w:tabs>
        <w:ind w:left="360" w:right="421"/>
        <w:jc w:val="right"/>
        <w:rPr>
          <w:b/>
        </w:rPr>
      </w:pPr>
      <w:r w:rsidRPr="00DE45C6">
        <w:rPr>
          <w:b/>
        </w:rPr>
        <w:t>Gabriella Carine Rodrigues de Sousa</w:t>
      </w:r>
      <w:r w:rsidR="00FA5B49">
        <w:rPr>
          <w:sz w:val="20"/>
          <w:vertAlign w:val="superscript"/>
        </w:rPr>
        <w:t>3</w:t>
      </w:r>
    </w:p>
    <w:p w:rsidR="00BB05D6" w:rsidRPr="00DE45C6" w:rsidRDefault="00BB05D6" w:rsidP="00DE45C6">
      <w:pPr>
        <w:widowControl/>
        <w:autoSpaceDE/>
        <w:autoSpaceDN/>
        <w:ind w:left="1980"/>
        <w:contextualSpacing/>
        <w:jc w:val="right"/>
        <w:rPr>
          <w:color w:val="FF0000"/>
        </w:rPr>
      </w:pPr>
      <w:r w:rsidRPr="00DE45C6">
        <w:rPr>
          <w:b/>
        </w:rPr>
        <w:t>Alex Paulo Sérvio de Sousa</w:t>
      </w:r>
      <w:r w:rsidR="00FA5B49">
        <w:rPr>
          <w:sz w:val="20"/>
          <w:vertAlign w:val="superscript"/>
        </w:rPr>
        <w:t>4</w:t>
      </w:r>
    </w:p>
    <w:p w:rsidR="00BB05D6" w:rsidRPr="006E17A5" w:rsidRDefault="00BB05D6" w:rsidP="00DE45C6">
      <w:pPr>
        <w:tabs>
          <w:tab w:val="left" w:pos="4111"/>
        </w:tabs>
        <w:ind w:right="421"/>
        <w:jc w:val="right"/>
        <w:rPr>
          <w:b/>
        </w:rPr>
      </w:pPr>
    </w:p>
    <w:p w:rsidR="00AE7786" w:rsidRPr="00BB05D6" w:rsidRDefault="00344CD2" w:rsidP="007B7EC5">
      <w:pPr>
        <w:rPr>
          <w:b/>
        </w:rPr>
      </w:pPr>
      <w:r w:rsidRPr="00BB05D6">
        <w:rPr>
          <w:b/>
          <w:spacing w:val="-2"/>
        </w:rPr>
        <w:t>RESUMO</w:t>
      </w:r>
    </w:p>
    <w:p w:rsidR="007B7EC5" w:rsidRDefault="007B7EC5" w:rsidP="007B7EC5">
      <w:pPr>
        <w:spacing w:line="360" w:lineRule="auto"/>
        <w:jc w:val="both"/>
        <w:rPr>
          <w:b/>
        </w:rPr>
      </w:pPr>
    </w:p>
    <w:p w:rsidR="00BB05D6" w:rsidRPr="00BB05D6" w:rsidRDefault="00344CD2" w:rsidP="00BB05D6">
      <w:pPr>
        <w:spacing w:before="100" w:beforeAutospacing="1" w:after="100" w:afterAutospacing="1"/>
      </w:pPr>
      <w:r w:rsidRPr="00BB05D6">
        <w:rPr>
          <w:b/>
        </w:rPr>
        <w:t>INTRODUÇÃO</w:t>
      </w:r>
      <w:r w:rsidRPr="00BB05D6">
        <w:t>:</w:t>
      </w:r>
      <w:r w:rsidR="007B7EC5" w:rsidRPr="00BB05D6">
        <w:rPr>
          <w:rFonts w:eastAsiaTheme="majorEastAsia"/>
          <w:color w:val="000000" w:themeColor="text1"/>
          <w:szCs w:val="24"/>
        </w:rPr>
        <w:t xml:space="preserve"> </w:t>
      </w:r>
      <w:r w:rsidR="00BB05D6" w:rsidRPr="00BB05D6">
        <w:t>A extração de terceiros molares inferiores pode causar complicações neurossensoriais, sendo a parestesia do nervo alveolar inferior uma das mais frequentes. Essa condição ocorre devido à proximidade das raízes dentárias com o canal mandibular, podendo resultar em alterações sensoriais temporárias ou permanentes.</w:t>
      </w:r>
      <w:r w:rsidR="007B7EC5" w:rsidRPr="00BB05D6">
        <w:rPr>
          <w:rFonts w:eastAsiaTheme="majorEastAsia"/>
          <w:b/>
          <w:bCs/>
          <w:color w:val="000000" w:themeColor="text1"/>
          <w:szCs w:val="24"/>
        </w:rPr>
        <w:t>Objetivo</w:t>
      </w:r>
      <w:r w:rsidR="007B7EC5" w:rsidRPr="00BB05D6">
        <w:rPr>
          <w:rFonts w:eastAsiaTheme="majorEastAsia"/>
          <w:color w:val="000000" w:themeColor="text1"/>
          <w:szCs w:val="24"/>
        </w:rPr>
        <w:t xml:space="preserve">: </w:t>
      </w:r>
      <w:r w:rsidR="00BB05D6" w:rsidRPr="00BB05D6">
        <w:t xml:space="preserve">Analisar a relação entre a exodontia de terceiros molares inferiores e a ocorrência de parestesia do nervo alveolar inferior, identificando os principais fatores de risco da cirurgia em si. </w:t>
      </w:r>
      <w:r w:rsidR="007B7EC5" w:rsidRPr="00BB05D6">
        <w:rPr>
          <w:rFonts w:eastAsiaTheme="majorEastAsia"/>
          <w:b/>
          <w:bCs/>
          <w:color w:val="000000" w:themeColor="text1"/>
          <w:szCs w:val="24"/>
        </w:rPr>
        <w:t>Metodologia</w:t>
      </w:r>
      <w:r w:rsidR="007B7EC5" w:rsidRPr="00BB05D6">
        <w:rPr>
          <w:rFonts w:eastAsiaTheme="majorEastAsia"/>
          <w:color w:val="000000" w:themeColor="text1"/>
          <w:szCs w:val="24"/>
        </w:rPr>
        <w:t xml:space="preserve">: </w:t>
      </w:r>
      <w:r w:rsidR="00BB05D6" w:rsidRPr="00BB05D6">
        <w:rPr>
          <w:color w:val="000000" w:themeColor="text1"/>
        </w:rPr>
        <w:t>Realizou-se uma revisão narrativa da literatura com abordagem qualitativa. As buscas foram</w:t>
      </w:r>
      <w:r w:rsidR="00FA5B49">
        <w:rPr>
          <w:color w:val="000000" w:themeColor="text1"/>
        </w:rPr>
        <w:t xml:space="preserve">  realiza</w:t>
      </w:r>
      <w:r w:rsidR="00BB05D6" w:rsidRPr="00BB05D6">
        <w:rPr>
          <w:color w:val="000000" w:themeColor="text1"/>
        </w:rPr>
        <w:t>das nas bases SciELO, LILACS, utilizando os descritores: “parestesia”, “terceiro molar” e “nervo alveolar inferior”. Foram incluídos estudos em português, publicados entre 2020 a 2024. A seleção baseou-se na leitura de títulos, resumos e textos completos, com análise descritiva e crítica dos dados.</w:t>
      </w:r>
      <w:r w:rsidR="00BB05D6" w:rsidRPr="00BB05D6">
        <w:rPr>
          <w:b/>
        </w:rPr>
        <w:t xml:space="preserve"> </w:t>
      </w:r>
      <w:r w:rsidR="007B7EC5" w:rsidRPr="00BB05D6">
        <w:rPr>
          <w:rFonts w:eastAsiaTheme="majorEastAsia"/>
          <w:b/>
          <w:bCs/>
          <w:color w:val="000000" w:themeColor="text1"/>
          <w:szCs w:val="24"/>
        </w:rPr>
        <w:t>Resultados</w:t>
      </w:r>
      <w:r w:rsidR="007B7EC5" w:rsidRPr="00BB05D6">
        <w:rPr>
          <w:rFonts w:eastAsiaTheme="majorEastAsia"/>
          <w:color w:val="000000" w:themeColor="text1"/>
          <w:szCs w:val="24"/>
        </w:rPr>
        <w:t xml:space="preserve">: </w:t>
      </w:r>
      <w:r w:rsidR="00BB05D6" w:rsidRPr="00BB05D6">
        <w:t xml:space="preserve"> A parestesia do nervo alveolar inferior é comum após a extração de terceiros molares inferiores, especialmente em casos de proximidade das raízes com o canal mandibular. Fatores como idade, tempo cirúrgico prolongado e a complexidade do procedimento aumentam o risco de lesão nervosa. </w:t>
      </w:r>
      <w:r w:rsidR="007B7EC5" w:rsidRPr="00BB05D6">
        <w:rPr>
          <w:rFonts w:eastAsiaTheme="majorEastAsia"/>
          <w:b/>
          <w:bCs/>
          <w:color w:val="000000" w:themeColor="text1"/>
          <w:szCs w:val="24"/>
        </w:rPr>
        <w:t>Conclusão</w:t>
      </w:r>
      <w:r w:rsidR="007B7EC5" w:rsidRPr="00BB05D6">
        <w:rPr>
          <w:rFonts w:eastAsiaTheme="majorEastAsia"/>
          <w:color w:val="000000" w:themeColor="text1"/>
          <w:szCs w:val="24"/>
        </w:rPr>
        <w:t xml:space="preserve">: </w:t>
      </w:r>
      <w:r w:rsidR="00BB05D6" w:rsidRPr="00BB05D6">
        <w:t>É de suma importância a avaliação por imagem e o planejamento cirúrgico adequado na exodontia de terceiros molares inferiores, especialmente em casos com proximidade do canal mandibular afim de prevenir possíveis parestesias.</w:t>
      </w:r>
    </w:p>
    <w:p w:rsidR="007B7EC5" w:rsidRPr="007B7EC5" w:rsidRDefault="007B7EC5" w:rsidP="004722CE">
      <w:pPr>
        <w:spacing w:line="360" w:lineRule="auto"/>
        <w:rPr>
          <w:rFonts w:eastAsiaTheme="majorEastAsia"/>
          <w:color w:val="000000" w:themeColor="text1"/>
          <w:szCs w:val="24"/>
          <w:lang w:val="en-US"/>
        </w:rPr>
      </w:pPr>
    </w:p>
    <w:p w:rsidR="007B7EC5" w:rsidRDefault="007B7EC5" w:rsidP="007B7EC5">
      <w:pPr>
        <w:spacing w:line="360" w:lineRule="auto"/>
        <w:rPr>
          <w:b/>
          <w:bCs/>
        </w:rPr>
      </w:pPr>
    </w:p>
    <w:p w:rsidR="007B7EC5" w:rsidRPr="00BB05D6" w:rsidRDefault="007B7EC5" w:rsidP="007B7EC5">
      <w:pPr>
        <w:spacing w:line="360" w:lineRule="auto"/>
        <w:rPr>
          <w:rFonts w:eastAsiaTheme="minorEastAsia"/>
          <w:b/>
          <w:bCs/>
        </w:rPr>
      </w:pPr>
      <w:r w:rsidRPr="00BB05D6">
        <w:rPr>
          <w:b/>
          <w:bCs/>
        </w:rPr>
        <w:t>Descritores:</w:t>
      </w:r>
    </w:p>
    <w:p w:rsidR="00BB05D6" w:rsidRPr="00BB05D6" w:rsidRDefault="00BB05D6" w:rsidP="00BB05D6">
      <w:pPr>
        <w:spacing w:after="120"/>
        <w:ind w:right="665"/>
        <w:jc w:val="both"/>
        <w:rPr>
          <w:b/>
          <w:color w:val="000000" w:themeColor="text1"/>
        </w:rPr>
      </w:pPr>
      <w:r w:rsidRPr="00BB05D6">
        <w:t>Extração. Complicações. Canal Mandibular.</w:t>
      </w:r>
    </w:p>
    <w:p w:rsidR="00F930A8" w:rsidRDefault="00F930A8" w:rsidP="00425802">
      <w:pPr>
        <w:spacing w:line="360" w:lineRule="auto"/>
        <w:rPr>
          <w:szCs w:val="24"/>
          <w:lang w:val="pt-BR" w:eastAsia="pt-BR"/>
        </w:rPr>
      </w:pPr>
    </w:p>
    <w:p w:rsidR="00AE7786" w:rsidRPr="00425802" w:rsidRDefault="00EA0EC7" w:rsidP="00425802">
      <w:pPr>
        <w:spacing w:line="360" w:lineRule="auto"/>
      </w:pPr>
      <w:r w:rsidRPr="00EA0EC7">
        <w:rPr>
          <w:noProof/>
          <w:sz w:val="20"/>
        </w:rPr>
        <w:pict>
          <v:shape id="Graphic 2" o:spid="_x0000_s1026" style="position:absolute;margin-left:71pt;margin-top:19.85pt;width:144.1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" path="m1826571,2109r-1827642,l-1071,8451r1827642,l1826571,2109xe" fillcolor="black" stroked="f">
            <v:path arrowok="t"/>
            <w10:wrap type="topAndBottom" anchorx="page"/>
          </v:shape>
        </w:pict>
      </w:r>
    </w:p>
    <w:p w:rsidR="00AE7786" w:rsidRDefault="00344CD2">
      <w:pPr>
        <w:spacing w:before="101"/>
        <w:ind w:left="426" w:right="458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5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Jornada</w:t>
      </w:r>
      <w:r>
        <w:rPr>
          <w:spacing w:val="-4"/>
          <w:sz w:val="20"/>
        </w:rPr>
        <w:t xml:space="preserve"> </w:t>
      </w:r>
      <w:r>
        <w:rPr>
          <w:sz w:val="20"/>
        </w:rPr>
        <w:t>Acadêmica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4"/>
          <w:sz w:val="20"/>
        </w:rPr>
        <w:t xml:space="preserve"> </w:t>
      </w:r>
      <w:r>
        <w:rPr>
          <w:sz w:val="20"/>
        </w:rPr>
        <w:t>(JAO),</w:t>
      </w:r>
      <w:r>
        <w:rPr>
          <w:spacing w:val="-5"/>
          <w:sz w:val="20"/>
        </w:rPr>
        <w:t xml:space="preserve"> </w:t>
      </w:r>
      <w:r>
        <w:rPr>
          <w:sz w:val="20"/>
        </w:rPr>
        <w:t>promovida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Centro</w:t>
      </w:r>
      <w:r>
        <w:rPr>
          <w:spacing w:val="-5"/>
          <w:sz w:val="20"/>
        </w:rPr>
        <w:t xml:space="preserve"> </w:t>
      </w:r>
      <w:r>
        <w:rPr>
          <w:sz w:val="20"/>
        </w:rPr>
        <w:t>Universitário Santo Agostinho, nos dias 29 e 30 de maio de 2025.</w:t>
      </w:r>
    </w:p>
    <w:p w:rsidR="00AE7786" w:rsidRDefault="00344CD2">
      <w:pPr>
        <w:ind w:left="426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bookmarkStart w:id="2" w:name="_bookmark2"/>
      <w:bookmarkEnd w:id="2"/>
      <w:r>
        <w:rPr>
          <w:sz w:val="20"/>
        </w:rPr>
        <w:t>Autor.</w:t>
      </w:r>
      <w:r>
        <w:rPr>
          <w:spacing w:val="-8"/>
          <w:sz w:val="20"/>
        </w:rPr>
        <w:t xml:space="preserve"> </w:t>
      </w:r>
      <w:r>
        <w:rPr>
          <w:sz w:val="20"/>
        </w:rPr>
        <w:t>Estudante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curso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graduação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Centro</w:t>
      </w:r>
      <w:r>
        <w:rPr>
          <w:spacing w:val="-8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8"/>
          <w:sz w:val="20"/>
        </w:rPr>
        <w:t xml:space="preserve"> </w:t>
      </w:r>
      <w:r>
        <w:rPr>
          <w:sz w:val="20"/>
        </w:rPr>
        <w:t>Santo</w:t>
      </w:r>
      <w:r>
        <w:rPr>
          <w:spacing w:val="-7"/>
          <w:sz w:val="20"/>
        </w:rPr>
        <w:t xml:space="preserve"> </w:t>
      </w:r>
      <w:r>
        <w:rPr>
          <w:sz w:val="20"/>
        </w:rPr>
        <w:t>Agostinho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(UNIFSA).</w:t>
      </w:r>
    </w:p>
    <w:p w:rsidR="00AE7786" w:rsidRDefault="00344CD2">
      <w:pPr>
        <w:spacing w:line="230" w:lineRule="exact"/>
        <w:ind w:left="426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Autor.</w:t>
      </w:r>
      <w:r>
        <w:rPr>
          <w:spacing w:val="-8"/>
          <w:sz w:val="20"/>
        </w:rPr>
        <w:t xml:space="preserve"> </w:t>
      </w:r>
      <w:r>
        <w:rPr>
          <w:sz w:val="20"/>
        </w:rPr>
        <w:t>Estudante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curso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graduação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Centro</w:t>
      </w:r>
      <w:r>
        <w:rPr>
          <w:spacing w:val="-8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8"/>
          <w:sz w:val="20"/>
        </w:rPr>
        <w:t xml:space="preserve"> </w:t>
      </w:r>
      <w:r>
        <w:rPr>
          <w:sz w:val="20"/>
        </w:rPr>
        <w:t>Santo</w:t>
      </w:r>
      <w:r>
        <w:rPr>
          <w:spacing w:val="-7"/>
          <w:sz w:val="20"/>
        </w:rPr>
        <w:t xml:space="preserve"> </w:t>
      </w:r>
      <w:r>
        <w:rPr>
          <w:sz w:val="20"/>
        </w:rPr>
        <w:t>Agostinho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(UNIFSA).</w:t>
      </w:r>
    </w:p>
    <w:p w:rsidR="00AE7786" w:rsidRDefault="00344CD2">
      <w:pPr>
        <w:ind w:left="426" w:right="423"/>
        <w:jc w:val="both"/>
        <w:rPr>
          <w:sz w:val="20"/>
        </w:rPr>
      </w:pPr>
      <w:bookmarkStart w:id="3" w:name="_bookmark3"/>
      <w:bookmarkEnd w:id="3"/>
      <w:r>
        <w:rPr>
          <w:sz w:val="20"/>
          <w:vertAlign w:val="superscript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Graduad</w:t>
      </w:r>
      <w:r w:rsidR="00FA5B49"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8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8"/>
          <w:sz w:val="20"/>
        </w:rPr>
        <w:t xml:space="preserve"> </w:t>
      </w:r>
      <w:r w:rsidR="006F4BED">
        <w:rPr>
          <w:sz w:val="20"/>
        </w:rPr>
        <w:t>F</w:t>
      </w:r>
      <w:r w:rsidR="009C048D">
        <w:rPr>
          <w:sz w:val="20"/>
        </w:rPr>
        <w:t>ederal do Pi</w:t>
      </w:r>
      <w:r w:rsidR="00AF6878">
        <w:rPr>
          <w:sz w:val="20"/>
        </w:rPr>
        <w:t>a</w:t>
      </w:r>
      <w:r w:rsidR="009C048D">
        <w:rPr>
          <w:sz w:val="20"/>
        </w:rPr>
        <w:t>u</w:t>
      </w:r>
      <w:r w:rsidR="00AF6878">
        <w:rPr>
          <w:sz w:val="20"/>
        </w:rPr>
        <w:t xml:space="preserve">í </w:t>
      </w:r>
      <w:r w:rsidR="009C048D">
        <w:rPr>
          <w:spacing w:val="-9"/>
          <w:sz w:val="20"/>
        </w:rPr>
        <w:t>(UFPI)</w:t>
      </w:r>
      <w:r w:rsidR="009E61E0">
        <w:rPr>
          <w:spacing w:val="-9"/>
          <w:sz w:val="20"/>
        </w:rPr>
        <w:t>- Teresina, Piauí.</w:t>
      </w:r>
      <w:r w:rsidR="00FA5B49">
        <w:rPr>
          <w:sz w:val="20"/>
        </w:rPr>
        <w:t xml:space="preserve"> Professor</w:t>
      </w:r>
      <w:r w:rsidR="00331E10">
        <w:rPr>
          <w:sz w:val="20"/>
        </w:rPr>
        <w:t xml:space="preserve"> de</w:t>
      </w:r>
      <w:r w:rsidR="00FA5B49">
        <w:rPr>
          <w:sz w:val="20"/>
        </w:rPr>
        <w:t xml:space="preserve"> Cirurgia</w:t>
      </w:r>
      <w:r w:rsidR="002643F7">
        <w:rPr>
          <w:sz w:val="20"/>
        </w:rPr>
        <w:t xml:space="preserve"> </w:t>
      </w:r>
      <w:r>
        <w:rPr>
          <w:sz w:val="20"/>
        </w:rPr>
        <w:t xml:space="preserve"> do Centro Universitário Santo</w:t>
      </w:r>
      <w:r w:rsidR="00FA5B49">
        <w:rPr>
          <w:sz w:val="20"/>
        </w:rPr>
        <w:t xml:space="preserve"> Agostinho (UNIFSA). Orientador</w:t>
      </w:r>
      <w:r>
        <w:rPr>
          <w:sz w:val="20"/>
        </w:rPr>
        <w:t xml:space="preserve"> da Pesquisa.</w:t>
      </w:r>
    </w:p>
    <w:sectPr w:rsidR="00AE7786" w:rsidSect="00EA0EC7">
      <w:type w:val="continuous"/>
      <w:pgSz w:w="11900" w:h="16820"/>
      <w:pgMar w:top="220" w:right="850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53" w:rsidRDefault="00DE3F53" w:rsidP="006E17A5">
      <w:r>
        <w:separator/>
      </w:r>
    </w:p>
  </w:endnote>
  <w:endnote w:type="continuationSeparator" w:id="0">
    <w:p w:rsidR="00DE3F53" w:rsidRDefault="00DE3F53" w:rsidP="006E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53" w:rsidRDefault="00DE3F53" w:rsidP="006E17A5">
      <w:r>
        <w:separator/>
      </w:r>
    </w:p>
  </w:footnote>
  <w:footnote w:type="continuationSeparator" w:id="0">
    <w:p w:rsidR="00DE3F53" w:rsidRDefault="00DE3F53" w:rsidP="006E1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DEF"/>
    <w:multiLevelType w:val="hybridMultilevel"/>
    <w:tmpl w:val="73F27ED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3590297"/>
    <w:multiLevelType w:val="hybridMultilevel"/>
    <w:tmpl w:val="07909548"/>
    <w:lvl w:ilvl="0" w:tplc="72FEE146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7D2168"/>
    <w:multiLevelType w:val="hybridMultilevel"/>
    <w:tmpl w:val="A0F8F1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E7786"/>
    <w:rsid w:val="00034277"/>
    <w:rsid w:val="001B54D8"/>
    <w:rsid w:val="001E1A7F"/>
    <w:rsid w:val="002643F7"/>
    <w:rsid w:val="00267D71"/>
    <w:rsid w:val="00287B01"/>
    <w:rsid w:val="00330181"/>
    <w:rsid w:val="00331E10"/>
    <w:rsid w:val="00344CD2"/>
    <w:rsid w:val="00404928"/>
    <w:rsid w:val="00425802"/>
    <w:rsid w:val="004722CE"/>
    <w:rsid w:val="0047346F"/>
    <w:rsid w:val="00493BD0"/>
    <w:rsid w:val="004D22D3"/>
    <w:rsid w:val="005612E4"/>
    <w:rsid w:val="005A1AF8"/>
    <w:rsid w:val="005E7230"/>
    <w:rsid w:val="006E17A5"/>
    <w:rsid w:val="006F4BED"/>
    <w:rsid w:val="007B7EC5"/>
    <w:rsid w:val="00833892"/>
    <w:rsid w:val="008A69AF"/>
    <w:rsid w:val="009C048D"/>
    <w:rsid w:val="009E61E0"/>
    <w:rsid w:val="009F39D8"/>
    <w:rsid w:val="00A2128F"/>
    <w:rsid w:val="00AE7786"/>
    <w:rsid w:val="00AF05F5"/>
    <w:rsid w:val="00AF6878"/>
    <w:rsid w:val="00BB05D6"/>
    <w:rsid w:val="00BE34CD"/>
    <w:rsid w:val="00C35C58"/>
    <w:rsid w:val="00C6287A"/>
    <w:rsid w:val="00C727AB"/>
    <w:rsid w:val="00D12BD6"/>
    <w:rsid w:val="00D969F4"/>
    <w:rsid w:val="00DE3F53"/>
    <w:rsid w:val="00DE45C6"/>
    <w:rsid w:val="00E03C20"/>
    <w:rsid w:val="00E850F4"/>
    <w:rsid w:val="00EA0EC7"/>
    <w:rsid w:val="00EB1348"/>
    <w:rsid w:val="00F30919"/>
    <w:rsid w:val="00F8779B"/>
    <w:rsid w:val="00F930A8"/>
    <w:rsid w:val="00F9661D"/>
    <w:rsid w:val="00FA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C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A0EC7"/>
  </w:style>
  <w:style w:type="paragraph" w:styleId="Ttulo">
    <w:name w:val="Title"/>
    <w:basedOn w:val="Normal"/>
    <w:uiPriority w:val="10"/>
    <w:qFormat/>
    <w:rsid w:val="00EA0EC7"/>
    <w:pPr>
      <w:ind w:left="1186" w:right="114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EA0EC7"/>
  </w:style>
  <w:style w:type="paragraph" w:customStyle="1" w:styleId="TableParagraph">
    <w:name w:val="Table Paragraph"/>
    <w:basedOn w:val="Normal"/>
    <w:uiPriority w:val="1"/>
    <w:qFormat/>
    <w:rsid w:val="00EA0EC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17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17A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E17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BFB0-5329-4043-823D-EC0F0610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Rebeca</cp:lastModifiedBy>
  <cp:revision>2</cp:revision>
  <dcterms:created xsi:type="dcterms:W3CDTF">2025-05-23T22:48:00Z</dcterms:created>
  <dcterms:modified xsi:type="dcterms:W3CDTF">2025-05-23T22:48:00Z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2025-05-20T00:00:00Z</vt:filetime>
  </property>
</Properties>
</file>