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2938" w14:textId="657344AB" w:rsidR="001E688E" w:rsidRDefault="00C430AA" w:rsidP="001E688E">
      <w:pPr>
        <w:spacing w:before="100" w:beforeAutospacing="1" w:after="100" w:afterAutospacing="1" w:line="240" w:lineRule="auto"/>
        <w:rPr>
          <w:rFonts w:ascii="Garamond" w:eastAsia="Times New Roman" w:hAnsi="Garamond" w:cs="Times New Roman"/>
          <w:b/>
          <w:bCs/>
          <w:color w:val="BD1633"/>
          <w:sz w:val="28"/>
          <w:szCs w:val="28"/>
          <w:lang w:eastAsia="pt-BR"/>
        </w:rPr>
      </w:pPr>
      <w:r>
        <w:rPr>
          <w:noProof/>
          <w:lang w:eastAsia="pt-BR"/>
        </w:rPr>
        <w:drawing>
          <wp:anchor distT="0" distB="0" distL="114300" distR="114300" simplePos="0" relativeHeight="251659264" behindDoc="0" locked="0" layoutInCell="1" allowOverlap="1" wp14:anchorId="2E03C8D5" wp14:editId="32B2526F">
            <wp:simplePos x="0" y="0"/>
            <wp:positionH relativeFrom="column">
              <wp:posOffset>-1143000</wp:posOffset>
            </wp:positionH>
            <wp:positionV relativeFrom="page">
              <wp:posOffset>-227965</wp:posOffset>
            </wp:positionV>
            <wp:extent cx="7682865" cy="3438525"/>
            <wp:effectExtent l="0" t="0" r="0" b="9525"/>
            <wp:wrapTopAndBottom/>
            <wp:docPr id="511" name="Imagem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865" cy="3438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B72F03" w14:textId="4D1C1BB1" w:rsidR="001C450D" w:rsidRPr="00763273" w:rsidRDefault="00160294" w:rsidP="001C450D">
      <w:pPr>
        <w:spacing w:before="100" w:beforeAutospacing="1" w:after="100" w:afterAutospacing="1" w:line="240" w:lineRule="auto"/>
        <w:jc w:val="center"/>
        <w:rPr>
          <w:rFonts w:ascii="Garamond" w:eastAsia="Times New Roman" w:hAnsi="Garamond" w:cs="Times New Roman"/>
          <w:b/>
          <w:bCs/>
          <w:sz w:val="28"/>
          <w:szCs w:val="28"/>
          <w:lang w:eastAsia="pt-BR"/>
        </w:rPr>
      </w:pPr>
      <w:r w:rsidRPr="00763273">
        <w:rPr>
          <w:rFonts w:ascii="Garamond" w:eastAsia="Times New Roman" w:hAnsi="Garamond" w:cs="Times New Roman"/>
          <w:b/>
          <w:bCs/>
          <w:sz w:val="28"/>
          <w:szCs w:val="28"/>
          <w:lang w:eastAsia="pt-BR"/>
        </w:rPr>
        <w:t>A EDUCAÇÃO BANCÁRIA</w:t>
      </w:r>
      <w:r w:rsidR="003143B4" w:rsidRPr="00763273">
        <w:rPr>
          <w:rFonts w:ascii="Garamond" w:eastAsia="Times New Roman" w:hAnsi="Garamond" w:cs="Times New Roman"/>
          <w:b/>
          <w:bCs/>
          <w:sz w:val="28"/>
          <w:szCs w:val="28"/>
          <w:lang w:eastAsia="pt-BR"/>
        </w:rPr>
        <w:t xml:space="preserve"> E </w:t>
      </w:r>
      <w:r w:rsidR="008D1044" w:rsidRPr="00763273">
        <w:rPr>
          <w:rFonts w:ascii="Garamond" w:eastAsia="Times New Roman" w:hAnsi="Garamond" w:cs="Times New Roman"/>
          <w:b/>
          <w:bCs/>
          <w:sz w:val="28"/>
          <w:szCs w:val="28"/>
          <w:lang w:eastAsia="pt-BR"/>
        </w:rPr>
        <w:t>S</w:t>
      </w:r>
      <w:r w:rsidR="00010F6F" w:rsidRPr="00763273">
        <w:rPr>
          <w:rFonts w:ascii="Garamond" w:eastAsia="Times New Roman" w:hAnsi="Garamond" w:cs="Times New Roman"/>
          <w:b/>
          <w:bCs/>
          <w:sz w:val="28"/>
          <w:szCs w:val="28"/>
          <w:lang w:eastAsia="pt-BR"/>
        </w:rPr>
        <w:t xml:space="preserve">EUS EFEITOS </w:t>
      </w:r>
      <w:r w:rsidRPr="00763273">
        <w:rPr>
          <w:rFonts w:ascii="Garamond" w:eastAsia="Times New Roman" w:hAnsi="Garamond" w:cs="Times New Roman"/>
          <w:b/>
          <w:bCs/>
          <w:sz w:val="28"/>
          <w:szCs w:val="28"/>
          <w:lang w:eastAsia="pt-BR"/>
        </w:rPr>
        <w:t>EM CURSOS PRÉ-VESTIBULARES</w:t>
      </w:r>
    </w:p>
    <w:p w14:paraId="6990993B" w14:textId="2F5BB126" w:rsidR="008A6295" w:rsidRPr="00A24256" w:rsidRDefault="004F3A98" w:rsidP="004F3A98">
      <w:pPr>
        <w:spacing w:after="0" w:line="240" w:lineRule="auto"/>
        <w:jc w:val="right"/>
        <w:rPr>
          <w:rFonts w:ascii="Garamond" w:eastAsia="Times New Roman" w:hAnsi="Garamond" w:cs="Times New Roman"/>
          <w:color w:val="000000" w:themeColor="text1"/>
          <w:sz w:val="24"/>
          <w:szCs w:val="24"/>
          <w:lang w:val="en-US" w:eastAsia="pt-BR"/>
        </w:rPr>
      </w:pPr>
      <w:r w:rsidRPr="00A24256">
        <w:rPr>
          <w:rFonts w:ascii="Garamond" w:eastAsia="Times New Roman" w:hAnsi="Garamond" w:cs="Times New Roman"/>
          <w:color w:val="000000" w:themeColor="text1"/>
          <w:sz w:val="24"/>
          <w:szCs w:val="24"/>
          <w:lang w:val="en-US" w:eastAsia="pt-BR"/>
        </w:rPr>
        <w:t>Giovanna Santana</w:t>
      </w:r>
    </w:p>
    <w:p w14:paraId="142FF310" w14:textId="1996B12D" w:rsidR="003143B4" w:rsidRPr="00A24256" w:rsidRDefault="003143B4" w:rsidP="004F3A98">
      <w:pPr>
        <w:spacing w:after="0" w:line="240" w:lineRule="auto"/>
        <w:jc w:val="right"/>
        <w:rPr>
          <w:rFonts w:ascii="Garamond" w:eastAsia="Times New Roman" w:hAnsi="Garamond" w:cs="Times New Roman"/>
          <w:color w:val="000000" w:themeColor="text1"/>
          <w:sz w:val="24"/>
          <w:szCs w:val="24"/>
          <w:lang w:val="en-US" w:eastAsia="pt-BR"/>
        </w:rPr>
      </w:pPr>
      <w:r w:rsidRPr="00A24256">
        <w:rPr>
          <w:rFonts w:ascii="Garamond" w:eastAsia="Times New Roman" w:hAnsi="Garamond" w:cs="Times New Roman"/>
          <w:color w:val="000000" w:themeColor="text1"/>
          <w:sz w:val="24"/>
          <w:szCs w:val="24"/>
          <w:lang w:val="en-US" w:eastAsia="pt-BR"/>
        </w:rPr>
        <w:t>(PPGE/UFSC)</w:t>
      </w:r>
      <w:r>
        <w:rPr>
          <w:rStyle w:val="Refdenotaderodap"/>
          <w:rFonts w:ascii="Garamond" w:eastAsia="Times New Roman" w:hAnsi="Garamond" w:cs="Times New Roman"/>
          <w:color w:val="000000" w:themeColor="text1"/>
          <w:sz w:val="24"/>
          <w:szCs w:val="24"/>
          <w:lang w:eastAsia="pt-BR"/>
        </w:rPr>
        <w:footnoteReference w:id="1"/>
      </w:r>
    </w:p>
    <w:p w14:paraId="1EEF4B19" w14:textId="23D0D479" w:rsidR="003143B4" w:rsidRPr="00A24256" w:rsidRDefault="002450BE" w:rsidP="004F3A98">
      <w:pPr>
        <w:spacing w:after="0" w:line="240" w:lineRule="auto"/>
        <w:jc w:val="right"/>
        <w:rPr>
          <w:rFonts w:ascii="Garamond" w:eastAsia="Times New Roman" w:hAnsi="Garamond" w:cs="Times New Roman"/>
          <w:color w:val="000000" w:themeColor="text1"/>
          <w:sz w:val="24"/>
          <w:szCs w:val="24"/>
          <w:lang w:val="en-US" w:eastAsia="pt-BR"/>
        </w:rPr>
      </w:pPr>
      <w:hyperlink r:id="rId9" w:history="1">
        <w:r w:rsidR="003143B4" w:rsidRPr="00A24256">
          <w:rPr>
            <w:rStyle w:val="Hyperlink"/>
            <w:rFonts w:ascii="Garamond" w:eastAsia="Times New Roman" w:hAnsi="Garamond" w:cs="Times New Roman"/>
            <w:sz w:val="24"/>
            <w:szCs w:val="24"/>
            <w:lang w:val="en-US" w:eastAsia="pt-BR"/>
          </w:rPr>
          <w:t>giovanna_santana@hotmail.com.br</w:t>
        </w:r>
      </w:hyperlink>
    </w:p>
    <w:p w14:paraId="6BA7C695" w14:textId="1333F0BA" w:rsidR="004F3A98" w:rsidRDefault="004F3A98" w:rsidP="004F3A98">
      <w:pPr>
        <w:spacing w:after="0" w:line="240" w:lineRule="auto"/>
        <w:jc w:val="right"/>
        <w:rPr>
          <w:rFonts w:ascii="Garamond" w:eastAsia="Times New Roman" w:hAnsi="Garamond" w:cs="Times New Roman"/>
          <w:color w:val="000000" w:themeColor="text1"/>
          <w:sz w:val="24"/>
          <w:szCs w:val="24"/>
          <w:lang w:eastAsia="pt-BR"/>
        </w:rPr>
      </w:pPr>
      <w:r w:rsidRPr="004F3A98">
        <w:rPr>
          <w:rFonts w:ascii="Garamond" w:eastAsia="Times New Roman" w:hAnsi="Garamond" w:cs="Times New Roman"/>
          <w:color w:val="000000" w:themeColor="text1"/>
          <w:sz w:val="24"/>
          <w:szCs w:val="24"/>
          <w:lang w:eastAsia="pt-BR"/>
        </w:rPr>
        <w:t>Elison Antonio Paim</w:t>
      </w:r>
    </w:p>
    <w:p w14:paraId="4AA6C5E5" w14:textId="31057985" w:rsidR="003143B4" w:rsidRDefault="003143B4" w:rsidP="004F3A98">
      <w:pPr>
        <w:spacing w:after="0" w:line="240" w:lineRule="auto"/>
        <w:jc w:val="right"/>
        <w:rPr>
          <w:rFonts w:ascii="Garamond" w:eastAsia="Times New Roman" w:hAnsi="Garamond" w:cs="Times New Roman"/>
          <w:color w:val="000000" w:themeColor="text1"/>
          <w:sz w:val="24"/>
          <w:szCs w:val="24"/>
          <w:lang w:eastAsia="pt-BR"/>
        </w:rPr>
      </w:pPr>
      <w:r>
        <w:rPr>
          <w:rFonts w:ascii="Garamond" w:eastAsia="Times New Roman" w:hAnsi="Garamond" w:cs="Times New Roman"/>
          <w:color w:val="000000" w:themeColor="text1"/>
          <w:sz w:val="24"/>
          <w:szCs w:val="24"/>
          <w:lang w:eastAsia="pt-BR"/>
        </w:rPr>
        <w:t>(PPGE/UFSC)</w:t>
      </w:r>
      <w:r>
        <w:rPr>
          <w:rStyle w:val="Refdenotaderodap"/>
          <w:rFonts w:ascii="Garamond" w:eastAsia="Times New Roman" w:hAnsi="Garamond" w:cs="Times New Roman"/>
          <w:color w:val="000000" w:themeColor="text1"/>
          <w:sz w:val="24"/>
          <w:szCs w:val="24"/>
          <w:lang w:eastAsia="pt-BR"/>
        </w:rPr>
        <w:footnoteReference w:id="2"/>
      </w:r>
    </w:p>
    <w:p w14:paraId="58B971B5" w14:textId="243A916F" w:rsidR="003143B4" w:rsidRDefault="002450BE" w:rsidP="004F3A98">
      <w:pPr>
        <w:spacing w:after="0" w:line="240" w:lineRule="auto"/>
        <w:jc w:val="right"/>
        <w:rPr>
          <w:rFonts w:ascii="Garamond" w:eastAsia="Times New Roman" w:hAnsi="Garamond" w:cs="Times New Roman"/>
          <w:color w:val="000000" w:themeColor="text1"/>
          <w:sz w:val="24"/>
          <w:szCs w:val="24"/>
          <w:lang w:eastAsia="pt-BR"/>
        </w:rPr>
      </w:pPr>
      <w:hyperlink r:id="rId10" w:history="1">
        <w:r w:rsidR="003143B4" w:rsidRPr="000255B9">
          <w:rPr>
            <w:rStyle w:val="Hyperlink"/>
            <w:rFonts w:ascii="Garamond" w:eastAsia="Times New Roman" w:hAnsi="Garamond" w:cs="Times New Roman"/>
            <w:sz w:val="24"/>
            <w:szCs w:val="24"/>
            <w:lang w:eastAsia="pt-BR"/>
          </w:rPr>
          <w:t>elison0406@gmail.com</w:t>
        </w:r>
      </w:hyperlink>
    </w:p>
    <w:p w14:paraId="7F9D4B29" w14:textId="77777777" w:rsidR="003143B4" w:rsidRPr="004F3A98" w:rsidRDefault="003143B4" w:rsidP="004F3A98">
      <w:pPr>
        <w:spacing w:after="0" w:line="240" w:lineRule="auto"/>
        <w:jc w:val="right"/>
        <w:rPr>
          <w:rFonts w:ascii="Garamond" w:eastAsia="Times New Roman" w:hAnsi="Garamond" w:cs="Times New Roman"/>
          <w:color w:val="000000" w:themeColor="text1"/>
          <w:sz w:val="24"/>
          <w:szCs w:val="24"/>
          <w:lang w:eastAsia="pt-BR"/>
        </w:rPr>
      </w:pPr>
    </w:p>
    <w:p w14:paraId="7FDB5D9A" w14:textId="587A79B3" w:rsidR="00010F6F" w:rsidRDefault="004F3A98" w:rsidP="00896F99">
      <w:pPr>
        <w:spacing w:after="0" w:line="240" w:lineRule="auto"/>
        <w:jc w:val="both"/>
        <w:rPr>
          <w:rFonts w:ascii="Times New Roman" w:hAnsi="Times New Roman" w:cs="Times New Roman"/>
          <w:sz w:val="24"/>
          <w:szCs w:val="24"/>
        </w:rPr>
      </w:pPr>
      <w:r w:rsidRPr="00C5567E">
        <w:rPr>
          <w:rFonts w:ascii="Garamond" w:eastAsia="Times New Roman" w:hAnsi="Garamond" w:cs="Times New Roman"/>
          <w:b/>
          <w:bCs/>
          <w:sz w:val="24"/>
          <w:szCs w:val="24"/>
          <w:lang w:eastAsia="pt-BR"/>
        </w:rPr>
        <w:t>Resumo</w:t>
      </w:r>
      <w:r w:rsidR="00806C3F" w:rsidRPr="00C5567E">
        <w:rPr>
          <w:rFonts w:ascii="Garamond" w:eastAsia="Times New Roman" w:hAnsi="Garamond" w:cs="Times New Roman"/>
          <w:b/>
          <w:bCs/>
          <w:sz w:val="24"/>
          <w:szCs w:val="24"/>
          <w:lang w:eastAsia="pt-BR"/>
        </w:rPr>
        <w:t>:</w:t>
      </w:r>
      <w:r w:rsidR="00806C3F">
        <w:rPr>
          <w:rFonts w:ascii="Garamond" w:eastAsia="Times New Roman" w:hAnsi="Garamond" w:cs="Times New Roman"/>
          <w:b/>
          <w:bCs/>
          <w:color w:val="BD1633"/>
          <w:sz w:val="24"/>
          <w:szCs w:val="24"/>
          <w:lang w:eastAsia="pt-BR"/>
        </w:rPr>
        <w:t xml:space="preserve"> </w:t>
      </w:r>
      <w:r w:rsidR="00A24256" w:rsidRPr="00806C3F">
        <w:rPr>
          <w:rFonts w:ascii="Times New Roman" w:eastAsia="Times New Roman" w:hAnsi="Times New Roman" w:cs="Times New Roman"/>
          <w:sz w:val="24"/>
          <w:szCs w:val="24"/>
          <w:lang w:eastAsia="pt-BR"/>
        </w:rPr>
        <w:t>Este trabalho resulta de uma dissertação de mestrado em Educação, na qual investigou-se a relação entre o ensino nos pré-vestibulares e o conceito de educação b</w:t>
      </w:r>
      <w:r w:rsidR="00806C3F">
        <w:rPr>
          <w:rFonts w:ascii="Times New Roman" w:eastAsia="Times New Roman" w:hAnsi="Times New Roman" w:cs="Times New Roman"/>
          <w:sz w:val="24"/>
          <w:szCs w:val="24"/>
          <w:lang w:eastAsia="pt-BR"/>
        </w:rPr>
        <w:t>ancária, cunhado por Paulo Freire</w:t>
      </w:r>
      <w:r w:rsidR="00A24256" w:rsidRPr="00806C3F">
        <w:rPr>
          <w:rFonts w:ascii="Times New Roman" w:eastAsia="Times New Roman" w:hAnsi="Times New Roman" w:cs="Times New Roman"/>
          <w:sz w:val="24"/>
          <w:szCs w:val="24"/>
          <w:lang w:eastAsia="pt-BR"/>
        </w:rPr>
        <w:t xml:space="preserve">. </w:t>
      </w:r>
      <w:r w:rsidR="00806C3F" w:rsidRPr="00806C3F">
        <w:rPr>
          <w:rFonts w:ascii="Times New Roman" w:hAnsi="Times New Roman" w:cs="Times New Roman"/>
          <w:sz w:val="24"/>
          <w:szCs w:val="24"/>
        </w:rPr>
        <w:t>Estudar a dinâmica dos pré-vestibulares se faz necessário à medida em que suas estruturas estão presentes nos currículos da Educação Básica, especialmente, nos anos finais do Ensino Médio.</w:t>
      </w:r>
      <w:r w:rsidR="00806C3F">
        <w:rPr>
          <w:rFonts w:ascii="Times New Roman" w:hAnsi="Times New Roman" w:cs="Times New Roman"/>
          <w:sz w:val="24"/>
          <w:szCs w:val="24"/>
        </w:rPr>
        <w:t xml:space="preserve"> </w:t>
      </w:r>
      <w:r w:rsidR="006809CE">
        <w:rPr>
          <w:rFonts w:ascii="Times New Roman" w:hAnsi="Times New Roman" w:cs="Times New Roman"/>
          <w:sz w:val="24"/>
          <w:szCs w:val="24"/>
        </w:rPr>
        <w:t>Partindo do</w:t>
      </w:r>
      <w:r w:rsidR="00806C3F">
        <w:rPr>
          <w:rFonts w:ascii="Times New Roman" w:hAnsi="Times New Roman" w:cs="Times New Roman"/>
          <w:sz w:val="24"/>
          <w:szCs w:val="24"/>
        </w:rPr>
        <w:t xml:space="preserve"> referencial teórico freiriano, problematizamos questões éticas relacionas às práticas desenvolvidas </w:t>
      </w:r>
      <w:r w:rsidR="006809CE">
        <w:rPr>
          <w:rFonts w:ascii="Times New Roman" w:hAnsi="Times New Roman" w:cs="Times New Roman"/>
          <w:sz w:val="24"/>
          <w:szCs w:val="24"/>
        </w:rPr>
        <w:t>nos cursinhos</w:t>
      </w:r>
      <w:r w:rsidR="00806C3F">
        <w:rPr>
          <w:rFonts w:ascii="Times New Roman" w:hAnsi="Times New Roman" w:cs="Times New Roman"/>
          <w:sz w:val="24"/>
          <w:szCs w:val="24"/>
        </w:rPr>
        <w:t xml:space="preserve"> </w:t>
      </w:r>
      <w:r w:rsidR="00840ACF">
        <w:rPr>
          <w:rFonts w:ascii="Times New Roman" w:hAnsi="Times New Roman" w:cs="Times New Roman"/>
          <w:sz w:val="24"/>
          <w:szCs w:val="24"/>
        </w:rPr>
        <w:t xml:space="preserve">privados </w:t>
      </w:r>
      <w:r w:rsidR="00806C3F">
        <w:rPr>
          <w:rFonts w:ascii="Times New Roman" w:hAnsi="Times New Roman" w:cs="Times New Roman"/>
          <w:sz w:val="24"/>
          <w:szCs w:val="24"/>
        </w:rPr>
        <w:t xml:space="preserve">e objetivamos </w:t>
      </w:r>
      <w:r w:rsidR="00010F6F">
        <w:rPr>
          <w:rFonts w:ascii="Times New Roman" w:hAnsi="Times New Roman" w:cs="Times New Roman"/>
          <w:sz w:val="24"/>
          <w:szCs w:val="24"/>
        </w:rPr>
        <w:t>refletir sobre os limites impostos</w:t>
      </w:r>
      <w:r w:rsidR="00840ACF">
        <w:rPr>
          <w:rFonts w:ascii="Times New Roman" w:hAnsi="Times New Roman" w:cs="Times New Roman"/>
          <w:sz w:val="24"/>
          <w:szCs w:val="24"/>
        </w:rPr>
        <w:t xml:space="preserve"> pelas suas metodologias</w:t>
      </w:r>
      <w:r w:rsidR="00010F6F">
        <w:rPr>
          <w:rFonts w:ascii="Times New Roman" w:hAnsi="Times New Roman" w:cs="Times New Roman"/>
          <w:sz w:val="24"/>
          <w:szCs w:val="24"/>
        </w:rPr>
        <w:t xml:space="preserve">. As fontes </w:t>
      </w:r>
      <w:r w:rsidR="006809CE">
        <w:rPr>
          <w:rFonts w:ascii="Times New Roman" w:hAnsi="Times New Roman" w:cs="Times New Roman"/>
          <w:sz w:val="24"/>
          <w:szCs w:val="24"/>
        </w:rPr>
        <w:t>são</w:t>
      </w:r>
      <w:r w:rsidR="00010F6F">
        <w:rPr>
          <w:rFonts w:ascii="Times New Roman" w:hAnsi="Times New Roman" w:cs="Times New Roman"/>
          <w:sz w:val="24"/>
          <w:szCs w:val="24"/>
        </w:rPr>
        <w:t xml:space="preserve"> pesquisas bibliográficas, reportagens e breves relatos </w:t>
      </w:r>
      <w:r w:rsidR="00840ACF">
        <w:rPr>
          <w:rFonts w:ascii="Times New Roman" w:hAnsi="Times New Roman" w:cs="Times New Roman"/>
          <w:sz w:val="24"/>
          <w:szCs w:val="24"/>
        </w:rPr>
        <w:t xml:space="preserve">de experiência </w:t>
      </w:r>
      <w:r w:rsidR="00010F6F">
        <w:rPr>
          <w:rFonts w:ascii="Times New Roman" w:hAnsi="Times New Roman" w:cs="Times New Roman"/>
          <w:sz w:val="24"/>
          <w:szCs w:val="24"/>
        </w:rPr>
        <w:t xml:space="preserve">que contemplam </w:t>
      </w:r>
      <w:r w:rsidR="006809CE">
        <w:rPr>
          <w:rFonts w:ascii="Times New Roman" w:hAnsi="Times New Roman" w:cs="Times New Roman"/>
          <w:sz w:val="24"/>
          <w:szCs w:val="24"/>
        </w:rPr>
        <w:t>o estudo da</w:t>
      </w:r>
      <w:r w:rsidR="00010F6F">
        <w:rPr>
          <w:rFonts w:ascii="Times New Roman" w:hAnsi="Times New Roman" w:cs="Times New Roman"/>
          <w:sz w:val="24"/>
          <w:szCs w:val="24"/>
        </w:rPr>
        <w:t xml:space="preserve"> temática. Considerou-se</w:t>
      </w:r>
      <w:r w:rsidR="002D5A8F">
        <w:rPr>
          <w:rFonts w:ascii="Times New Roman" w:hAnsi="Times New Roman" w:cs="Times New Roman"/>
          <w:sz w:val="24"/>
          <w:szCs w:val="24"/>
        </w:rPr>
        <w:t xml:space="preserve"> </w:t>
      </w:r>
      <w:r w:rsidR="00896F99">
        <w:rPr>
          <w:rFonts w:ascii="Times New Roman" w:hAnsi="Times New Roman" w:cs="Times New Roman"/>
          <w:sz w:val="24"/>
          <w:szCs w:val="24"/>
        </w:rPr>
        <w:t xml:space="preserve">a necessidade de pôr em evidência estas práticas a fim de estimular </w:t>
      </w:r>
      <w:r w:rsidR="00D567D4">
        <w:rPr>
          <w:rFonts w:ascii="Times New Roman" w:hAnsi="Times New Roman" w:cs="Times New Roman"/>
          <w:sz w:val="24"/>
          <w:szCs w:val="24"/>
        </w:rPr>
        <w:t xml:space="preserve">a </w:t>
      </w:r>
      <w:r w:rsidR="00896F99">
        <w:rPr>
          <w:rFonts w:ascii="Times New Roman" w:hAnsi="Times New Roman" w:cs="Times New Roman"/>
          <w:sz w:val="24"/>
          <w:szCs w:val="24"/>
        </w:rPr>
        <w:t xml:space="preserve">produção de pesquisas </w:t>
      </w:r>
      <w:r w:rsidR="002F6428">
        <w:rPr>
          <w:rFonts w:ascii="Times New Roman" w:hAnsi="Times New Roman" w:cs="Times New Roman"/>
          <w:sz w:val="24"/>
          <w:szCs w:val="24"/>
        </w:rPr>
        <w:t xml:space="preserve">e debates </w:t>
      </w:r>
      <w:r w:rsidR="00896F99">
        <w:rPr>
          <w:rFonts w:ascii="Times New Roman" w:hAnsi="Times New Roman" w:cs="Times New Roman"/>
          <w:sz w:val="24"/>
          <w:szCs w:val="24"/>
        </w:rPr>
        <w:t>que denunciem os efeitos da</w:t>
      </w:r>
      <w:r w:rsidR="002D5A8F">
        <w:rPr>
          <w:rFonts w:ascii="Times New Roman" w:hAnsi="Times New Roman"/>
          <w:sz w:val="24"/>
          <w:szCs w:val="24"/>
        </w:rPr>
        <w:t xml:space="preserve"> educação bancária em direção </w:t>
      </w:r>
      <w:r w:rsidR="00D567D4">
        <w:rPr>
          <w:rFonts w:ascii="Times New Roman" w:hAnsi="Times New Roman"/>
          <w:sz w:val="24"/>
          <w:szCs w:val="24"/>
        </w:rPr>
        <w:t xml:space="preserve">ao diálogo crítico que constituí </w:t>
      </w:r>
      <w:r w:rsidR="002D5A8F">
        <w:rPr>
          <w:rFonts w:ascii="Times New Roman" w:hAnsi="Times New Roman"/>
          <w:sz w:val="24"/>
          <w:szCs w:val="24"/>
        </w:rPr>
        <w:t>a</w:t>
      </w:r>
      <w:r w:rsidR="00D567D4">
        <w:rPr>
          <w:rFonts w:ascii="Times New Roman" w:hAnsi="Times New Roman"/>
          <w:sz w:val="24"/>
          <w:szCs w:val="24"/>
        </w:rPr>
        <w:t xml:space="preserve"> essência da </w:t>
      </w:r>
      <w:r w:rsidR="002D5A8F">
        <w:rPr>
          <w:rFonts w:ascii="Times New Roman" w:hAnsi="Times New Roman"/>
          <w:sz w:val="24"/>
          <w:szCs w:val="24"/>
        </w:rPr>
        <w:t>educação libertadora</w:t>
      </w:r>
      <w:r w:rsidR="00010F6F">
        <w:rPr>
          <w:rFonts w:ascii="Times New Roman" w:hAnsi="Times New Roman"/>
          <w:sz w:val="24"/>
          <w:szCs w:val="24"/>
        </w:rPr>
        <w:t>.</w:t>
      </w:r>
    </w:p>
    <w:p w14:paraId="24F65489" w14:textId="2D491FAF" w:rsidR="001E688E" w:rsidRDefault="00806C3F" w:rsidP="00896F99">
      <w:pPr>
        <w:spacing w:after="0" w:line="240" w:lineRule="auto"/>
        <w:jc w:val="both"/>
        <w:rPr>
          <w:rFonts w:ascii="Times New Roman" w:hAnsi="Times New Roman" w:cs="Times New Roman"/>
          <w:sz w:val="24"/>
          <w:szCs w:val="24"/>
        </w:rPr>
        <w:sectPr w:rsidR="001E688E" w:rsidSect="001E688E">
          <w:headerReference w:type="default" r:id="rId11"/>
          <w:footerReference w:type="default" r:id="rId12"/>
          <w:headerReference w:type="first" r:id="rId13"/>
          <w:footerReference w:type="first" r:id="rId14"/>
          <w:pgSz w:w="11906" w:h="16838"/>
          <w:pgMar w:top="1701" w:right="1134" w:bottom="2552" w:left="1701" w:header="709" w:footer="0" w:gutter="0"/>
          <w:cols w:space="708"/>
          <w:titlePg/>
          <w:docGrid w:linePitch="360"/>
        </w:sectPr>
      </w:pPr>
      <w:r w:rsidRPr="00896F99">
        <w:rPr>
          <w:rFonts w:ascii="Times New Roman" w:hAnsi="Times New Roman" w:cs="Times New Roman"/>
          <w:b/>
          <w:bCs/>
          <w:sz w:val="24"/>
          <w:szCs w:val="24"/>
        </w:rPr>
        <w:t>Palavras-chave</w:t>
      </w:r>
      <w:r w:rsidRPr="00806C3F">
        <w:rPr>
          <w:rFonts w:ascii="Times New Roman" w:hAnsi="Times New Roman" w:cs="Times New Roman"/>
          <w:sz w:val="24"/>
          <w:szCs w:val="24"/>
        </w:rPr>
        <w:t xml:space="preserve">: </w:t>
      </w:r>
      <w:r w:rsidR="001758F7">
        <w:rPr>
          <w:rFonts w:ascii="Times New Roman" w:hAnsi="Times New Roman" w:cs="Times New Roman"/>
          <w:sz w:val="24"/>
          <w:szCs w:val="24"/>
        </w:rPr>
        <w:t>Pré-vestibulares</w:t>
      </w:r>
      <w:r w:rsidR="00C5567E">
        <w:rPr>
          <w:rFonts w:ascii="Times New Roman" w:hAnsi="Times New Roman" w:cs="Times New Roman"/>
          <w:sz w:val="24"/>
          <w:szCs w:val="24"/>
        </w:rPr>
        <w:t>,</w:t>
      </w:r>
      <w:r w:rsidR="001758F7">
        <w:rPr>
          <w:rFonts w:ascii="Times New Roman" w:hAnsi="Times New Roman" w:cs="Times New Roman"/>
          <w:sz w:val="24"/>
          <w:szCs w:val="24"/>
        </w:rPr>
        <w:t xml:space="preserve"> Educação Bancária</w:t>
      </w:r>
      <w:r w:rsidR="00C5567E">
        <w:rPr>
          <w:rFonts w:ascii="Times New Roman" w:hAnsi="Times New Roman" w:cs="Times New Roman"/>
          <w:sz w:val="24"/>
          <w:szCs w:val="24"/>
        </w:rPr>
        <w:t>,</w:t>
      </w:r>
      <w:r w:rsidR="001758F7">
        <w:rPr>
          <w:rFonts w:ascii="Times New Roman" w:hAnsi="Times New Roman" w:cs="Times New Roman"/>
          <w:sz w:val="24"/>
          <w:szCs w:val="24"/>
        </w:rPr>
        <w:t xml:space="preserve"> Paulo Freire</w:t>
      </w:r>
      <w:r w:rsidR="00896F99">
        <w:rPr>
          <w:rFonts w:ascii="Times New Roman" w:hAnsi="Times New Roman" w:cs="Times New Roman"/>
          <w:sz w:val="24"/>
          <w:szCs w:val="24"/>
        </w:rPr>
        <w:t>.</w:t>
      </w:r>
    </w:p>
    <w:p w14:paraId="6CF8B375" w14:textId="0F732ADF" w:rsidR="004F3A98" w:rsidRPr="00763273" w:rsidRDefault="004F3A98" w:rsidP="00896F99">
      <w:pPr>
        <w:spacing w:after="0" w:line="240" w:lineRule="auto"/>
        <w:jc w:val="both"/>
        <w:rPr>
          <w:rFonts w:ascii="Garamond" w:eastAsia="Times New Roman" w:hAnsi="Garamond" w:cs="Times New Roman"/>
          <w:b/>
          <w:bCs/>
          <w:sz w:val="24"/>
          <w:szCs w:val="24"/>
          <w:lang w:eastAsia="pt-BR"/>
        </w:rPr>
      </w:pPr>
      <w:r w:rsidRPr="00763273">
        <w:rPr>
          <w:rFonts w:ascii="Garamond" w:eastAsia="Times New Roman" w:hAnsi="Garamond" w:cs="Times New Roman"/>
          <w:b/>
          <w:bCs/>
          <w:sz w:val="24"/>
          <w:szCs w:val="24"/>
          <w:lang w:eastAsia="pt-BR"/>
        </w:rPr>
        <w:lastRenderedPageBreak/>
        <w:t xml:space="preserve">Introdução </w:t>
      </w:r>
    </w:p>
    <w:p w14:paraId="63C97376" w14:textId="77777777" w:rsidR="006809CE" w:rsidRDefault="006809CE" w:rsidP="00896F99">
      <w:pPr>
        <w:spacing w:after="0" w:line="240" w:lineRule="auto"/>
        <w:ind w:firstLine="851"/>
        <w:jc w:val="both"/>
        <w:rPr>
          <w:rFonts w:ascii="Times New Roman" w:hAnsi="Times New Roman"/>
          <w:sz w:val="24"/>
          <w:szCs w:val="24"/>
        </w:rPr>
      </w:pPr>
    </w:p>
    <w:p w14:paraId="34C72D08" w14:textId="2AAD614C" w:rsidR="00695E4C" w:rsidRPr="005C466D" w:rsidRDefault="00695E4C" w:rsidP="00896F99">
      <w:pPr>
        <w:spacing w:after="0" w:line="240" w:lineRule="auto"/>
        <w:ind w:firstLine="851"/>
        <w:jc w:val="both"/>
        <w:rPr>
          <w:rFonts w:ascii="Times New Roman" w:hAnsi="Times New Roman"/>
          <w:sz w:val="24"/>
          <w:szCs w:val="24"/>
        </w:rPr>
      </w:pPr>
      <w:r w:rsidRPr="005C466D">
        <w:rPr>
          <w:rFonts w:ascii="Times New Roman" w:hAnsi="Times New Roman"/>
          <w:sz w:val="24"/>
          <w:szCs w:val="24"/>
        </w:rPr>
        <w:t xml:space="preserve">O crescimento dos cursos pré-vestibulares remonta à invenção do exame </w:t>
      </w:r>
      <w:r w:rsidR="00116350">
        <w:rPr>
          <w:rFonts w:ascii="Times New Roman" w:hAnsi="Times New Roman"/>
          <w:sz w:val="24"/>
          <w:szCs w:val="24"/>
        </w:rPr>
        <w:t xml:space="preserve">de </w:t>
      </w:r>
      <w:r w:rsidRPr="005C466D">
        <w:rPr>
          <w:rFonts w:ascii="Times New Roman" w:hAnsi="Times New Roman"/>
          <w:sz w:val="24"/>
          <w:szCs w:val="24"/>
        </w:rPr>
        <w:t xml:space="preserve">vestibular em 1910, mas assume a forma como hoje conhecemos por “cursinho” somente na década de 1970, uma vez que o vestibular como método seletivo classificatório tem sua procedência na Reforma Universitária de 1968, durante a ditadura civil-militar. Com a subsequente expansão do </w:t>
      </w:r>
      <w:r w:rsidR="007E41E1">
        <w:rPr>
          <w:rFonts w:ascii="Times New Roman" w:hAnsi="Times New Roman"/>
          <w:sz w:val="24"/>
          <w:szCs w:val="24"/>
        </w:rPr>
        <w:t>E</w:t>
      </w:r>
      <w:r w:rsidRPr="005C466D">
        <w:rPr>
          <w:rFonts w:ascii="Times New Roman" w:hAnsi="Times New Roman"/>
          <w:sz w:val="24"/>
          <w:szCs w:val="24"/>
        </w:rPr>
        <w:t xml:space="preserve">nsino </w:t>
      </w:r>
      <w:r w:rsidR="007E41E1">
        <w:rPr>
          <w:rFonts w:ascii="Times New Roman" w:hAnsi="Times New Roman"/>
          <w:sz w:val="24"/>
          <w:szCs w:val="24"/>
        </w:rPr>
        <w:t>S</w:t>
      </w:r>
      <w:r w:rsidRPr="005C466D">
        <w:rPr>
          <w:rFonts w:ascii="Times New Roman" w:hAnsi="Times New Roman"/>
          <w:sz w:val="24"/>
          <w:szCs w:val="24"/>
        </w:rPr>
        <w:t xml:space="preserve">uperior no país e </w:t>
      </w:r>
      <w:r w:rsidR="002F6428">
        <w:rPr>
          <w:rFonts w:ascii="Times New Roman" w:hAnsi="Times New Roman"/>
          <w:sz w:val="24"/>
          <w:szCs w:val="24"/>
        </w:rPr>
        <w:t>das</w:t>
      </w:r>
      <w:r w:rsidRPr="005C466D">
        <w:rPr>
          <w:rFonts w:ascii="Times New Roman" w:hAnsi="Times New Roman"/>
          <w:sz w:val="24"/>
          <w:szCs w:val="24"/>
        </w:rPr>
        <w:t xml:space="preserve"> sucessivas reformas que reorientaram o caráter dos exames</w:t>
      </w:r>
      <w:r w:rsidR="007E41E1">
        <w:rPr>
          <w:rFonts w:ascii="Times New Roman" w:hAnsi="Times New Roman"/>
          <w:sz w:val="24"/>
          <w:szCs w:val="24"/>
        </w:rPr>
        <w:t>, o fenômeno</w:t>
      </w:r>
      <w:r w:rsidRPr="005C466D">
        <w:rPr>
          <w:rFonts w:ascii="Times New Roman" w:hAnsi="Times New Roman"/>
          <w:sz w:val="24"/>
          <w:szCs w:val="24"/>
        </w:rPr>
        <w:t xml:space="preserve"> adquiriu uma postura empresarial </w:t>
      </w:r>
      <w:r w:rsidR="00D567D4">
        <w:rPr>
          <w:rFonts w:ascii="Times New Roman" w:hAnsi="Times New Roman"/>
          <w:sz w:val="24"/>
          <w:szCs w:val="24"/>
        </w:rPr>
        <w:t xml:space="preserve">em </w:t>
      </w:r>
      <w:r w:rsidR="007E41E1">
        <w:rPr>
          <w:rFonts w:ascii="Times New Roman" w:hAnsi="Times New Roman"/>
          <w:sz w:val="24"/>
          <w:szCs w:val="24"/>
        </w:rPr>
        <w:t>meio</w:t>
      </w:r>
      <w:r w:rsidRPr="005C466D">
        <w:rPr>
          <w:rFonts w:ascii="Times New Roman" w:hAnsi="Times New Roman"/>
          <w:sz w:val="24"/>
          <w:szCs w:val="24"/>
        </w:rPr>
        <w:t xml:space="preserve"> a década de 1970, tendo sua expansão massiva no país a partir de 1990</w:t>
      </w:r>
      <w:r>
        <w:rPr>
          <w:rFonts w:ascii="Times New Roman" w:hAnsi="Times New Roman"/>
          <w:sz w:val="24"/>
          <w:szCs w:val="24"/>
        </w:rPr>
        <w:t>.</w:t>
      </w:r>
    </w:p>
    <w:p w14:paraId="7CDAB9AC" w14:textId="63206944" w:rsidR="006809CE" w:rsidRPr="008A6295" w:rsidRDefault="006809CE" w:rsidP="006809CE">
      <w:pPr>
        <w:spacing w:after="0" w:line="240" w:lineRule="auto"/>
        <w:ind w:firstLine="851"/>
        <w:jc w:val="both"/>
        <w:rPr>
          <w:rFonts w:ascii="Times New Roman" w:hAnsi="Times New Roman" w:cs="Times New Roman"/>
          <w:sz w:val="24"/>
          <w:szCs w:val="24"/>
        </w:rPr>
      </w:pPr>
      <w:r w:rsidRPr="008A6295">
        <w:rPr>
          <w:rFonts w:ascii="Times New Roman" w:hAnsi="Times New Roman" w:cs="Times New Roman"/>
          <w:sz w:val="24"/>
          <w:szCs w:val="24"/>
        </w:rPr>
        <w:t xml:space="preserve">Iniciamos </w:t>
      </w:r>
      <w:r w:rsidR="005E201C">
        <w:rPr>
          <w:rFonts w:ascii="Times New Roman" w:hAnsi="Times New Roman" w:cs="Times New Roman"/>
          <w:sz w:val="24"/>
          <w:szCs w:val="24"/>
        </w:rPr>
        <w:t xml:space="preserve">nossa </w:t>
      </w:r>
      <w:r w:rsidR="00695E4C">
        <w:rPr>
          <w:rFonts w:ascii="Times New Roman" w:hAnsi="Times New Roman" w:cs="Times New Roman"/>
          <w:sz w:val="24"/>
          <w:szCs w:val="24"/>
        </w:rPr>
        <w:t>pesquisa</w:t>
      </w:r>
      <w:r w:rsidR="00331061">
        <w:rPr>
          <w:rFonts w:ascii="Times New Roman" w:hAnsi="Times New Roman" w:cs="Times New Roman"/>
          <w:sz w:val="24"/>
          <w:szCs w:val="24"/>
        </w:rPr>
        <w:t xml:space="preserve"> no campo da História da Educação</w:t>
      </w:r>
      <w:r w:rsidR="00695E4C">
        <w:rPr>
          <w:rFonts w:ascii="Times New Roman" w:hAnsi="Times New Roman" w:cs="Times New Roman"/>
          <w:sz w:val="24"/>
          <w:szCs w:val="24"/>
        </w:rPr>
        <w:t xml:space="preserve"> </w:t>
      </w:r>
      <w:r w:rsidRPr="008A6295">
        <w:rPr>
          <w:rFonts w:ascii="Times New Roman" w:hAnsi="Times New Roman" w:cs="Times New Roman"/>
          <w:sz w:val="24"/>
          <w:szCs w:val="24"/>
        </w:rPr>
        <w:t>pelas publicações da socióloga Dulce Whitaker (2010; 2013), professora da Faculdade de Ciências e Letras da Universidade Estadual Paulista (FCLAr/UNESP) em Araraquara-SP, quem estudou a formação dos cursinhos no desde o final da década de 1970. De modo geral, seu trabalho versou sobre as dificuldades dos vestibulandos de baixa renda face a urbanização do Brasil no pós-guerra, com particular atenção para o surgimento de versões alternativas e populares.</w:t>
      </w:r>
    </w:p>
    <w:p w14:paraId="6E11F491" w14:textId="383E00B1" w:rsidR="006809CE" w:rsidRPr="008A6295" w:rsidRDefault="006809CE" w:rsidP="006809CE">
      <w:pPr>
        <w:pStyle w:val="Default"/>
        <w:ind w:firstLine="851"/>
        <w:jc w:val="both"/>
      </w:pPr>
      <w:r w:rsidRPr="008A6295">
        <w:t xml:space="preserve">Em resumo, considera que os cursos pré-vestibulares configuram um fenômeno brasileiro e se comportam como anomalias dentro do sistema educacional no país, já que surgiram de modo paralelo ao sistema formal de ensino, alcançando hoje uma situação de normalidade junto ao currículo escolar. Seu interesse pelo tema encontra-se fixado nos estraves à democratização do acesso à universidade associado ao que denomina de efeito cursinho, isto é, a perspectiva dos estudantes tanto de escolas públicas quanto privadas recorrerem aos pré-vestibulares como auxílio para o ingresso no Ensino Superior. </w:t>
      </w:r>
    </w:p>
    <w:p w14:paraId="0F3A7249" w14:textId="7C3ABC62" w:rsidR="006809CE" w:rsidRDefault="006809CE" w:rsidP="006809CE">
      <w:pPr>
        <w:pStyle w:val="Default"/>
        <w:ind w:firstLine="851"/>
        <w:jc w:val="both"/>
      </w:pPr>
      <w:r w:rsidRPr="008A6295">
        <w:t xml:space="preserve">O efeito cursinho foi constatado a partir de duas pesquisas que realizou com base nos dados da Fundação para o Vestibular da Unesp (VUNESP) entre os anos de 1985 e 1986, e mais tarde, em 1995 e 1996, constando em ambas as pesquisas que a maioria dos estudantes aprovados nos exames classificatórios de cursos concorridos frequentaram, por uma média de dois anos, cursinhos pré-vestibulares. Logo, por funcionarem para determinadas classes sociais, sua expansão </w:t>
      </w:r>
      <w:r>
        <w:t>foi</w:t>
      </w:r>
      <w:r w:rsidRPr="008A6295">
        <w:t xml:space="preserve"> cogitada em outras realidades brasileiras, consumando efetivamente o fenômeno que buscou caracterizar. </w:t>
      </w:r>
    </w:p>
    <w:p w14:paraId="41E04CE5" w14:textId="31015711" w:rsidR="006809CE" w:rsidRPr="008A6295" w:rsidRDefault="006809CE" w:rsidP="006809CE">
      <w:pPr>
        <w:pStyle w:val="Default"/>
        <w:ind w:firstLine="851"/>
        <w:jc w:val="both"/>
      </w:pPr>
      <w:r w:rsidRPr="008A6295">
        <w:t xml:space="preserve">Segundo a autora, vários dos métodos aplicados pelos cursos preparatórios são condenáveis sob a perspectiva das Ciências da Educação e, no entanto, representam fatores senão de sucesso, ao menos de eficiência na aprovação do vestibular, o que aponta para a condição paradoxal dessas estruturas. No passado professora de um cursinho </w:t>
      </w:r>
      <w:r>
        <w:t>particular</w:t>
      </w:r>
      <w:r w:rsidRPr="008A6295">
        <w:t xml:space="preserve">, confessa ter cometido determinadas práticas que julga antipedagógicas, “ligadas à memorização pura e simples, como a aula-show e a repetição de fórmulas químicas em ritmos populares” (WHITAKER, 2010, p. 290) ou ainda em ideias como “é o professor que sabe, o aluno que não sabe, a memorização, o aluno passivo [...], com o professor inventando formas sensacionalistas para prender a atenção dos alunos.” (WHITAKER, 2013, p. 7). </w:t>
      </w:r>
    </w:p>
    <w:p w14:paraId="1F029BCD" w14:textId="23FF15F6" w:rsidR="006809CE" w:rsidRDefault="001758F7" w:rsidP="00331061">
      <w:pPr>
        <w:tabs>
          <w:tab w:val="left" w:pos="851"/>
        </w:tabs>
        <w:spacing w:after="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b/>
      </w:r>
      <w:r w:rsidR="00695E4C">
        <w:rPr>
          <w:rFonts w:ascii="Times New Roman" w:eastAsia="Times New Roman" w:hAnsi="Times New Roman"/>
          <w:sz w:val="24"/>
          <w:szCs w:val="24"/>
          <w:lang w:eastAsia="pt-BR"/>
        </w:rPr>
        <w:t xml:space="preserve">Tendo em vista estes aspectos, problematizamos quais os efeitos destas práticas em espaços formais de aprendizagem? Quais suas implicações éticas? E de que maneira pode-se </w:t>
      </w:r>
      <w:r w:rsidR="00D567D4">
        <w:rPr>
          <w:rFonts w:ascii="Times New Roman" w:eastAsia="Times New Roman" w:hAnsi="Times New Roman"/>
          <w:sz w:val="24"/>
          <w:szCs w:val="24"/>
          <w:lang w:eastAsia="pt-BR"/>
        </w:rPr>
        <w:t>superar</w:t>
      </w:r>
      <w:r w:rsidR="00695E4C">
        <w:rPr>
          <w:rFonts w:ascii="Times New Roman" w:eastAsia="Times New Roman" w:hAnsi="Times New Roman"/>
          <w:sz w:val="24"/>
          <w:szCs w:val="24"/>
          <w:lang w:eastAsia="pt-BR"/>
        </w:rPr>
        <w:t xml:space="preserve"> essa lógica tendo em vista um</w:t>
      </w:r>
      <w:r w:rsidR="005E201C">
        <w:rPr>
          <w:rFonts w:ascii="Times New Roman" w:eastAsia="Times New Roman" w:hAnsi="Times New Roman"/>
          <w:sz w:val="24"/>
          <w:szCs w:val="24"/>
          <w:lang w:eastAsia="pt-BR"/>
        </w:rPr>
        <w:t>a</w:t>
      </w:r>
      <w:r w:rsidR="00695E4C">
        <w:rPr>
          <w:rFonts w:ascii="Times New Roman" w:eastAsia="Times New Roman" w:hAnsi="Times New Roman"/>
          <w:sz w:val="24"/>
          <w:szCs w:val="24"/>
          <w:lang w:eastAsia="pt-BR"/>
        </w:rPr>
        <w:t xml:space="preserve"> educação</w:t>
      </w:r>
      <w:r w:rsidR="005E201C">
        <w:rPr>
          <w:rFonts w:ascii="Times New Roman" w:eastAsia="Times New Roman" w:hAnsi="Times New Roman"/>
          <w:sz w:val="24"/>
          <w:szCs w:val="24"/>
          <w:lang w:eastAsia="pt-BR"/>
        </w:rPr>
        <w:t xml:space="preserve"> </w:t>
      </w:r>
      <w:r w:rsidR="00695E4C">
        <w:rPr>
          <w:rFonts w:ascii="Times New Roman" w:eastAsia="Times New Roman" w:hAnsi="Times New Roman"/>
          <w:sz w:val="24"/>
          <w:szCs w:val="24"/>
          <w:lang w:eastAsia="pt-BR"/>
        </w:rPr>
        <w:t xml:space="preserve">libertadora?  </w:t>
      </w:r>
    </w:p>
    <w:p w14:paraId="413EC2A0" w14:textId="5786222E" w:rsidR="00331061" w:rsidRDefault="00331061" w:rsidP="00331061">
      <w:pPr>
        <w:spacing w:after="0" w:line="240" w:lineRule="auto"/>
        <w:jc w:val="both"/>
        <w:rPr>
          <w:rFonts w:ascii="Garamond" w:eastAsia="Times New Roman" w:hAnsi="Garamond" w:cs="Times New Roman"/>
          <w:b/>
          <w:bCs/>
          <w:color w:val="BD1633"/>
          <w:sz w:val="24"/>
          <w:szCs w:val="24"/>
          <w:lang w:eastAsia="pt-BR"/>
        </w:rPr>
      </w:pPr>
    </w:p>
    <w:p w14:paraId="5339832D" w14:textId="617C6FF3" w:rsidR="00331061" w:rsidRDefault="00331061" w:rsidP="00331061">
      <w:pPr>
        <w:spacing w:after="0" w:line="240" w:lineRule="auto"/>
        <w:jc w:val="both"/>
        <w:rPr>
          <w:rFonts w:ascii="Garamond" w:eastAsia="Times New Roman" w:hAnsi="Garamond" w:cs="Times New Roman"/>
          <w:b/>
          <w:bCs/>
          <w:color w:val="BD1633"/>
          <w:sz w:val="24"/>
          <w:szCs w:val="24"/>
          <w:lang w:eastAsia="pt-BR"/>
        </w:rPr>
      </w:pPr>
    </w:p>
    <w:p w14:paraId="7DDFB250" w14:textId="09C89CA1"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702D7FD0" w14:textId="1C8D38AA"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70C38D06" w14:textId="19061306"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191479C4" w14:textId="41900A9A"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4DF38AD7" w14:textId="13222C3B"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210789E9" w14:textId="39426525"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432F0A71" w14:textId="77777777" w:rsidR="00760FC0" w:rsidRDefault="00760FC0" w:rsidP="00331061">
      <w:pPr>
        <w:spacing w:after="0" w:line="240" w:lineRule="auto"/>
        <w:jc w:val="both"/>
        <w:rPr>
          <w:rFonts w:ascii="Garamond" w:eastAsia="Times New Roman" w:hAnsi="Garamond" w:cs="Times New Roman"/>
          <w:b/>
          <w:bCs/>
          <w:color w:val="BD1633"/>
          <w:sz w:val="24"/>
          <w:szCs w:val="24"/>
          <w:lang w:eastAsia="pt-BR"/>
        </w:rPr>
      </w:pPr>
    </w:p>
    <w:p w14:paraId="15CBF6E8" w14:textId="520C69AC" w:rsidR="004F3A98" w:rsidRPr="00763273" w:rsidRDefault="004F3A98" w:rsidP="00331061">
      <w:pPr>
        <w:spacing w:after="0" w:line="240" w:lineRule="auto"/>
        <w:jc w:val="both"/>
        <w:rPr>
          <w:rFonts w:ascii="Garamond" w:eastAsia="Times New Roman" w:hAnsi="Garamond" w:cs="Times New Roman"/>
          <w:b/>
          <w:bCs/>
          <w:sz w:val="24"/>
          <w:szCs w:val="24"/>
          <w:lang w:eastAsia="pt-BR"/>
        </w:rPr>
      </w:pPr>
      <w:r w:rsidRPr="00763273">
        <w:rPr>
          <w:rFonts w:ascii="Garamond" w:eastAsia="Times New Roman" w:hAnsi="Garamond" w:cs="Times New Roman"/>
          <w:b/>
          <w:bCs/>
          <w:sz w:val="24"/>
          <w:szCs w:val="24"/>
          <w:lang w:eastAsia="pt-BR"/>
        </w:rPr>
        <w:lastRenderedPageBreak/>
        <w:t xml:space="preserve">Desenvolvimento </w:t>
      </w:r>
    </w:p>
    <w:p w14:paraId="3DD1DDFA" w14:textId="77777777" w:rsidR="00331061" w:rsidRDefault="00331061" w:rsidP="00331061">
      <w:pPr>
        <w:pStyle w:val="Default"/>
        <w:ind w:firstLine="851"/>
        <w:jc w:val="both"/>
      </w:pPr>
    </w:p>
    <w:p w14:paraId="2D48FF7C" w14:textId="1FBD577B" w:rsidR="005E201C" w:rsidRDefault="005E201C" w:rsidP="00331061">
      <w:pPr>
        <w:pStyle w:val="Default"/>
        <w:ind w:firstLine="851"/>
        <w:jc w:val="both"/>
      </w:pPr>
      <w:r w:rsidRPr="008A6295">
        <w:t>Whitaker</w:t>
      </w:r>
      <w:r>
        <w:t xml:space="preserve"> (2010;2013) </w:t>
      </w:r>
      <w:r w:rsidRPr="008A6295">
        <w:t>retoma a concepção bancária</w:t>
      </w:r>
      <w:r w:rsidR="003B51C3">
        <w:t xml:space="preserve"> cunhada por Paulo Freire (2013)</w:t>
      </w:r>
      <w:r w:rsidRPr="008A6295">
        <w:t xml:space="preserve"> devido </w:t>
      </w:r>
      <w:r w:rsidR="00D567D4">
        <w:t xml:space="preserve">ao ensino, neste </w:t>
      </w:r>
      <w:r w:rsidR="003B51C3">
        <w:t>contexto</w:t>
      </w:r>
      <w:r w:rsidR="00D567D4">
        <w:t>,</w:t>
      </w:r>
      <w:r w:rsidR="003B51C3">
        <w:t xml:space="preserve"> </w:t>
      </w:r>
      <w:r w:rsidRPr="008A6295">
        <w:t>estar limitad</w:t>
      </w:r>
      <w:r w:rsidR="00D567D4">
        <w:t>o</w:t>
      </w:r>
      <w:r w:rsidRPr="008A6295">
        <w:t xml:space="preserve"> </w:t>
      </w:r>
      <w:r w:rsidR="00D567D4">
        <w:t>à</w:t>
      </w:r>
      <w:r w:rsidRPr="008A6295">
        <w:t xml:space="preserve"> capacidade de treinamento</w:t>
      </w:r>
      <w:r w:rsidR="003B51C3">
        <w:t>,</w:t>
      </w:r>
      <w:r w:rsidRPr="008A6295">
        <w:t xml:space="preserve"> visto que </w:t>
      </w:r>
      <w:r w:rsidR="003B51C3">
        <w:t>o/a</w:t>
      </w:r>
      <w:r w:rsidRPr="008A6295">
        <w:t xml:space="preserve"> professor</w:t>
      </w:r>
      <w:r w:rsidR="003B51C3">
        <w:t>/a</w:t>
      </w:r>
      <w:r w:rsidRPr="008A6295">
        <w:t xml:space="preserve"> e os</w:t>
      </w:r>
      <w:r w:rsidR="003B51C3">
        <w:t>/as</w:t>
      </w:r>
      <w:r w:rsidRPr="008A6295">
        <w:t xml:space="preserve"> estudantes são reduzidos, respectivamente, ao papel de instrutor</w:t>
      </w:r>
      <w:r w:rsidR="003B51C3">
        <w:t>/a</w:t>
      </w:r>
      <w:r w:rsidRPr="008A6295">
        <w:t xml:space="preserve"> e receptor</w:t>
      </w:r>
      <w:r w:rsidR="003B51C3">
        <w:t>es</w:t>
      </w:r>
      <w:r w:rsidRPr="008A6295">
        <w:t xml:space="preserve"> de </w:t>
      </w:r>
      <w:r w:rsidR="002F6428" w:rsidRPr="008A6295">
        <w:t>conteúdo</w:t>
      </w:r>
      <w:r w:rsidRPr="008A6295">
        <w:t>. Ambos no modelo bancário são destituídos da faculdade de produzir conhecimentos</w:t>
      </w:r>
      <w:r w:rsidR="003B51C3">
        <w:t>,</w:t>
      </w:r>
      <w:r w:rsidRPr="008A6295">
        <w:t xml:space="preserve"> sendo lhes reservada a tarefa de reproduzir as informações por ora socializadas. </w:t>
      </w:r>
    </w:p>
    <w:p w14:paraId="72116A77" w14:textId="5E4E618E" w:rsidR="005E201C" w:rsidRDefault="005E201C" w:rsidP="00331061">
      <w:pPr>
        <w:pStyle w:val="Default"/>
        <w:ind w:firstLine="851"/>
        <w:jc w:val="both"/>
      </w:pPr>
      <w:r>
        <w:t>E</w:t>
      </w:r>
      <w:r w:rsidRPr="008A6295">
        <w:t>xistem outras implicações profundas da visão bancária</w:t>
      </w:r>
      <w:r w:rsidR="003B51C3">
        <w:t>, d</w:t>
      </w:r>
      <w:r w:rsidRPr="008A6295">
        <w:t>entre elas, o fato de seu programa de ensino estar estruturado por “Conteúdos que são retalhos da realidade desconectados da totalidade</w:t>
      </w:r>
      <w:r w:rsidR="00F24EF6">
        <w:t>”</w:t>
      </w:r>
      <w:r w:rsidR="002F6428">
        <w:t xml:space="preserve">, logo </w:t>
      </w:r>
      <w:r w:rsidR="00F24EF6">
        <w:t>destituídos de significação</w:t>
      </w:r>
      <w:r w:rsidR="003B51C3">
        <w:t xml:space="preserve"> (FREIRE, 2013, p. 80-81)</w:t>
      </w:r>
      <w:r w:rsidRPr="008A6295">
        <w:t>. Por esse motivo, a concepção bancária surge como instrumento da opressão e como cúmplice da cultura do silêncio na Pedagogia do Oprimido. A cultura do silêncio</w:t>
      </w:r>
      <w:r w:rsidR="003B51C3">
        <w:t xml:space="preserve"> ou</w:t>
      </w:r>
      <w:r w:rsidRPr="008A6295">
        <w:t xml:space="preserve"> do monólogo</w:t>
      </w:r>
      <w:r w:rsidR="003B51C3">
        <w:t xml:space="preserve"> surge</w:t>
      </w:r>
      <w:r w:rsidRPr="008A6295">
        <w:t xml:space="preserve"> </w:t>
      </w:r>
      <w:r w:rsidR="003B51C3">
        <w:t>d</w:t>
      </w:r>
      <w:r w:rsidRPr="008A6295">
        <w:t xml:space="preserve">a negação da humanidade, já que para Freire a linguagem é </w:t>
      </w:r>
      <w:r w:rsidR="003B51C3">
        <w:t xml:space="preserve">a essência da </w:t>
      </w:r>
      <w:r w:rsidRPr="008A6295">
        <w:t xml:space="preserve">condição humana, pois ao enunciar palavras estamos comprometidos conosco e com o mundo em transformação. O diálogo, portanto, não é um produto histórico, mas sim a própria historicização, fundamental para o reconhecimento da consciência e </w:t>
      </w:r>
      <w:r w:rsidR="003B51C3">
        <w:t>da</w:t>
      </w:r>
      <w:r w:rsidRPr="008A6295">
        <w:t xml:space="preserve"> inconcretude do ser humano. Este último, por sua vez, influente na formulação do conceito de dodiscência que exprime a relação de reciprocidade entre educador e o educando nos processos educativos</w:t>
      </w:r>
      <w:r w:rsidR="00F24EF6">
        <w:t xml:space="preserve"> da educação libertadora</w:t>
      </w:r>
      <w:r w:rsidRPr="008A6295">
        <w:t xml:space="preserve">. </w:t>
      </w:r>
    </w:p>
    <w:p w14:paraId="0622BA03" w14:textId="5F07A4CC" w:rsidR="005E201C" w:rsidRPr="008A6295" w:rsidRDefault="005E201C" w:rsidP="003B51C3">
      <w:pPr>
        <w:pStyle w:val="Default"/>
        <w:ind w:firstLine="851"/>
        <w:jc w:val="both"/>
      </w:pPr>
      <w:r w:rsidRPr="008A6295">
        <w:t>No modelo bancário a educação assume um perfil assistencialista, com a função de disciplinar e de adaptar para imitar o mundo. Nesse contexto, “o “saber” é uma doação dos que se julgam sábios aos que julgam nada saber. Doação que se funda numa das manifestações instrumentais da ideologia da opressão – a absolutização da ignorância [...].” (FREIRE, 2013, p. 81). O educador que aliena a ignorância, diz Freire, mantendo-se invariável, “nega a educação e o conhecimento como processos de busca.”</w:t>
      </w:r>
      <w:r>
        <w:t xml:space="preserve"> (</w:t>
      </w:r>
      <w:r w:rsidRPr="008A6295">
        <w:t xml:space="preserve">FREIRE, 2013, p. 81). </w:t>
      </w:r>
    </w:p>
    <w:p w14:paraId="7D46B231" w14:textId="6AC84893" w:rsidR="005E201C" w:rsidRDefault="005E201C" w:rsidP="005E201C">
      <w:pPr>
        <w:pStyle w:val="Default"/>
        <w:ind w:firstLine="851"/>
        <w:jc w:val="both"/>
      </w:pPr>
      <w:r w:rsidRPr="008A6295">
        <w:t xml:space="preserve">Em casos extremos, </w:t>
      </w:r>
      <w:r>
        <w:t xml:space="preserve">a </w:t>
      </w:r>
      <w:r w:rsidR="00F24EF6">
        <w:t>procura</w:t>
      </w:r>
      <w:r>
        <w:t xml:space="preserve"> desenfreada por aprovações no campo dos cursinhos privados r</w:t>
      </w:r>
      <w:r w:rsidRPr="008A6295">
        <w:t xml:space="preserve">ecaí </w:t>
      </w:r>
      <w:r>
        <w:t>em</w:t>
      </w:r>
      <w:r w:rsidRPr="008A6295">
        <w:t xml:space="preserve"> problemas éticos e delituosos. Podemos citar</w:t>
      </w:r>
      <w:r w:rsidR="00F24EF6">
        <w:t xml:space="preserve"> aqui</w:t>
      </w:r>
      <w:r w:rsidRPr="008A6295">
        <w:t xml:space="preserve"> a denúncia de fraudes comedidas por parte de um grupo de cursinhos nas provas de vestibulares e Enem </w:t>
      </w:r>
      <w:r w:rsidR="001957AE">
        <w:t xml:space="preserve">(Exame Nacional do Ensino Médio) </w:t>
      </w:r>
      <w:r w:rsidRPr="008A6295">
        <w:t>entre os anos de 2013 e 2014, feita pelo Ministério Público Federal no Ceará (MPF-CE) à Justiça Federal.</w:t>
      </w:r>
      <w:r>
        <w:t xml:space="preserve"> (Redação do G1, 2017)</w:t>
      </w:r>
      <w:r w:rsidR="003B51C3">
        <w:t xml:space="preserve">. Uma das reportagens que cobriu o </w:t>
      </w:r>
      <w:r w:rsidRPr="008A6295">
        <w:t xml:space="preserve">caso, apontou em janeiro de 2017 </w:t>
      </w:r>
      <w:r w:rsidRPr="00627E57">
        <w:rPr>
          <w:color w:val="auto"/>
        </w:rPr>
        <w:t xml:space="preserve">o envolvimento de sete pessoas, dentre eles proprietários, professores e estudantes no esquema que serviu para beneficiar a empresa e vestibulandos do curso de Medicina. Conforme a investigação do MPF-CE, “[...] o esquema era chefiado por uma empresa especializada em cursinhos </w:t>
      </w:r>
      <w:r w:rsidR="00361CA6" w:rsidRPr="00627E57">
        <w:rPr>
          <w:color w:val="auto"/>
        </w:rPr>
        <w:t xml:space="preserve">preparatórios </w:t>
      </w:r>
      <w:r w:rsidRPr="00627E57">
        <w:rPr>
          <w:color w:val="auto"/>
        </w:rPr>
        <w:t xml:space="preserve">para vestibulares e usava as aprovações obtidas por meio de fraude, principalmente no curso de medicina, em campanhas publicitárias.” O grupo AprovaMed atuava no segmento de cursos preparatórios </w:t>
      </w:r>
      <w:r w:rsidRPr="008A6295">
        <w:t xml:space="preserve">direcionados para a área da </w:t>
      </w:r>
      <w:r>
        <w:t>S</w:t>
      </w:r>
      <w:r w:rsidRPr="008A6295">
        <w:t>aúde, nos municípios ao sul do estado do Cear</w:t>
      </w:r>
      <w:r w:rsidR="003B51C3">
        <w:t>á.</w:t>
      </w:r>
    </w:p>
    <w:p w14:paraId="1E0F6426" w14:textId="77777777" w:rsidR="00F116E0" w:rsidRDefault="005E201C" w:rsidP="005E201C">
      <w:pPr>
        <w:pStyle w:val="Default"/>
        <w:ind w:firstLine="851"/>
        <w:jc w:val="both"/>
      </w:pPr>
      <w:r w:rsidRPr="008A6295">
        <w:t>Das práticas ilegais constam</w:t>
      </w:r>
      <w:r w:rsidR="003B51C3">
        <w:t xml:space="preserve"> </w:t>
      </w:r>
      <w:r w:rsidRPr="008A6295">
        <w:t xml:space="preserve">o envolvimento de </w:t>
      </w:r>
      <w:r>
        <w:t>estudantes</w:t>
      </w:r>
      <w:r w:rsidRPr="008A6295">
        <w:t xml:space="preserve"> e de professores atuando como “pilotos”, isto é, “pessoas de elevado conhecimento, responsáveis pela resolução das provas e disponibilização dos gabaritos”. Outra fonte, indicou a suspeita de que os gabaritos custavam cerca de R$ 30 mil </w:t>
      </w:r>
      <w:r>
        <w:t xml:space="preserve">reais (OLIVEIRA, 2017). </w:t>
      </w:r>
      <w:r w:rsidRPr="008A6295">
        <w:t xml:space="preserve">Além disso, </w:t>
      </w:r>
      <w:r>
        <w:t>o</w:t>
      </w:r>
      <w:r w:rsidRPr="008A6295">
        <w:t xml:space="preserve">s demais </w:t>
      </w:r>
      <w:r>
        <w:t>delitos</w:t>
      </w:r>
      <w:r w:rsidRPr="008A6295">
        <w:t xml:space="preserve"> foram inscrições indevidas de estudantes com deficiência visual, no intuito de aumentar em uma hora </w:t>
      </w:r>
    </w:p>
    <w:p w14:paraId="33E621B8" w14:textId="77777777" w:rsidR="00F116E0" w:rsidRDefault="00F116E0" w:rsidP="00F116E0">
      <w:pPr>
        <w:pStyle w:val="Default"/>
        <w:jc w:val="both"/>
      </w:pPr>
    </w:p>
    <w:p w14:paraId="3C13C575" w14:textId="77777777" w:rsidR="00F116E0" w:rsidRDefault="00F116E0" w:rsidP="00F116E0">
      <w:pPr>
        <w:pStyle w:val="Default"/>
        <w:jc w:val="both"/>
      </w:pPr>
    </w:p>
    <w:p w14:paraId="3461A2C4" w14:textId="77777777" w:rsidR="00F116E0" w:rsidRDefault="00F116E0" w:rsidP="00F116E0">
      <w:pPr>
        <w:pStyle w:val="Default"/>
        <w:jc w:val="both"/>
      </w:pPr>
    </w:p>
    <w:p w14:paraId="4F51735C" w14:textId="77777777" w:rsidR="00F116E0" w:rsidRDefault="00F116E0" w:rsidP="00F116E0">
      <w:pPr>
        <w:pStyle w:val="Default"/>
        <w:jc w:val="both"/>
      </w:pPr>
    </w:p>
    <w:p w14:paraId="1C2F0F58" w14:textId="20AE070E" w:rsidR="005E201C" w:rsidRPr="008A6295" w:rsidRDefault="005E201C" w:rsidP="00F116E0">
      <w:pPr>
        <w:pStyle w:val="Default"/>
        <w:jc w:val="both"/>
      </w:pPr>
      <w:r w:rsidRPr="008A6295">
        <w:lastRenderedPageBreak/>
        <w:t xml:space="preserve">a duração de resolução das provas, e </w:t>
      </w:r>
      <w:r w:rsidR="003B51C3">
        <w:t xml:space="preserve">de </w:t>
      </w:r>
      <w:r w:rsidRPr="008A6295">
        <w:t>candidatos de escolas públicas para fraudar a reserva de vagas do sistema de cotas.</w:t>
      </w:r>
      <w:r w:rsidR="003B51C3">
        <w:t xml:space="preserve"> </w:t>
      </w:r>
    </w:p>
    <w:p w14:paraId="447E7120" w14:textId="62A90D39" w:rsidR="00D567D4" w:rsidRPr="00D567D4" w:rsidRDefault="003B51C3" w:rsidP="007E41E1">
      <w:pPr>
        <w:pStyle w:val="Default"/>
        <w:ind w:firstLine="851"/>
        <w:jc w:val="both"/>
      </w:pPr>
      <w:r>
        <w:t xml:space="preserve">Por terem seus currículos pautados substancialmente pela submissão aos exames, a relação estabelecida com o conhecimento </w:t>
      </w:r>
      <w:r w:rsidR="001957AE">
        <w:t>escolar</w:t>
      </w:r>
      <w:r>
        <w:t xml:space="preserve"> nestes espaços formativos esbarra em uma proposta instrumental.</w:t>
      </w:r>
      <w:r w:rsidR="007E41E1">
        <w:t xml:space="preserve"> Deste modo, compartilhamos os resultados desta pesquisa no intuito de incitar o debate sobre essas práticas entre pesquisadores e docentes em favor de uma educação democrática. </w:t>
      </w:r>
    </w:p>
    <w:p w14:paraId="4B160411" w14:textId="77777777" w:rsidR="00331061" w:rsidRDefault="00331061" w:rsidP="00840ACF">
      <w:pPr>
        <w:spacing w:after="0" w:line="240" w:lineRule="auto"/>
        <w:jc w:val="both"/>
        <w:rPr>
          <w:rFonts w:ascii="Garamond" w:eastAsia="Times New Roman" w:hAnsi="Garamond" w:cs="Times New Roman"/>
          <w:b/>
          <w:bCs/>
          <w:color w:val="BD1633"/>
          <w:sz w:val="24"/>
          <w:szCs w:val="24"/>
          <w:lang w:eastAsia="pt-BR"/>
        </w:rPr>
      </w:pPr>
    </w:p>
    <w:p w14:paraId="06632A10" w14:textId="30D0889F" w:rsidR="003143B4" w:rsidRPr="00763273" w:rsidRDefault="003143B4" w:rsidP="00840ACF">
      <w:pPr>
        <w:spacing w:after="0" w:line="240" w:lineRule="auto"/>
        <w:jc w:val="both"/>
        <w:rPr>
          <w:rFonts w:ascii="Garamond" w:eastAsia="Times New Roman" w:hAnsi="Garamond" w:cs="Times New Roman"/>
          <w:b/>
          <w:bCs/>
          <w:sz w:val="24"/>
          <w:szCs w:val="24"/>
          <w:lang w:eastAsia="pt-BR"/>
        </w:rPr>
      </w:pPr>
      <w:r w:rsidRPr="00763273">
        <w:rPr>
          <w:rFonts w:ascii="Garamond" w:eastAsia="Times New Roman" w:hAnsi="Garamond" w:cs="Times New Roman"/>
          <w:b/>
          <w:bCs/>
          <w:sz w:val="24"/>
          <w:szCs w:val="24"/>
          <w:lang w:eastAsia="pt-BR"/>
        </w:rPr>
        <w:t xml:space="preserve">Considerações </w:t>
      </w:r>
    </w:p>
    <w:p w14:paraId="6402CFFB" w14:textId="77777777" w:rsidR="00840ACF" w:rsidRDefault="00840ACF" w:rsidP="00840ACF">
      <w:pPr>
        <w:spacing w:after="0" w:line="240" w:lineRule="auto"/>
        <w:ind w:firstLine="708"/>
        <w:jc w:val="both"/>
        <w:rPr>
          <w:rFonts w:ascii="Times New Roman" w:hAnsi="Times New Roman" w:cs="Times New Roman"/>
          <w:sz w:val="24"/>
          <w:szCs w:val="24"/>
        </w:rPr>
      </w:pPr>
    </w:p>
    <w:p w14:paraId="58DF895A" w14:textId="10A8A82A" w:rsidR="003B51C3" w:rsidRDefault="00840ACF" w:rsidP="00840ACF">
      <w:pPr>
        <w:spacing w:after="0" w:line="240" w:lineRule="auto"/>
        <w:ind w:firstLine="708"/>
        <w:jc w:val="both"/>
        <w:rPr>
          <w:rFonts w:ascii="Garamond" w:eastAsia="Times New Roman" w:hAnsi="Garamond" w:cs="Times New Roman"/>
          <w:b/>
          <w:bCs/>
          <w:color w:val="BD1633"/>
          <w:sz w:val="24"/>
          <w:szCs w:val="24"/>
          <w:lang w:eastAsia="pt-BR"/>
        </w:rPr>
      </w:pPr>
      <w:r>
        <w:rPr>
          <w:rFonts w:ascii="Times New Roman" w:hAnsi="Times New Roman" w:cs="Times New Roman"/>
          <w:sz w:val="24"/>
          <w:szCs w:val="24"/>
        </w:rPr>
        <w:t>Como recorte da pesquisa de mestrad</w:t>
      </w:r>
      <w:r w:rsidR="00331061">
        <w:rPr>
          <w:rFonts w:ascii="Times New Roman" w:hAnsi="Times New Roman" w:cs="Times New Roman"/>
          <w:sz w:val="24"/>
          <w:szCs w:val="24"/>
        </w:rPr>
        <w:t>o</w:t>
      </w:r>
      <w:r>
        <w:rPr>
          <w:rFonts w:ascii="Times New Roman" w:hAnsi="Times New Roman" w:cs="Times New Roman"/>
          <w:sz w:val="24"/>
          <w:szCs w:val="24"/>
        </w:rPr>
        <w:t xml:space="preserve">, problematizamos aqui questões éticas relacionas às práticas desenvolvidas em cursinhos privados. Consideramos a necessidade de pôr em evidência essas experiências a fim de estimular a produção de pesquisas </w:t>
      </w:r>
      <w:r w:rsidR="007E41E1">
        <w:rPr>
          <w:rFonts w:ascii="Times New Roman" w:hAnsi="Times New Roman" w:cs="Times New Roman"/>
          <w:sz w:val="24"/>
          <w:szCs w:val="24"/>
        </w:rPr>
        <w:t xml:space="preserve">e debates </w:t>
      </w:r>
      <w:r>
        <w:rPr>
          <w:rFonts w:ascii="Times New Roman" w:hAnsi="Times New Roman" w:cs="Times New Roman"/>
          <w:sz w:val="24"/>
          <w:szCs w:val="24"/>
        </w:rPr>
        <w:t>que denunciem os efeitos da</w:t>
      </w:r>
      <w:r>
        <w:rPr>
          <w:rFonts w:ascii="Times New Roman" w:hAnsi="Times New Roman"/>
          <w:sz w:val="24"/>
          <w:szCs w:val="24"/>
        </w:rPr>
        <w:t xml:space="preserve"> educação bancária em direção a uma educação libertadora. Nesse sentido, destacam-se os trabalhos dedicad</w:t>
      </w:r>
      <w:r w:rsidR="007E41E1">
        <w:rPr>
          <w:rFonts w:ascii="Times New Roman" w:hAnsi="Times New Roman"/>
          <w:sz w:val="24"/>
          <w:szCs w:val="24"/>
        </w:rPr>
        <w:t>o</w:t>
      </w:r>
      <w:r>
        <w:rPr>
          <w:rFonts w:ascii="Times New Roman" w:hAnsi="Times New Roman"/>
          <w:sz w:val="24"/>
          <w:szCs w:val="24"/>
        </w:rPr>
        <w:t xml:space="preserve">s ao estudo dos pré-vestibulares populares, enaltecendo a criatividade dos/as docentes </w:t>
      </w:r>
      <w:r w:rsidR="007E41E1">
        <w:rPr>
          <w:rFonts w:ascii="Times New Roman" w:hAnsi="Times New Roman"/>
          <w:sz w:val="24"/>
          <w:szCs w:val="24"/>
        </w:rPr>
        <w:t>ao</w:t>
      </w:r>
      <w:r>
        <w:rPr>
          <w:rFonts w:ascii="Times New Roman" w:hAnsi="Times New Roman"/>
          <w:sz w:val="24"/>
          <w:szCs w:val="24"/>
        </w:rPr>
        <w:t xml:space="preserve"> criar</w:t>
      </w:r>
      <w:r w:rsidR="001957AE">
        <w:rPr>
          <w:rFonts w:ascii="Times New Roman" w:hAnsi="Times New Roman"/>
          <w:sz w:val="24"/>
          <w:szCs w:val="24"/>
        </w:rPr>
        <w:t>em</w:t>
      </w:r>
      <w:r>
        <w:rPr>
          <w:rFonts w:ascii="Times New Roman" w:hAnsi="Times New Roman"/>
          <w:sz w:val="24"/>
          <w:szCs w:val="24"/>
        </w:rPr>
        <w:t xml:space="preserve"> estratégias para romper com a </w:t>
      </w:r>
      <w:r w:rsidR="001957AE">
        <w:rPr>
          <w:rFonts w:ascii="Times New Roman" w:hAnsi="Times New Roman"/>
          <w:sz w:val="24"/>
          <w:szCs w:val="24"/>
        </w:rPr>
        <w:t xml:space="preserve">limites da </w:t>
      </w:r>
      <w:r>
        <w:rPr>
          <w:rFonts w:ascii="Times New Roman" w:hAnsi="Times New Roman"/>
          <w:sz w:val="24"/>
          <w:szCs w:val="24"/>
        </w:rPr>
        <w:t xml:space="preserve">dinâmica de treinamento e </w:t>
      </w:r>
      <w:r w:rsidR="00F24EF6">
        <w:rPr>
          <w:rFonts w:ascii="Times New Roman" w:hAnsi="Times New Roman"/>
          <w:sz w:val="24"/>
          <w:szCs w:val="24"/>
        </w:rPr>
        <w:t xml:space="preserve">de </w:t>
      </w:r>
      <w:r>
        <w:rPr>
          <w:rFonts w:ascii="Times New Roman" w:hAnsi="Times New Roman"/>
          <w:sz w:val="24"/>
          <w:szCs w:val="24"/>
        </w:rPr>
        <w:t xml:space="preserve">submissão </w:t>
      </w:r>
      <w:r w:rsidR="002F6428">
        <w:rPr>
          <w:rFonts w:ascii="Times New Roman" w:hAnsi="Times New Roman"/>
          <w:sz w:val="24"/>
          <w:szCs w:val="24"/>
        </w:rPr>
        <w:t>às avaliações</w:t>
      </w:r>
      <w:r w:rsidR="00F24EF6">
        <w:rPr>
          <w:rFonts w:ascii="Times New Roman" w:hAnsi="Times New Roman"/>
          <w:sz w:val="24"/>
          <w:szCs w:val="24"/>
        </w:rPr>
        <w:t xml:space="preserve"> nestes espaços</w:t>
      </w:r>
      <w:r>
        <w:rPr>
          <w:rFonts w:ascii="Times New Roman" w:hAnsi="Times New Roman"/>
          <w:sz w:val="24"/>
          <w:szCs w:val="24"/>
        </w:rPr>
        <w:t>.</w:t>
      </w:r>
      <w:r w:rsidR="0027153F">
        <w:rPr>
          <w:rFonts w:ascii="Times New Roman" w:hAnsi="Times New Roman"/>
          <w:sz w:val="24"/>
          <w:szCs w:val="24"/>
        </w:rPr>
        <w:t xml:space="preserve"> </w:t>
      </w:r>
      <w:r w:rsidR="007E41E1">
        <w:rPr>
          <w:rFonts w:ascii="Times New Roman" w:hAnsi="Times New Roman"/>
          <w:sz w:val="24"/>
          <w:szCs w:val="24"/>
        </w:rPr>
        <w:t>Esta</w:t>
      </w:r>
      <w:r w:rsidR="0027153F">
        <w:rPr>
          <w:rFonts w:ascii="Times New Roman" w:hAnsi="Times New Roman"/>
          <w:sz w:val="24"/>
          <w:szCs w:val="24"/>
        </w:rPr>
        <w:t xml:space="preserve"> crítica, portanto, se estabelece como um </w:t>
      </w:r>
      <w:r w:rsidR="00F24EF6">
        <w:rPr>
          <w:rFonts w:ascii="Times New Roman" w:hAnsi="Times New Roman"/>
          <w:sz w:val="24"/>
          <w:szCs w:val="24"/>
        </w:rPr>
        <w:t>d</w:t>
      </w:r>
      <w:r w:rsidR="0027153F">
        <w:rPr>
          <w:rFonts w:ascii="Times New Roman" w:hAnsi="Times New Roman"/>
          <w:sz w:val="24"/>
          <w:szCs w:val="24"/>
        </w:rPr>
        <w:t xml:space="preserve">entre os primeiros passos </w:t>
      </w:r>
      <w:r w:rsidR="00F24EF6">
        <w:rPr>
          <w:rFonts w:ascii="Times New Roman" w:hAnsi="Times New Roman"/>
          <w:sz w:val="24"/>
          <w:szCs w:val="24"/>
        </w:rPr>
        <w:t>para</w:t>
      </w:r>
      <w:r w:rsidR="0027153F">
        <w:rPr>
          <w:rFonts w:ascii="Times New Roman" w:hAnsi="Times New Roman"/>
          <w:sz w:val="24"/>
          <w:szCs w:val="24"/>
        </w:rPr>
        <w:t xml:space="preserve"> superação da educação bancária rumo à educação libertadora, uma vez que não é possível fazê-la fora do</w:t>
      </w:r>
      <w:r w:rsidR="00F24EF6">
        <w:rPr>
          <w:rFonts w:ascii="Times New Roman" w:hAnsi="Times New Roman"/>
          <w:sz w:val="24"/>
          <w:szCs w:val="24"/>
        </w:rPr>
        <w:t xml:space="preserve"> exercício do</w:t>
      </w:r>
      <w:r w:rsidR="0027153F">
        <w:rPr>
          <w:rFonts w:ascii="Times New Roman" w:hAnsi="Times New Roman"/>
          <w:sz w:val="24"/>
          <w:szCs w:val="24"/>
        </w:rPr>
        <w:t xml:space="preserve"> diálogo. </w:t>
      </w:r>
    </w:p>
    <w:p w14:paraId="5147F6F3" w14:textId="77777777" w:rsidR="009801F8" w:rsidRDefault="009801F8" w:rsidP="00B64762">
      <w:pPr>
        <w:spacing w:after="0" w:line="240" w:lineRule="auto"/>
        <w:jc w:val="both"/>
        <w:rPr>
          <w:rFonts w:ascii="Garamond" w:eastAsia="Times New Roman" w:hAnsi="Garamond" w:cs="Times New Roman"/>
          <w:b/>
          <w:bCs/>
          <w:color w:val="BD1633"/>
          <w:sz w:val="24"/>
          <w:szCs w:val="24"/>
          <w:lang w:eastAsia="pt-BR"/>
        </w:rPr>
      </w:pPr>
    </w:p>
    <w:p w14:paraId="50E4645D" w14:textId="50D99B13" w:rsidR="004F3A98" w:rsidRPr="00763273" w:rsidRDefault="004F3A98" w:rsidP="00B64762">
      <w:pPr>
        <w:spacing w:after="0" w:line="240" w:lineRule="auto"/>
        <w:jc w:val="both"/>
        <w:rPr>
          <w:rFonts w:ascii="Garamond" w:eastAsia="Times New Roman" w:hAnsi="Garamond" w:cs="Times New Roman"/>
          <w:b/>
          <w:bCs/>
          <w:sz w:val="24"/>
          <w:szCs w:val="24"/>
          <w:lang w:eastAsia="pt-BR"/>
        </w:rPr>
      </w:pPr>
      <w:r w:rsidRPr="00763273">
        <w:rPr>
          <w:rFonts w:ascii="Garamond" w:eastAsia="Times New Roman" w:hAnsi="Garamond" w:cs="Times New Roman"/>
          <w:b/>
          <w:bCs/>
          <w:sz w:val="24"/>
          <w:szCs w:val="24"/>
          <w:lang w:eastAsia="pt-BR"/>
        </w:rPr>
        <w:t xml:space="preserve">Referências  </w:t>
      </w:r>
    </w:p>
    <w:p w14:paraId="11B02E45" w14:textId="77777777" w:rsidR="00387B05" w:rsidRPr="00387B05" w:rsidRDefault="00387B05" w:rsidP="00B64762">
      <w:pPr>
        <w:spacing w:after="0" w:line="240" w:lineRule="auto"/>
        <w:ind w:right="-1"/>
        <w:jc w:val="both"/>
        <w:rPr>
          <w:rFonts w:ascii="Times New Roman" w:hAnsi="Times New Roman" w:cs="Times New Roman"/>
          <w:sz w:val="24"/>
          <w:szCs w:val="24"/>
        </w:rPr>
      </w:pPr>
    </w:p>
    <w:p w14:paraId="2BF8E99F" w14:textId="56FC0352" w:rsidR="00387B05" w:rsidRPr="00387B05" w:rsidRDefault="00387B05" w:rsidP="00B64762">
      <w:pPr>
        <w:spacing w:after="0" w:line="240" w:lineRule="auto"/>
        <w:jc w:val="both"/>
        <w:rPr>
          <w:rFonts w:ascii="Times New Roman" w:hAnsi="Times New Roman" w:cs="Times New Roman"/>
          <w:sz w:val="24"/>
          <w:szCs w:val="24"/>
        </w:rPr>
      </w:pPr>
      <w:r w:rsidRPr="00387B05">
        <w:rPr>
          <w:rFonts w:ascii="Times New Roman" w:hAnsi="Times New Roman" w:cs="Times New Roman"/>
          <w:sz w:val="24"/>
          <w:szCs w:val="24"/>
        </w:rPr>
        <w:t xml:space="preserve">FREIRE, Paulo. </w:t>
      </w:r>
      <w:r w:rsidRPr="009801F8">
        <w:rPr>
          <w:rFonts w:ascii="Times New Roman" w:hAnsi="Times New Roman" w:cs="Times New Roman"/>
          <w:i/>
          <w:iCs/>
          <w:sz w:val="24"/>
          <w:szCs w:val="24"/>
        </w:rPr>
        <w:t>Pedagogia do Oprimido</w:t>
      </w:r>
      <w:r w:rsidRPr="00387B05">
        <w:rPr>
          <w:rFonts w:ascii="Times New Roman" w:hAnsi="Times New Roman" w:cs="Times New Roman"/>
          <w:sz w:val="24"/>
          <w:szCs w:val="24"/>
        </w:rPr>
        <w:t>. 54ª Ed. Rio de Janeiro: Paz e Terra, 2013.</w:t>
      </w:r>
    </w:p>
    <w:p w14:paraId="1D184CD7" w14:textId="16780493" w:rsidR="00387B05" w:rsidRDefault="00387B05" w:rsidP="00B64762">
      <w:pPr>
        <w:spacing w:after="0" w:line="240" w:lineRule="auto"/>
        <w:jc w:val="both"/>
        <w:rPr>
          <w:rFonts w:ascii="Times New Roman" w:hAnsi="Times New Roman" w:cs="Times New Roman"/>
          <w:sz w:val="24"/>
          <w:szCs w:val="24"/>
        </w:rPr>
      </w:pPr>
    </w:p>
    <w:p w14:paraId="5B4F0B9F" w14:textId="0F3E1A4D" w:rsidR="00387B05" w:rsidRPr="00896F99" w:rsidRDefault="00387B05" w:rsidP="00B64762">
      <w:pPr>
        <w:spacing w:after="0" w:line="240" w:lineRule="auto"/>
        <w:jc w:val="both"/>
        <w:rPr>
          <w:rFonts w:ascii="Times New Roman" w:hAnsi="Times New Roman" w:cs="Times New Roman"/>
          <w:sz w:val="24"/>
          <w:szCs w:val="24"/>
        </w:rPr>
      </w:pPr>
      <w:r w:rsidRPr="00387B05">
        <w:rPr>
          <w:rFonts w:ascii="Times New Roman" w:hAnsi="Times New Roman" w:cs="Times New Roman"/>
          <w:sz w:val="24"/>
          <w:szCs w:val="24"/>
        </w:rPr>
        <w:t xml:space="preserve">Redação do </w:t>
      </w:r>
      <w:r w:rsidRPr="00896F99">
        <w:rPr>
          <w:rFonts w:ascii="Times New Roman" w:hAnsi="Times New Roman" w:cs="Times New Roman"/>
          <w:sz w:val="24"/>
          <w:szCs w:val="24"/>
        </w:rPr>
        <w:t>G1</w:t>
      </w:r>
      <w:r w:rsidR="009801F8">
        <w:rPr>
          <w:rFonts w:ascii="Times New Roman" w:hAnsi="Times New Roman" w:cs="Times New Roman"/>
          <w:sz w:val="24"/>
          <w:szCs w:val="24"/>
        </w:rPr>
        <w:t>.</w:t>
      </w:r>
      <w:r w:rsidRPr="00896F99">
        <w:rPr>
          <w:rFonts w:ascii="Times New Roman" w:hAnsi="Times New Roman" w:cs="Times New Roman"/>
          <w:sz w:val="24"/>
          <w:szCs w:val="24"/>
        </w:rPr>
        <w:t xml:space="preserve"> Empresa fraudava Enem e usava aprovação em marketing, diz MPF-CE. </w:t>
      </w:r>
      <w:r w:rsidR="009801F8" w:rsidRPr="009801F8">
        <w:rPr>
          <w:rFonts w:ascii="Times New Roman" w:hAnsi="Times New Roman" w:cs="Times New Roman"/>
          <w:i/>
          <w:iCs/>
          <w:sz w:val="24"/>
          <w:szCs w:val="24"/>
        </w:rPr>
        <w:t>Portal G1</w:t>
      </w:r>
      <w:r w:rsidR="009801F8">
        <w:rPr>
          <w:rFonts w:ascii="Times New Roman" w:hAnsi="Times New Roman" w:cs="Times New Roman"/>
          <w:sz w:val="24"/>
          <w:szCs w:val="24"/>
        </w:rPr>
        <w:t xml:space="preserve">. </w:t>
      </w:r>
      <w:r w:rsidRPr="009801F8">
        <w:rPr>
          <w:rFonts w:ascii="Times New Roman" w:hAnsi="Times New Roman" w:cs="Times New Roman"/>
          <w:sz w:val="24"/>
          <w:szCs w:val="24"/>
        </w:rPr>
        <w:t>Grupo Globo</w:t>
      </w:r>
      <w:r w:rsidRPr="00896F99">
        <w:rPr>
          <w:rFonts w:ascii="Times New Roman" w:hAnsi="Times New Roman" w:cs="Times New Roman"/>
          <w:sz w:val="24"/>
          <w:szCs w:val="24"/>
        </w:rPr>
        <w:t>: Ceará, 26 jan. 2017. Disponível em: &lt;</w:t>
      </w:r>
      <w:hyperlink r:id="rId15" w:history="1">
        <w:r w:rsidRPr="00896F99">
          <w:rPr>
            <w:rStyle w:val="Hyperlink"/>
            <w:rFonts w:ascii="Times New Roman" w:hAnsi="Times New Roman" w:cs="Times New Roman"/>
            <w:sz w:val="24"/>
            <w:szCs w:val="24"/>
          </w:rPr>
          <w:t>https://glo.bo/2LkMIOc</w:t>
        </w:r>
      </w:hyperlink>
      <w:r w:rsidRPr="00896F99">
        <w:rPr>
          <w:rFonts w:ascii="Times New Roman" w:hAnsi="Times New Roman" w:cs="Times New Roman"/>
          <w:sz w:val="24"/>
          <w:szCs w:val="24"/>
        </w:rPr>
        <w:t xml:space="preserve">&gt;. Acesso em: </w:t>
      </w:r>
      <w:r w:rsidR="00644485" w:rsidRPr="00896F99">
        <w:rPr>
          <w:rFonts w:ascii="Times New Roman" w:hAnsi="Times New Roman" w:cs="Times New Roman"/>
          <w:sz w:val="24"/>
          <w:szCs w:val="24"/>
        </w:rPr>
        <w:t>15 ago</w:t>
      </w:r>
      <w:r w:rsidRPr="00896F99">
        <w:rPr>
          <w:rFonts w:ascii="Times New Roman" w:hAnsi="Times New Roman" w:cs="Times New Roman"/>
          <w:sz w:val="24"/>
          <w:szCs w:val="24"/>
        </w:rPr>
        <w:t>. 20</w:t>
      </w:r>
      <w:r w:rsidR="00644485" w:rsidRPr="00896F99">
        <w:rPr>
          <w:rFonts w:ascii="Times New Roman" w:hAnsi="Times New Roman" w:cs="Times New Roman"/>
          <w:sz w:val="24"/>
          <w:szCs w:val="24"/>
        </w:rPr>
        <w:t>21</w:t>
      </w:r>
      <w:r w:rsidRPr="00896F99">
        <w:rPr>
          <w:rFonts w:ascii="Times New Roman" w:hAnsi="Times New Roman" w:cs="Times New Roman"/>
          <w:sz w:val="24"/>
          <w:szCs w:val="24"/>
        </w:rPr>
        <w:t xml:space="preserve">.  </w:t>
      </w:r>
    </w:p>
    <w:p w14:paraId="15543A58" w14:textId="77777777" w:rsidR="00387B05" w:rsidRPr="00896F99" w:rsidRDefault="00387B05" w:rsidP="00B64762">
      <w:pPr>
        <w:spacing w:after="0" w:line="240" w:lineRule="auto"/>
        <w:jc w:val="both"/>
        <w:rPr>
          <w:rFonts w:ascii="Times New Roman" w:hAnsi="Times New Roman" w:cs="Times New Roman"/>
          <w:sz w:val="24"/>
          <w:szCs w:val="24"/>
        </w:rPr>
      </w:pPr>
    </w:p>
    <w:p w14:paraId="0CE229BC" w14:textId="1E5589E2" w:rsidR="00387B05" w:rsidRPr="00896F99" w:rsidRDefault="00387B05" w:rsidP="00B64762">
      <w:pPr>
        <w:spacing w:after="0" w:line="240" w:lineRule="auto"/>
        <w:jc w:val="both"/>
        <w:rPr>
          <w:rFonts w:ascii="Times New Roman" w:hAnsi="Times New Roman" w:cs="Times New Roman"/>
          <w:sz w:val="24"/>
          <w:szCs w:val="24"/>
        </w:rPr>
      </w:pPr>
      <w:r w:rsidRPr="009801F8">
        <w:rPr>
          <w:rFonts w:ascii="Times New Roman" w:hAnsi="Times New Roman" w:cs="Times New Roman"/>
          <w:sz w:val="24"/>
          <w:szCs w:val="24"/>
        </w:rPr>
        <w:t xml:space="preserve">WHITAKER, Dulce. </w:t>
      </w:r>
      <w:r w:rsidRPr="00896F99">
        <w:rPr>
          <w:rFonts w:ascii="Times New Roman" w:hAnsi="Times New Roman" w:cs="Times New Roman"/>
          <w:sz w:val="24"/>
          <w:szCs w:val="24"/>
        </w:rPr>
        <w:t xml:space="preserve">Da “invenção” do vestibular aos cursinhos populares: um desafio para a orientação profissional. </w:t>
      </w:r>
      <w:r w:rsidRPr="009801F8">
        <w:rPr>
          <w:rFonts w:ascii="Times New Roman" w:hAnsi="Times New Roman" w:cs="Times New Roman"/>
          <w:i/>
          <w:iCs/>
          <w:sz w:val="24"/>
          <w:szCs w:val="24"/>
        </w:rPr>
        <w:t>Revista Brasileira de Orientação Profissional</w:t>
      </w:r>
      <w:r w:rsidRPr="00896F99">
        <w:rPr>
          <w:rFonts w:ascii="Times New Roman" w:hAnsi="Times New Roman" w:cs="Times New Roman"/>
          <w:sz w:val="24"/>
          <w:szCs w:val="24"/>
        </w:rPr>
        <w:t>, v. 11, n. 2, p. 289-297</w:t>
      </w:r>
      <w:r w:rsidR="009801F8">
        <w:rPr>
          <w:rFonts w:ascii="Times New Roman" w:hAnsi="Times New Roman" w:cs="Times New Roman"/>
          <w:sz w:val="24"/>
          <w:szCs w:val="24"/>
        </w:rPr>
        <w:t xml:space="preserve">, </w:t>
      </w:r>
      <w:r w:rsidR="009801F8" w:rsidRPr="00896F99">
        <w:rPr>
          <w:rFonts w:ascii="Times New Roman" w:hAnsi="Times New Roman" w:cs="Times New Roman"/>
          <w:sz w:val="24"/>
          <w:szCs w:val="24"/>
        </w:rPr>
        <w:t>jul</w:t>
      </w:r>
      <w:r w:rsidR="009801F8">
        <w:rPr>
          <w:rFonts w:ascii="Times New Roman" w:hAnsi="Times New Roman" w:cs="Times New Roman"/>
          <w:sz w:val="24"/>
          <w:szCs w:val="24"/>
        </w:rPr>
        <w:t>./</w:t>
      </w:r>
      <w:r w:rsidR="009801F8" w:rsidRPr="00896F99">
        <w:rPr>
          <w:rFonts w:ascii="Times New Roman" w:hAnsi="Times New Roman" w:cs="Times New Roman"/>
          <w:sz w:val="24"/>
          <w:szCs w:val="24"/>
        </w:rPr>
        <w:t>dez</w:t>
      </w:r>
      <w:r w:rsidR="009801F8">
        <w:rPr>
          <w:rFonts w:ascii="Times New Roman" w:hAnsi="Times New Roman" w:cs="Times New Roman"/>
          <w:sz w:val="24"/>
          <w:szCs w:val="24"/>
        </w:rPr>
        <w:t xml:space="preserve">. 2010. </w:t>
      </w:r>
    </w:p>
    <w:p w14:paraId="40793197" w14:textId="77777777" w:rsidR="00387B05" w:rsidRPr="00896F99" w:rsidRDefault="00387B05" w:rsidP="00B64762">
      <w:pPr>
        <w:spacing w:after="0" w:line="240" w:lineRule="auto"/>
        <w:jc w:val="both"/>
        <w:rPr>
          <w:rFonts w:ascii="Times New Roman" w:hAnsi="Times New Roman" w:cs="Times New Roman"/>
          <w:sz w:val="24"/>
          <w:szCs w:val="24"/>
        </w:rPr>
      </w:pPr>
    </w:p>
    <w:p w14:paraId="1FE7A6E9" w14:textId="094587A5" w:rsidR="00896F99" w:rsidRPr="00896F99" w:rsidRDefault="00896F99" w:rsidP="00B64762">
      <w:pPr>
        <w:pStyle w:val="Default"/>
        <w:jc w:val="both"/>
      </w:pPr>
      <w:r w:rsidRPr="00896F99">
        <w:t>WHITAKER, D</w:t>
      </w:r>
      <w:r w:rsidR="009801F8">
        <w:t>ulce.</w:t>
      </w:r>
      <w:r w:rsidRPr="00896F99">
        <w:t xml:space="preserve"> Entrevista: Educação, Sociologia e Cursinhos Populares. </w:t>
      </w:r>
      <w:r w:rsidRPr="009801F8">
        <w:rPr>
          <w:i/>
          <w:iCs/>
        </w:rPr>
        <w:t xml:space="preserve">Revista Eletrônica Cadernos CIMEAC, </w:t>
      </w:r>
      <w:r w:rsidRPr="00896F99">
        <w:t xml:space="preserve">v. 3, </w:t>
      </w:r>
      <w:r w:rsidR="009801F8">
        <w:t xml:space="preserve">n.1, </w:t>
      </w:r>
      <w:r w:rsidRPr="00896F99">
        <w:t xml:space="preserve">p. 5-12, 2013. </w:t>
      </w:r>
    </w:p>
    <w:p w14:paraId="1411810D" w14:textId="55E20BEE" w:rsidR="00896F99" w:rsidRPr="00896F99" w:rsidRDefault="00896F99" w:rsidP="00896F99">
      <w:pPr>
        <w:pStyle w:val="Default"/>
        <w:jc w:val="both"/>
      </w:pPr>
    </w:p>
    <w:p w14:paraId="405B5174" w14:textId="274EC613" w:rsidR="00896F99" w:rsidRPr="00896F99" w:rsidRDefault="00896F99" w:rsidP="00896F99">
      <w:pPr>
        <w:pStyle w:val="Default"/>
        <w:jc w:val="both"/>
      </w:pPr>
      <w:r w:rsidRPr="00896F99">
        <w:t xml:space="preserve">OLIVEIRA, Sara. Sete pessoas são denunciadas por fraude no ENEM no Ceará. </w:t>
      </w:r>
      <w:r w:rsidRPr="009801F8">
        <w:rPr>
          <w:i/>
          <w:iCs/>
        </w:rPr>
        <w:t>Portal o Povo+</w:t>
      </w:r>
      <w:r w:rsidRPr="009801F8">
        <w:t xml:space="preserve">, </w:t>
      </w:r>
      <w:r w:rsidRPr="00896F99">
        <w:t>27 jan. 2017. Disponível em: &lt;</w:t>
      </w:r>
      <w:hyperlink r:id="rId16" w:history="1">
        <w:r w:rsidRPr="00896F99">
          <w:rPr>
            <w:rStyle w:val="Hyperlink"/>
          </w:rPr>
          <w:t>https://bit.ly/2L1QcWy</w:t>
        </w:r>
      </w:hyperlink>
      <w:r w:rsidRPr="00896F99">
        <w:t xml:space="preserve">&gt;. Acesso em: 20 ago. 2021.  </w:t>
      </w:r>
    </w:p>
    <w:p w14:paraId="53109B1F" w14:textId="77777777" w:rsidR="00896F99" w:rsidRPr="00896F99" w:rsidRDefault="00896F99" w:rsidP="00896F99">
      <w:pPr>
        <w:pStyle w:val="Default"/>
        <w:jc w:val="both"/>
      </w:pPr>
    </w:p>
    <w:sectPr w:rsidR="00896F99" w:rsidRPr="00896F99" w:rsidSect="001E688E">
      <w:pgSz w:w="11906" w:h="16838"/>
      <w:pgMar w:top="1701"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BCD2" w14:textId="77777777" w:rsidR="002450BE" w:rsidRDefault="002450BE" w:rsidP="0028095F">
      <w:pPr>
        <w:spacing w:after="0" w:line="240" w:lineRule="auto"/>
      </w:pPr>
      <w:r>
        <w:separator/>
      </w:r>
    </w:p>
  </w:endnote>
  <w:endnote w:type="continuationSeparator" w:id="0">
    <w:p w14:paraId="41C6FD1E" w14:textId="77777777" w:rsidR="002450BE" w:rsidRDefault="002450BE" w:rsidP="0028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4097" w14:textId="542E2F79" w:rsidR="003B3DCA" w:rsidRPr="003B3DCA" w:rsidRDefault="003B3DCA" w:rsidP="00AD71CF">
    <w:pPr>
      <w:pStyle w:val="Rodap"/>
      <w:jc w:val="center"/>
    </w:pPr>
    <w:r>
      <w:rPr>
        <w:noProof/>
        <w:lang w:eastAsia="pt-BR"/>
      </w:rPr>
      <w:drawing>
        <wp:anchor distT="0" distB="0" distL="114300" distR="114300" simplePos="0" relativeHeight="251656190" behindDoc="1" locked="0" layoutInCell="1" allowOverlap="0" wp14:anchorId="551DEA76" wp14:editId="637D0411">
          <wp:simplePos x="0" y="0"/>
          <wp:positionH relativeFrom="column">
            <wp:posOffset>-1080135</wp:posOffset>
          </wp:positionH>
          <wp:positionV relativeFrom="page">
            <wp:posOffset>9001125</wp:posOffset>
          </wp:positionV>
          <wp:extent cx="7552800" cy="1684800"/>
          <wp:effectExtent l="0" t="0" r="0" b="0"/>
          <wp:wrapNone/>
          <wp:docPr id="663" name="Imagem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FF1C" w14:textId="6470BDCC" w:rsidR="003B3DCA" w:rsidRPr="00AD71CF" w:rsidRDefault="003B3DCA" w:rsidP="00AD71CF">
    <w:pPr>
      <w:jc w:val="center"/>
      <w:rPr>
        <w:color w:val="FFFFFF" w:themeColor="background1"/>
        <w:sz w:val="28"/>
        <w:szCs w:val="28"/>
      </w:rPr>
    </w:pPr>
    <w:r w:rsidRPr="00AD71CF">
      <w:rPr>
        <w:noProof/>
        <w:sz w:val="28"/>
        <w:szCs w:val="28"/>
        <w:lang w:eastAsia="pt-BR"/>
      </w:rPr>
      <w:drawing>
        <wp:anchor distT="0" distB="0" distL="114300" distR="114300" simplePos="0" relativeHeight="251657215" behindDoc="1" locked="0" layoutInCell="1" allowOverlap="0" wp14:anchorId="26BE60BF" wp14:editId="17975937">
          <wp:simplePos x="0" y="0"/>
          <wp:positionH relativeFrom="column">
            <wp:posOffset>-1099185</wp:posOffset>
          </wp:positionH>
          <wp:positionV relativeFrom="page">
            <wp:posOffset>8991600</wp:posOffset>
          </wp:positionV>
          <wp:extent cx="7552800" cy="1684800"/>
          <wp:effectExtent l="0" t="0" r="0" b="0"/>
          <wp:wrapNone/>
          <wp:docPr id="665" name="Imagem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68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B6A7" w14:textId="77777777" w:rsidR="002450BE" w:rsidRDefault="002450BE" w:rsidP="0028095F">
      <w:pPr>
        <w:spacing w:after="0" w:line="240" w:lineRule="auto"/>
      </w:pPr>
      <w:r>
        <w:separator/>
      </w:r>
    </w:p>
  </w:footnote>
  <w:footnote w:type="continuationSeparator" w:id="0">
    <w:p w14:paraId="645201C5" w14:textId="77777777" w:rsidR="002450BE" w:rsidRDefault="002450BE" w:rsidP="0028095F">
      <w:pPr>
        <w:spacing w:after="0" w:line="240" w:lineRule="auto"/>
      </w:pPr>
      <w:r>
        <w:continuationSeparator/>
      </w:r>
    </w:p>
  </w:footnote>
  <w:footnote w:id="1">
    <w:p w14:paraId="4517CF02" w14:textId="53AF817A" w:rsidR="003143B4" w:rsidRPr="00806C3F" w:rsidRDefault="003143B4" w:rsidP="00806C3F">
      <w:pPr>
        <w:pStyle w:val="Textodenotaderodap"/>
        <w:jc w:val="both"/>
        <w:rPr>
          <w:rFonts w:ascii="Times New Roman" w:hAnsi="Times New Roman" w:cs="Times New Roman"/>
        </w:rPr>
      </w:pPr>
      <w:r w:rsidRPr="00806C3F">
        <w:rPr>
          <w:rStyle w:val="Refdenotaderodap"/>
          <w:rFonts w:ascii="Times New Roman" w:hAnsi="Times New Roman" w:cs="Times New Roman"/>
        </w:rPr>
        <w:footnoteRef/>
      </w:r>
      <w:r w:rsidRPr="00806C3F">
        <w:rPr>
          <w:rFonts w:ascii="Times New Roman" w:hAnsi="Times New Roman" w:cs="Times New Roman"/>
        </w:rPr>
        <w:t xml:space="preserve"> Doutoranda pelo Programa de Pós-graduação em Educação da Universidade Federal de Santa Catarina e bolsista da Coordenação de Aperfeiçoamento de Pessoal de Nível Superior (CAPES). Mestra em Educação pela UFSC e graduada em História pela mesma instituição de Ensino Superior. É integrante dos grupos de pesquisa </w:t>
      </w:r>
      <w:r w:rsidR="00806C3F" w:rsidRPr="00806C3F">
        <w:rPr>
          <w:rFonts w:ascii="Times New Roman" w:hAnsi="Times New Roman" w:cs="Times New Roman"/>
        </w:rPr>
        <w:t>Pameduc (UFSC) e do Grupo R</w:t>
      </w:r>
      <w:r w:rsidRPr="00806C3F">
        <w:rPr>
          <w:rFonts w:ascii="Times New Roman" w:hAnsi="Times New Roman" w:cs="Times New Roman"/>
        </w:rPr>
        <w:t>astros (Universidade São Francisco)</w:t>
      </w:r>
      <w:r w:rsidR="00806C3F" w:rsidRPr="00806C3F">
        <w:rPr>
          <w:rFonts w:ascii="Times New Roman" w:hAnsi="Times New Roman" w:cs="Times New Roman"/>
        </w:rPr>
        <w:t xml:space="preserve">. </w:t>
      </w:r>
    </w:p>
  </w:footnote>
  <w:footnote w:id="2">
    <w:p w14:paraId="3A13B5AA" w14:textId="4B3248D1" w:rsidR="003143B4" w:rsidRDefault="003143B4" w:rsidP="00806C3F">
      <w:pPr>
        <w:pStyle w:val="Textodenotaderodap"/>
        <w:jc w:val="both"/>
      </w:pPr>
      <w:r w:rsidRPr="00806C3F">
        <w:rPr>
          <w:rStyle w:val="Refdenotaderodap"/>
          <w:rFonts w:ascii="Times New Roman" w:hAnsi="Times New Roman" w:cs="Times New Roman"/>
        </w:rPr>
        <w:footnoteRef/>
      </w:r>
      <w:r w:rsidRPr="00806C3F">
        <w:rPr>
          <w:rFonts w:ascii="Times New Roman" w:hAnsi="Times New Roman" w:cs="Times New Roman"/>
        </w:rPr>
        <w:t xml:space="preserve"> </w:t>
      </w:r>
      <w:r w:rsidR="00806C3F" w:rsidRPr="00806C3F">
        <w:rPr>
          <w:rFonts w:ascii="Times New Roman" w:hAnsi="Times New Roman" w:cs="Times New Roman"/>
        </w:rPr>
        <w:t>Professor permanente do</w:t>
      </w:r>
      <w:r w:rsidR="0027153F">
        <w:rPr>
          <w:rFonts w:ascii="Times New Roman" w:hAnsi="Times New Roman" w:cs="Times New Roman"/>
        </w:rPr>
        <w:t xml:space="preserve"> </w:t>
      </w:r>
      <w:r w:rsidR="00806C3F" w:rsidRPr="00806C3F">
        <w:rPr>
          <w:rFonts w:ascii="Times New Roman" w:hAnsi="Times New Roman" w:cs="Times New Roman"/>
        </w:rPr>
        <w:t>PPGE</w:t>
      </w:r>
      <w:r w:rsidR="0027153F">
        <w:rPr>
          <w:rFonts w:ascii="Times New Roman" w:hAnsi="Times New Roman" w:cs="Times New Roman"/>
        </w:rPr>
        <w:t>/UFSC</w:t>
      </w:r>
      <w:r w:rsidR="00806C3F" w:rsidRPr="00806C3F">
        <w:rPr>
          <w:rFonts w:ascii="Times New Roman" w:hAnsi="Times New Roman" w:cs="Times New Roman"/>
        </w:rPr>
        <w:t xml:space="preserve">, do Mestrado Profissional em Ensino de História (Profhistória-UFSC) e da Graduação em História da </w:t>
      </w:r>
      <w:r w:rsidR="0027153F">
        <w:rPr>
          <w:rFonts w:ascii="Times New Roman" w:hAnsi="Times New Roman" w:cs="Times New Roman"/>
        </w:rPr>
        <w:t>UFSC</w:t>
      </w:r>
      <w:r w:rsidR="00806C3F" w:rsidRPr="00806C3F">
        <w:rPr>
          <w:rFonts w:ascii="Times New Roman" w:hAnsi="Times New Roman" w:cs="Times New Roman"/>
        </w:rPr>
        <w:t>. Bolsista Produtividade CNPq chamada PQ–2020. Pós-doutor pelo Instituto Superior de Ciências da Educação - Huíla (ISCED) em Angola. Doutor em Educação pela Unicamp e Mestre em História pela PUC-SP. Membro dos grupos de pesquisa Pameduc (UFSC), Rastros (USF) e Kairós (UNICAMP).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7A31" w14:textId="54B9B42F" w:rsidR="003B3DCA" w:rsidRDefault="003B3DCA">
    <w:pPr>
      <w:pStyle w:val="Cabealho"/>
    </w:pPr>
    <w:r>
      <w:rPr>
        <w:noProof/>
        <w:lang w:eastAsia="pt-BR"/>
      </w:rPr>
      <w:drawing>
        <wp:anchor distT="0" distB="0" distL="114300" distR="114300" simplePos="0" relativeHeight="251665408" behindDoc="0" locked="0" layoutInCell="1" allowOverlap="1" wp14:anchorId="5B14659E" wp14:editId="4810FA8E">
          <wp:simplePos x="0" y="0"/>
          <wp:positionH relativeFrom="column">
            <wp:posOffset>-1070610</wp:posOffset>
          </wp:positionH>
          <wp:positionV relativeFrom="page">
            <wp:posOffset>0</wp:posOffset>
          </wp:positionV>
          <wp:extent cx="7576185" cy="1690370"/>
          <wp:effectExtent l="0" t="0" r="5715" b="5080"/>
          <wp:wrapTopAndBottom/>
          <wp:docPr id="662" name="Imagem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83B" w14:textId="20A536F3" w:rsidR="003B3DCA" w:rsidRDefault="003B3DCA">
    <w:pPr>
      <w:pStyle w:val="Cabealho"/>
    </w:pPr>
    <w:r>
      <w:rPr>
        <w:noProof/>
        <w:lang w:eastAsia="pt-BR"/>
      </w:rPr>
      <w:drawing>
        <wp:anchor distT="0" distB="0" distL="114300" distR="114300" simplePos="0" relativeHeight="251658240" behindDoc="1" locked="0" layoutInCell="1" allowOverlap="1" wp14:anchorId="19D9181C" wp14:editId="2B676F28">
          <wp:simplePos x="0" y="0"/>
          <wp:positionH relativeFrom="column">
            <wp:posOffset>6616065</wp:posOffset>
          </wp:positionH>
          <wp:positionV relativeFrom="page">
            <wp:posOffset>6762750</wp:posOffset>
          </wp:positionV>
          <wp:extent cx="7553325" cy="1685925"/>
          <wp:effectExtent l="0" t="0" r="9525" b="9525"/>
          <wp:wrapTopAndBottom/>
          <wp:docPr id="664" name="Imagem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B0"/>
    <w:rsid w:val="00010F6F"/>
    <w:rsid w:val="00042A7A"/>
    <w:rsid w:val="0011132B"/>
    <w:rsid w:val="00116350"/>
    <w:rsid w:val="00160294"/>
    <w:rsid w:val="001758F7"/>
    <w:rsid w:val="001957AE"/>
    <w:rsid w:val="00197755"/>
    <w:rsid w:val="001A7641"/>
    <w:rsid w:val="001C450D"/>
    <w:rsid w:val="001D4987"/>
    <w:rsid w:val="001E688E"/>
    <w:rsid w:val="002450BE"/>
    <w:rsid w:val="0027153F"/>
    <w:rsid w:val="0028095F"/>
    <w:rsid w:val="002D5A8F"/>
    <w:rsid w:val="002F2D2E"/>
    <w:rsid w:val="002F6428"/>
    <w:rsid w:val="003143B4"/>
    <w:rsid w:val="00331061"/>
    <w:rsid w:val="003444E9"/>
    <w:rsid w:val="00361CA6"/>
    <w:rsid w:val="00387B05"/>
    <w:rsid w:val="003B3DCA"/>
    <w:rsid w:val="003B51C3"/>
    <w:rsid w:val="004612FD"/>
    <w:rsid w:val="004C2F53"/>
    <w:rsid w:val="004F0506"/>
    <w:rsid w:val="004F3A98"/>
    <w:rsid w:val="005E201C"/>
    <w:rsid w:val="00627E57"/>
    <w:rsid w:val="00644485"/>
    <w:rsid w:val="006809CE"/>
    <w:rsid w:val="00695E4C"/>
    <w:rsid w:val="0075705B"/>
    <w:rsid w:val="00760FC0"/>
    <w:rsid w:val="00763273"/>
    <w:rsid w:val="00781B13"/>
    <w:rsid w:val="007E41E1"/>
    <w:rsid w:val="008042D3"/>
    <w:rsid w:val="00806C3F"/>
    <w:rsid w:val="00840ACF"/>
    <w:rsid w:val="00896F99"/>
    <w:rsid w:val="008A6295"/>
    <w:rsid w:val="008B2A95"/>
    <w:rsid w:val="008D1044"/>
    <w:rsid w:val="008D231C"/>
    <w:rsid w:val="008E10A8"/>
    <w:rsid w:val="009801F8"/>
    <w:rsid w:val="00A24256"/>
    <w:rsid w:val="00A90677"/>
    <w:rsid w:val="00AD71CF"/>
    <w:rsid w:val="00B35E82"/>
    <w:rsid w:val="00B64762"/>
    <w:rsid w:val="00B82AB0"/>
    <w:rsid w:val="00BA138F"/>
    <w:rsid w:val="00BF3F44"/>
    <w:rsid w:val="00C430AA"/>
    <w:rsid w:val="00C5567E"/>
    <w:rsid w:val="00CC056F"/>
    <w:rsid w:val="00D567D4"/>
    <w:rsid w:val="00E815A3"/>
    <w:rsid w:val="00F116E0"/>
    <w:rsid w:val="00F24EF6"/>
    <w:rsid w:val="00F941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7287C0"/>
  <w15:chartTrackingRefBased/>
  <w15:docId w15:val="{C4F43AD8-A072-4EF0-86E9-5FAF6303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AB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82AB0"/>
    <w:rPr>
      <w:b/>
      <w:bCs/>
    </w:rPr>
  </w:style>
  <w:style w:type="character" w:styleId="nfase">
    <w:name w:val="Emphasis"/>
    <w:basedOn w:val="Fontepargpadro"/>
    <w:uiPriority w:val="20"/>
    <w:qFormat/>
    <w:rsid w:val="00B82AB0"/>
    <w:rPr>
      <w:i/>
      <w:iCs/>
    </w:rPr>
  </w:style>
  <w:style w:type="character" w:styleId="Hyperlink">
    <w:name w:val="Hyperlink"/>
    <w:basedOn w:val="Fontepargpadro"/>
    <w:uiPriority w:val="99"/>
    <w:unhideWhenUsed/>
    <w:rsid w:val="00B82AB0"/>
    <w:rPr>
      <w:color w:val="0000FF"/>
      <w:u w:val="single"/>
    </w:rPr>
  </w:style>
  <w:style w:type="paragraph" w:styleId="Cabealho">
    <w:name w:val="header"/>
    <w:basedOn w:val="Normal"/>
    <w:link w:val="CabealhoChar"/>
    <w:uiPriority w:val="99"/>
    <w:unhideWhenUsed/>
    <w:rsid w:val="002809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095F"/>
  </w:style>
  <w:style w:type="paragraph" w:styleId="Rodap">
    <w:name w:val="footer"/>
    <w:basedOn w:val="Normal"/>
    <w:link w:val="RodapChar"/>
    <w:uiPriority w:val="99"/>
    <w:unhideWhenUsed/>
    <w:rsid w:val="0028095F"/>
    <w:pPr>
      <w:tabs>
        <w:tab w:val="center" w:pos="4252"/>
        <w:tab w:val="right" w:pos="8504"/>
      </w:tabs>
      <w:spacing w:after="0" w:line="240" w:lineRule="auto"/>
    </w:pPr>
  </w:style>
  <w:style w:type="character" w:customStyle="1" w:styleId="RodapChar">
    <w:name w:val="Rodapé Char"/>
    <w:basedOn w:val="Fontepargpadro"/>
    <w:link w:val="Rodap"/>
    <w:uiPriority w:val="99"/>
    <w:rsid w:val="0028095F"/>
  </w:style>
  <w:style w:type="paragraph" w:customStyle="1" w:styleId="Default">
    <w:name w:val="Default"/>
    <w:rsid w:val="008A6295"/>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4F3A98"/>
    <w:rPr>
      <w:sz w:val="16"/>
      <w:szCs w:val="16"/>
    </w:rPr>
  </w:style>
  <w:style w:type="paragraph" w:styleId="Textodecomentrio">
    <w:name w:val="annotation text"/>
    <w:basedOn w:val="Normal"/>
    <w:link w:val="TextodecomentrioChar"/>
    <w:uiPriority w:val="99"/>
    <w:semiHidden/>
    <w:unhideWhenUsed/>
    <w:rsid w:val="004F3A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F3A98"/>
    <w:rPr>
      <w:sz w:val="20"/>
      <w:szCs w:val="20"/>
    </w:rPr>
  </w:style>
  <w:style w:type="paragraph" w:styleId="Assuntodocomentrio">
    <w:name w:val="annotation subject"/>
    <w:basedOn w:val="Textodecomentrio"/>
    <w:next w:val="Textodecomentrio"/>
    <w:link w:val="AssuntodocomentrioChar"/>
    <w:uiPriority w:val="99"/>
    <w:semiHidden/>
    <w:unhideWhenUsed/>
    <w:rsid w:val="004F3A98"/>
    <w:rPr>
      <w:b/>
      <w:bCs/>
    </w:rPr>
  </w:style>
  <w:style w:type="character" w:customStyle="1" w:styleId="AssuntodocomentrioChar">
    <w:name w:val="Assunto do comentário Char"/>
    <w:basedOn w:val="TextodecomentrioChar"/>
    <w:link w:val="Assuntodocomentrio"/>
    <w:uiPriority w:val="99"/>
    <w:semiHidden/>
    <w:rsid w:val="004F3A98"/>
    <w:rPr>
      <w:b/>
      <w:bCs/>
      <w:sz w:val="20"/>
      <w:szCs w:val="20"/>
    </w:rPr>
  </w:style>
  <w:style w:type="character" w:customStyle="1" w:styleId="MenoPendente1">
    <w:name w:val="Menção Pendente1"/>
    <w:basedOn w:val="Fontepargpadro"/>
    <w:uiPriority w:val="99"/>
    <w:semiHidden/>
    <w:unhideWhenUsed/>
    <w:rsid w:val="003143B4"/>
    <w:rPr>
      <w:color w:val="605E5C"/>
      <w:shd w:val="clear" w:color="auto" w:fill="E1DFDD"/>
    </w:rPr>
  </w:style>
  <w:style w:type="paragraph" w:styleId="Textodenotaderodap">
    <w:name w:val="footnote text"/>
    <w:basedOn w:val="Normal"/>
    <w:link w:val="TextodenotaderodapChar"/>
    <w:uiPriority w:val="99"/>
    <w:semiHidden/>
    <w:unhideWhenUsed/>
    <w:rsid w:val="003143B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143B4"/>
    <w:rPr>
      <w:sz w:val="20"/>
      <w:szCs w:val="20"/>
    </w:rPr>
  </w:style>
  <w:style w:type="character" w:styleId="Refdenotaderodap">
    <w:name w:val="footnote reference"/>
    <w:basedOn w:val="Fontepargpadro"/>
    <w:uiPriority w:val="99"/>
    <w:semiHidden/>
    <w:unhideWhenUsed/>
    <w:rsid w:val="003143B4"/>
    <w:rPr>
      <w:vertAlign w:val="superscript"/>
    </w:rPr>
  </w:style>
  <w:style w:type="character" w:styleId="HiperlinkVisitado">
    <w:name w:val="FollowedHyperlink"/>
    <w:basedOn w:val="Fontepargpadro"/>
    <w:uiPriority w:val="99"/>
    <w:semiHidden/>
    <w:unhideWhenUsed/>
    <w:rsid w:val="00387B05"/>
    <w:rPr>
      <w:color w:val="954F72" w:themeColor="followedHyperlink"/>
      <w:u w:val="single"/>
    </w:rPr>
  </w:style>
  <w:style w:type="paragraph" w:styleId="Textodebalo">
    <w:name w:val="Balloon Text"/>
    <w:basedOn w:val="Normal"/>
    <w:link w:val="TextodebaloChar"/>
    <w:uiPriority w:val="99"/>
    <w:semiHidden/>
    <w:unhideWhenUsed/>
    <w:rsid w:val="00361C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1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91099">
      <w:bodyDiv w:val="1"/>
      <w:marLeft w:val="0"/>
      <w:marRight w:val="0"/>
      <w:marTop w:val="0"/>
      <w:marBottom w:val="0"/>
      <w:divBdr>
        <w:top w:val="none" w:sz="0" w:space="0" w:color="auto"/>
        <w:left w:val="none" w:sz="0" w:space="0" w:color="auto"/>
        <w:bottom w:val="none" w:sz="0" w:space="0" w:color="auto"/>
        <w:right w:val="none" w:sz="0" w:space="0" w:color="auto"/>
      </w:divBdr>
    </w:div>
    <w:div w:id="818152119">
      <w:bodyDiv w:val="1"/>
      <w:marLeft w:val="0"/>
      <w:marRight w:val="0"/>
      <w:marTop w:val="0"/>
      <w:marBottom w:val="0"/>
      <w:divBdr>
        <w:top w:val="none" w:sz="0" w:space="0" w:color="auto"/>
        <w:left w:val="none" w:sz="0" w:space="0" w:color="auto"/>
        <w:bottom w:val="none" w:sz="0" w:space="0" w:color="auto"/>
        <w:right w:val="none" w:sz="0" w:space="0" w:color="auto"/>
      </w:divBdr>
    </w:div>
    <w:div w:id="1887136955">
      <w:bodyDiv w:val="1"/>
      <w:marLeft w:val="0"/>
      <w:marRight w:val="0"/>
      <w:marTop w:val="0"/>
      <w:marBottom w:val="0"/>
      <w:divBdr>
        <w:top w:val="none" w:sz="0" w:space="0" w:color="auto"/>
        <w:left w:val="none" w:sz="0" w:space="0" w:color="auto"/>
        <w:bottom w:val="none" w:sz="0" w:space="0" w:color="auto"/>
        <w:right w:val="none" w:sz="0" w:space="0" w:color="auto"/>
      </w:divBdr>
      <w:divsChild>
        <w:div w:id="713580074">
          <w:marLeft w:val="0"/>
          <w:marRight w:val="0"/>
          <w:marTop w:val="0"/>
          <w:marBottom w:val="0"/>
          <w:divBdr>
            <w:top w:val="none" w:sz="0" w:space="0" w:color="auto"/>
            <w:left w:val="none" w:sz="0" w:space="0" w:color="auto"/>
            <w:bottom w:val="none" w:sz="0" w:space="0" w:color="auto"/>
            <w:right w:val="none" w:sz="0" w:space="0" w:color="auto"/>
          </w:divBdr>
        </w:div>
      </w:divsChild>
    </w:div>
    <w:div w:id="20164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2L1QcW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lo.bo/2LkMIOc" TargetMode="External"/><Relationship Id="rId10" Type="http://schemas.openxmlformats.org/officeDocument/2006/relationships/hyperlink" Target="mailto:elison0406@gmail.com" TargetMode="External"/><Relationship Id="rId4" Type="http://schemas.openxmlformats.org/officeDocument/2006/relationships/settings" Target="settings.xml"/><Relationship Id="rId9" Type="http://schemas.openxmlformats.org/officeDocument/2006/relationships/hyperlink" Target="mailto:giovanna_santana@hotmail.com.b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4734-2995-458B-9B0D-582EAACD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1599</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Guilherme Mendes de Souza</dc:creator>
  <cp:keywords/>
  <dc:description/>
  <cp:lastModifiedBy>Giovanna Santana</cp:lastModifiedBy>
  <cp:revision>25</cp:revision>
  <dcterms:created xsi:type="dcterms:W3CDTF">2021-07-29T18:14:00Z</dcterms:created>
  <dcterms:modified xsi:type="dcterms:W3CDTF">2021-08-23T23:12:00Z</dcterms:modified>
</cp:coreProperties>
</file>