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0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7" w:after="0" w:line="240"/>
        <w:ind w:right="110" w:left="695" w:firstLine="0"/>
        <w:jc w:val="center"/>
        <w:rPr>
          <w:rFonts w:ascii="Calibri" w:hAnsi="Calibri" w:cs="Calibri" w:eastAsia="Calibri"/>
          <w:b/>
          <w:color w:val="auto"/>
          <w:spacing w:val="0"/>
          <w:position w:val="0"/>
          <w:sz w:val="36"/>
          <w:shd w:fill="auto" w:val="clear"/>
        </w:rPr>
      </w:pPr>
    </w:p>
    <w:p>
      <w:pPr>
        <w:spacing w:before="27" w:after="0" w:line="240"/>
        <w:ind w:right="110" w:left="695" w:firstLine="0"/>
        <w:jc w:val="center"/>
        <w:rPr>
          <w:rFonts w:ascii="Calibri" w:hAnsi="Calibri" w:cs="Calibri" w:eastAsia="Calibri"/>
          <w:b/>
          <w:color w:val="auto"/>
          <w:spacing w:val="0"/>
          <w:position w:val="0"/>
          <w:sz w:val="36"/>
          <w:shd w:fill="auto" w:val="clear"/>
        </w:rPr>
      </w:pPr>
    </w:p>
    <w:p>
      <w:pPr>
        <w:spacing w:before="27" w:after="0" w:line="240"/>
        <w:ind w:right="110" w:left="695" w:firstLine="0"/>
        <w:jc w:val="center"/>
        <w:rPr>
          <w:rFonts w:ascii="Calibri" w:hAnsi="Calibri" w:cs="Calibri" w:eastAsia="Calibri"/>
          <w:b/>
          <w:color w:val="auto"/>
          <w:spacing w:val="0"/>
          <w:position w:val="0"/>
          <w:sz w:val="36"/>
          <w:shd w:fill="auto" w:val="clear"/>
        </w:rPr>
      </w:pPr>
      <w:r>
        <w:object w:dxaOrig="3704" w:dyaOrig="3465">
          <v:rect xmlns:o="urn:schemas-microsoft-com:office:office" xmlns:v="urn:schemas-microsoft-com:vml" id="rectole0000000000" style="width:185.200000pt;height:173.2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7" w:after="0" w:line="240"/>
        <w:ind w:right="110" w:left="695" w:firstLine="0"/>
        <w:jc w:val="center"/>
        <w:rPr>
          <w:rFonts w:ascii="Calibri" w:hAnsi="Calibri" w:cs="Calibri" w:eastAsia="Calibri"/>
          <w:b/>
          <w:color w:val="auto"/>
          <w:spacing w:val="0"/>
          <w:position w:val="0"/>
          <w:sz w:val="36"/>
          <w:shd w:fill="auto" w:val="clear"/>
        </w:rPr>
      </w:pPr>
    </w:p>
    <w:p>
      <w:pPr>
        <w:spacing w:before="27" w:after="0" w:line="240"/>
        <w:ind w:right="110" w:left="695" w:firstLine="0"/>
        <w:jc w:val="center"/>
        <w:rPr>
          <w:rFonts w:ascii="Calibri" w:hAnsi="Calibri" w:cs="Calibri" w:eastAsia="Calibri"/>
          <w:b/>
          <w:color w:val="auto"/>
          <w:spacing w:val="0"/>
          <w:position w:val="0"/>
          <w:sz w:val="36"/>
          <w:shd w:fill="auto" w:val="clear"/>
        </w:rPr>
      </w:pPr>
    </w:p>
    <w:p>
      <w:pPr>
        <w:spacing w:before="27" w:after="0" w:line="240"/>
        <w:ind w:right="110" w:left="695"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Manejo Cirúrgico em Urgência da Cetoacidose Diabética com Complicações Neurológicas e Cardiovasculares.</w:t>
      </w:r>
    </w:p>
    <w:p>
      <w:pPr>
        <w:spacing w:before="27" w:after="0" w:line="240"/>
        <w:ind w:right="110" w:left="695" w:firstLine="0"/>
        <w:jc w:val="center"/>
        <w:rPr>
          <w:rFonts w:ascii="Calibri" w:hAnsi="Calibri" w:cs="Calibri" w:eastAsia="Calibri"/>
          <w:b/>
          <w:color w:val="auto"/>
          <w:spacing w:val="0"/>
          <w:position w:val="0"/>
          <w:sz w:val="36"/>
          <w:shd w:fill="auto" w:val="clear"/>
        </w:rPr>
      </w:pPr>
    </w:p>
    <w:p>
      <w:pPr>
        <w:spacing w:before="27" w:after="0" w:line="240"/>
        <w:ind w:right="110" w:left="695" w:firstLine="0"/>
        <w:jc w:val="center"/>
        <w:rPr>
          <w:rFonts w:ascii="Calibri" w:hAnsi="Calibri" w:cs="Calibri" w:eastAsia="Calibri"/>
          <w:b/>
          <w:color w:val="auto"/>
          <w:spacing w:val="0"/>
          <w:position w:val="0"/>
          <w:sz w:val="36"/>
          <w:shd w:fill="auto" w:val="clear"/>
        </w:rPr>
      </w:pPr>
    </w:p>
    <w:p>
      <w:pPr>
        <w:spacing w:before="27" w:after="0" w:line="240"/>
        <w:ind w:right="110" w:left="695" w:firstLine="0"/>
        <w:jc w:val="center"/>
        <w:rPr>
          <w:rFonts w:ascii="Calibri" w:hAnsi="Calibri" w:cs="Calibri" w:eastAsia="Calibri"/>
          <w:b/>
          <w:i/>
          <w:color w:val="auto"/>
          <w:spacing w:val="0"/>
          <w:position w:val="0"/>
          <w:sz w:val="36"/>
          <w:shd w:fill="auto" w:val="clear"/>
        </w:rPr>
      </w:pPr>
      <w:r>
        <w:rPr>
          <w:rFonts w:ascii="Calibri" w:hAnsi="Calibri" w:cs="Calibri" w:eastAsia="Calibri"/>
          <w:color w:val="auto"/>
          <w:spacing w:val="0"/>
          <w:position w:val="0"/>
          <w:sz w:val="22"/>
          <w:shd w:fill="auto" w:val="clear"/>
        </w:rPr>
        <w:t xml:space="preserve">Pedro Luis Flora da Costa, Nelissa Abud de Castro, Gabriel Francisco Ferrari Peres, André Torres da Silva, Gustavo Morais Segreto, Gabriella Rosolen Balestro, Fernanda Patrício da Silva, Heloiza Pivaro de Souza, Paulo Henrique Santos Melo, Rafaela Marra Santana Costa, Ana Isabela Duarte dogan, Bruna Veras Juntolli, Sophia Rabêlo Corrêa Barbosa, Beatriz Alves Vendramel Tonani, Leonardo Jardim de Lima.</w:t>
      </w:r>
    </w:p>
    <w:p>
      <w:pPr>
        <w:spacing w:before="0" w:after="0" w:line="240"/>
        <w:ind w:right="107" w:left="695" w:firstLine="0"/>
        <w:jc w:val="both"/>
        <w:rPr>
          <w:rFonts w:ascii="Calibri" w:hAnsi="Calibri" w:cs="Calibri" w:eastAsia="Calibri"/>
          <w:color w:val="auto"/>
          <w:spacing w:val="0"/>
          <w:position w:val="0"/>
          <w:sz w:val="28"/>
          <w:shd w:fill="auto" w:val="clear"/>
        </w:rPr>
      </w:pPr>
    </w:p>
    <w:p>
      <w:pPr>
        <w:spacing w:before="10" w:after="0" w:line="240"/>
        <w:ind w:right="0" w:left="0" w:firstLine="0"/>
        <w:jc w:val="left"/>
        <w:rPr>
          <w:rFonts w:ascii="Calibri" w:hAnsi="Calibri" w:cs="Calibri" w:eastAsia="Calibri"/>
          <w:color w:val="auto"/>
          <w:spacing w:val="0"/>
          <w:position w:val="0"/>
          <w:sz w:val="27"/>
          <w:shd w:fill="auto" w:val="clear"/>
        </w:rPr>
      </w:pPr>
    </w:p>
    <w:p>
      <w:pPr>
        <w:spacing w:before="0" w:after="0" w:line="240"/>
        <w:ind w:right="0" w:left="0" w:firstLine="0"/>
        <w:jc w:val="left"/>
        <w:rPr>
          <w:rFonts w:ascii="Calibri" w:hAnsi="Calibri" w:cs="Calibri" w:eastAsia="Calibri"/>
          <w:color w:val="auto"/>
          <w:spacing w:val="0"/>
          <w:position w:val="0"/>
          <w:sz w:val="27"/>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52" w:after="0" w:line="240"/>
        <w:ind w:right="0" w:left="834" w:firstLine="0"/>
        <w:jc w:val="left"/>
        <w:rPr>
          <w:rFonts w:ascii="Calibri" w:hAnsi="Calibri" w:cs="Calibri" w:eastAsia="Calibri"/>
          <w:b/>
          <w:i/>
          <w:color w:val="auto"/>
          <w:spacing w:val="0"/>
          <w:position w:val="0"/>
          <w:sz w:val="19"/>
          <w:shd w:fill="auto" w:val="clear"/>
        </w:rPr>
      </w:pPr>
      <w:r>
        <w:rPr>
          <w:rFonts w:ascii="Calibri" w:hAnsi="Calibri" w:cs="Calibri" w:eastAsia="Calibri"/>
          <w:b/>
          <w:color w:val="auto"/>
          <w:spacing w:val="0"/>
          <w:position w:val="0"/>
          <w:sz w:val="24"/>
          <w:shd w:fill="auto" w:val="clear"/>
        </w:rPr>
        <w:t xml:space="preserve">RESUMO</w:t>
      </w:r>
    </w:p>
    <w:p>
      <w:pPr>
        <w:spacing w:before="51" w:after="0" w:line="240"/>
        <w:ind w:right="672" w:left="834"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objetivo principal deste estudo é examinar as abordagens clínicas atuais para tratar o estado hiperglicêmico hiperosmolar (EHH) em ambientes de emergência. O HHE é uma emergência endocrinológica grave que ocorre principalmente em pacientes com diabetes mellitus tipo 2 não controlada. Ele é caracterizado por hiperglicemia extrema, hiperosmolaridade plasmática e desidratação acentuada, sem cetoacidose significativa.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 condição cresce lentamente ao longo de dias ou semanas e pode causar manifestações neurológicas graves, como letargia, confusão mental, convulsões e coma. Fatores como infecções, uso inadequado de medicamentos, traumas ou doenças concomitantes que aumentam a produção de hormônios contrarreguladores são as causas mais comuns. A técnica empregada foi uma revisão descritiva e qualitativa da literatura publicada entre 2004 e 2024, em português e inglês.</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Google Scholar, PubMed e Scielo foram as bases de dados consultadas. A análise se concentrou nas causas do EHH; intervenções emergenciais eficazes; protocolos para correção de distúrbios eletrolíticos e hiperglicemia; e o papel do acompanhamento endocrinológico na prevenção de episódios recorrentes. Os resultados mostram que a fluidoterapia agressiva, a administração criteriosa de insulina e o monitoramento cuidadoso dos níveis de glicose e eletrolitos são necessários para o manejo adequado do EHH.</w:t>
      </w:r>
    </w:p>
    <w:p>
      <w:pPr>
        <w:spacing w:before="1" w:after="0" w:line="240"/>
        <w:ind w:right="0" w:left="0" w:firstLine="0"/>
        <w:jc w:val="left"/>
        <w:rPr>
          <w:rFonts w:ascii="Calibri" w:hAnsi="Calibri" w:cs="Calibri" w:eastAsia="Calibri"/>
          <w:color w:val="auto"/>
          <w:spacing w:val="0"/>
          <w:position w:val="0"/>
          <w:sz w:val="24"/>
          <w:shd w:fill="auto" w:val="clear"/>
        </w:rPr>
      </w:pPr>
    </w:p>
    <w:p>
      <w:pPr>
        <w:spacing w:before="1" w:after="0" w:line="240"/>
        <w:ind w:right="622" w:left="834"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Palavras-chave:</w:t>
      </w:r>
      <w:r>
        <w:rPr>
          <w:rFonts w:ascii="Calibri" w:hAnsi="Calibri" w:cs="Calibri" w:eastAsia="Calibri"/>
          <w:b/>
          <w:color w:val="auto"/>
          <w:spacing w:val="26"/>
          <w:position w:val="0"/>
          <w:sz w:val="24"/>
          <w:shd w:fill="auto" w:val="clear"/>
        </w:rPr>
        <w:t xml:space="preserve"> </w:t>
      </w:r>
      <w:r>
        <w:rPr>
          <w:rFonts w:ascii="Calibri" w:hAnsi="Calibri" w:cs="Calibri" w:eastAsia="Calibri"/>
          <w:color w:val="auto"/>
          <w:spacing w:val="0"/>
          <w:position w:val="0"/>
          <w:sz w:val="24"/>
          <w:shd w:fill="auto" w:val="clear"/>
        </w:rPr>
        <w:t xml:space="preserve">Cetoacidose, Manejo, Cuidados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57" w:after="0" w:line="240"/>
        <w:ind w:right="0" w:left="283" w:firstLine="0"/>
        <w:jc w:val="left"/>
        <w:rPr>
          <w:rFonts w:ascii="Calibri" w:hAnsi="Calibri" w:cs="Calibri" w:eastAsia="Calibri"/>
          <w:color w:val="auto"/>
          <w:spacing w:val="0"/>
          <w:position w:val="0"/>
          <w:sz w:val="20"/>
          <w:shd w:fill="auto" w:val="clear"/>
        </w:rPr>
      </w:pPr>
    </w:p>
    <w:p>
      <w:pPr>
        <w:spacing w:before="1" w:after="0" w:line="240"/>
        <w:ind w:right="0" w:left="0" w:firstLine="0"/>
        <w:jc w:val="left"/>
        <w:rPr>
          <w:rFonts w:ascii="Calibri" w:hAnsi="Calibri" w:cs="Calibri" w:eastAsia="Calibri"/>
          <w:color w:val="auto"/>
          <w:spacing w:val="0"/>
          <w:position w:val="0"/>
          <w:sz w:val="20"/>
          <w:shd w:fill="auto" w:val="clear"/>
        </w:rPr>
      </w:pPr>
    </w:p>
    <w:p>
      <w:pPr>
        <w:spacing w:before="3" w:after="0" w:line="240"/>
        <w:ind w:right="0" w:left="0" w:firstLine="0"/>
        <w:jc w:val="left"/>
        <w:rPr>
          <w:rFonts w:ascii="Calibri" w:hAnsi="Calibri" w:cs="Calibri" w:eastAsia="Calibri"/>
          <w:color w:val="auto"/>
          <w:spacing w:val="0"/>
          <w:position w:val="0"/>
          <w:sz w:val="13"/>
          <w:shd w:fill="auto" w:val="clear"/>
        </w:rPr>
      </w:pPr>
    </w:p>
    <w:p>
      <w:pPr>
        <w:spacing w:before="0" w:after="0" w:line="240"/>
        <w:ind w:right="0" w:left="0" w:firstLine="0"/>
        <w:jc w:val="left"/>
        <w:rPr>
          <w:rFonts w:ascii="Calibri" w:hAnsi="Calibri" w:cs="Calibri" w:eastAsia="Calibri"/>
          <w:color w:val="auto"/>
          <w:spacing w:val="0"/>
          <w:position w:val="0"/>
          <w:sz w:val="13"/>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17"/>
          <w:shd w:fill="auto" w:val="clear"/>
        </w:rPr>
      </w:pPr>
    </w:p>
    <w:p>
      <w:pPr>
        <w:spacing w:before="35" w:after="0" w:line="240"/>
        <w:ind w:right="0" w:left="1982" w:firstLine="0"/>
        <w:jc w:val="left"/>
        <w:rPr>
          <w:rFonts w:ascii="Calibri" w:hAnsi="Calibri" w:cs="Calibri" w:eastAsia="Calibri"/>
          <w:b/>
          <w:i/>
          <w:color w:val="auto"/>
          <w:spacing w:val="0"/>
          <w:position w:val="0"/>
          <w:sz w:val="32"/>
          <w:shd w:fill="auto" w:val="clear"/>
        </w:rPr>
      </w:pPr>
      <w:r>
        <w:rPr>
          <w:rFonts w:ascii="Calibri" w:hAnsi="Calibri" w:cs="Calibri" w:eastAsia="Calibri"/>
          <w:b/>
          <w:i/>
          <w:color w:val="auto"/>
          <w:spacing w:val="0"/>
          <w:position w:val="0"/>
          <w:sz w:val="32"/>
          <w:shd w:fill="auto" w:val="clear"/>
        </w:rPr>
        <w:t xml:space="preserve">INTRODUÇÃO</w:t>
      </w:r>
    </w:p>
    <w:p>
      <w:pPr>
        <w:spacing w:before="242" w:after="0" w:line="360"/>
        <w:ind w:right="1096"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estado hiperglicêmico hiperosmolar (EHH) é uma emergência endocrinológica</w:t>
      </w:r>
      <w:r>
        <w:rPr>
          <w:rFonts w:ascii="Calibri" w:hAnsi="Calibri" w:cs="Calibri" w:eastAsia="Calibri"/>
          <w:color w:val="auto"/>
          <w:spacing w:val="-53"/>
          <w:position w:val="0"/>
          <w:sz w:val="24"/>
          <w:shd w:fill="auto" w:val="clear"/>
        </w:rPr>
        <w:t xml:space="preserve"> </w:t>
      </w:r>
      <w:r>
        <w:rPr>
          <w:rFonts w:ascii="Calibri" w:hAnsi="Calibri" w:cs="Calibri" w:eastAsia="Calibri"/>
          <w:color w:val="auto"/>
          <w:spacing w:val="0"/>
          <w:position w:val="0"/>
          <w:sz w:val="24"/>
          <w:shd w:fill="auto" w:val="clear"/>
        </w:rPr>
        <w:t xml:space="preserve">grave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principalmente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mellitus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controlada. Caracteriza-se por hiperglicemia extrema, hiperosmolaridade plasmática 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desidratação acentuada,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 ausência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cetoacidose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significativa.</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095"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Essa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condição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geralmente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desenvolve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forma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insidiosa,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longo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dias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ou</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semanas, e pode levar a manifestações neurológicas graves, como letargia, confusão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mental, convulsões e coma. O EHH é frequentemente desencadeado por fatores como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infecções, uso inadequado de medicamentos, trauma ou doenças concomitantes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aumentam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 produção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hormônios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contra-reguladores.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7"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095"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manejo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adequado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crucial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prevenir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potencialmente fatais. As intervenções de emergência visam corrigir a desidratação,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hiperosmolaridade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hiperglicemia,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tratar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causas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subjacentes.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medidas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envolvem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fluidoterapia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agressiva,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administração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criteriosa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insulina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monitoramento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rigoroso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níveis glicêmicos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eletrolíticos.</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1" w:after="0" w:line="240"/>
        <w:ind w:right="0" w:left="198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METODOLOGIA</w:t>
      </w:r>
    </w:p>
    <w:p>
      <w:pPr>
        <w:spacing w:before="242" w:after="0" w:line="360"/>
        <w:ind w:right="1099"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 estudo atual é uma pesquisa fundamental baseada em uma revisão literária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detalhada, com o objetivo de analisar as práticas clínicas atuais no manejo do estado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hiperglicêmico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hiperosmolar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ambientes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emergência.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emergência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endocrinológica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principalmente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mellitus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controlada,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caracterizada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hiperglicemia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extrema,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hiperosmolaridade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plasmática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desidratação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acentuada,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sem</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cetoacidose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significativa.</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100"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Serão coletadas informações detalhadas sobre os fatores desencadeantes 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eficácia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intervenções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emergenciais,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protocolos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correção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hiperglicemia e distúrbios eletrolíticos, e o papel do acompanhamento endocrinológico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na prevenção de episódios recorrentes. A avaliação da qualidade dos estudos incluídos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será realizada considerando o rigor metodológico, a importância clínica e a atualidade,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 foco em artigos publicados entre 2004 e 2024 para garantir que as informações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sejam pertinentes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atuais.</w:t>
      </w:r>
    </w:p>
    <w:p>
      <w:pPr>
        <w:spacing w:before="10" w:after="0" w:line="240"/>
        <w:ind w:right="0" w:left="0" w:firstLine="0"/>
        <w:jc w:val="left"/>
        <w:rPr>
          <w:rFonts w:ascii="Calibri" w:hAnsi="Calibri" w:cs="Calibri" w:eastAsia="Calibri"/>
          <w:color w:val="auto"/>
          <w:spacing w:val="0"/>
          <w:position w:val="0"/>
          <w:sz w:val="31"/>
          <w:shd w:fill="auto" w:val="clear"/>
        </w:rPr>
      </w:pPr>
    </w:p>
    <w:p>
      <w:pPr>
        <w:spacing w:before="0" w:after="0" w:line="240"/>
        <w:ind w:right="0" w:left="198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RESULTADOS</w:t>
      </w:r>
    </w:p>
    <w:p>
      <w:pPr>
        <w:spacing w:before="0" w:after="0" w:line="240"/>
        <w:ind w:right="0" w:left="0" w:firstLine="0"/>
        <w:jc w:val="left"/>
        <w:rPr>
          <w:rFonts w:ascii="Calibri" w:hAnsi="Calibri" w:cs="Calibri" w:eastAsia="Calibri"/>
          <w:b/>
          <w:color w:val="auto"/>
          <w:spacing w:val="0"/>
          <w:position w:val="0"/>
          <w:sz w:val="32"/>
          <w:shd w:fill="auto" w:val="clear"/>
        </w:rPr>
      </w:pPr>
    </w:p>
    <w:p>
      <w:pPr>
        <w:spacing w:before="9" w:after="0" w:line="240"/>
        <w:ind w:right="0" w:left="0" w:firstLine="0"/>
        <w:jc w:val="left"/>
        <w:rPr>
          <w:rFonts w:ascii="Calibri" w:hAnsi="Calibri" w:cs="Calibri" w:eastAsia="Calibri"/>
          <w:b/>
          <w:color w:val="auto"/>
          <w:spacing w:val="0"/>
          <w:position w:val="0"/>
          <w:sz w:val="27"/>
          <w:shd w:fill="auto" w:val="clear"/>
        </w:rPr>
      </w:pPr>
    </w:p>
    <w:p>
      <w:pPr>
        <w:spacing w:before="1" w:after="0" w:line="360"/>
        <w:ind w:right="1098" w:left="1262" w:firstLine="719"/>
        <w:jc w:val="both"/>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hiperglicêmico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hiperosmolar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complicação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aguda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 mellitus, caracterizada por hiperglicemia extrema, desidratação severa e alta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osmolaridade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sérica,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1"/>
          <w:position w:val="0"/>
          <w:sz w:val="24"/>
          <w:shd w:fill="auto" w:val="clear"/>
        </w:rPr>
        <w:t xml:space="preserve">sem</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presença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significativa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cetoacidose.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diagnosticar</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são utilizados critérios laboratoriais específicos e a observação de sintomas clínicos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distintos.</w:t>
      </w:r>
    </w:p>
    <w:p>
      <w:pPr>
        <w:spacing w:before="0" w:after="0" w:line="360"/>
        <w:ind w:right="1095"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Dentre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principais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critérios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laboratoriais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destaca-se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a hiperglicemia extrema, com níveis de glicose no sangue geralmente superiores a 600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mg/dL (33,3 mmol/L), sendo este um dos marcadores mais críticos para a identificação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condição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[1][2][3].</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osmolaridade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sérica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elevada,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tipicamente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superior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320</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mOsm/kg, também é um critério importante, resultante da concentração de solutos no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sangue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devido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desidratação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severa</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à</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hiperglicemia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[1][2][3].</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Além</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disso,</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níveis</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bicarbonato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sérico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geralmente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superiores</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15</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mEq/L,</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ajuda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diferenciar</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da cetoacidose diabética (CAD), onde os níveis de bicarbonato são significativamente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mais baixos [1][2][3]. É importante notar que, em EHH, a cetonemia e a cetonúria 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mínimas ou ausentes,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fator distintivo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crucial entre EHH</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CAD</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[1][2][3].</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10"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097"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sintomas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clínicos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frequentemente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neurológicos,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alterações do estado mental como letargia, confusão, estupor e até coma, resultantes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 desidratação severa e da hiperosmolaridade [1][2][3]. A desidratação severa 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manifesta através de sinais como pele seca, mucosas secas, hipotensão e taquicardia,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ocorrendo devido à diurese osmótica induzida pela hiperglicemia [1][2][3]. Embora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menos comuns do que na CAD, sintomas gastrointestinais como náuseas e vômitos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estar</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presentes,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dor abdominal</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menos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frequente em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EHH</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[1][2][3].</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100"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identificação rápida e precisa dessas condições em ambientes de emergência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 crucial para iniciar o tratamento adequado e melhorar os resultados clínicos. Por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exemplo, a tuberculose (TB) continua sendo uma das principais causas de morte entre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doenças transmissíveis, e seu manejo eficaz depende da adesão ao tratamento e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políticas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públicas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robustas.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ambientes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atenção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básica,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enfermeiros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desempenham um papel vital na aplicação e monitoramento do tratamento da TB,</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apesar dos desafios significativos impostos pela alta taxa de incidência e complexidade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especialmente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países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recursos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limitados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[4].</w:t>
      </w: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095"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Similarmente,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precoce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endometriose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dificultado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pela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diversidade das manifestações clínicas e pela falta de informação entre as portadoras.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 barreiras incluem o alto custo dos exames e a falta de conscientização tanto entre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 quanto entre profissionais de saúde. A disseminação de informações e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educação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são</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essenciais</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melhorar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dessa</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condição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Além disso, o choque hipovolêmico, caracterizado pela inadequada perfusão tecidual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sistêmica, apresenta sinais clínicos inespecíficos que dificultam seu reconhecimento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precoce.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realização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avaliações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cuidadosas,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exames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radiográficos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ultrassonográficos, é fundamental para identificar rapidamente essa síndrome e iniciar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 tratamento adequado,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melhorando assim</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o prognóstico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paciente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[6].</w:t>
      </w:r>
    </w:p>
    <w:p>
      <w:pPr>
        <w:spacing w:before="11" w:after="0" w:line="240"/>
        <w:ind w:right="0" w:left="0" w:firstLine="0"/>
        <w:jc w:val="left"/>
        <w:rPr>
          <w:rFonts w:ascii="Calibri" w:hAnsi="Calibri" w:cs="Calibri" w:eastAsia="Calibri"/>
          <w:color w:val="auto"/>
          <w:spacing w:val="0"/>
          <w:position w:val="0"/>
          <w:sz w:val="19"/>
          <w:shd w:fill="auto" w:val="clear"/>
        </w:rPr>
      </w:pPr>
    </w:p>
    <w:p>
      <w:pPr>
        <w:spacing w:before="0" w:after="0" w:line="360"/>
        <w:ind w:right="1096" w:left="1262" w:firstLine="719"/>
        <w:jc w:val="both"/>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controle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glicêmico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intensivo</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uma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abordagem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terapêutica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visa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manter</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os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níveis de glicose no sangue dentro de uma faixa estreita, com o objetivo de prevenir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agudas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crônicas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associadas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mellitus.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método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particularmente relevante tanto para pacientes com diabetes tipo 1 quanto tipo 2, e é</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frequentemente</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utilizado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ambientes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terapia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intensiva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críticos.</w:t>
      </w:r>
    </w:p>
    <w:p>
      <w:pPr>
        <w:spacing w:before="0" w:after="0" w:line="360"/>
        <w:ind w:right="1098" w:left="1262" w:firstLine="719"/>
        <w:jc w:val="both"/>
        <w:rPr>
          <w:rFonts w:ascii="Calibri" w:hAnsi="Calibri" w:cs="Calibri" w:eastAsia="Calibri"/>
          <w:color w:val="auto"/>
          <w:spacing w:val="0"/>
          <w:position w:val="0"/>
          <w:sz w:val="35"/>
          <w:shd w:fill="auto" w:val="clear"/>
        </w:rPr>
      </w:pPr>
      <w:r>
        <w:rPr>
          <w:rFonts w:ascii="Calibri" w:hAnsi="Calibri" w:cs="Calibri" w:eastAsia="Calibri"/>
          <w:color w:val="auto"/>
          <w:spacing w:val="0"/>
          <w:position w:val="0"/>
          <w:sz w:val="24"/>
          <w:shd w:fill="auto" w:val="clear"/>
        </w:rPr>
        <w:t xml:space="preserve">Nesse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sentido,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administração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insulina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componente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central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controle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glicêmico intensivo. Estudos demonstram que a infusão contínua de insulina pode ser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eficaz na manutenção de níveis glicêmicos estáveis em pacientes críticos. Por exemplo,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um estudo comparou dois protocolos de troca de solução de insulina (a cada 6 horas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versus a cada 24 horas) e não encontrou diferenças significativas nos níveis de glicemia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capilar, embora a troca a cada 6 horas tenha sido associada a uma menor incidência 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hipoglicemia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leve[18].</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Outro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estudo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avaliou</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eficácia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protocolo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infusão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insulina de Yale, mostrando que pacientes no grupo de controle intensivo alcançaram 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faixa-alvo de glicemia mais rapidamente e mantiveram uma maior porcentagem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tempo dentro dessa faixa, sem aumento significativo na incidência de hipoglicemia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grave[19].</w:t>
      </w:r>
    </w:p>
    <w:p>
      <w:pPr>
        <w:spacing w:before="0" w:after="0" w:line="360"/>
        <w:ind w:right="1100" w:left="1262" w:firstLine="719"/>
        <w:jc w:val="both"/>
        <w:rPr>
          <w:rFonts w:ascii="Calibri" w:hAnsi="Calibri" w:cs="Calibri" w:eastAsia="Calibri"/>
          <w:color w:val="auto"/>
          <w:spacing w:val="0"/>
          <w:position w:val="0"/>
          <w:sz w:val="19"/>
          <w:shd w:fill="auto" w:val="clear"/>
        </w:rPr>
      </w:pPr>
      <w:r>
        <w:rPr>
          <w:rFonts w:ascii="Calibri" w:hAnsi="Calibri" w:cs="Calibri" w:eastAsia="Calibri"/>
          <w:color w:val="auto"/>
          <w:spacing w:val="0"/>
          <w:position w:val="0"/>
          <w:sz w:val="24"/>
          <w:shd w:fill="auto" w:val="clear"/>
        </w:rPr>
        <w:t xml:space="preserve">O monitoramento contínuo da glicose (MCG) é uma tecnologia que permite 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medição constante dos níveis de glicose no líquido intersticial, fornecendo dados em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tempo</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real</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que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podem</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ser</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utilizados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ajustar</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terapia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insulina.</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Estudos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indicam que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MCG</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pode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reduzir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frequência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episódios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hipoglicemia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hiperglicemia, além de ajudar na manutenção ou redução dos níveis de hemoglobina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glicada (HbA1c)[20]. Em um estudo comparativo, pacientes que utilizaram o sistema de</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monitoramento flash da glicose (MFG) apresentaram uma melhora significativa no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tempo</w:t>
      </w:r>
      <w:r>
        <w:rPr>
          <w:rFonts w:ascii="Calibri" w:hAnsi="Calibri" w:cs="Calibri" w:eastAsia="Calibri"/>
          <w:color w:val="auto"/>
          <w:spacing w:val="-1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glicemia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alvo,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especialmente</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quando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combinada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com</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hábitos</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saudáveis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alimentação 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exercício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físico[21].</w:t>
      </w:r>
    </w:p>
    <w:p>
      <w:pPr>
        <w:spacing w:before="0" w:after="0" w:line="360"/>
        <w:ind w:right="1095"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1"/>
          <w:position w:val="0"/>
          <w:sz w:val="24"/>
          <w:shd w:fill="auto" w:val="clear"/>
        </w:rPr>
        <w:t xml:space="preserve">Portanto,</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correção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adequada</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e</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1"/>
          <w:position w:val="0"/>
          <w:sz w:val="24"/>
          <w:shd w:fill="auto" w:val="clear"/>
        </w:rPr>
        <w:t xml:space="preserve">oportuna</w:t>
      </w:r>
      <w:r>
        <w:rPr>
          <w:rFonts w:ascii="Calibri" w:hAnsi="Calibri" w:cs="Calibri" w:eastAsia="Calibri"/>
          <w:color w:val="auto"/>
          <w:spacing w:val="-10"/>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distúrbios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eletrolíticos</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é</w:t>
      </w:r>
      <w:r>
        <w:rPr>
          <w:rFonts w:ascii="Calibri" w:hAnsi="Calibri" w:cs="Calibri" w:eastAsia="Calibri"/>
          <w:color w:val="auto"/>
          <w:spacing w:val="-11"/>
          <w:position w:val="0"/>
          <w:sz w:val="24"/>
          <w:shd w:fill="auto" w:val="clear"/>
        </w:rPr>
        <w:t xml:space="preserve"> </w:t>
      </w:r>
      <w:r>
        <w:rPr>
          <w:rFonts w:ascii="Calibri" w:hAnsi="Calibri" w:cs="Calibri" w:eastAsia="Calibri"/>
          <w:color w:val="auto"/>
          <w:spacing w:val="0"/>
          <w:position w:val="0"/>
          <w:sz w:val="24"/>
          <w:shd w:fill="auto" w:val="clear"/>
        </w:rPr>
        <w:t xml:space="preserve">essencial</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para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melhorar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prognóstico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recuperação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compreensão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mecanismos patofisiológicos envolvidos e a implementação de estratégias terapêuticas</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baseadas em evidências são fundamentais para o manejo eficaz desses distúrbios [26].</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 papel do endocrinologista é fundamental na prevenção de episódios recorrentes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diversas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condições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endocrinológicas,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incluindo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mellitus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tipo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doenças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cardiovasculares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dislipidemias.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Este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profissional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apenas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diagnostica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trata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doenças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hormonais,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mas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também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desempenha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papel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crucial</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na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educação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 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no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ajuste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terapias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de longo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prazo.</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19"/>
          <w:shd w:fill="auto" w:val="clear"/>
        </w:rPr>
      </w:pPr>
    </w:p>
    <w:p>
      <w:pPr>
        <w:spacing w:before="190" w:after="0" w:line="240"/>
        <w:ind w:right="0" w:left="198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CONSIDERAÇÕES</w:t>
      </w:r>
      <w:r>
        <w:rPr>
          <w:rFonts w:ascii="Calibri" w:hAnsi="Calibri" w:cs="Calibri" w:eastAsia="Calibri"/>
          <w:b/>
          <w:color w:val="auto"/>
          <w:spacing w:val="-7"/>
          <w:position w:val="0"/>
          <w:sz w:val="32"/>
          <w:shd w:fill="auto" w:val="clear"/>
        </w:rPr>
        <w:t xml:space="preserve"> </w:t>
      </w:r>
      <w:r>
        <w:rPr>
          <w:rFonts w:ascii="Calibri" w:hAnsi="Calibri" w:cs="Calibri" w:eastAsia="Calibri"/>
          <w:b/>
          <w:color w:val="auto"/>
          <w:spacing w:val="0"/>
          <w:position w:val="0"/>
          <w:sz w:val="32"/>
          <w:shd w:fill="auto" w:val="clear"/>
        </w:rPr>
        <w:t xml:space="preserve">FINAIS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1" w:after="0" w:line="240"/>
        <w:ind w:right="0" w:left="0" w:firstLine="0"/>
        <w:jc w:val="left"/>
        <w:rPr>
          <w:rFonts w:ascii="Calibri" w:hAnsi="Calibri" w:cs="Calibri" w:eastAsia="Calibri"/>
          <w:b/>
          <w:color w:val="auto"/>
          <w:spacing w:val="0"/>
          <w:position w:val="0"/>
          <w:sz w:val="24"/>
          <w:shd w:fill="auto" w:val="clear"/>
        </w:rPr>
      </w:pPr>
    </w:p>
    <w:p>
      <w:pPr>
        <w:spacing w:before="52" w:after="0" w:line="360"/>
        <w:ind w:right="1095" w:left="1262" w:firstLine="719"/>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Esta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revisão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literatura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destaca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9"/>
          <w:position w:val="0"/>
          <w:sz w:val="24"/>
          <w:shd w:fill="auto" w:val="clear"/>
        </w:rPr>
        <w:t xml:space="preserve"> </w:t>
      </w:r>
      <w:r>
        <w:rPr>
          <w:rFonts w:ascii="Calibri" w:hAnsi="Calibri" w:cs="Calibri" w:eastAsia="Calibri"/>
          <w:color w:val="auto"/>
          <w:spacing w:val="0"/>
          <w:position w:val="0"/>
          <w:sz w:val="24"/>
          <w:shd w:fill="auto" w:val="clear"/>
        </w:rPr>
        <w:t xml:space="preserve">importância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crítica</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da</w:t>
      </w:r>
      <w:r>
        <w:rPr>
          <w:rFonts w:ascii="Calibri" w:hAnsi="Calibri" w:cs="Calibri" w:eastAsia="Calibri"/>
          <w:color w:val="auto"/>
          <w:spacing w:val="-6"/>
          <w:position w:val="0"/>
          <w:sz w:val="24"/>
          <w:shd w:fill="auto" w:val="clear"/>
        </w:rPr>
        <w:t xml:space="preserve"> </w:t>
      </w:r>
      <w:r>
        <w:rPr>
          <w:rFonts w:ascii="Calibri" w:hAnsi="Calibri" w:cs="Calibri" w:eastAsia="Calibri"/>
          <w:color w:val="auto"/>
          <w:spacing w:val="0"/>
          <w:position w:val="0"/>
          <w:sz w:val="24"/>
          <w:shd w:fill="auto" w:val="clear"/>
        </w:rPr>
        <w:t xml:space="preserve">identificação</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8"/>
          <w:position w:val="0"/>
          <w:sz w:val="24"/>
          <w:shd w:fill="auto" w:val="clear"/>
        </w:rPr>
        <w:t xml:space="preserve"> </w:t>
      </w:r>
      <w:r>
        <w:rPr>
          <w:rFonts w:ascii="Calibri" w:hAnsi="Calibri" w:cs="Calibri" w:eastAsia="Calibri"/>
          <w:color w:val="auto"/>
          <w:spacing w:val="0"/>
          <w:position w:val="0"/>
          <w:sz w:val="24"/>
          <w:shd w:fill="auto" w:val="clear"/>
        </w:rPr>
        <w:t xml:space="preserve">manejo</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do estado hiperglicêmico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hiperosmolar (EHH), uma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complicação aguda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 grave do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diabetes mellitus. A condição, marcada por hiperglicemia extrema, desidratação severa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elevada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osmolaridade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sérica,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exige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diagnóstico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preciso</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intervenções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emergenciais eficazes para evitar desfechos fatais. O estudo sublinha a necessidade 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uma abordagem multidisciplinar envolvendo endocrinologistas, intensivistas e equipe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 enfermagem para otimizar o tratamento e monitoramento do EHH. A continuidade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1"/>
          <w:position w:val="0"/>
          <w:sz w:val="24"/>
          <w:shd w:fill="auto" w:val="clear"/>
        </w:rPr>
        <w:t xml:space="preserve">da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pesquisa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1"/>
          <w:position w:val="0"/>
          <w:sz w:val="24"/>
          <w:shd w:fill="auto" w:val="clear"/>
        </w:rPr>
        <w:t xml:space="preserve">é</w:t>
      </w:r>
      <w:r>
        <w:rPr>
          <w:rFonts w:ascii="Calibri" w:hAnsi="Calibri" w:cs="Calibri" w:eastAsia="Calibri"/>
          <w:color w:val="auto"/>
          <w:spacing w:val="-16"/>
          <w:position w:val="0"/>
          <w:sz w:val="24"/>
          <w:shd w:fill="auto" w:val="clear"/>
        </w:rPr>
        <w:t xml:space="preserve"> </w:t>
      </w:r>
      <w:r>
        <w:rPr>
          <w:rFonts w:ascii="Calibri" w:hAnsi="Calibri" w:cs="Calibri" w:eastAsia="Calibri"/>
          <w:color w:val="auto"/>
          <w:spacing w:val="-1"/>
          <w:position w:val="0"/>
          <w:sz w:val="24"/>
          <w:shd w:fill="auto" w:val="clear"/>
        </w:rPr>
        <w:t xml:space="preserve">essencial</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1"/>
          <w:position w:val="0"/>
          <w:sz w:val="24"/>
          <w:shd w:fill="auto" w:val="clear"/>
        </w:rPr>
        <w:t xml:space="preserve">para</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melhorar</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estratégias</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tratamento,</w:t>
      </w:r>
      <w:r>
        <w:rPr>
          <w:rFonts w:ascii="Calibri" w:hAnsi="Calibri" w:cs="Calibri" w:eastAsia="Calibri"/>
          <w:color w:val="auto"/>
          <w:spacing w:val="-13"/>
          <w:position w:val="0"/>
          <w:sz w:val="24"/>
          <w:shd w:fill="auto" w:val="clear"/>
        </w:rPr>
        <w:t xml:space="preserve"> </w:t>
      </w:r>
      <w:r>
        <w:rPr>
          <w:rFonts w:ascii="Calibri" w:hAnsi="Calibri" w:cs="Calibri" w:eastAsia="Calibri"/>
          <w:color w:val="auto"/>
          <w:spacing w:val="0"/>
          <w:position w:val="0"/>
          <w:sz w:val="24"/>
          <w:shd w:fill="auto" w:val="clear"/>
        </w:rPr>
        <w:t xml:space="preserve">garantir</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4"/>
          <w:position w:val="0"/>
          <w:sz w:val="24"/>
          <w:shd w:fill="auto" w:val="clear"/>
        </w:rPr>
        <w:t xml:space="preserve"> </w:t>
      </w:r>
      <w:r>
        <w:rPr>
          <w:rFonts w:ascii="Calibri" w:hAnsi="Calibri" w:cs="Calibri" w:eastAsia="Calibri"/>
          <w:color w:val="auto"/>
          <w:spacing w:val="0"/>
          <w:position w:val="0"/>
          <w:sz w:val="24"/>
          <w:shd w:fill="auto" w:val="clear"/>
        </w:rPr>
        <w:t xml:space="preserve">segurança</w:t>
      </w:r>
      <w:r>
        <w:rPr>
          <w:rFonts w:ascii="Calibri" w:hAnsi="Calibri" w:cs="Calibri" w:eastAsia="Calibri"/>
          <w:color w:val="auto"/>
          <w:spacing w:val="-5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eficácia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procedimentos,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melhorar</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qualidade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vida</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dos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pacientes,</w:t>
      </w:r>
      <w:r>
        <w:rPr>
          <w:rFonts w:ascii="Calibri" w:hAnsi="Calibri" w:cs="Calibri" w:eastAsia="Calibri"/>
          <w:color w:val="auto"/>
          <w:spacing w:val="1"/>
          <w:position w:val="0"/>
          <w:sz w:val="24"/>
          <w:shd w:fill="auto" w:val="clear"/>
        </w:rPr>
        <w:t xml:space="preserve"> </w:t>
      </w:r>
      <w:r>
        <w:rPr>
          <w:rFonts w:ascii="Calibri" w:hAnsi="Calibri" w:cs="Calibri" w:eastAsia="Calibri"/>
          <w:color w:val="auto"/>
          <w:spacing w:val="0"/>
          <w:position w:val="0"/>
          <w:sz w:val="24"/>
          <w:shd w:fill="auto" w:val="clear"/>
        </w:rPr>
        <w:t xml:space="preserve">minimizando</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taxas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de</w:t>
      </w:r>
      <w:r>
        <w:rPr>
          <w:rFonts w:ascii="Calibri" w:hAnsi="Calibri" w:cs="Calibri" w:eastAsia="Calibri"/>
          <w:color w:val="auto"/>
          <w:spacing w:val="-7"/>
          <w:position w:val="0"/>
          <w:sz w:val="24"/>
          <w:shd w:fill="auto" w:val="clear"/>
        </w:rPr>
        <w:t xml:space="preserve"> </w:t>
      </w:r>
      <w:r>
        <w:rPr>
          <w:rFonts w:ascii="Calibri" w:hAnsi="Calibri" w:cs="Calibri" w:eastAsia="Calibri"/>
          <w:color w:val="auto"/>
          <w:spacing w:val="0"/>
          <w:position w:val="0"/>
          <w:sz w:val="24"/>
          <w:shd w:fill="auto" w:val="clear"/>
        </w:rPr>
        <w:t xml:space="preserve">mortalidade</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e</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as</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complicações</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longo</w:t>
      </w:r>
      <w:r>
        <w:rPr>
          <w:rFonts w:ascii="Calibri" w:hAnsi="Calibri" w:cs="Calibri" w:eastAsia="Calibri"/>
          <w:color w:val="auto"/>
          <w:spacing w:val="-2"/>
          <w:position w:val="0"/>
          <w:sz w:val="24"/>
          <w:shd w:fill="auto" w:val="clear"/>
        </w:rPr>
        <w:t xml:space="preserve"> </w:t>
      </w:r>
      <w:r>
        <w:rPr>
          <w:rFonts w:ascii="Calibri" w:hAnsi="Calibri" w:cs="Calibri" w:eastAsia="Calibri"/>
          <w:color w:val="auto"/>
          <w:spacing w:val="0"/>
          <w:position w:val="0"/>
          <w:sz w:val="24"/>
          <w:shd w:fill="auto" w:val="clear"/>
        </w:rPr>
        <w:t xml:space="preserve">prazo</w:t>
      </w:r>
      <w:r>
        <w:rPr>
          <w:rFonts w:ascii="Calibri" w:hAnsi="Calibri" w:cs="Calibri" w:eastAsia="Calibri"/>
          <w:color w:val="auto"/>
          <w:spacing w:val="-5"/>
          <w:position w:val="0"/>
          <w:sz w:val="24"/>
          <w:shd w:fill="auto" w:val="clear"/>
        </w:rPr>
        <w:t xml:space="preserve"> </w:t>
      </w:r>
      <w:r>
        <w:rPr>
          <w:rFonts w:ascii="Calibri" w:hAnsi="Calibri" w:cs="Calibri" w:eastAsia="Calibri"/>
          <w:color w:val="auto"/>
          <w:spacing w:val="0"/>
          <w:position w:val="0"/>
          <w:sz w:val="24"/>
          <w:shd w:fill="auto" w:val="clear"/>
        </w:rPr>
        <w:t xml:space="preserve">associadas</w:t>
      </w:r>
      <w:r>
        <w:rPr>
          <w:rFonts w:ascii="Calibri" w:hAnsi="Calibri" w:cs="Calibri" w:eastAsia="Calibri"/>
          <w:color w:val="auto"/>
          <w:spacing w:val="-3"/>
          <w:position w:val="0"/>
          <w:sz w:val="24"/>
          <w:shd w:fill="auto" w:val="clear"/>
        </w:rPr>
        <w:t xml:space="preserve"> </w:t>
      </w:r>
      <w:r>
        <w:rPr>
          <w:rFonts w:ascii="Calibri" w:hAnsi="Calibri" w:cs="Calibri" w:eastAsia="Calibri"/>
          <w:color w:val="auto"/>
          <w:spacing w:val="0"/>
          <w:position w:val="0"/>
          <w:sz w:val="24"/>
          <w:shd w:fill="auto" w:val="clear"/>
        </w:rPr>
        <w:t xml:space="preserve">a</w:t>
      </w:r>
      <w:r>
        <w:rPr>
          <w:rFonts w:ascii="Calibri" w:hAnsi="Calibri" w:cs="Calibri" w:eastAsia="Calibri"/>
          <w:color w:val="auto"/>
          <w:spacing w:val="-4"/>
          <w:position w:val="0"/>
          <w:sz w:val="24"/>
          <w:shd w:fill="auto" w:val="clear"/>
        </w:rPr>
        <w:t xml:space="preserve"> </w:t>
      </w:r>
      <w:r>
        <w:rPr>
          <w:rFonts w:ascii="Calibri" w:hAnsi="Calibri" w:cs="Calibri" w:eastAsia="Calibri"/>
          <w:color w:val="auto"/>
          <w:spacing w:val="0"/>
          <w:position w:val="0"/>
          <w:sz w:val="24"/>
          <w:shd w:fill="auto" w:val="clear"/>
        </w:rPr>
        <w:t xml:space="preserve">esta</w:t>
      </w:r>
      <w:r>
        <w:rPr>
          <w:rFonts w:ascii="Calibri" w:hAnsi="Calibri" w:cs="Calibri" w:eastAsia="Calibri"/>
          <w:color w:val="auto"/>
          <w:spacing w:val="-52"/>
          <w:position w:val="0"/>
          <w:sz w:val="24"/>
          <w:shd w:fill="auto" w:val="clear"/>
        </w:rPr>
        <w:t xml:space="preserve"> </w:t>
      </w:r>
      <w:r>
        <w:rPr>
          <w:rFonts w:ascii="Calibri" w:hAnsi="Calibri" w:cs="Calibri" w:eastAsia="Calibri"/>
          <w:color w:val="auto"/>
          <w:spacing w:val="0"/>
          <w:position w:val="0"/>
          <w:sz w:val="24"/>
          <w:shd w:fill="auto" w:val="clear"/>
        </w:rPr>
        <w:t xml:space="preserve">condição crítica.</w:t>
      </w:r>
    </w:p>
    <w:p>
      <w:pPr>
        <w:spacing w:before="6" w:after="0" w:line="240"/>
        <w:ind w:right="0" w:left="0" w:firstLine="0"/>
        <w:jc w:val="left"/>
        <w:rPr>
          <w:rFonts w:ascii="Calibri" w:hAnsi="Calibri" w:cs="Calibri" w:eastAsia="Calibri"/>
          <w:color w:val="auto"/>
          <w:spacing w:val="0"/>
          <w:position w:val="0"/>
          <w:sz w:val="31"/>
          <w:shd w:fill="auto" w:val="clear"/>
        </w:rPr>
      </w:pPr>
    </w:p>
    <w:p>
      <w:pPr>
        <w:spacing w:before="0" w:after="0" w:line="240"/>
        <w:ind w:right="0" w:left="1262"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REFERÊNCIAS</w:t>
      </w:r>
    </w:p>
    <w:p>
      <w:pPr>
        <w:spacing w:before="0" w:after="0" w:line="240"/>
        <w:ind w:right="0" w:left="0" w:firstLine="0"/>
        <w:jc w:val="left"/>
        <w:rPr>
          <w:rFonts w:ascii="Calibri" w:hAnsi="Calibri" w:cs="Calibri" w:eastAsia="Calibri"/>
          <w:b/>
          <w:color w:val="auto"/>
          <w:spacing w:val="0"/>
          <w:position w:val="0"/>
          <w:sz w:val="36"/>
          <w:shd w:fill="auto" w:val="clear"/>
        </w:rPr>
      </w:pPr>
    </w:p>
    <w:p>
      <w:pPr>
        <w:numPr>
          <w:ilvl w:val="0"/>
          <w:numId w:val="56"/>
        </w:numPr>
        <w:tabs>
          <w:tab w:val="left" w:pos="1982" w:leader="none"/>
        </w:tabs>
        <w:spacing w:before="0" w:after="0" w:line="381"/>
        <w:ind w:right="1672" w:left="1982"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Neto, DL, Pires, AC, Revisão, AD, &amp; Carvalho, RF (2010). Crises hiperglicêmicas no</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diabetes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mellitus.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Aspectos</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atuais.</w:t>
      </w:r>
    </w:p>
    <w:p>
      <w:pPr>
        <w:numPr>
          <w:ilvl w:val="0"/>
          <w:numId w:val="56"/>
        </w:numPr>
        <w:tabs>
          <w:tab w:val="left" w:pos="1970" w:leader="none"/>
        </w:tabs>
        <w:spacing w:before="0" w:after="0" w:line="381"/>
        <w:ind w:right="1097" w:left="197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Sánchez,</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G.N.,</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&amp;</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Cárdenas,</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S.Q.</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(2016).</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Cetoacidosis</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diabética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y</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estado</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hiperglicémico</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hiperosmolar: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un</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enfoque</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práctico.</w:t>
      </w:r>
    </w:p>
    <w:p>
      <w:pPr>
        <w:numPr>
          <w:ilvl w:val="0"/>
          <w:numId w:val="56"/>
        </w:numPr>
        <w:tabs>
          <w:tab w:val="left" w:pos="1970" w:leader="none"/>
        </w:tabs>
        <w:spacing w:before="0" w:after="0" w:line="381"/>
        <w:ind w:right="1100" w:left="197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1"/>
          <w:position w:val="0"/>
          <w:sz w:val="22"/>
          <w:shd w:fill="auto" w:val="clear"/>
        </w:rPr>
        <w:t xml:space="preserve">Araújo,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1"/>
          <w:position w:val="0"/>
          <w:sz w:val="22"/>
          <w:shd w:fill="auto" w:val="clear"/>
        </w:rPr>
        <w:t xml:space="preserve">IG,</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1"/>
          <w:position w:val="0"/>
          <w:sz w:val="22"/>
          <w:shd w:fill="auto" w:val="clear"/>
        </w:rPr>
        <w:t xml:space="preserve">De</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1"/>
          <w:position w:val="0"/>
          <w:sz w:val="22"/>
          <w:shd w:fill="auto" w:val="clear"/>
        </w:rPr>
        <w:t xml:space="preserve">Lima,</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1"/>
          <w:position w:val="0"/>
          <w:sz w:val="22"/>
          <w:shd w:fill="auto" w:val="clear"/>
        </w:rPr>
        <w:t xml:space="preserve">CP,</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1"/>
          <w:position w:val="0"/>
          <w:sz w:val="22"/>
          <w:shd w:fill="auto" w:val="clear"/>
        </w:rPr>
        <w:t xml:space="preserve">Correa,</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FC,</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Alves,</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TA,</w:t>
      </w:r>
      <w:r>
        <w:rPr>
          <w:rFonts w:ascii="Calibri" w:hAnsi="Calibri" w:cs="Calibri" w:eastAsia="Calibri"/>
          <w:color w:val="auto"/>
          <w:spacing w:val="-15"/>
          <w:position w:val="0"/>
          <w:sz w:val="22"/>
          <w:shd w:fill="auto" w:val="clear"/>
        </w:rPr>
        <w:t xml:space="preserve"> </w:t>
      </w:r>
      <w:r>
        <w:rPr>
          <w:rFonts w:ascii="Calibri" w:hAnsi="Calibri" w:cs="Calibri" w:eastAsia="Calibri"/>
          <w:color w:val="auto"/>
          <w:spacing w:val="0"/>
          <w:position w:val="0"/>
          <w:sz w:val="22"/>
          <w:shd w:fill="auto" w:val="clear"/>
        </w:rPr>
        <w:t xml:space="preserve">&amp;</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Araújo,</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JF</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(2023).</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Crises</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Hiperglicêmicas:</w:t>
      </w:r>
      <w:r>
        <w:rPr>
          <w:rFonts w:ascii="Calibri" w:hAnsi="Calibri" w:cs="Calibri" w:eastAsia="Calibri"/>
          <w:color w:val="auto"/>
          <w:spacing w:val="-48"/>
          <w:position w:val="0"/>
          <w:sz w:val="22"/>
          <w:shd w:fill="auto" w:val="clear"/>
        </w:rPr>
        <w:t xml:space="preserve"> </w:t>
      </w:r>
      <w:r>
        <w:rPr>
          <w:rFonts w:ascii="Calibri" w:hAnsi="Calibri" w:cs="Calibri" w:eastAsia="Calibri"/>
          <w:color w:val="auto"/>
          <w:spacing w:val="0"/>
          <w:position w:val="0"/>
          <w:sz w:val="22"/>
          <w:shd w:fill="auto" w:val="clear"/>
        </w:rPr>
        <w:t xml:space="preserve">avaliação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clínica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estratégias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terapêuticas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atuais.</w:t>
      </w:r>
      <w:r>
        <w:rPr>
          <w:rFonts w:ascii="Calibri" w:hAnsi="Calibri" w:cs="Calibri" w:eastAsia="Calibr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Revista</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Brasileira</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de</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Revisão</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de</w:t>
      </w:r>
      <w:r>
        <w:rPr>
          <w:rFonts w:ascii="Calibri" w:hAnsi="Calibri" w:cs="Calibri" w:eastAsia="Calibri"/>
          <w:i/>
          <w:color w:val="auto"/>
          <w:spacing w:val="-47"/>
          <w:position w:val="0"/>
          <w:sz w:val="22"/>
          <w:shd w:fill="auto" w:val="clear"/>
        </w:rPr>
        <w:t xml:space="preserve"> </w:t>
      </w:r>
      <w:r>
        <w:rPr>
          <w:rFonts w:ascii="Calibri" w:hAnsi="Calibri" w:cs="Calibri" w:eastAsia="Calibri"/>
          <w:i/>
          <w:color w:val="auto"/>
          <w:spacing w:val="0"/>
          <w:position w:val="0"/>
          <w:sz w:val="22"/>
          <w:shd w:fill="auto" w:val="clear"/>
        </w:rPr>
        <w:t xml:space="preserve">Saúde</w:t>
      </w:r>
      <w:r>
        <w:rPr>
          <w:rFonts w:ascii="Calibri" w:hAnsi="Calibri" w:cs="Calibri" w:eastAsia="Calibri"/>
          <w:color w:val="auto"/>
          <w:spacing w:val="0"/>
          <w:position w:val="0"/>
          <w:sz w:val="22"/>
          <w:shd w:fill="auto" w:val="clear"/>
        </w:rPr>
        <w:t xml:space="preserve">.</w:t>
      </w:r>
    </w:p>
    <w:p>
      <w:pPr>
        <w:numPr>
          <w:ilvl w:val="0"/>
          <w:numId w:val="56"/>
        </w:numPr>
        <w:tabs>
          <w:tab w:val="left" w:pos="1970" w:leader="none"/>
        </w:tabs>
        <w:spacing w:before="0" w:after="0" w:line="381"/>
        <w:ind w:right="1095" w:left="197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Fernandes, DM, Gomes, M., Santos, WP, Mendes, PR, Rodrigues, FD, Magalhães, RD,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Câmara,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AH,</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Silva,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JR,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Vieira,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AH,</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Azevedo,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FJ,</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Cabral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Junior,</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Teixeira,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MD</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&amp;</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Nascimento,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CM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PAPEL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VITAL</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ENFERMAGEM</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MANEJO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1"/>
          <w:position w:val="0"/>
          <w:sz w:val="22"/>
          <w:shd w:fill="auto" w:val="clear"/>
        </w:rPr>
        <w:t xml:space="preserve">TUBERCULOSE</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1"/>
          <w:position w:val="0"/>
          <w:sz w:val="22"/>
          <w:shd w:fill="auto" w:val="clear"/>
        </w:rPr>
        <w:t xml:space="preserve">EM</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1"/>
          <w:position w:val="0"/>
          <w:sz w:val="22"/>
          <w:shd w:fill="auto" w:val="clear"/>
        </w:rPr>
        <w:t xml:space="preserve">AMBIENTES</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1"/>
          <w:position w:val="0"/>
          <w:sz w:val="22"/>
          <w:shd w:fill="auto" w:val="clear"/>
        </w:rPr>
        <w:t xml:space="preserve">DE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1"/>
          <w:position w:val="0"/>
          <w:sz w:val="22"/>
          <w:shd w:fill="auto" w:val="clear"/>
        </w:rPr>
        <w:t xml:space="preserve">ATENÇÃO</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BÁSICA.</w:t>
      </w:r>
      <w:r>
        <w:rPr>
          <w:rFonts w:ascii="Calibri" w:hAnsi="Calibri" w:cs="Calibri" w:eastAsia="Calibri"/>
          <w:color w:val="auto"/>
          <w:spacing w:val="-8"/>
          <w:position w:val="0"/>
          <w:sz w:val="22"/>
          <w:shd w:fill="auto" w:val="clear"/>
        </w:rPr>
        <w:t xml:space="preserve"> </w:t>
      </w:r>
      <w:r>
        <w:rPr>
          <w:rFonts w:ascii="Calibri" w:hAnsi="Calibri" w:cs="Calibri" w:eastAsia="Calibri"/>
          <w:i/>
          <w:color w:val="auto"/>
          <w:spacing w:val="0"/>
          <w:position w:val="0"/>
          <w:sz w:val="22"/>
          <w:shd w:fill="auto" w:val="clear"/>
        </w:rPr>
        <w:t xml:space="preserve">Centro</w:t>
      </w:r>
      <w:r>
        <w:rPr>
          <w:rFonts w:ascii="Calibri" w:hAnsi="Calibri" w:cs="Calibri" w:eastAsia="Calibri"/>
          <w:i/>
          <w:color w:val="auto"/>
          <w:spacing w:val="-9"/>
          <w:position w:val="0"/>
          <w:sz w:val="22"/>
          <w:shd w:fill="auto" w:val="clear"/>
        </w:rPr>
        <w:t xml:space="preserve"> </w:t>
      </w:r>
      <w:r>
        <w:rPr>
          <w:rFonts w:ascii="Calibri" w:hAnsi="Calibri" w:cs="Calibri" w:eastAsia="Calibri"/>
          <w:i/>
          <w:color w:val="auto"/>
          <w:spacing w:val="0"/>
          <w:position w:val="0"/>
          <w:sz w:val="22"/>
          <w:shd w:fill="auto" w:val="clear"/>
        </w:rPr>
        <w:t xml:space="preserve">de</w:t>
      </w:r>
      <w:r>
        <w:rPr>
          <w:rFonts w:ascii="Calibri" w:hAnsi="Calibri" w:cs="Calibri" w:eastAsia="Calibri"/>
          <w:i/>
          <w:color w:val="auto"/>
          <w:spacing w:val="-12"/>
          <w:position w:val="0"/>
          <w:sz w:val="22"/>
          <w:shd w:fill="auto" w:val="clear"/>
        </w:rPr>
        <w:t xml:space="preserve"> </w:t>
      </w:r>
      <w:r>
        <w:rPr>
          <w:rFonts w:ascii="Calibri" w:hAnsi="Calibri" w:cs="Calibri" w:eastAsia="Calibri"/>
          <w:i/>
          <w:color w:val="auto"/>
          <w:spacing w:val="0"/>
          <w:position w:val="0"/>
          <w:sz w:val="22"/>
          <w:shd w:fill="auto" w:val="clear"/>
        </w:rPr>
        <w:t xml:space="preserve">Pesquisas</w:t>
      </w:r>
      <w:r>
        <w:rPr>
          <w:rFonts w:ascii="Calibri" w:hAnsi="Calibri" w:cs="Calibri" w:eastAsia="Calibri"/>
          <w:i/>
          <w:color w:val="auto"/>
          <w:spacing w:val="-8"/>
          <w:position w:val="0"/>
          <w:sz w:val="22"/>
          <w:shd w:fill="auto" w:val="clear"/>
        </w:rPr>
        <w:t xml:space="preserve"> </w:t>
      </w:r>
      <w:r>
        <w:rPr>
          <w:rFonts w:ascii="Calibri" w:hAnsi="Calibri" w:cs="Calibri" w:eastAsia="Calibri"/>
          <w:i/>
          <w:color w:val="auto"/>
          <w:spacing w:val="0"/>
          <w:position w:val="0"/>
          <w:sz w:val="22"/>
          <w:shd w:fill="auto" w:val="clear"/>
        </w:rPr>
        <w:t xml:space="preserve">Avançadas</w:t>
      </w:r>
      <w:r>
        <w:rPr>
          <w:rFonts w:ascii="Calibri" w:hAnsi="Calibri" w:cs="Calibri" w:eastAsia="Calibri"/>
          <w:i/>
          <w:color w:val="auto"/>
          <w:spacing w:val="-8"/>
          <w:position w:val="0"/>
          <w:sz w:val="22"/>
          <w:shd w:fill="auto" w:val="clear"/>
        </w:rPr>
        <w:t xml:space="preserve"> </w:t>
      </w:r>
      <w:r>
        <w:rPr>
          <w:rFonts w:ascii="Calibri" w:hAnsi="Calibri" w:cs="Calibri" w:eastAsia="Calibri"/>
          <w:i/>
          <w:color w:val="auto"/>
          <w:spacing w:val="0"/>
          <w:position w:val="0"/>
          <w:sz w:val="22"/>
          <w:shd w:fill="auto" w:val="clear"/>
        </w:rPr>
        <w:t xml:space="preserve">em</w:t>
      </w:r>
      <w:r>
        <w:rPr>
          <w:rFonts w:ascii="Calibri" w:hAnsi="Calibri" w:cs="Calibri" w:eastAsia="Calibri"/>
          <w:i/>
          <w:color w:val="auto"/>
          <w:spacing w:val="-48"/>
          <w:position w:val="0"/>
          <w:sz w:val="22"/>
          <w:shd w:fill="auto" w:val="clear"/>
        </w:rPr>
        <w:t xml:space="preserve"> </w:t>
      </w:r>
      <w:r>
        <w:rPr>
          <w:rFonts w:ascii="Calibri" w:hAnsi="Calibri" w:cs="Calibri" w:eastAsia="Calibri"/>
          <w:i/>
          <w:color w:val="auto"/>
          <w:spacing w:val="0"/>
          <w:position w:val="0"/>
          <w:sz w:val="22"/>
          <w:shd w:fill="auto" w:val="clear"/>
        </w:rPr>
        <w:t xml:space="preserve">Qualidade</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de Vida</w:t>
      </w:r>
      <w:r>
        <w:rPr>
          <w:rFonts w:ascii="Calibri" w:hAnsi="Calibri" w:cs="Calibri" w:eastAsia="Calibri"/>
          <w:color w:val="auto"/>
          <w:spacing w:val="0"/>
          <w:position w:val="0"/>
          <w:sz w:val="22"/>
          <w:shd w:fill="auto" w:val="clear"/>
        </w:rPr>
        <w:t xml:space="preserve">.</w:t>
      </w:r>
    </w:p>
    <w:p>
      <w:pPr>
        <w:numPr>
          <w:ilvl w:val="0"/>
          <w:numId w:val="56"/>
        </w:numPr>
        <w:tabs>
          <w:tab w:val="left" w:pos="1970" w:leader="none"/>
        </w:tabs>
        <w:spacing w:before="0" w:after="0" w:line="381"/>
        <w:ind w:right="1097" w:left="197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Barroso, AT, Da Silva, TR, &amp; Lopes, GD (2023). ENDOMETRIOSE: DIFICULDADES NO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DIAGNÓSTICO</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PRECOCE</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SEU</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IMPACTO</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VIDA</w:t>
      </w:r>
      <w:r>
        <w:rPr>
          <w:rFonts w:ascii="Calibri" w:hAnsi="Calibri" w:cs="Calibri" w:eastAsia="Calibri"/>
          <w:color w:val="auto"/>
          <w:spacing w:val="-11"/>
          <w:position w:val="0"/>
          <w:sz w:val="22"/>
          <w:shd w:fill="auto" w:val="clear"/>
        </w:rPr>
        <w:t xml:space="preserve"> </w:t>
      </w:r>
      <w:r>
        <w:rPr>
          <w:rFonts w:ascii="Calibri" w:hAnsi="Calibri" w:cs="Calibri" w:eastAsia="Calibri"/>
          <w:color w:val="auto"/>
          <w:spacing w:val="0"/>
          <w:position w:val="0"/>
          <w:sz w:val="22"/>
          <w:shd w:fill="auto" w:val="clear"/>
        </w:rPr>
        <w:t xml:space="preserve">DAS</w:t>
      </w:r>
      <w:r>
        <w:rPr>
          <w:rFonts w:ascii="Calibri" w:hAnsi="Calibri" w:cs="Calibri" w:eastAsia="Calibri"/>
          <w:color w:val="auto"/>
          <w:spacing w:val="-12"/>
          <w:position w:val="0"/>
          <w:sz w:val="22"/>
          <w:shd w:fill="auto" w:val="clear"/>
        </w:rPr>
        <w:t xml:space="preserve"> </w:t>
      </w:r>
      <w:r>
        <w:rPr>
          <w:rFonts w:ascii="Calibri" w:hAnsi="Calibri" w:cs="Calibri" w:eastAsia="Calibri"/>
          <w:color w:val="auto"/>
          <w:spacing w:val="0"/>
          <w:position w:val="0"/>
          <w:sz w:val="22"/>
          <w:shd w:fill="auto" w:val="clear"/>
        </w:rPr>
        <w:t xml:space="preserve">MULHERES</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QUE</w:t>
      </w:r>
      <w:r>
        <w:rPr>
          <w:rFonts w:ascii="Calibri" w:hAnsi="Calibri" w:cs="Calibri" w:eastAsia="Calibri"/>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CONVIVEM</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COM</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DOENÇA.</w:t>
      </w:r>
      <w:r>
        <w:rPr>
          <w:rFonts w:ascii="Calibri" w:hAnsi="Calibri" w:cs="Calibri" w:eastAsia="Calibri"/>
          <w:color w:val="auto"/>
          <w:spacing w:val="-2"/>
          <w:position w:val="0"/>
          <w:sz w:val="22"/>
          <w:shd w:fill="auto" w:val="clear"/>
        </w:rPr>
        <w:t xml:space="preserve"> </w:t>
      </w:r>
      <w:r>
        <w:rPr>
          <w:rFonts w:ascii="Calibri" w:hAnsi="Calibri" w:cs="Calibri" w:eastAsia="Calibri"/>
          <w:i/>
          <w:color w:val="auto"/>
          <w:spacing w:val="0"/>
          <w:position w:val="0"/>
          <w:sz w:val="22"/>
          <w:shd w:fill="auto" w:val="clear"/>
        </w:rPr>
        <w:t xml:space="preserve">Revista Contemporânea</w:t>
      </w:r>
      <w:r>
        <w:rPr>
          <w:rFonts w:ascii="Calibri" w:hAnsi="Calibri" w:cs="Calibri" w:eastAsia="Calibri"/>
          <w:color w:val="auto"/>
          <w:spacing w:val="0"/>
          <w:position w:val="0"/>
          <w:sz w:val="22"/>
          <w:shd w:fill="auto" w:val="clear"/>
        </w:rPr>
        <w:t xml:space="preserve">.</w:t>
      </w:r>
    </w:p>
    <w:p>
      <w:pPr>
        <w:numPr>
          <w:ilvl w:val="0"/>
          <w:numId w:val="56"/>
        </w:numPr>
        <w:tabs>
          <w:tab w:val="left" w:pos="1970" w:leader="none"/>
        </w:tabs>
        <w:spacing w:before="0" w:after="0" w:line="381"/>
        <w:ind w:right="1094" w:left="197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Fernanda Silva, C., Miani Mascarenhas, M., &amp; Maciel Zardo, K. (2022). Aspectos do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diagnóstico por imagem no choque hipovolêmico: relato de caso. </w:t>
      </w:r>
      <w:r>
        <w:rPr>
          <w:rFonts w:ascii="Calibri" w:hAnsi="Calibri" w:cs="Calibri" w:eastAsia="Calibri"/>
          <w:i/>
          <w:color w:val="auto"/>
          <w:spacing w:val="0"/>
          <w:position w:val="0"/>
          <w:sz w:val="22"/>
          <w:shd w:fill="auto" w:val="clear"/>
        </w:rPr>
        <w:t xml:space="preserve">Anais do Congresso</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Online</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Acadêmico</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de Medicina</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Veterinária</w:t>
      </w:r>
      <w:r>
        <w:rPr>
          <w:rFonts w:ascii="Calibri" w:hAnsi="Calibri" w:cs="Calibri" w:eastAsia="Calibri"/>
          <w:color w:val="auto"/>
          <w:spacing w:val="0"/>
          <w:position w:val="0"/>
          <w:sz w:val="22"/>
          <w:shd w:fill="auto" w:val="clear"/>
        </w:rPr>
        <w:t xml:space="preserve">.</w:t>
      </w:r>
    </w:p>
    <w:p>
      <w:pPr>
        <w:numPr>
          <w:ilvl w:val="0"/>
          <w:numId w:val="56"/>
        </w:numPr>
        <w:tabs>
          <w:tab w:val="left" w:pos="1970" w:leader="none"/>
        </w:tabs>
        <w:spacing w:before="0" w:after="0" w:line="265"/>
        <w:ind w:right="0" w:left="197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Capelin,</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C.,</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&amp;</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Sachet,</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UE</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(2017).</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SÍNDROME</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CORONARIANA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AGUDA: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dor</w:t>
      </w:r>
      <w:r>
        <w:rPr>
          <w:rFonts w:ascii="Calibri" w:hAnsi="Calibri" w:cs="Calibri" w:eastAsia="Calibri"/>
          <w:color w:val="auto"/>
          <w:spacing w:val="5"/>
          <w:position w:val="0"/>
          <w:sz w:val="22"/>
          <w:shd w:fill="auto" w:val="clear"/>
        </w:rPr>
        <w:t xml:space="preserve"> </w:t>
      </w:r>
      <w:r>
        <w:rPr>
          <w:rFonts w:ascii="Calibri" w:hAnsi="Calibri" w:cs="Calibri" w:eastAsia="Calibri"/>
          <w:color w:val="auto"/>
          <w:spacing w:val="0"/>
          <w:position w:val="0"/>
          <w:sz w:val="22"/>
          <w:shd w:fill="auto" w:val="clear"/>
        </w:rPr>
        <w:t xml:space="preserve">torácica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mais prevalente na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sala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emergência.</w:t>
      </w:r>
    </w:p>
    <w:p>
      <w:pPr>
        <w:numPr>
          <w:ilvl w:val="0"/>
          <w:numId w:val="56"/>
        </w:numPr>
        <w:tabs>
          <w:tab w:val="left" w:pos="1970" w:leader="none"/>
        </w:tabs>
        <w:spacing w:before="159" w:after="0" w:line="381"/>
        <w:ind w:right="1096" w:left="197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Moreira do Nascimento, DE, De Sousa Ferreira, MD, Gonçalves Ferreira, DM, Martins</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Fernandes,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Costa</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Rosa</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Andrade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Silva,</w:t>
      </w:r>
      <w:r>
        <w:rPr>
          <w:rFonts w:ascii="Calibri" w:hAnsi="Calibri" w:cs="Calibri" w:eastAsia="Calibri"/>
          <w:color w:val="auto"/>
          <w:spacing w:val="-7"/>
          <w:position w:val="0"/>
          <w:sz w:val="22"/>
          <w:shd w:fill="auto" w:val="clear"/>
        </w:rPr>
        <w:t xml:space="preserve"> </w:t>
      </w:r>
      <w:r>
        <w:rPr>
          <w:rFonts w:ascii="Calibri" w:hAnsi="Calibri" w:cs="Calibri" w:eastAsia="Calibri"/>
          <w:color w:val="auto"/>
          <w:spacing w:val="0"/>
          <w:position w:val="0"/>
          <w:sz w:val="22"/>
          <w:shd w:fill="auto" w:val="clear"/>
        </w:rPr>
        <w:t xml:space="preserve">RM,</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Ramos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pereira,</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Lopes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Garcia,</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S.,</w:t>
      </w:r>
      <w:r>
        <w:rPr>
          <w:rFonts w:ascii="Calibri" w:hAnsi="Calibri" w:cs="Calibri" w:eastAsia="Calibri"/>
          <w:color w:val="auto"/>
          <w:spacing w:val="-8"/>
          <w:position w:val="0"/>
          <w:sz w:val="22"/>
          <w:shd w:fill="auto" w:val="clear"/>
        </w:rPr>
        <w:t xml:space="preserve"> </w:t>
      </w:r>
      <w:r>
        <w:rPr>
          <w:rFonts w:ascii="Calibri" w:hAnsi="Calibri" w:cs="Calibri" w:eastAsia="Calibri"/>
          <w:color w:val="auto"/>
          <w:spacing w:val="0"/>
          <w:position w:val="0"/>
          <w:sz w:val="22"/>
          <w:shd w:fill="auto" w:val="clear"/>
        </w:rPr>
        <w:t xml:space="preserve">Gomes</w:t>
      </w:r>
      <w:r>
        <w:rPr>
          <w:rFonts w:ascii="Calibri" w:hAnsi="Calibri" w:cs="Calibri" w:eastAsia="Calibri"/>
          <w:color w:val="auto"/>
          <w:spacing w:val="-47"/>
          <w:position w:val="0"/>
          <w:sz w:val="22"/>
          <w:shd w:fill="auto" w:val="clear"/>
        </w:rPr>
        <w:t xml:space="preserve"> </w:t>
      </w:r>
      <w:r>
        <w:rPr>
          <w:rFonts w:ascii="Calibri" w:hAnsi="Calibri" w:cs="Calibri" w:eastAsia="Calibri"/>
          <w:color w:val="auto"/>
          <w:spacing w:val="0"/>
          <w:position w:val="0"/>
          <w:sz w:val="22"/>
          <w:shd w:fill="auto" w:val="clear"/>
        </w:rPr>
        <w:t xml:space="preserve">da Silva, VK, &amp; Bezerra Pereira, G. (2022). Diagnóstico precoce da sífilis durante a</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gestação:</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Dificuldades</w:t>
      </w:r>
      <w:r>
        <w:rPr>
          <w:rFonts w:ascii="Calibri" w:hAnsi="Calibri" w:cs="Calibri" w:eastAsia="Calibri"/>
          <w:color w:val="auto"/>
          <w:spacing w:val="-2"/>
          <w:position w:val="0"/>
          <w:sz w:val="22"/>
          <w:shd w:fill="auto" w:val="clear"/>
        </w:rPr>
        <w:t xml:space="preserve"> </w:t>
      </w:r>
      <w:r>
        <w:rPr>
          <w:rFonts w:ascii="Calibri" w:hAnsi="Calibri" w:cs="Calibri" w:eastAsia="Calibri"/>
          <w:color w:val="auto"/>
          <w:spacing w:val="0"/>
          <w:position w:val="0"/>
          <w:sz w:val="22"/>
          <w:shd w:fill="auto" w:val="clear"/>
        </w:rPr>
        <w:t xml:space="preserve">do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rastreio</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4"/>
          <w:position w:val="0"/>
          <w:sz w:val="22"/>
          <w:shd w:fill="auto" w:val="clear"/>
        </w:rPr>
        <w:t xml:space="preserve"> </w:t>
      </w:r>
      <w:r>
        <w:rPr>
          <w:rFonts w:ascii="Calibri" w:hAnsi="Calibri" w:cs="Calibri" w:eastAsia="Calibri"/>
          <w:color w:val="auto"/>
          <w:spacing w:val="0"/>
          <w:position w:val="0"/>
          <w:sz w:val="22"/>
          <w:shd w:fill="auto" w:val="clear"/>
        </w:rPr>
        <w:t xml:space="preserve">ótica</w:t>
      </w:r>
      <w:r>
        <w:rPr>
          <w:rFonts w:ascii="Calibri" w:hAnsi="Calibri" w:cs="Calibri" w:eastAsia="Calibri"/>
          <w:color w:val="auto"/>
          <w:spacing w:val="-3"/>
          <w:position w:val="0"/>
          <w:sz w:val="22"/>
          <w:shd w:fill="auto" w:val="clear"/>
        </w:rPr>
        <w:t xml:space="preserve"> </w:t>
      </w:r>
      <w:r>
        <w:rPr>
          <w:rFonts w:ascii="Calibri" w:hAnsi="Calibri" w:cs="Calibri" w:eastAsia="Calibri"/>
          <w:color w:val="auto"/>
          <w:spacing w:val="0"/>
          <w:position w:val="0"/>
          <w:sz w:val="22"/>
          <w:shd w:fill="auto" w:val="clear"/>
        </w:rPr>
        <w:t xml:space="preserve">de</w:t>
      </w:r>
      <w:r>
        <w:rPr>
          <w:rFonts w:ascii="Calibri" w:hAnsi="Calibri" w:cs="Calibri" w:eastAsia="Calibri"/>
          <w:color w:val="auto"/>
          <w:spacing w:val="-1"/>
          <w:position w:val="0"/>
          <w:sz w:val="22"/>
          <w:shd w:fill="auto" w:val="clear"/>
        </w:rPr>
        <w:t xml:space="preserve"> </w:t>
      </w:r>
      <w:r>
        <w:rPr>
          <w:rFonts w:ascii="Calibri" w:hAnsi="Calibri" w:cs="Calibri" w:eastAsia="Calibri"/>
          <w:color w:val="auto"/>
          <w:spacing w:val="0"/>
          <w:position w:val="0"/>
          <w:sz w:val="22"/>
          <w:shd w:fill="auto" w:val="clear"/>
        </w:rPr>
        <w:t xml:space="preserve">enfermeiros.</w:t>
      </w:r>
      <w:r>
        <w:rPr>
          <w:rFonts w:ascii="Calibri" w:hAnsi="Calibri" w:cs="Calibri" w:eastAsia="Calibr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Saúde</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Coletiva</w:t>
      </w:r>
      <w:r>
        <w:rPr>
          <w:rFonts w:ascii="Calibri" w:hAnsi="Calibri" w:cs="Calibri" w:eastAsia="Calibri"/>
          <w:i/>
          <w:color w:val="auto"/>
          <w:spacing w:val="-1"/>
          <w:position w:val="0"/>
          <w:sz w:val="22"/>
          <w:shd w:fill="auto" w:val="clear"/>
        </w:rPr>
        <w:t xml:space="preserve"> </w:t>
      </w:r>
      <w:r>
        <w:rPr>
          <w:rFonts w:ascii="Calibri" w:hAnsi="Calibri" w:cs="Calibri" w:eastAsia="Calibri"/>
          <w:i/>
          <w:color w:val="auto"/>
          <w:spacing w:val="0"/>
          <w:position w:val="0"/>
          <w:sz w:val="22"/>
          <w:shd w:fill="auto" w:val="clear"/>
        </w:rPr>
        <w:t xml:space="preserve">(Barueri)</w:t>
      </w:r>
      <w:r>
        <w:rPr>
          <w:rFonts w:ascii="Calibri" w:hAnsi="Calibri" w:cs="Calibri" w:eastAsia="Calibri"/>
          <w:color w:val="auto"/>
          <w:spacing w:val="0"/>
          <w:position w:val="0"/>
          <w:sz w:val="22"/>
          <w:shd w:fill="auto" w:val="clear"/>
        </w:rPr>
        <w:t xml:space="preserve">.</w:t>
      </w:r>
    </w:p>
    <w:p>
      <w:pPr>
        <w:tabs>
          <w:tab w:val="left" w:pos="1970" w:leader="none"/>
        </w:tabs>
        <w:spacing w:before="159" w:after="0" w:line="381"/>
        <w:ind w:right="1096"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