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B886C" w14:textId="5B8A6FE3" w:rsidR="004B2BD6" w:rsidRDefault="0063107C" w:rsidP="00BD6D9B">
      <w:pPr>
        <w:jc w:val="center"/>
        <w:rPr>
          <w:rFonts w:ascii="Times New Roman" w:hAnsi="Times New Roman" w:cs="Times New Roman"/>
          <w:sz w:val="28"/>
          <w:szCs w:val="28"/>
        </w:rPr>
      </w:pPr>
      <w:r w:rsidRPr="00296DC0">
        <w:rPr>
          <w:rFonts w:ascii="Times New Roman" w:hAnsi="Times New Roman" w:cs="Times New Roman"/>
          <w:b/>
          <w:noProof/>
          <w:sz w:val="26"/>
          <w:szCs w:val="26"/>
          <w:lang w:eastAsia="pt-BR"/>
        </w:rPr>
        <w:drawing>
          <wp:anchor distT="0" distB="0" distL="114300" distR="114300" simplePos="0" relativeHeight="251659264" behindDoc="1" locked="0" layoutInCell="1" allowOverlap="1" wp14:anchorId="3BE41451" wp14:editId="0A49BF0E">
            <wp:simplePos x="0" y="0"/>
            <wp:positionH relativeFrom="column">
              <wp:posOffset>-1240790</wp:posOffset>
            </wp:positionH>
            <wp:positionV relativeFrom="paragraph">
              <wp:posOffset>-1132338</wp:posOffset>
            </wp:positionV>
            <wp:extent cx="7753350" cy="10744200"/>
            <wp:effectExtent l="0" t="0" r="0" b="0"/>
            <wp:wrapNone/>
            <wp:docPr id="5"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Padrão do plano de fund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3350" cy="10744200"/>
                    </a:xfrm>
                    <a:prstGeom prst="rect">
                      <a:avLst/>
                    </a:prstGeom>
                    <a:noFill/>
                    <a:ln>
                      <a:noFill/>
                    </a:ln>
                  </pic:spPr>
                </pic:pic>
              </a:graphicData>
            </a:graphic>
            <wp14:sizeRelH relativeFrom="margin">
              <wp14:pctWidth>0</wp14:pctWidth>
            </wp14:sizeRelH>
          </wp:anchor>
        </w:drawing>
      </w:r>
    </w:p>
    <w:p w14:paraId="5F1A7D26" w14:textId="77777777" w:rsidR="0063107C" w:rsidRPr="00BD6D9B" w:rsidRDefault="0063107C" w:rsidP="00BD6D9B">
      <w:pPr>
        <w:jc w:val="center"/>
        <w:rPr>
          <w:rFonts w:ascii="Times New Roman" w:hAnsi="Times New Roman" w:cs="Times New Roman"/>
          <w:sz w:val="28"/>
          <w:szCs w:val="28"/>
        </w:rPr>
      </w:pPr>
    </w:p>
    <w:p w14:paraId="2DADF8B2" w14:textId="77777777" w:rsidR="0095597F" w:rsidRPr="0095597F" w:rsidRDefault="0095597F" w:rsidP="0095597F">
      <w:pPr>
        <w:spacing w:line="360" w:lineRule="auto"/>
        <w:jc w:val="center"/>
        <w:rPr>
          <w:rFonts w:ascii="Times New Roman" w:hAnsi="Times New Roman" w:cs="Times New Roman"/>
          <w:b/>
          <w:sz w:val="28"/>
          <w:szCs w:val="28"/>
        </w:rPr>
      </w:pPr>
      <w:r w:rsidRPr="0095597F">
        <w:rPr>
          <w:rFonts w:ascii="Times New Roman" w:hAnsi="Times New Roman" w:cs="Times New Roman"/>
          <w:b/>
          <w:sz w:val="28"/>
          <w:szCs w:val="28"/>
        </w:rPr>
        <w:t>O BENEFÍCIO DE TÉCNICAS PERIOPERATÓRIAS DE MANEJO DA DOR EM CIRURGIAS COMPEXAS DE COLUNA</w:t>
      </w:r>
    </w:p>
    <w:p w14:paraId="7DE464CD" w14:textId="6AD7869D" w:rsidR="0095597F" w:rsidRPr="0095597F" w:rsidRDefault="0095597F" w:rsidP="00446AD2">
      <w:pPr>
        <w:spacing w:line="240" w:lineRule="auto"/>
        <w:jc w:val="both"/>
        <w:rPr>
          <w:rFonts w:ascii="Times New Roman" w:hAnsi="Times New Roman" w:cs="Times New Roman"/>
          <w:sz w:val="24"/>
          <w:szCs w:val="24"/>
        </w:rPr>
      </w:pPr>
      <w:r w:rsidRPr="0095597F">
        <w:rPr>
          <w:rFonts w:ascii="Times New Roman" w:hAnsi="Times New Roman" w:cs="Times New Roman"/>
          <w:b/>
          <w:sz w:val="24"/>
          <w:szCs w:val="24"/>
        </w:rPr>
        <w:t xml:space="preserve">INTRODUÇÃO: </w:t>
      </w:r>
      <w:r w:rsidRPr="0095597F">
        <w:rPr>
          <w:rFonts w:ascii="Times New Roman" w:hAnsi="Times New Roman" w:cs="Times New Roman"/>
          <w:sz w:val="24"/>
          <w:szCs w:val="24"/>
        </w:rPr>
        <w:t xml:space="preserve">As cirurgias complexas são caracterizadas como procedimento cirúrgico da coluna toracolombar com instrumentação, laminectomia em três ou mais níveis ou cirurgia de escoliose. Elas contribuem na melhora da qualidade de vida do paciente a longo prazo, uma vez que aqueles submetidos a esse tipo de cirurgia apresentam dor crônica pré-existente e dependência de terapia crônica com opioides. Contudo, a cirurgia complexa da coluna está </w:t>
      </w:r>
      <w:bookmarkStart w:id="0" w:name="_GoBack"/>
      <w:bookmarkEnd w:id="0"/>
      <w:r w:rsidRPr="0095597F">
        <w:rPr>
          <w:rFonts w:ascii="Times New Roman" w:hAnsi="Times New Roman" w:cs="Times New Roman"/>
          <w:sz w:val="24"/>
          <w:szCs w:val="24"/>
        </w:rPr>
        <w:t xml:space="preserve">associada a dor pós-operatória considerável, o que pode resultar em uma nova condição de dor crônica. Dessa forma, é crucial o uso de analgesias multimodais como técnicas perioperatórias que visem o controle eficaz da dor, além da deambulação precoce, redução de complicações e tempo de internação. </w:t>
      </w:r>
      <w:r w:rsidRPr="0095597F">
        <w:rPr>
          <w:rFonts w:ascii="Times New Roman" w:hAnsi="Times New Roman" w:cs="Times New Roman"/>
          <w:b/>
          <w:sz w:val="24"/>
          <w:szCs w:val="24"/>
        </w:rPr>
        <w:t xml:space="preserve">OBJETIVOS: </w:t>
      </w:r>
      <w:r w:rsidRPr="0095597F">
        <w:rPr>
          <w:rFonts w:ascii="Times New Roman" w:hAnsi="Times New Roman" w:cs="Times New Roman"/>
          <w:sz w:val="24"/>
          <w:szCs w:val="24"/>
        </w:rPr>
        <w:t>Analisar o benefício de técnicas perioperatórias de manejo da dor em cirurgias complexas de coluna.</w:t>
      </w:r>
      <w:r>
        <w:rPr>
          <w:rFonts w:ascii="Times New Roman" w:hAnsi="Times New Roman" w:cs="Times New Roman"/>
          <w:sz w:val="24"/>
          <w:szCs w:val="24"/>
        </w:rPr>
        <w:t xml:space="preserve"> </w:t>
      </w:r>
      <w:r w:rsidRPr="0095597F">
        <w:rPr>
          <w:rFonts w:ascii="Times New Roman" w:hAnsi="Times New Roman" w:cs="Times New Roman"/>
          <w:b/>
          <w:sz w:val="24"/>
          <w:szCs w:val="24"/>
        </w:rPr>
        <w:t>METODOLOGIA:</w:t>
      </w:r>
      <w:r w:rsidRPr="0095597F">
        <w:rPr>
          <w:rFonts w:ascii="Times New Roman" w:hAnsi="Times New Roman" w:cs="Times New Roman"/>
          <w:sz w:val="24"/>
          <w:szCs w:val="24"/>
        </w:rPr>
        <w:t xml:space="preserve"> O presente estudo trata-se de uma revisão de literatura, na modalidade integrativa, a partir de trabalhos publicados nas plataformas de dados PubMed e SciELO, utilizando os descritores ‘</w:t>
      </w:r>
      <w:r w:rsidRPr="00841B64">
        <w:rPr>
          <w:rFonts w:ascii="Times New Roman" w:hAnsi="Times New Roman" w:cs="Times New Roman"/>
          <w:i/>
          <w:sz w:val="24"/>
          <w:szCs w:val="24"/>
        </w:rPr>
        <w:t>’Pain Management</w:t>
      </w:r>
      <w:r w:rsidRPr="0095597F">
        <w:rPr>
          <w:rFonts w:ascii="Times New Roman" w:hAnsi="Times New Roman" w:cs="Times New Roman"/>
          <w:sz w:val="24"/>
          <w:szCs w:val="24"/>
        </w:rPr>
        <w:t>’’, ‘’</w:t>
      </w:r>
      <w:r w:rsidRPr="00841B64">
        <w:rPr>
          <w:rFonts w:ascii="Times New Roman" w:hAnsi="Times New Roman" w:cs="Times New Roman"/>
          <w:i/>
          <w:sz w:val="24"/>
          <w:szCs w:val="24"/>
        </w:rPr>
        <w:t>Anesthetics</w:t>
      </w:r>
      <w:r w:rsidRPr="0095597F">
        <w:rPr>
          <w:rFonts w:ascii="Times New Roman" w:hAnsi="Times New Roman" w:cs="Times New Roman"/>
          <w:sz w:val="24"/>
          <w:szCs w:val="24"/>
        </w:rPr>
        <w:t>’’, ‘’</w:t>
      </w:r>
      <w:r w:rsidRPr="00841B64">
        <w:rPr>
          <w:rFonts w:ascii="Times New Roman" w:hAnsi="Times New Roman" w:cs="Times New Roman"/>
          <w:i/>
          <w:sz w:val="24"/>
          <w:szCs w:val="24"/>
        </w:rPr>
        <w:t>Spine</w:t>
      </w:r>
      <w:r w:rsidRPr="0095597F">
        <w:rPr>
          <w:rFonts w:ascii="Times New Roman" w:hAnsi="Times New Roman" w:cs="Times New Roman"/>
          <w:sz w:val="24"/>
          <w:szCs w:val="24"/>
        </w:rPr>
        <w:t>’’, ‘’</w:t>
      </w:r>
      <w:r w:rsidRPr="00841B64">
        <w:rPr>
          <w:rFonts w:ascii="Times New Roman" w:hAnsi="Times New Roman" w:cs="Times New Roman"/>
          <w:i/>
          <w:sz w:val="24"/>
          <w:szCs w:val="24"/>
        </w:rPr>
        <w:t>Surgery</w:t>
      </w:r>
      <w:r w:rsidRPr="0095597F">
        <w:rPr>
          <w:rFonts w:ascii="Times New Roman" w:hAnsi="Times New Roman" w:cs="Times New Roman"/>
          <w:sz w:val="24"/>
          <w:szCs w:val="24"/>
        </w:rPr>
        <w:t xml:space="preserve">’’. Foram selecionados </w:t>
      </w:r>
      <w:r w:rsidR="00FE385F">
        <w:rPr>
          <w:rFonts w:ascii="Times New Roman" w:hAnsi="Times New Roman" w:cs="Times New Roman"/>
          <w:sz w:val="24"/>
          <w:szCs w:val="24"/>
        </w:rPr>
        <w:t>8</w:t>
      </w:r>
      <w:r w:rsidRPr="0095597F">
        <w:rPr>
          <w:rFonts w:ascii="Times New Roman" w:hAnsi="Times New Roman" w:cs="Times New Roman"/>
          <w:sz w:val="24"/>
          <w:szCs w:val="24"/>
        </w:rPr>
        <w:t xml:space="preserve"> estudos relacionados com o tema proposto, excluindo artigos não originais e anteriores a 2014.</w:t>
      </w:r>
      <w:r>
        <w:rPr>
          <w:rFonts w:ascii="Times New Roman" w:hAnsi="Times New Roman" w:cs="Times New Roman"/>
          <w:sz w:val="24"/>
          <w:szCs w:val="24"/>
        </w:rPr>
        <w:t xml:space="preserve"> </w:t>
      </w:r>
      <w:r w:rsidRPr="0095597F">
        <w:rPr>
          <w:rFonts w:ascii="Times New Roman" w:hAnsi="Times New Roman" w:cs="Times New Roman"/>
          <w:b/>
          <w:sz w:val="24"/>
          <w:szCs w:val="24"/>
        </w:rPr>
        <w:t>RESULTADOS:</w:t>
      </w:r>
      <w:r>
        <w:rPr>
          <w:rFonts w:ascii="Times New Roman" w:hAnsi="Times New Roman" w:cs="Times New Roman"/>
          <w:sz w:val="24"/>
          <w:szCs w:val="24"/>
        </w:rPr>
        <w:t xml:space="preserve"> </w:t>
      </w:r>
      <w:r w:rsidR="002A0B23">
        <w:rPr>
          <w:rFonts w:ascii="Times New Roman" w:hAnsi="Times New Roman" w:cs="Times New Roman"/>
          <w:sz w:val="24"/>
          <w:szCs w:val="24"/>
        </w:rPr>
        <w:t>F</w:t>
      </w:r>
      <w:r>
        <w:rPr>
          <w:rFonts w:ascii="Times New Roman" w:hAnsi="Times New Roman" w:cs="Times New Roman"/>
          <w:sz w:val="24"/>
          <w:szCs w:val="24"/>
        </w:rPr>
        <w:t>oi observado que o tratamento multimodal da dor, principalmente com uso de AINEs</w:t>
      </w:r>
      <w:r w:rsidR="00C22497">
        <w:rPr>
          <w:rFonts w:ascii="Times New Roman" w:hAnsi="Times New Roman" w:cs="Times New Roman"/>
          <w:sz w:val="24"/>
          <w:szCs w:val="24"/>
        </w:rPr>
        <w:t>,</w:t>
      </w:r>
      <w:r>
        <w:rPr>
          <w:rFonts w:ascii="Times New Roman" w:hAnsi="Times New Roman" w:cs="Times New Roman"/>
          <w:sz w:val="24"/>
          <w:szCs w:val="24"/>
        </w:rPr>
        <w:t xml:space="preserve"> redu</w:t>
      </w:r>
      <w:r w:rsidR="00FE385F">
        <w:rPr>
          <w:rFonts w:ascii="Times New Roman" w:hAnsi="Times New Roman" w:cs="Times New Roman"/>
          <w:sz w:val="24"/>
          <w:szCs w:val="24"/>
        </w:rPr>
        <w:t>z</w:t>
      </w:r>
      <w:r>
        <w:rPr>
          <w:rFonts w:ascii="Times New Roman" w:hAnsi="Times New Roman" w:cs="Times New Roman"/>
          <w:sz w:val="24"/>
          <w:szCs w:val="24"/>
        </w:rPr>
        <w:t xml:space="preserve"> a posterior prescrição de opioides. O uso da analgesia geral multimodal</w:t>
      </w:r>
      <w:r w:rsidR="00C22497">
        <w:rPr>
          <w:rFonts w:ascii="Times New Roman" w:hAnsi="Times New Roman" w:cs="Times New Roman"/>
          <w:sz w:val="24"/>
          <w:szCs w:val="24"/>
        </w:rPr>
        <w:t xml:space="preserve"> surgiu nos artigos como uma boa estratégia de controle da dor </w:t>
      </w:r>
      <w:r w:rsidR="00841B64">
        <w:rPr>
          <w:rFonts w:ascii="Times New Roman" w:hAnsi="Times New Roman" w:cs="Times New Roman"/>
          <w:sz w:val="24"/>
          <w:szCs w:val="24"/>
        </w:rPr>
        <w:t>a</w:t>
      </w:r>
      <w:r w:rsidR="00C22497">
        <w:rPr>
          <w:rFonts w:ascii="Times New Roman" w:hAnsi="Times New Roman" w:cs="Times New Roman"/>
          <w:sz w:val="24"/>
          <w:szCs w:val="24"/>
        </w:rPr>
        <w:t>pós</w:t>
      </w:r>
      <w:r w:rsidR="00841B64">
        <w:rPr>
          <w:rFonts w:ascii="Times New Roman" w:hAnsi="Times New Roman" w:cs="Times New Roman"/>
          <w:sz w:val="24"/>
          <w:szCs w:val="24"/>
        </w:rPr>
        <w:t xml:space="preserve"> cirurgia</w:t>
      </w:r>
      <w:r w:rsidR="00C22497">
        <w:rPr>
          <w:rFonts w:ascii="Times New Roman" w:hAnsi="Times New Roman" w:cs="Times New Roman"/>
          <w:sz w:val="24"/>
          <w:szCs w:val="24"/>
        </w:rPr>
        <w:t xml:space="preserve"> </w:t>
      </w:r>
      <w:r w:rsidR="00841B64">
        <w:rPr>
          <w:rFonts w:ascii="Times New Roman" w:hAnsi="Times New Roman" w:cs="Times New Roman"/>
          <w:sz w:val="24"/>
          <w:szCs w:val="24"/>
        </w:rPr>
        <w:t>complexa de</w:t>
      </w:r>
      <w:r w:rsidR="00C22497">
        <w:rPr>
          <w:rFonts w:ascii="Times New Roman" w:hAnsi="Times New Roman" w:cs="Times New Roman"/>
          <w:sz w:val="24"/>
          <w:szCs w:val="24"/>
        </w:rPr>
        <w:t xml:space="preserve"> coluna e</w:t>
      </w:r>
      <w:r>
        <w:rPr>
          <w:rFonts w:ascii="Times New Roman" w:hAnsi="Times New Roman" w:cs="Times New Roman"/>
          <w:sz w:val="24"/>
          <w:szCs w:val="24"/>
        </w:rPr>
        <w:t xml:space="preserve"> se associou com redução das chances de complicações em trato gastrointestinal</w:t>
      </w:r>
      <w:r w:rsidR="002A0B23">
        <w:rPr>
          <w:rFonts w:ascii="Times New Roman" w:hAnsi="Times New Roman" w:cs="Times New Roman"/>
          <w:sz w:val="24"/>
          <w:szCs w:val="24"/>
        </w:rPr>
        <w:t>. Para melhorar a analgesia e diminui</w:t>
      </w:r>
      <w:r w:rsidR="00AA560D">
        <w:rPr>
          <w:rFonts w:ascii="Times New Roman" w:hAnsi="Times New Roman" w:cs="Times New Roman"/>
          <w:sz w:val="24"/>
          <w:szCs w:val="24"/>
        </w:rPr>
        <w:t xml:space="preserve">r a </w:t>
      </w:r>
      <w:r w:rsidR="002A0B23">
        <w:rPr>
          <w:rFonts w:ascii="Times New Roman" w:hAnsi="Times New Roman" w:cs="Times New Roman"/>
          <w:sz w:val="24"/>
          <w:szCs w:val="24"/>
        </w:rPr>
        <w:t xml:space="preserve">dor pós-cirurgias </w:t>
      </w:r>
      <w:r w:rsidR="00B15C61">
        <w:rPr>
          <w:rFonts w:ascii="Times New Roman" w:hAnsi="Times New Roman" w:cs="Times New Roman"/>
          <w:sz w:val="24"/>
          <w:szCs w:val="24"/>
        </w:rPr>
        <w:t>complexas na coluna</w:t>
      </w:r>
      <w:r w:rsidR="002A0B23">
        <w:rPr>
          <w:rFonts w:ascii="Times New Roman" w:hAnsi="Times New Roman" w:cs="Times New Roman"/>
          <w:sz w:val="24"/>
          <w:szCs w:val="24"/>
        </w:rPr>
        <w:t xml:space="preserve">, </w:t>
      </w:r>
      <w:r w:rsidR="00AA560D">
        <w:rPr>
          <w:rFonts w:ascii="Times New Roman" w:hAnsi="Times New Roman" w:cs="Times New Roman"/>
          <w:sz w:val="24"/>
          <w:szCs w:val="24"/>
        </w:rPr>
        <w:t xml:space="preserve">existe a possibilidade de </w:t>
      </w:r>
      <w:r w:rsidR="002A0B23">
        <w:rPr>
          <w:rFonts w:ascii="Times New Roman" w:hAnsi="Times New Roman" w:cs="Times New Roman"/>
          <w:sz w:val="24"/>
          <w:szCs w:val="24"/>
        </w:rPr>
        <w:t>prolongar a infiltração de anestésicos no local da ferida com o uso de bombas de dor elastoméricas descartáveis de infusão contínua</w:t>
      </w:r>
      <w:r w:rsidR="00C22497">
        <w:rPr>
          <w:rFonts w:ascii="Times New Roman" w:hAnsi="Times New Roman" w:cs="Times New Roman"/>
          <w:sz w:val="24"/>
          <w:szCs w:val="24"/>
        </w:rPr>
        <w:t xml:space="preserve">. Os pacientes que utilizaram esse recurso apresentaram consideravelmente </w:t>
      </w:r>
      <w:r w:rsidR="00AA560D">
        <w:rPr>
          <w:rFonts w:ascii="Times New Roman" w:hAnsi="Times New Roman" w:cs="Times New Roman"/>
          <w:sz w:val="24"/>
          <w:szCs w:val="24"/>
        </w:rPr>
        <w:t>menor necessidade de</w:t>
      </w:r>
      <w:r w:rsidR="00C22497">
        <w:rPr>
          <w:rFonts w:ascii="Times New Roman" w:hAnsi="Times New Roman" w:cs="Times New Roman"/>
          <w:sz w:val="24"/>
          <w:szCs w:val="24"/>
        </w:rPr>
        <w:t xml:space="preserve"> uso de opioides após o procedimento. Por outro lado, em pacientes de alto risco, não foi constatado que o uso das bombas </w:t>
      </w:r>
      <w:r w:rsidR="00AA560D">
        <w:rPr>
          <w:rFonts w:ascii="Times New Roman" w:hAnsi="Times New Roman" w:cs="Times New Roman"/>
          <w:sz w:val="24"/>
          <w:szCs w:val="24"/>
        </w:rPr>
        <w:t>alterou de forma relevante qualquer parâmetro do uso de</w:t>
      </w:r>
      <w:r w:rsidR="00C22497">
        <w:rPr>
          <w:rFonts w:ascii="Times New Roman" w:hAnsi="Times New Roman" w:cs="Times New Roman"/>
          <w:sz w:val="24"/>
          <w:szCs w:val="24"/>
        </w:rPr>
        <w:t xml:space="preserve"> opioides subsequente. </w:t>
      </w:r>
      <w:r w:rsidR="00B15C61">
        <w:rPr>
          <w:rFonts w:ascii="Times New Roman" w:hAnsi="Times New Roman" w:cs="Times New Roman"/>
          <w:sz w:val="24"/>
          <w:szCs w:val="24"/>
        </w:rPr>
        <w:t>Quanto aos fármacos analisados, o</w:t>
      </w:r>
      <w:r w:rsidR="00C22497">
        <w:rPr>
          <w:rFonts w:ascii="Times New Roman" w:hAnsi="Times New Roman" w:cs="Times New Roman"/>
          <w:sz w:val="24"/>
          <w:szCs w:val="24"/>
        </w:rPr>
        <w:t xml:space="preserve"> acetaminofeno </w:t>
      </w:r>
      <w:r w:rsidR="00AA560D">
        <w:rPr>
          <w:rFonts w:ascii="Times New Roman" w:hAnsi="Times New Roman" w:cs="Times New Roman"/>
          <w:sz w:val="24"/>
          <w:szCs w:val="24"/>
        </w:rPr>
        <w:t>demonstrou</w:t>
      </w:r>
      <w:r w:rsidR="00C22497">
        <w:rPr>
          <w:rFonts w:ascii="Times New Roman" w:hAnsi="Times New Roman" w:cs="Times New Roman"/>
          <w:sz w:val="24"/>
          <w:szCs w:val="24"/>
        </w:rPr>
        <w:t xml:space="preserve"> segurança e rápido efeito na terapia multimoda</w:t>
      </w:r>
      <w:r w:rsidR="00B15C61">
        <w:rPr>
          <w:rFonts w:ascii="Times New Roman" w:hAnsi="Times New Roman" w:cs="Times New Roman"/>
          <w:sz w:val="24"/>
          <w:szCs w:val="24"/>
        </w:rPr>
        <w:t>l</w:t>
      </w:r>
      <w:r w:rsidR="00C22497">
        <w:rPr>
          <w:rFonts w:ascii="Times New Roman" w:hAnsi="Times New Roman" w:cs="Times New Roman"/>
          <w:sz w:val="24"/>
          <w:szCs w:val="24"/>
        </w:rPr>
        <w:t xml:space="preserve"> para dor </w:t>
      </w:r>
      <w:r w:rsidR="00B15C61">
        <w:rPr>
          <w:rFonts w:ascii="Times New Roman" w:hAnsi="Times New Roman" w:cs="Times New Roman"/>
          <w:sz w:val="24"/>
          <w:szCs w:val="24"/>
        </w:rPr>
        <w:t>nas condições de cirurgia complexa de coluna</w:t>
      </w:r>
      <w:r w:rsidR="00C22497">
        <w:rPr>
          <w:rFonts w:ascii="Times New Roman" w:hAnsi="Times New Roman" w:cs="Times New Roman"/>
          <w:sz w:val="24"/>
          <w:szCs w:val="24"/>
        </w:rPr>
        <w:t>, porém ainda faltam evidências para seu uso como método preventivo da do</w:t>
      </w:r>
      <w:r w:rsidR="00B15C61">
        <w:rPr>
          <w:rFonts w:ascii="Times New Roman" w:hAnsi="Times New Roman" w:cs="Times New Roman"/>
          <w:sz w:val="24"/>
          <w:szCs w:val="24"/>
        </w:rPr>
        <w:t>r crônica</w:t>
      </w:r>
      <w:r w:rsidR="00C22497">
        <w:rPr>
          <w:rFonts w:ascii="Times New Roman" w:hAnsi="Times New Roman" w:cs="Times New Roman"/>
          <w:sz w:val="24"/>
          <w:szCs w:val="24"/>
        </w:rPr>
        <w:t>.</w:t>
      </w:r>
      <w:r w:rsidR="00AA560D">
        <w:rPr>
          <w:rFonts w:ascii="Times New Roman" w:hAnsi="Times New Roman" w:cs="Times New Roman"/>
          <w:sz w:val="24"/>
          <w:szCs w:val="24"/>
        </w:rPr>
        <w:t xml:space="preserve"> Os gabapentinoides perioperatórios devem ser utilizados com cautela nos procedimentos, já que sues benefícios </w:t>
      </w:r>
      <w:r w:rsidR="00B15C61">
        <w:rPr>
          <w:rFonts w:ascii="Times New Roman" w:hAnsi="Times New Roman" w:cs="Times New Roman"/>
          <w:sz w:val="24"/>
          <w:szCs w:val="24"/>
        </w:rPr>
        <w:t>se mostraram</w:t>
      </w:r>
      <w:r w:rsidR="00AA560D">
        <w:rPr>
          <w:rFonts w:ascii="Times New Roman" w:hAnsi="Times New Roman" w:cs="Times New Roman"/>
          <w:sz w:val="24"/>
          <w:szCs w:val="24"/>
        </w:rPr>
        <w:t xml:space="preserve"> contraditórios </w:t>
      </w:r>
      <w:r w:rsidR="00B15C61">
        <w:rPr>
          <w:rFonts w:ascii="Times New Roman" w:hAnsi="Times New Roman" w:cs="Times New Roman"/>
          <w:sz w:val="24"/>
          <w:szCs w:val="24"/>
        </w:rPr>
        <w:t>aos</w:t>
      </w:r>
      <w:r w:rsidR="00AA560D">
        <w:rPr>
          <w:rFonts w:ascii="Times New Roman" w:hAnsi="Times New Roman" w:cs="Times New Roman"/>
          <w:sz w:val="24"/>
          <w:szCs w:val="24"/>
        </w:rPr>
        <w:t xml:space="preserve"> efeitos adversos quando coadministrados com opioides.</w:t>
      </w:r>
      <w:r w:rsidR="002A0B23">
        <w:rPr>
          <w:rFonts w:ascii="Times New Roman" w:hAnsi="Times New Roman" w:cs="Times New Roman"/>
          <w:sz w:val="24"/>
          <w:szCs w:val="24"/>
        </w:rPr>
        <w:t xml:space="preserve"> </w:t>
      </w:r>
      <w:r w:rsidR="00AA560D">
        <w:rPr>
          <w:rFonts w:ascii="Times New Roman" w:hAnsi="Times New Roman" w:cs="Times New Roman"/>
          <w:sz w:val="24"/>
          <w:szCs w:val="24"/>
        </w:rPr>
        <w:t>A</w:t>
      </w:r>
      <w:r w:rsidR="00B15C61">
        <w:rPr>
          <w:rFonts w:ascii="Times New Roman" w:hAnsi="Times New Roman" w:cs="Times New Roman"/>
          <w:sz w:val="24"/>
          <w:szCs w:val="24"/>
        </w:rPr>
        <w:t>inda, a</w:t>
      </w:r>
      <w:r w:rsidR="00AA560D">
        <w:rPr>
          <w:rFonts w:ascii="Times New Roman" w:hAnsi="Times New Roman" w:cs="Times New Roman"/>
          <w:sz w:val="24"/>
          <w:szCs w:val="24"/>
        </w:rPr>
        <w:t xml:space="preserve"> cetamina, em doses subanestésicas demonstrou eficácia no tratamento de dor aguda pós-cirurgica</w:t>
      </w:r>
      <w:r w:rsidR="00892A9A">
        <w:rPr>
          <w:rFonts w:ascii="Times New Roman" w:hAnsi="Times New Roman" w:cs="Times New Roman"/>
          <w:sz w:val="24"/>
          <w:szCs w:val="24"/>
        </w:rPr>
        <w:t xml:space="preserve">. </w:t>
      </w:r>
      <w:r w:rsidR="002A0B23" w:rsidRPr="002A0B23">
        <w:rPr>
          <w:rFonts w:ascii="Times New Roman" w:hAnsi="Times New Roman" w:cs="Times New Roman"/>
          <w:b/>
          <w:sz w:val="24"/>
          <w:szCs w:val="24"/>
        </w:rPr>
        <w:t>CONCLUSÃO:</w:t>
      </w:r>
      <w:r w:rsidR="002A0B23">
        <w:rPr>
          <w:rFonts w:ascii="Times New Roman" w:hAnsi="Times New Roman" w:cs="Times New Roman"/>
          <w:sz w:val="24"/>
          <w:szCs w:val="24"/>
        </w:rPr>
        <w:t xml:space="preserve"> </w:t>
      </w:r>
      <w:r w:rsidR="00892A9A">
        <w:rPr>
          <w:rFonts w:ascii="Times New Roman" w:hAnsi="Times New Roman" w:cs="Times New Roman"/>
          <w:sz w:val="24"/>
          <w:szCs w:val="24"/>
        </w:rPr>
        <w:t>A</w:t>
      </w:r>
      <w:r w:rsidR="002A0B23">
        <w:rPr>
          <w:rFonts w:ascii="Times New Roman" w:hAnsi="Times New Roman" w:cs="Times New Roman"/>
          <w:sz w:val="24"/>
          <w:szCs w:val="24"/>
        </w:rPr>
        <w:t xml:space="preserve"> maioria das técnicas analisadas tem um grande potencial de melhora da dor</w:t>
      </w:r>
      <w:r w:rsidR="00892A9A">
        <w:rPr>
          <w:rFonts w:ascii="Times New Roman" w:hAnsi="Times New Roman" w:cs="Times New Roman"/>
          <w:sz w:val="24"/>
          <w:szCs w:val="24"/>
        </w:rPr>
        <w:t xml:space="preserve"> de forma</w:t>
      </w:r>
      <w:r w:rsidR="002A0B23">
        <w:rPr>
          <w:rFonts w:ascii="Times New Roman" w:hAnsi="Times New Roman" w:cs="Times New Roman"/>
          <w:sz w:val="24"/>
          <w:szCs w:val="24"/>
        </w:rPr>
        <w:t xml:space="preserve"> já comprovad</w:t>
      </w:r>
      <w:r w:rsidR="00892A9A">
        <w:rPr>
          <w:rFonts w:ascii="Times New Roman" w:hAnsi="Times New Roman" w:cs="Times New Roman"/>
          <w:sz w:val="24"/>
          <w:szCs w:val="24"/>
        </w:rPr>
        <w:t>a</w:t>
      </w:r>
      <w:r w:rsidR="00841B64">
        <w:rPr>
          <w:rFonts w:ascii="Times New Roman" w:hAnsi="Times New Roman" w:cs="Times New Roman"/>
          <w:sz w:val="24"/>
          <w:szCs w:val="24"/>
        </w:rPr>
        <w:t xml:space="preserve"> no pós-operatório imediato das</w:t>
      </w:r>
      <w:r w:rsidR="002A0B23">
        <w:rPr>
          <w:rFonts w:ascii="Times New Roman" w:hAnsi="Times New Roman" w:cs="Times New Roman"/>
          <w:sz w:val="24"/>
          <w:szCs w:val="24"/>
        </w:rPr>
        <w:t xml:space="preserve"> nas cirurgias</w:t>
      </w:r>
      <w:r w:rsidR="00B15C61">
        <w:rPr>
          <w:rFonts w:ascii="Times New Roman" w:hAnsi="Times New Roman" w:cs="Times New Roman"/>
          <w:sz w:val="24"/>
          <w:szCs w:val="24"/>
        </w:rPr>
        <w:t xml:space="preserve"> complexas</w:t>
      </w:r>
      <w:r w:rsidR="002A0B23">
        <w:rPr>
          <w:rFonts w:ascii="Times New Roman" w:hAnsi="Times New Roman" w:cs="Times New Roman"/>
          <w:sz w:val="24"/>
          <w:szCs w:val="24"/>
        </w:rPr>
        <w:t xml:space="preserve"> de coluna</w:t>
      </w:r>
      <w:r w:rsidR="00841B64">
        <w:rPr>
          <w:rFonts w:ascii="Times New Roman" w:hAnsi="Times New Roman" w:cs="Times New Roman"/>
          <w:sz w:val="24"/>
          <w:szCs w:val="24"/>
        </w:rPr>
        <w:t>. Por outro lado,</w:t>
      </w:r>
      <w:r w:rsidR="002A0B23">
        <w:rPr>
          <w:rFonts w:ascii="Times New Roman" w:hAnsi="Times New Roman" w:cs="Times New Roman"/>
          <w:sz w:val="24"/>
          <w:szCs w:val="24"/>
        </w:rPr>
        <w:t xml:space="preserve"> a comprovação de benefícios</w:t>
      </w:r>
      <w:r w:rsidR="00841B64">
        <w:rPr>
          <w:rFonts w:ascii="Times New Roman" w:hAnsi="Times New Roman" w:cs="Times New Roman"/>
          <w:sz w:val="24"/>
          <w:szCs w:val="24"/>
        </w:rPr>
        <w:t xml:space="preserve"> desses métodos</w:t>
      </w:r>
      <w:r w:rsidR="002A0B23">
        <w:rPr>
          <w:rFonts w:ascii="Times New Roman" w:hAnsi="Times New Roman" w:cs="Times New Roman"/>
          <w:sz w:val="24"/>
          <w:szCs w:val="24"/>
        </w:rPr>
        <w:t xml:space="preserve"> a longo prazo ainda carece de </w:t>
      </w:r>
      <w:r w:rsidR="00841B64">
        <w:rPr>
          <w:rFonts w:ascii="Times New Roman" w:hAnsi="Times New Roman" w:cs="Times New Roman"/>
          <w:sz w:val="24"/>
          <w:szCs w:val="24"/>
        </w:rPr>
        <w:t>mais evidências</w:t>
      </w:r>
      <w:r w:rsidR="002A0B23">
        <w:rPr>
          <w:rFonts w:ascii="Times New Roman" w:hAnsi="Times New Roman" w:cs="Times New Roman"/>
          <w:sz w:val="24"/>
          <w:szCs w:val="24"/>
        </w:rPr>
        <w:t xml:space="preserve"> científica</w:t>
      </w:r>
      <w:r w:rsidR="00841B64">
        <w:rPr>
          <w:rFonts w:ascii="Times New Roman" w:hAnsi="Times New Roman" w:cs="Times New Roman"/>
          <w:sz w:val="24"/>
          <w:szCs w:val="24"/>
        </w:rPr>
        <w:t>s</w:t>
      </w:r>
      <w:r w:rsidR="002A0B23">
        <w:rPr>
          <w:rFonts w:ascii="Times New Roman" w:hAnsi="Times New Roman" w:cs="Times New Roman"/>
          <w:sz w:val="24"/>
          <w:szCs w:val="24"/>
        </w:rPr>
        <w:t>.</w:t>
      </w:r>
    </w:p>
    <w:p w14:paraId="5EC8B84B" w14:textId="77777777" w:rsidR="00E9749F" w:rsidRPr="00C45D74" w:rsidRDefault="00E9749F" w:rsidP="00E9749F">
      <w:pPr>
        <w:spacing w:line="240" w:lineRule="auto"/>
        <w:jc w:val="both"/>
        <w:rPr>
          <w:rFonts w:ascii="Times New Roman" w:hAnsi="Times New Roman" w:cs="Times New Roman"/>
          <w:sz w:val="24"/>
          <w:szCs w:val="24"/>
        </w:rPr>
      </w:pPr>
    </w:p>
    <w:p w14:paraId="7CADBAB3" w14:textId="778BA18E" w:rsidR="00C45D74" w:rsidRDefault="00C45D74" w:rsidP="00E9749F">
      <w:pPr>
        <w:spacing w:line="360" w:lineRule="auto"/>
        <w:jc w:val="both"/>
        <w:rPr>
          <w:rFonts w:ascii="Times New Roman" w:hAnsi="Times New Roman" w:cs="Times New Roman"/>
          <w:sz w:val="24"/>
          <w:szCs w:val="24"/>
        </w:rPr>
      </w:pPr>
      <w:r w:rsidRPr="00E9749F">
        <w:rPr>
          <w:rFonts w:ascii="Times New Roman" w:hAnsi="Times New Roman" w:cs="Times New Roman"/>
          <w:b/>
          <w:bCs/>
          <w:sz w:val="24"/>
          <w:szCs w:val="24"/>
        </w:rPr>
        <w:t>Palavras-chaves</w:t>
      </w:r>
      <w:r>
        <w:rPr>
          <w:rFonts w:ascii="Times New Roman" w:hAnsi="Times New Roman" w:cs="Times New Roman"/>
          <w:sz w:val="24"/>
          <w:szCs w:val="24"/>
        </w:rPr>
        <w:t>:</w:t>
      </w:r>
      <w:r w:rsidR="00655242">
        <w:rPr>
          <w:rFonts w:ascii="Times New Roman" w:hAnsi="Times New Roman" w:cs="Times New Roman"/>
          <w:sz w:val="24"/>
          <w:szCs w:val="24"/>
        </w:rPr>
        <w:t xml:space="preserve"> “Anestésicos”</w:t>
      </w:r>
      <w:r w:rsidR="00E9749F">
        <w:rPr>
          <w:rFonts w:ascii="Times New Roman" w:hAnsi="Times New Roman" w:cs="Times New Roman"/>
          <w:sz w:val="24"/>
          <w:szCs w:val="24"/>
        </w:rPr>
        <w:t xml:space="preserve">; </w:t>
      </w:r>
      <w:r w:rsidR="00655242">
        <w:rPr>
          <w:rFonts w:ascii="Times New Roman" w:hAnsi="Times New Roman" w:cs="Times New Roman"/>
          <w:sz w:val="24"/>
          <w:szCs w:val="24"/>
        </w:rPr>
        <w:t>“Coluna Vertebral”</w:t>
      </w:r>
      <w:r w:rsidR="00E9749F">
        <w:rPr>
          <w:rFonts w:ascii="Times New Roman" w:hAnsi="Times New Roman" w:cs="Times New Roman"/>
          <w:sz w:val="24"/>
          <w:szCs w:val="24"/>
        </w:rPr>
        <w:t xml:space="preserve">; </w:t>
      </w:r>
      <w:r w:rsidR="00655242">
        <w:rPr>
          <w:rFonts w:ascii="Times New Roman" w:hAnsi="Times New Roman" w:cs="Times New Roman"/>
          <w:sz w:val="24"/>
          <w:szCs w:val="24"/>
        </w:rPr>
        <w:t>“Manejo da dor”</w:t>
      </w:r>
      <w:r w:rsidR="00E9749F">
        <w:rPr>
          <w:rFonts w:ascii="Times New Roman" w:hAnsi="Times New Roman" w:cs="Times New Roman"/>
          <w:sz w:val="24"/>
          <w:szCs w:val="24"/>
        </w:rPr>
        <w:t>.</w:t>
      </w:r>
    </w:p>
    <w:p w14:paraId="2D285F77" w14:textId="5F13E919" w:rsidR="004B2BD6" w:rsidRPr="004B2BD6" w:rsidRDefault="004B2BD6" w:rsidP="004B2BD6">
      <w:pPr>
        <w:spacing w:line="360" w:lineRule="auto"/>
        <w:rPr>
          <w:rFonts w:ascii="Times New Roman" w:hAnsi="Times New Roman" w:cs="Times New Roman"/>
          <w:sz w:val="24"/>
          <w:szCs w:val="24"/>
        </w:rPr>
      </w:pPr>
    </w:p>
    <w:sectPr w:rsidR="004B2BD6" w:rsidRPr="004B2BD6" w:rsidSect="00E9749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28046" w14:textId="77777777" w:rsidR="00C57375" w:rsidRDefault="00C57375" w:rsidP="007218E2">
      <w:pPr>
        <w:spacing w:after="0" w:line="240" w:lineRule="auto"/>
      </w:pPr>
      <w:r>
        <w:separator/>
      </w:r>
    </w:p>
  </w:endnote>
  <w:endnote w:type="continuationSeparator" w:id="0">
    <w:p w14:paraId="4E690CCA" w14:textId="77777777" w:rsidR="00C57375" w:rsidRDefault="00C57375" w:rsidP="0072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A3EE0" w14:textId="77777777" w:rsidR="00C57375" w:rsidRDefault="00C57375" w:rsidP="007218E2">
      <w:pPr>
        <w:spacing w:after="0" w:line="240" w:lineRule="auto"/>
      </w:pPr>
      <w:r>
        <w:separator/>
      </w:r>
    </w:p>
  </w:footnote>
  <w:footnote w:type="continuationSeparator" w:id="0">
    <w:p w14:paraId="4EC40B78" w14:textId="77777777" w:rsidR="00C57375" w:rsidRDefault="00C57375" w:rsidP="007218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D6"/>
    <w:rsid w:val="00077963"/>
    <w:rsid w:val="000B2334"/>
    <w:rsid w:val="00170E39"/>
    <w:rsid w:val="002A0B23"/>
    <w:rsid w:val="003A4751"/>
    <w:rsid w:val="00446AD2"/>
    <w:rsid w:val="004B2BD6"/>
    <w:rsid w:val="005966D2"/>
    <w:rsid w:val="0063107C"/>
    <w:rsid w:val="00655242"/>
    <w:rsid w:val="007218E2"/>
    <w:rsid w:val="00841B64"/>
    <w:rsid w:val="00892A9A"/>
    <w:rsid w:val="0095597F"/>
    <w:rsid w:val="009D62B9"/>
    <w:rsid w:val="00AA560D"/>
    <w:rsid w:val="00B15C61"/>
    <w:rsid w:val="00B27934"/>
    <w:rsid w:val="00BD6D9B"/>
    <w:rsid w:val="00C22497"/>
    <w:rsid w:val="00C45D74"/>
    <w:rsid w:val="00C57375"/>
    <w:rsid w:val="00E9749F"/>
    <w:rsid w:val="00F30932"/>
    <w:rsid w:val="00FD1094"/>
    <w:rsid w:val="00FE38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34DCD"/>
  <w15:chartTrackingRefBased/>
  <w15:docId w15:val="{19B6A29F-E896-434E-8EF9-6742DF4B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18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8E2"/>
  </w:style>
  <w:style w:type="paragraph" w:styleId="Rodap">
    <w:name w:val="footer"/>
    <w:basedOn w:val="Normal"/>
    <w:link w:val="RodapChar"/>
    <w:uiPriority w:val="99"/>
    <w:unhideWhenUsed/>
    <w:rsid w:val="007218E2"/>
    <w:pPr>
      <w:tabs>
        <w:tab w:val="center" w:pos="4252"/>
        <w:tab w:val="right" w:pos="8504"/>
      </w:tabs>
      <w:spacing w:after="0" w:line="240" w:lineRule="auto"/>
    </w:pPr>
  </w:style>
  <w:style w:type="character" w:customStyle="1" w:styleId="RodapChar">
    <w:name w:val="Rodapé Char"/>
    <w:basedOn w:val="Fontepargpadro"/>
    <w:link w:val="Rodap"/>
    <w:uiPriority w:val="99"/>
    <w:rsid w:val="00721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486</Words>
  <Characters>2625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Alves Xavier</dc:creator>
  <cp:keywords/>
  <dc:description/>
  <cp:lastModifiedBy>Esther Rizzo</cp:lastModifiedBy>
  <cp:revision>6</cp:revision>
  <dcterms:created xsi:type="dcterms:W3CDTF">2023-04-17T03:05:00Z</dcterms:created>
  <dcterms:modified xsi:type="dcterms:W3CDTF">2023-05-11T17:22:00Z</dcterms:modified>
</cp:coreProperties>
</file>