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B6" w:rsidRDefault="0063515E" w:rsidP="006351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D74">
        <w:rPr>
          <w:rFonts w:ascii="Times New Roman" w:hAnsi="Times New Roman" w:cs="Times New Roman"/>
          <w:b/>
          <w:bCs/>
          <w:sz w:val="24"/>
          <w:szCs w:val="24"/>
        </w:rPr>
        <w:t xml:space="preserve">TEORIA ATOR–REDE E TEORIA DAS SITUAÇÕES DIDÁTICAS: UMA PROPOSIÇÃO ANALÍTICA PARA A COMPREENSÃO SOCIOMATERIAL </w:t>
      </w:r>
      <w:r w:rsidR="002A4E99">
        <w:rPr>
          <w:rFonts w:ascii="Times New Roman" w:hAnsi="Times New Roman" w:cs="Times New Roman"/>
          <w:b/>
          <w:bCs/>
          <w:sz w:val="24"/>
          <w:szCs w:val="24"/>
        </w:rPr>
        <w:t>NO ENSINO DE MATEMÁTICA</w:t>
      </w:r>
    </w:p>
    <w:p w:rsidR="00E25281" w:rsidRPr="00955D74" w:rsidRDefault="00E25281" w:rsidP="00635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836B6" w:rsidRPr="00955D74" w:rsidRDefault="0063515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Vanessa de Siqueira Camilo Costa</w:t>
      </w:r>
    </w:p>
    <w:p w:rsidR="00B836B6" w:rsidRPr="00955D74" w:rsidRDefault="006351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:rsidR="00B836B6" w:rsidRPr="00955D74" w:rsidRDefault="00F8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63515E" w:rsidRPr="00955D74">
        <w:rPr>
          <w:rFonts w:ascii="Times New Roman" w:eastAsia="Times New Roman" w:hAnsi="Times New Roman" w:cs="Times New Roman"/>
          <w:sz w:val="24"/>
          <w:szCs w:val="24"/>
          <w:lang w:eastAsia="pt-BR"/>
        </w:rPr>
        <w:t>: vanessa.costa@unimontes.br</w:t>
      </w:r>
    </w:p>
    <w:p w:rsidR="00B836B6" w:rsidRPr="00955D74" w:rsidRDefault="00F83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E2528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60C26" w:rsidRPr="00955D74">
        <w:rPr>
          <w:rFonts w:ascii="Times New Roman" w:hAnsi="Times New Roman" w:cs="Times New Roman"/>
        </w:rPr>
        <w:t>Educação Matemática</w:t>
      </w:r>
    </w:p>
    <w:p w:rsidR="00B836B6" w:rsidRPr="00955D74" w:rsidRDefault="00F83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955D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Palavras-chave:</w:t>
      </w:r>
      <w:r w:rsidR="00E252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E25281">
        <w:rPr>
          <w:rFonts w:ascii="Times New Roman" w:hAnsi="Times New Roman" w:cs="Times New Roman"/>
        </w:rPr>
        <w:t>Teoria Ator–Rede; Situações</w:t>
      </w:r>
      <w:r w:rsidR="00955D74" w:rsidRPr="00955D74">
        <w:rPr>
          <w:rFonts w:ascii="Times New Roman" w:hAnsi="Times New Roman" w:cs="Times New Roman"/>
        </w:rPr>
        <w:t xml:space="preserve"> Didática</w:t>
      </w:r>
      <w:r w:rsidR="00E25281">
        <w:rPr>
          <w:rFonts w:ascii="Times New Roman" w:hAnsi="Times New Roman" w:cs="Times New Roman"/>
        </w:rPr>
        <w:t>s</w:t>
      </w:r>
      <w:r w:rsidR="00955D74" w:rsidRPr="00955D74">
        <w:rPr>
          <w:rFonts w:ascii="Times New Roman" w:hAnsi="Times New Roman" w:cs="Times New Roman"/>
        </w:rPr>
        <w:t xml:space="preserve">; Sociomaterialidade; </w:t>
      </w:r>
      <w:r w:rsidR="00E25281">
        <w:rPr>
          <w:rFonts w:ascii="Times New Roman" w:hAnsi="Times New Roman" w:cs="Times New Roman"/>
        </w:rPr>
        <w:t>Ensino Matemática</w:t>
      </w:r>
      <w:r w:rsidR="00955D74" w:rsidRPr="00955D74">
        <w:rPr>
          <w:rFonts w:ascii="Times New Roman" w:hAnsi="Times New Roman" w:cs="Times New Roman"/>
        </w:rPr>
        <w:t>.</w:t>
      </w:r>
    </w:p>
    <w:p w:rsidR="002A4E99" w:rsidRDefault="002A4E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6B6" w:rsidRPr="00955D74" w:rsidRDefault="00F83D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D74">
        <w:rPr>
          <w:rFonts w:ascii="Times New Roman" w:hAnsi="Times New Roman" w:cs="Times New Roman"/>
          <w:b/>
          <w:sz w:val="24"/>
          <w:szCs w:val="24"/>
        </w:rPr>
        <w:t>Artigo</w:t>
      </w:r>
    </w:p>
    <w:p w:rsidR="00B836B6" w:rsidRPr="00955D74" w:rsidRDefault="00B836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5D74" w:rsidRDefault="00F83DE5" w:rsidP="00160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D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  <w:r w:rsidR="00AF5D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r w:rsidR="00955D74" w:rsidRPr="002A4E99">
        <w:rPr>
          <w:rFonts w:ascii="Times New Roman" w:hAnsi="Times New Roman" w:cs="Times New Roman"/>
          <w:sz w:val="24"/>
          <w:szCs w:val="24"/>
        </w:rPr>
        <w:t>Este artigo propõe uma articulação teórico-analítica entre a Teoria Ator–Rede (ANT) e a Teoria das Situações Didáticas (TSD), com o objetivo de ampliar a compreensão da prática educativa a partir de uma perspectiva sociomaterial. Partindo de uma abordagem qualitativa de natureza teórico-conceitual, o estudo realiza uma análise crítica das bases epistemológicas e operacionais de ambas as teorias, buscando identificar convergências, tensões e possibilidades de integração. Argumenta-se que a ANT, permite deslocar a compreensão da sala de aula para além das interações estritamente pedagógicas, evidenciando redes de mediação que sustentam a produção do conhecimento. Por sua vez, a TSD oferece um aparato analítico refinado para compreender a estrutura interna das situações de ensino, especialmente no que se refere à organização de problemas, instrumentos e regras didáticas. Como principal contribuição, o artigo apresenta um modelo analítico integrador que articula redes sociotécnicas e situações didáticas, possibilitando uma leitura ampliada dos processos de ensino-aprendizagem de matemática. Tal integração fornece subsídios tanto para investigações empíricas quanto para o planejamento pedagógico, especialmente em contextos mediados por tecnologias e múltiplos artefatos. Conclui-se que a aproximação entre ANT e TSD configura um campo promissor e ainda pouco explorado na pesquisa educacional</w:t>
      </w:r>
      <w:r w:rsidR="002A4E99" w:rsidRPr="002A4E99">
        <w:rPr>
          <w:rFonts w:ascii="Times New Roman" w:hAnsi="Times New Roman" w:cs="Times New Roman"/>
          <w:sz w:val="24"/>
          <w:szCs w:val="24"/>
        </w:rPr>
        <w:t>, especialmente no ensino de matemática.</w:t>
      </w:r>
    </w:p>
    <w:p w:rsidR="00B836B6" w:rsidRDefault="00AF5D2E" w:rsidP="00AF5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Palavras-chave: </w:t>
      </w:r>
      <w:r w:rsidRPr="00955D74">
        <w:rPr>
          <w:rFonts w:ascii="Times New Roman" w:hAnsi="Times New Roman" w:cs="Times New Roman"/>
        </w:rPr>
        <w:t>Teoria Ator–Rede; Situaç</w:t>
      </w:r>
      <w:r w:rsidR="00E25281">
        <w:rPr>
          <w:rFonts w:ascii="Times New Roman" w:hAnsi="Times New Roman" w:cs="Times New Roman"/>
        </w:rPr>
        <w:t>ões</w:t>
      </w:r>
      <w:r w:rsidRPr="00955D74">
        <w:rPr>
          <w:rFonts w:ascii="Times New Roman" w:hAnsi="Times New Roman" w:cs="Times New Roman"/>
        </w:rPr>
        <w:t xml:space="preserve"> Didática</w:t>
      </w:r>
      <w:r w:rsidR="00E25281">
        <w:rPr>
          <w:rFonts w:ascii="Times New Roman" w:hAnsi="Times New Roman" w:cs="Times New Roman"/>
        </w:rPr>
        <w:t>s</w:t>
      </w:r>
      <w:r w:rsidRPr="00955D74">
        <w:rPr>
          <w:rFonts w:ascii="Times New Roman" w:hAnsi="Times New Roman" w:cs="Times New Roman"/>
        </w:rPr>
        <w:t xml:space="preserve">; Sociomaterialidade; </w:t>
      </w:r>
      <w:r>
        <w:rPr>
          <w:rFonts w:ascii="Times New Roman" w:hAnsi="Times New Roman" w:cs="Times New Roman"/>
        </w:rPr>
        <w:t>Ensino de Matemática.</w:t>
      </w:r>
    </w:p>
    <w:p w:rsidR="00B836B6" w:rsidRDefault="00B83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36B6" w:rsidRPr="00160C26" w:rsidRDefault="00F83DE5" w:rsidP="00160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C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:rsidR="00AF5D2E" w:rsidRDefault="00955D74" w:rsidP="00AF5D2E">
      <w:pPr>
        <w:pStyle w:val="NormalWeb"/>
        <w:spacing w:before="240" w:beforeAutospacing="0" w:after="0" w:afterAutospacing="0"/>
        <w:ind w:firstLine="708"/>
        <w:jc w:val="both"/>
      </w:pPr>
      <w:r>
        <w:t>A crescente complexidade dos contextos educacionais contemporâneos, marcada pela intensificação do uso de tecnologias, pela multiplicidade de atores institucionais e pela centralidade de artefatos na mediação do conhecimento, desafia modelos analíticos centrados exclusivamente na relação professor–aluno. Nesse cenário, torna-se necessário mobilizar referenciais teóricos capazes de capturar a dimensão ampliada e heterogênea da prática educativa.</w:t>
      </w:r>
    </w:p>
    <w:p w:rsidR="00AF5D2E" w:rsidRDefault="00955D74" w:rsidP="00AF5D2E">
      <w:pPr>
        <w:pStyle w:val="NormalWeb"/>
        <w:spacing w:before="0" w:beforeAutospacing="0" w:after="0" w:afterAutospacing="0"/>
        <w:ind w:firstLine="708"/>
        <w:jc w:val="both"/>
      </w:pPr>
      <w:r>
        <w:t>A Teoria Ator–Rede (ANT), associada aos trabalhos de Bruno Latour, Michel Callon e John Law, oferece uma perspectiva sociológica que desloca o foco da análise para as redes de associações entre humanos e não humanos, atribuindo agência a entidades tradicionalmente consideradas passivas. Em paralelo, a Teoria das Situações Didáticas (TSD), formulada por Guy Brousseau, constitui um dos principais referenciais da didática da matemática, ao propor um modelo estruturado para a análise das condições de produção do conhecimento em contextos de ensino.</w:t>
      </w:r>
    </w:p>
    <w:p w:rsidR="00955D74" w:rsidRDefault="00955D74" w:rsidP="00AF5D2E">
      <w:pPr>
        <w:pStyle w:val="NormalWeb"/>
        <w:spacing w:before="0" w:beforeAutospacing="0" w:after="0" w:afterAutospacing="0"/>
        <w:ind w:firstLine="708"/>
        <w:jc w:val="both"/>
      </w:pPr>
      <w:r>
        <w:lastRenderedPageBreak/>
        <w:t>Parte-se da hipótese de que a combinação dessas teorias permite superar dicotomias clássicas entre sujeito e objeto, ensino e contexto, estrutura e prática, contribuindo para uma abordagem sociomaterial da educação.</w:t>
      </w:r>
    </w:p>
    <w:p w:rsidR="00B836B6" w:rsidRDefault="00B83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36B6" w:rsidRPr="00160C26" w:rsidRDefault="00F83DE5" w:rsidP="00160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C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:rsidR="00AF5D2E" w:rsidRDefault="002A4E99" w:rsidP="00C259CF">
      <w:pPr>
        <w:pStyle w:val="NormalWeb"/>
        <w:spacing w:before="240" w:beforeAutospacing="0" w:after="0" w:afterAutospacing="0"/>
        <w:ind w:firstLine="708"/>
        <w:jc w:val="both"/>
      </w:pPr>
      <w:r w:rsidRPr="002A4E99">
        <w:t>Apesar da relevância dessas teorias, observa-se uma lacuna na literatura quanto à sua articulação no campo da Educação Matemática. A ANT tem sido amplamente utilizada para analisar redes sociotécnicas, enquanto a TSD se consolida como referência na didática da matemática, mas ambas raramente são mobilizadas de forma integrada.</w:t>
      </w:r>
    </w:p>
    <w:p w:rsidR="00AF5D2E" w:rsidRDefault="002A4E99" w:rsidP="00C259CF">
      <w:pPr>
        <w:pStyle w:val="NormalWeb"/>
        <w:spacing w:before="0" w:beforeAutospacing="0" w:after="0" w:afterAutospacing="0"/>
        <w:ind w:firstLine="708"/>
        <w:jc w:val="both"/>
        <w:rPr>
          <w:rStyle w:val="Forte"/>
        </w:rPr>
      </w:pPr>
      <w:r w:rsidRPr="002A4E99">
        <w:t xml:space="preserve">Diante disso, coloca-se o seguinte problema de pesquisa: </w:t>
      </w:r>
      <w:r w:rsidRPr="00E25281">
        <w:rPr>
          <w:rStyle w:val="Forte"/>
          <w:b w:val="0"/>
          <w:i/>
        </w:rPr>
        <w:t>como a articulação entre a Teoria Ator–Rede e a Teoria das Situações Didáticas pode contribuir para a compreensão e o aprimoramento do ensino de matemática?</w:t>
      </w:r>
    </w:p>
    <w:p w:rsidR="00B836B6" w:rsidRPr="002A4E99" w:rsidRDefault="002A4E99" w:rsidP="00C259CF">
      <w:pPr>
        <w:pStyle w:val="NormalWeb"/>
        <w:spacing w:before="0" w:beforeAutospacing="0"/>
        <w:ind w:firstLine="708"/>
        <w:jc w:val="both"/>
        <w:rPr>
          <w:b/>
        </w:rPr>
      </w:pPr>
      <w:r w:rsidRPr="002A4E99">
        <w:t>A justificativa deste estudo reside na necessidade de superar análises fragmentadas da prática educativa, incorporando tanto a dimensão sociomaterial quanto a estrutura didática do ensino.</w:t>
      </w:r>
    </w:p>
    <w:p w:rsidR="00B836B6" w:rsidRPr="002A4E99" w:rsidRDefault="00F83DE5" w:rsidP="002A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A4E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:rsidR="002A4E99" w:rsidRPr="002A4E99" w:rsidRDefault="002A4E99" w:rsidP="002A4E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</w:pPr>
      <w:r w:rsidRPr="002A4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Objetivo geral</w:t>
      </w:r>
    </w:p>
    <w:p w:rsidR="002A4E99" w:rsidRPr="002A4E99" w:rsidRDefault="002A4E99" w:rsidP="00C259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2A4E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Analisar as contribuições da articulação entre ANT e TSD para a compreensão da prática educativa no ensino de matemática.</w:t>
      </w:r>
    </w:p>
    <w:p w:rsidR="002A4E99" w:rsidRPr="002A4E99" w:rsidRDefault="002A4E99" w:rsidP="002A4E9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</w:pPr>
      <w:r w:rsidRPr="002A4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</w:rPr>
        <w:t>Objetivos específicos</w:t>
      </w:r>
    </w:p>
    <w:p w:rsidR="002A4E99" w:rsidRPr="002A4E99" w:rsidRDefault="002A4E99" w:rsidP="00C259C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2A4E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Identificar os principais conceitos das duas teorias; </w:t>
      </w:r>
    </w:p>
    <w:p w:rsidR="002A4E99" w:rsidRPr="002A4E99" w:rsidRDefault="002A4E99" w:rsidP="00C259C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2A4E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Analisar convergências e divergências entre ANT e TSD; </w:t>
      </w:r>
    </w:p>
    <w:p w:rsidR="002A4E99" w:rsidRPr="002A4E99" w:rsidRDefault="002A4E99" w:rsidP="00C259C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2A4E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Propor um modelo analítico integrador; </w:t>
      </w:r>
    </w:p>
    <w:p w:rsidR="00B836B6" w:rsidRDefault="002A4E99" w:rsidP="00C259C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A4E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Discutir implicações para o ensino de matemática.</w:t>
      </w:r>
    </w:p>
    <w:p w:rsidR="00B836B6" w:rsidRPr="00160C26" w:rsidRDefault="00F83DE5" w:rsidP="00160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C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:rsidR="00955D74" w:rsidRPr="00AF5D2E" w:rsidRDefault="00955D74" w:rsidP="00955D7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F5D2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Teoria Ator–Rede: agência distribuída e redes sociotécnicas</w:t>
      </w:r>
    </w:p>
    <w:p w:rsidR="00C259CF" w:rsidRDefault="00955D74" w:rsidP="00C259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A ANT propõe uma reconfiguração do conceito de social, compreendendo-o como efeito das associações entre entidades heterogêneas. Nesse quadro, a noção de ator (ou actante) inclui tanto humanos quanto não humanos, desde que participem da produção de efeitos em uma rede.</w:t>
      </w:r>
    </w:p>
    <w:p w:rsidR="00C259CF" w:rsidRDefault="00955D74" w:rsidP="00C259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Um dos conceitos centrais da teoria é o de </w:t>
      </w:r>
      <w:r w:rsidRPr="00E2528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</w:rPr>
        <w:t>tradução</w:t>
      </w: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, entendido como o processo pelo qual interesses são negociados, alinhados e estabilizados entre diferentes atores. Esse processo </w:t>
      </w: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lastRenderedPageBreak/>
        <w:t>envolve mediações contínuas, nas quais os elementos da rede são transformados ao mesmo tempo em que transformam a rede.</w:t>
      </w:r>
    </w:p>
    <w:p w:rsidR="00955D74" w:rsidRPr="00955D74" w:rsidRDefault="00955D74" w:rsidP="00C259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Outro aspecto fundamental é a ideia de </w:t>
      </w:r>
      <w:r w:rsidRPr="00E2528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</w:rPr>
        <w:t>agência distribuída</w:t>
      </w: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, que rompe com a centralidade do sujeito humano e reconhece o papel ativo de artefatos, dispositivos técnicos, documentos e infraestruturas. Assim, práticas sociais — incluindo práticas educativas — são compreendidas como efeitos provisórios de redes em constante reconfiguração.</w:t>
      </w:r>
    </w:p>
    <w:p w:rsidR="00955D74" w:rsidRPr="00955D74" w:rsidRDefault="00955D74" w:rsidP="00955D7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Teoria das Situações Didáticas: estrutura e produção do conhecimento</w:t>
      </w:r>
    </w:p>
    <w:p w:rsidR="00C259CF" w:rsidRDefault="00955D74" w:rsidP="00C259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A TSD, por sua vez, insere-se no campo da didática da matemática e propõe um modelo para analisar como o conhecimento é produzido em situações de ensino. Seu foco recai sobre a organização de condições didáticas que possibilitam ao aluno construir saberes de forma relativamente autônoma.</w:t>
      </w:r>
    </w:p>
    <w:p w:rsidR="00C259CF" w:rsidRDefault="00955D74" w:rsidP="00C259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A noção de </w:t>
      </w:r>
      <w:r w:rsidRPr="00E2528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</w:rPr>
        <w:t>situação didática</w:t>
      </w: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 refere-se ao sistema de relações entre professor, aluno e saber, mediado por regras, instrumentos e objetivos específicos. Brousseau introduz ainda o conceito de </w:t>
      </w:r>
      <w:r w:rsidRPr="00E2528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</w:rPr>
        <w:t>situação adidática</w:t>
      </w: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, na qual o aluno interage diretamente com o problema, sem intervenção explícita do professor, favorecendo a construção do conhecimento.</w:t>
      </w:r>
    </w:p>
    <w:p w:rsidR="00C259CF" w:rsidRDefault="00955D74" w:rsidP="00C259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A teoria também enfatiza processos como </w:t>
      </w:r>
      <w:r w:rsidRPr="00E2528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</w:rPr>
        <w:t>instrumentalização</w:t>
      </w:r>
      <w:r w:rsidRPr="00E2528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</w:rPr>
        <w:t xml:space="preserve">, </w:t>
      </w:r>
      <w:r w:rsidRPr="00E2528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</w:rPr>
        <w:t>contrainstrumentação</w:t>
      </w:r>
      <w:r w:rsidRPr="00E2528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</w:rPr>
        <w:t xml:space="preserve"> e </w:t>
      </w:r>
      <w:r w:rsidRPr="00E2528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</w:rPr>
        <w:t>conflitos de esquemas</w:t>
      </w:r>
      <w:r w:rsidRPr="00E2528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</w:rPr>
        <w:t>,</w:t>
      </w: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 xml:space="preserve"> que explicam como os alunos se apropriam dos instrumentos e reorganizam seus modos de pensar diante de obstáculos cognitivos.</w:t>
      </w:r>
    </w:p>
    <w:p w:rsidR="00955D74" w:rsidRDefault="00955D74" w:rsidP="00C259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955D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t>Diferentemente da ANT, a TSD opera em um nível microanalítico, concentrando-se na estrutura interna das situações de ensino e nos mecanismos que regulam a aprendizagem.</w:t>
      </w:r>
    </w:p>
    <w:p w:rsidR="00C259CF" w:rsidRDefault="00C259CF" w:rsidP="00C259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AF5D2E" w:rsidRPr="00AF5D2E" w:rsidRDefault="00955D74" w:rsidP="00AF5D2E">
      <w:pPr>
        <w:pStyle w:val="Ttulo2"/>
        <w:spacing w:after="160"/>
        <w:jc w:val="both"/>
        <w:rPr>
          <w:rStyle w:val="Forte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F5D2E">
        <w:rPr>
          <w:rStyle w:val="Fort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Interseções e Tensões Teóricas</w:t>
      </w:r>
    </w:p>
    <w:p w:rsidR="00E25281" w:rsidRDefault="00955D74" w:rsidP="00E25281">
      <w:pPr>
        <w:pStyle w:val="Ttulo2"/>
        <w:spacing w:before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55D74">
        <w:rPr>
          <w:rFonts w:ascii="Times New Roman" w:hAnsi="Times New Roman" w:cs="Times New Roman"/>
          <w:color w:val="auto"/>
          <w:sz w:val="24"/>
          <w:szCs w:val="24"/>
        </w:rPr>
        <w:t>A aproximação entre ANT e TSD revela tanto convergências quanto tensões epistemológicas.</w:t>
      </w:r>
    </w:p>
    <w:p w:rsidR="00C259CF" w:rsidRDefault="00955D74" w:rsidP="00E25281">
      <w:pPr>
        <w:pStyle w:val="Ttulo2"/>
        <w:spacing w:before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55D74">
        <w:rPr>
          <w:rFonts w:ascii="Times New Roman" w:hAnsi="Times New Roman" w:cs="Times New Roman"/>
          <w:color w:val="auto"/>
          <w:sz w:val="24"/>
          <w:szCs w:val="24"/>
        </w:rPr>
        <w:t xml:space="preserve">Entre as convergências, destaca-se o reconhecimento do papel dos </w:t>
      </w:r>
      <w:r w:rsidRPr="00E25281">
        <w:rPr>
          <w:rStyle w:val="Forte"/>
          <w:rFonts w:ascii="Times New Roman" w:hAnsi="Times New Roman" w:cs="Times New Roman"/>
          <w:b w:val="0"/>
          <w:i/>
          <w:color w:val="auto"/>
          <w:sz w:val="24"/>
          <w:szCs w:val="24"/>
        </w:rPr>
        <w:t>mediadores</w:t>
      </w:r>
      <w:r w:rsidRPr="00955D74">
        <w:rPr>
          <w:rFonts w:ascii="Times New Roman" w:hAnsi="Times New Roman" w:cs="Times New Roman"/>
          <w:color w:val="auto"/>
          <w:sz w:val="24"/>
          <w:szCs w:val="24"/>
        </w:rPr>
        <w:t xml:space="preserve"> — sejam eles artefatos técnicos ou instrumentos didáticos — na produção do conhecimento. Ambas as teorias rejeitam visões simplificadoras da aprendizagem como mera </w:t>
      </w:r>
      <w:r w:rsidRPr="00C259CF">
        <w:rPr>
          <w:rFonts w:ascii="Times New Roman" w:hAnsi="Times New Roman" w:cs="Times New Roman"/>
          <w:color w:val="auto"/>
          <w:sz w:val="24"/>
          <w:szCs w:val="24"/>
        </w:rPr>
        <w:t xml:space="preserve">transmissão de </w:t>
      </w:r>
      <w:r w:rsidR="002A4E99" w:rsidRPr="00C259CF">
        <w:rPr>
          <w:rFonts w:ascii="Times New Roman" w:hAnsi="Times New Roman" w:cs="Times New Roman"/>
          <w:color w:val="auto"/>
          <w:sz w:val="24"/>
          <w:szCs w:val="24"/>
        </w:rPr>
        <w:t>conteúdo</w:t>
      </w:r>
      <w:r w:rsidRPr="00955D74">
        <w:rPr>
          <w:rFonts w:ascii="Times New Roman" w:hAnsi="Times New Roman" w:cs="Times New Roman"/>
          <w:color w:val="auto"/>
          <w:sz w:val="24"/>
          <w:szCs w:val="24"/>
        </w:rPr>
        <w:t>, enfatizando processos dinâmicos e interativos.</w:t>
      </w:r>
    </w:p>
    <w:p w:rsidR="00C259CF" w:rsidRDefault="00955D74" w:rsidP="00C259CF">
      <w:pPr>
        <w:pStyle w:val="Ttulo2"/>
        <w:spacing w:before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55D74">
        <w:rPr>
          <w:rFonts w:ascii="Times New Roman" w:hAnsi="Times New Roman" w:cs="Times New Roman"/>
          <w:color w:val="auto"/>
          <w:sz w:val="24"/>
          <w:szCs w:val="24"/>
        </w:rPr>
        <w:t>Entretanto, há diferenças significativas. A ANT opera em uma ontologia plana, na qual humanos e não humanos possuem estatuto analítico equivalente, enquanto a TSD mantém uma centralidade relativa do sujeito aprendiz no processo de construção do saber. Além disso, a ANT privilegia a descrição das redes em sua complexidade, ao passo que a TSD busca estruturar e modelizar situações com finalidade pedagógica.</w:t>
      </w:r>
    </w:p>
    <w:p w:rsidR="00955D74" w:rsidRDefault="00955D74" w:rsidP="00C259CF">
      <w:pPr>
        <w:pStyle w:val="Ttulo2"/>
        <w:spacing w:before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55D74">
        <w:rPr>
          <w:rFonts w:ascii="Times New Roman" w:hAnsi="Times New Roman" w:cs="Times New Roman"/>
          <w:color w:val="auto"/>
          <w:sz w:val="24"/>
          <w:szCs w:val="24"/>
        </w:rPr>
        <w:t>Essas diferenças, longe de inviabilizar o diálogo, indicam a possibilidade de complementaridade analítica.</w:t>
      </w:r>
    </w:p>
    <w:p w:rsidR="00C259CF" w:rsidRPr="00C259CF" w:rsidRDefault="00C259CF" w:rsidP="00C259CF"/>
    <w:p w:rsidR="00B836B6" w:rsidRDefault="00F83DE5" w:rsidP="00AF5D2E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C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:rsidR="00C259CF" w:rsidRDefault="002A4E99" w:rsidP="00C259CF">
      <w:pPr>
        <w:pStyle w:val="NormalWeb"/>
        <w:spacing w:before="0" w:beforeAutospacing="0" w:after="0" w:afterAutospacing="0"/>
        <w:ind w:firstLine="708"/>
        <w:jc w:val="both"/>
      </w:pPr>
      <w:r>
        <w:t xml:space="preserve">A pesquisa caracteriza-se como qualitativa, de natureza teórico-conceitual, fundamentando-se em uma abordagem interpretativa voltada à compreensão das possibilidades de articulação entre a Teoria Ator–Rede (ANT) e a Teoria das Situações </w:t>
      </w:r>
      <w:r>
        <w:lastRenderedPageBreak/>
        <w:t>Didáticas (TSD) no contexto do ensino de matemática. Tal perspectiva ancora-se na compreensão de que a produção do conhecimento em contextos educativos não pode ser reduzida a relações exclusivamente humanas, mas deve considerar a rede de mediações que constitui a prática pedagógica, conforme argumenta Bruno Latour (2005), ao afirmar que o social é efeito de associações heterogêneas. Nesse sentido, a revisão bibliográfica das duas teorias foi conduzida de forma analítica, buscando identificar seus fundamentos epistemológicos e operacionais, bem como suas possibilidades de aproximação. A análise comparativa dos conceitos centrais permitiu evidenciar convergências, especialmente no papel dos mediadores, ainda que situadas em níveis analíticos distintos, conforme indicam Callon (1986) e Law (2009) no âmbito da ANT, e Brousseau (1997) no campo da didática da matemática.</w:t>
      </w:r>
    </w:p>
    <w:p w:rsidR="00CE7F4C" w:rsidRDefault="002A4E99" w:rsidP="00C259CF">
      <w:pPr>
        <w:pStyle w:val="NormalWeb"/>
        <w:spacing w:before="0" w:beforeAutospacing="0" w:after="0" w:afterAutospacing="0"/>
        <w:ind w:firstLine="708"/>
        <w:jc w:val="both"/>
      </w:pPr>
      <w:r>
        <w:t>A partir desse percurso, construiu-se um modelo analítico integrador orientado pela hipótese de que as situações didáticas podem ser compreendidas como efeitos de redes sociomateriais, cuja estabilidade depende de processos contínuos de tradução e alinhamento entre atores (Latour, 2005; Callon, 1986). Como contribuição central deste estudo, propõe-se, portanto, uma proposição metodológica estruturada em dois níveis co</w:t>
      </w:r>
      <w:r w:rsidR="00CE7F4C">
        <w:t>mplementares.</w:t>
      </w:r>
    </w:p>
    <w:p w:rsidR="00C259CF" w:rsidRDefault="002A4E99" w:rsidP="00C259CF">
      <w:pPr>
        <w:pStyle w:val="NormalWeb"/>
        <w:spacing w:before="0" w:beforeAutospacing="0" w:after="0" w:afterAutospacing="0"/>
        <w:ind w:firstLine="708"/>
        <w:jc w:val="both"/>
      </w:pPr>
      <w:r>
        <w:t>O primeiro nível refere-se ao mapeamento sociomaterial, fundamentado na ANT, envolvendo a identificação de atores humanos e não humanos, a análise de mediadores e artefatos, a descrição dos processos de tradução e a delimitação das redes que sustentam a prática educativa. Essa etapa considera que elementos como livros didáticos, tecnologias digitais e normas institucionais participam ativamente da produção do conhecimento, exercendo agência no processo educativo (Law, 2009).</w:t>
      </w:r>
    </w:p>
    <w:p w:rsidR="00C259CF" w:rsidRDefault="002A4E99" w:rsidP="00C259CF">
      <w:pPr>
        <w:pStyle w:val="NormalWeb"/>
        <w:spacing w:before="0" w:beforeAutospacing="0" w:after="0" w:afterAutospacing="0"/>
        <w:ind w:firstLine="708"/>
        <w:jc w:val="both"/>
      </w:pPr>
      <w:r>
        <w:t>O segundo nível corresponde à análise didática, ancorada na TSD, contemplando a identificação da situação didática, a análise dos instrumentos e regras que a estruturam, o mapeamento de conflitos cognitivos e a avaliação dos processos de instrumentalização. Segundo Brousseau (1997), a aprendizagem ocorre quando o aluno é colocado em situações que exigem a mobilização e reorganização de conhecimentos, sendo os instrumentos didáticos fundamentais nesse processo.</w:t>
      </w:r>
    </w:p>
    <w:p w:rsidR="002A4E99" w:rsidRDefault="002A4E99" w:rsidP="00C259CF">
      <w:pPr>
        <w:pStyle w:val="NormalWeb"/>
        <w:spacing w:before="0" w:beforeAutospacing="0" w:after="0" w:afterAutospacing="0"/>
        <w:ind w:firstLine="708"/>
        <w:jc w:val="both"/>
      </w:pPr>
      <w:r>
        <w:t>A integração entre esses níveis ocorre na medida em que a situação didática é compreendida como efeito de uma rede sociomaterial, ao passo que a rede é analisada em função de sua capacidade de produzir condições efetivas de aprendizagem. Dessa forma, o modelo proposto permite uma leitura ampliada e articulada da prática educativa, especialmente no ensino de matemática, ao combinar a descrição das redes de mediação com a análise estruturada das situações de ensino.</w:t>
      </w:r>
    </w:p>
    <w:p w:rsidR="00C259CF" w:rsidRDefault="00C259CF" w:rsidP="00C259CF">
      <w:pPr>
        <w:pStyle w:val="NormalWeb"/>
        <w:spacing w:before="0" w:beforeAutospacing="0" w:after="0" w:afterAutospacing="0"/>
        <w:ind w:firstLine="708"/>
        <w:jc w:val="both"/>
      </w:pPr>
    </w:p>
    <w:p w:rsidR="00B836B6" w:rsidRPr="00160C26" w:rsidRDefault="00F83DE5" w:rsidP="00AF5D2E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C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:rsidR="00C259CF" w:rsidRDefault="00160C26" w:rsidP="00C259CF">
      <w:pPr>
        <w:pStyle w:val="NormalWeb"/>
        <w:spacing w:before="0" w:beforeAutospacing="0" w:after="0" w:afterAutospacing="0"/>
        <w:ind w:firstLine="708"/>
        <w:jc w:val="both"/>
      </w:pPr>
      <w:r>
        <w:t>A principal vantagem do modelo proposto reside na ampliação do escopo analítico da prática educativa, permitindo articular dimensões frequentemente tratadas de forma isolada: o contexto sociotécnico e a estrutura didática.</w:t>
      </w:r>
    </w:p>
    <w:p w:rsidR="00C259CF" w:rsidRDefault="00160C26" w:rsidP="00C259CF">
      <w:pPr>
        <w:pStyle w:val="NormalWeb"/>
        <w:spacing w:before="0" w:beforeAutospacing="0" w:after="0" w:afterAutospacing="0"/>
        <w:ind w:firstLine="708"/>
        <w:jc w:val="both"/>
      </w:pPr>
      <w:r>
        <w:t>Contudo, essa integração implica desafios metodológicos, como a complexidade do mapeamento de redes e o risco de sobreposição analítica. Além disso, exige do pesquisador domínio de dois referenciais teóricos densos e epistemologicamente distintos.</w:t>
      </w:r>
    </w:p>
    <w:p w:rsidR="00C259CF" w:rsidRDefault="00C259CF" w:rsidP="00C259CF">
      <w:pPr>
        <w:pStyle w:val="NormalWeb"/>
        <w:spacing w:before="0" w:beforeAutospacing="0" w:after="0" w:afterAutospacing="0"/>
        <w:ind w:firstLine="708"/>
        <w:jc w:val="both"/>
      </w:pPr>
      <w:r>
        <w:t>A</w:t>
      </w:r>
      <w:r w:rsidR="002A4E99">
        <w:t xml:space="preserve"> análise evidenciou que, no ensino de matemática, a sala de aula pode ser compreendida como uma rede sociomaterial composta por professores, alunos, livros didáticos, tecnologias digitais e práticas institucionais.</w:t>
      </w:r>
    </w:p>
    <w:p w:rsidR="00C259CF" w:rsidRDefault="002A4E99" w:rsidP="00C259CF">
      <w:pPr>
        <w:pStyle w:val="NormalWeb"/>
        <w:spacing w:before="0" w:beforeAutospacing="0" w:after="0" w:afterAutospacing="0"/>
        <w:ind w:firstLine="708"/>
        <w:jc w:val="both"/>
      </w:pPr>
      <w:r>
        <w:lastRenderedPageBreak/>
        <w:t>Sob a perspectiva da ANT, esses elementos atuam como mediadores que influenciam diretamente a construção do conhecimento (Latour, 2005). Já sob a ótica da TSD, a aprendizagem depende da organização das situações didáticas, incluindo problemas, instrumentos e regras (Brousseau, 1997).</w:t>
      </w:r>
    </w:p>
    <w:p w:rsidR="002A4E99" w:rsidRDefault="002A4E99" w:rsidP="00C259CF">
      <w:pPr>
        <w:pStyle w:val="NormalWeb"/>
        <w:spacing w:before="0" w:beforeAutospacing="0" w:after="0" w:afterAutospacing="0"/>
        <w:ind w:firstLine="708"/>
        <w:jc w:val="both"/>
      </w:pPr>
      <w:r>
        <w:t>A integração das duas teorias permite compreender que a eficácia de uma situação didática não depende apenas de sua estrutura interna, mas também das redes que a sustentam.</w:t>
      </w:r>
    </w:p>
    <w:p w:rsidR="00C259CF" w:rsidRDefault="00C259CF" w:rsidP="00C259CF">
      <w:pPr>
        <w:pStyle w:val="NormalWeb"/>
        <w:spacing w:before="0" w:beforeAutospacing="0" w:after="0" w:afterAutospacing="0"/>
        <w:ind w:firstLine="708"/>
        <w:jc w:val="both"/>
      </w:pPr>
    </w:p>
    <w:p w:rsidR="00B836B6" w:rsidRPr="00160C26" w:rsidRDefault="00F83DE5" w:rsidP="00AF5D2E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C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:rsidR="00C259CF" w:rsidRDefault="002A4E99" w:rsidP="00CE7F4C">
      <w:pPr>
        <w:pStyle w:val="NormalWeb"/>
        <w:spacing w:before="0" w:beforeAutospacing="0" w:after="0" w:afterAutospacing="0"/>
        <w:ind w:firstLine="708"/>
        <w:jc w:val="both"/>
      </w:pPr>
      <w:r>
        <w:t>O presente estudo insere-se no campo da Educação Matemática, dialogando com pesquisas que buscam compreender os processos de ensino e aprendizagem a partir de abordagens interdisciplinares.</w:t>
      </w:r>
    </w:p>
    <w:p w:rsidR="002A4E99" w:rsidRDefault="002A4E99" w:rsidP="00CE7F4C">
      <w:pPr>
        <w:pStyle w:val="NormalWeb"/>
        <w:spacing w:before="0" w:beforeAutospacing="0" w:after="0" w:afterAutospacing="0"/>
        <w:ind w:firstLine="708"/>
        <w:jc w:val="both"/>
      </w:pPr>
      <w:r>
        <w:t>A articulação entre ANT e TSD contribui para o eixo temático ao propor uma análise que integra dimensões pedagógicas e sociomateriais, ampliando a compreensão da prática educativa e oferecendo subsídios para a formação docente e inovação pedagógica.</w:t>
      </w:r>
    </w:p>
    <w:p w:rsidR="00C259CF" w:rsidRDefault="00C259CF" w:rsidP="00C259CF">
      <w:pPr>
        <w:pStyle w:val="NormalWeb"/>
        <w:spacing w:before="0" w:beforeAutospacing="0" w:after="0" w:afterAutospacing="0"/>
        <w:ind w:firstLine="708"/>
      </w:pPr>
    </w:p>
    <w:p w:rsidR="00B836B6" w:rsidRPr="00160C26" w:rsidRDefault="00F83DE5" w:rsidP="00AF5D2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C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C259CF" w:rsidRDefault="00160C26" w:rsidP="00C259CF">
      <w:pPr>
        <w:pStyle w:val="NormalWeb"/>
        <w:spacing w:before="0" w:beforeAutospacing="0" w:after="0" w:afterAutospacing="0"/>
        <w:ind w:firstLine="708"/>
        <w:jc w:val="both"/>
      </w:pPr>
      <w:r>
        <w:t>Este artigo buscou demonstrar que a articulação entre ANT e TSD constitui uma via promissora para a compreensão da prática educativa contemporânea. Ao integrar uma abordagem sociomaterial com uma teoria didática estruturada, torna-se possível superar reducionismos analíticos e avançar na construção de modelos mais abrangentes de ensino-aprendizagem.</w:t>
      </w:r>
    </w:p>
    <w:p w:rsidR="00160C26" w:rsidRDefault="00160C26" w:rsidP="00C259CF">
      <w:pPr>
        <w:pStyle w:val="NormalWeb"/>
        <w:spacing w:before="0" w:beforeAutospacing="0" w:after="0" w:afterAutospacing="0"/>
        <w:ind w:firstLine="708"/>
        <w:jc w:val="both"/>
      </w:pPr>
      <w:r>
        <w:t>Como agenda futura, sugere-se a aplicação empírica do modelo proposto, especialmente em contextos de educação mediada por tecnologias, bem como o aprofundamento das implicações epistemológicas dessa integração.</w:t>
      </w:r>
    </w:p>
    <w:p w:rsidR="00B836B6" w:rsidRPr="00160C26" w:rsidRDefault="00F83DE5" w:rsidP="00C259C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60C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2A4E99" w:rsidRDefault="002A4E99" w:rsidP="00CE7F4C">
      <w:pPr>
        <w:pStyle w:val="NormalWeb"/>
        <w:spacing w:after="0" w:afterAutospacing="0"/>
        <w:jc w:val="both"/>
      </w:pPr>
      <w:r>
        <w:t xml:space="preserve">BROUSSEAU, Guy. </w:t>
      </w:r>
      <w:r w:rsidRPr="00CE7F4C">
        <w:rPr>
          <w:rStyle w:val="Forte"/>
          <w:b w:val="0"/>
          <w:i/>
        </w:rPr>
        <w:t>Theory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of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didactical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situations in mathematics</w:t>
      </w:r>
      <w:r>
        <w:t>. Dordrecht: KluwerAcademicPublishers, 1997.</w:t>
      </w:r>
    </w:p>
    <w:p w:rsidR="002A4E99" w:rsidRDefault="002A4E99" w:rsidP="00CE7F4C">
      <w:pPr>
        <w:pStyle w:val="NormalWeb"/>
        <w:jc w:val="both"/>
      </w:pPr>
      <w:r>
        <w:t>CALLON, Michel. Some elementsof a sociologyoftranslation. In: LAW, John (org.)</w:t>
      </w:r>
      <w:r w:rsidRPr="00CE7F4C">
        <w:t>.</w:t>
      </w:r>
      <w:r w:rsidRPr="00CE7F4C">
        <w:rPr>
          <w:b/>
          <w:i/>
        </w:rPr>
        <w:t xml:space="preserve"> </w:t>
      </w:r>
      <w:r w:rsidRPr="00CE7F4C">
        <w:rPr>
          <w:rStyle w:val="Forte"/>
          <w:b w:val="0"/>
          <w:i/>
        </w:rPr>
        <w:t>Power, action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and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belief: a new sociology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of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knowledge?</w:t>
      </w:r>
      <w:r w:rsidRPr="00CE7F4C">
        <w:rPr>
          <w:b/>
          <w:i/>
        </w:rPr>
        <w:t xml:space="preserve"> </w:t>
      </w:r>
      <w:r>
        <w:t>London: Routledge, 1986.</w:t>
      </w:r>
    </w:p>
    <w:p w:rsidR="002A4E99" w:rsidRDefault="002A4E99" w:rsidP="00CE7F4C">
      <w:pPr>
        <w:pStyle w:val="NormalWeb"/>
        <w:jc w:val="both"/>
      </w:pPr>
      <w:r>
        <w:t xml:space="preserve">LATOUR, Bruno. </w:t>
      </w:r>
      <w:r w:rsidRPr="00CE7F4C">
        <w:rPr>
          <w:rStyle w:val="Forte"/>
          <w:b w:val="0"/>
          <w:i/>
        </w:rPr>
        <w:t>Reassembling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 xml:space="preserve">the social: </w:t>
      </w:r>
      <w:r w:rsidR="00CE7F4C" w:rsidRPr="00CE7F4C">
        <w:rPr>
          <w:rStyle w:val="Forte"/>
          <w:b w:val="0"/>
          <w:i/>
        </w:rPr>
        <w:t xml:space="preserve">na </w:t>
      </w:r>
      <w:r w:rsidRPr="00CE7F4C">
        <w:rPr>
          <w:rStyle w:val="Forte"/>
          <w:b w:val="0"/>
          <w:i/>
        </w:rPr>
        <w:t>introduction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to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actor-network-theory</w:t>
      </w:r>
      <w:r>
        <w:t>. Oxford: Oxford University Press, 2005.</w:t>
      </w:r>
    </w:p>
    <w:p w:rsidR="002A4E99" w:rsidRDefault="002A4E99" w:rsidP="00CE7F4C">
      <w:pPr>
        <w:pStyle w:val="NormalWeb"/>
        <w:jc w:val="both"/>
      </w:pPr>
      <w:r>
        <w:t xml:space="preserve">LAW, John. Actor-network theoryand material semiotics. In: TURNER, Bryan (org.). </w:t>
      </w:r>
      <w:r w:rsidRPr="00CE7F4C">
        <w:rPr>
          <w:rStyle w:val="Forte"/>
          <w:b w:val="0"/>
          <w:i/>
        </w:rPr>
        <w:t>The new Blackwell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companion</w:t>
      </w:r>
      <w:r w:rsidR="00CE7F4C" w:rsidRPr="00CE7F4C">
        <w:rPr>
          <w:rStyle w:val="Forte"/>
          <w:b w:val="0"/>
          <w:i/>
        </w:rPr>
        <w:t xml:space="preserve"> </w:t>
      </w:r>
      <w:r w:rsidRPr="00CE7F4C">
        <w:rPr>
          <w:rStyle w:val="Forte"/>
          <w:b w:val="0"/>
          <w:i/>
        </w:rPr>
        <w:t>to social theory</w:t>
      </w:r>
      <w:r>
        <w:t>. Oxford: Blackwell, 2009.</w:t>
      </w:r>
    </w:p>
    <w:p w:rsidR="00955D74" w:rsidRDefault="002A4E99" w:rsidP="00CE7F4C">
      <w:pPr>
        <w:pStyle w:val="NormalWeb"/>
        <w:jc w:val="both"/>
      </w:pPr>
      <w:r>
        <w:t xml:space="preserve">BORBA, Marcelo de Carvalho; SILVA, Miriam Godoy Penteado; GADANIDIS, George. </w:t>
      </w:r>
      <w:r w:rsidRPr="00CE7F4C">
        <w:rPr>
          <w:rStyle w:val="Forte"/>
          <w:b w:val="0"/>
          <w:i/>
        </w:rPr>
        <w:t>Educação matemática: pesquisa em movimento</w:t>
      </w:r>
      <w:r>
        <w:t>. São Paulo: Cortez, 2004.</w:t>
      </w:r>
    </w:p>
    <w:p w:rsidR="00955D74" w:rsidRDefault="00955D74">
      <w:pPr>
        <w:spacing w:after="0" w:line="240" w:lineRule="auto"/>
        <w:jc w:val="both"/>
        <w:rPr>
          <w:sz w:val="24"/>
          <w:szCs w:val="24"/>
        </w:rPr>
      </w:pPr>
    </w:p>
    <w:sectPr w:rsidR="00955D74" w:rsidSect="009F7E25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A3D" w:rsidRDefault="00D63A3D">
      <w:pPr>
        <w:spacing w:line="240" w:lineRule="auto"/>
      </w:pPr>
      <w:r>
        <w:separator/>
      </w:r>
    </w:p>
  </w:endnote>
  <w:endnote w:type="continuationSeparator" w:id="1">
    <w:p w:rsidR="00D63A3D" w:rsidRDefault="00D63A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A3D" w:rsidRDefault="00D63A3D">
      <w:pPr>
        <w:spacing w:after="0"/>
      </w:pPr>
      <w:r>
        <w:separator/>
      </w:r>
    </w:p>
  </w:footnote>
  <w:footnote w:type="continuationSeparator" w:id="1">
    <w:p w:rsidR="00D63A3D" w:rsidRDefault="00D63A3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6B6" w:rsidRDefault="00F83DE5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65F73"/>
    <w:multiLevelType w:val="multilevel"/>
    <w:tmpl w:val="31F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0B579A"/>
    <w:multiLevelType w:val="multilevel"/>
    <w:tmpl w:val="A04AE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72A27"/>
    <w:rsid w:val="000B16D9"/>
    <w:rsid w:val="00160C26"/>
    <w:rsid w:val="00172A27"/>
    <w:rsid w:val="002A4E99"/>
    <w:rsid w:val="0063515E"/>
    <w:rsid w:val="00677F30"/>
    <w:rsid w:val="00741E2B"/>
    <w:rsid w:val="00955D74"/>
    <w:rsid w:val="009F7E25"/>
    <w:rsid w:val="00AF5D2E"/>
    <w:rsid w:val="00B82A8F"/>
    <w:rsid w:val="00B836B6"/>
    <w:rsid w:val="00C259CF"/>
    <w:rsid w:val="00CE7F4C"/>
    <w:rsid w:val="00D63A3D"/>
    <w:rsid w:val="00E25281"/>
    <w:rsid w:val="00F83DE5"/>
    <w:rsid w:val="03C80B88"/>
    <w:rsid w:val="1A894334"/>
    <w:rsid w:val="1EF63937"/>
    <w:rsid w:val="221653A0"/>
    <w:rsid w:val="22184B3D"/>
    <w:rsid w:val="25485496"/>
    <w:rsid w:val="268663ED"/>
    <w:rsid w:val="27CD66DB"/>
    <w:rsid w:val="2A781B3D"/>
    <w:rsid w:val="2D0A23B4"/>
    <w:rsid w:val="35C9615A"/>
    <w:rsid w:val="39113C01"/>
    <w:rsid w:val="4B1D057D"/>
    <w:rsid w:val="4B8D7224"/>
    <w:rsid w:val="4DAD2754"/>
    <w:rsid w:val="50626742"/>
    <w:rsid w:val="50B173AF"/>
    <w:rsid w:val="59FB6197"/>
    <w:rsid w:val="5B5B3C9A"/>
    <w:rsid w:val="60FF12C0"/>
    <w:rsid w:val="64DA7F84"/>
    <w:rsid w:val="68F74436"/>
    <w:rsid w:val="704476BC"/>
    <w:rsid w:val="7E5F027E"/>
    <w:rsid w:val="7EF4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E2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5D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955D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sid w:val="009F7E2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9F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uiPriority w:val="99"/>
    <w:semiHidden/>
    <w:unhideWhenUsed/>
    <w:qFormat/>
    <w:rsid w:val="009F7E2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rsid w:val="009F7E25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sid w:val="009F7E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955D74"/>
    <w:rPr>
      <w:b/>
      <w:bCs/>
    </w:rPr>
  </w:style>
  <w:style w:type="character" w:styleId="nfase">
    <w:name w:val="Emphasis"/>
    <w:basedOn w:val="Fontepargpadro"/>
    <w:uiPriority w:val="20"/>
    <w:qFormat/>
    <w:rsid w:val="00955D74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955D74"/>
    <w:rPr>
      <w:rFonts w:eastAsia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99"/>
    <w:rsid w:val="00955D74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955D74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281"/>
    <w:rPr>
      <w:rFonts w:ascii="Tahoma" w:eastAsiaTheme="minorHAnsi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2084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Vanessa Camilo</cp:lastModifiedBy>
  <cp:revision>4</cp:revision>
  <cp:lastPrinted>2026-04-29T15:53:00Z</cp:lastPrinted>
  <dcterms:created xsi:type="dcterms:W3CDTF">2026-04-29T15:01:00Z</dcterms:created>
  <dcterms:modified xsi:type="dcterms:W3CDTF">2026-05-03T21:20:00Z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