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DATIFICAÇÃO E HETEROMAÇÃO DO TRABALHO DE COMUNICAÇÃO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Luis GONÇALVES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Roseli FIGARO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Alexandre Boava ZAGO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GT 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de São Paulo - Escola de Comunicação Artes (ECA), luishng72@gmail.com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Universidade de São Paulo - Escola de Comunicação Artes (ECA),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roselifigaro@usp.br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Universidade de São Paulo - Escola de Comunicação Artes (ECA), alexandre_zb@hotmail.com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Softwares de trabalho fornecidos por empresas-plataforma produzem registros das interações humano-computador (IHC) de seus usuários na forma de dados digitais para o seu incremento, correção de erros e para a extração de preferências por inteligências artificiais (IA) (RUSSEL, 2019), ou ainda como insumos para outras finalidades que não necessariamente beneficiarão esses trabalhadores (GOOGLE, 2024; MICROSOFT, 2025). Estas relações entre trabalhadores e plataformas insere-se no contexto mais amplo da sistemática produção, apropriação, uso e valorização de dados digitais que têm sido chamado de datificação por autores de diferentes perspectivas (CUKIER; MAYER-SCHOENBERGER, 2013; VAN DIJCK, 2017).</w:t>
      </w:r>
    </w:p>
    <w:p w:rsidR="00000000" w:rsidDel="00000000" w:rsidP="00000000" w:rsidRDefault="00000000" w:rsidRPr="00000000" w14:paraId="0000000D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pesquisa “Datificação da atividade de comunicação e trabalho de arranjos de comunicadores”, realizado pelo Centro de Pesquisa sobre Comunicação e Trabalho (CPCT) da ECA-USP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demonstra que, de forma pré-idealizada pelas empresas-plataforma, tais softwares utilizam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gestos do trabalho de profissionais da comunicação para, também, produzirem dados e rotulagens desses eventos laborais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(cliques, erros, heurísticas etc.). Essas informações são apropriadas pelas empresas por meio de logs e outras requests, usadas como insumos para a produção de tensores (matrizes multidimensionais) que, por sua vez, são aplicadas no aprendizado de máquina, gerando IA que serão comercializadas para outros clientes (ALPHABET, 2025). A importância desses dados reside na sua capacidade de, ao serem agregados enquanto big data, (1) produzirem conhecimentos sobre os processos de trabalho, seus produtos e produtores, (2) estabelecendo relacionalidades estatísticas entre eles (VILJOEN, 2021) (3) que podem ser utilizadas para diversos fins que estes trabalhadores não controlam, podendo mesmo prejudicá-los (GIERMINDL, et al., 2022). </w:t>
      </w:r>
    </w:p>
    <w:p w:rsidR="00000000" w:rsidDel="00000000" w:rsidP="00000000" w:rsidRDefault="00000000" w:rsidRPr="00000000" w14:paraId="0000000E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conta dessas capacidades, chamamos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materialidades sensíveis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às ações e operações de trabalho que, neste caso, são possibilitadas na forma de IHC (FIGARO, 2024). Em nossa pesquisa em andamento, confirmamos que a datificação das materialidades sensíveis atualiza a tradição capitalista iniciada no século XVIII por Smith, continuada por Babbage no século XIX, generalizada no século XX por Taylor e Ford e plataformizada no século XXI pelas big techs, conhecida como Princípios de Babbage. Isto é, a observação e transformação do processo de trabalho visando sua degradação, automação e desvalorização para o aumento do seu controle e do mais-valor relativo que esse processo possibilita (BRAVERMAN, 1988; PASQUINELLI, 2023). Estas e outras relações de produção ocultadas, não pagas, que possibilitam o discurso da automação e que precisam ser melhor compreendidas, têm sido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chamadas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por alguns autores como hetemoração (EKBIA; NARDI, 2017).</w:t>
      </w:r>
    </w:p>
    <w:p w:rsidR="00000000" w:rsidDel="00000000" w:rsidP="00000000" w:rsidRDefault="00000000" w:rsidRPr="00000000" w14:paraId="0000000F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Através da revisão de literatura científica e corporativa das plataformas, das suas patentes e dos nossos experimentos de datificação, temos descoberto alguns dos mecanismos sociotécnicos, mercadológicos e contábeis que possibilitam a monopolização dos meios de produção dos comunicadores – que aparece como “efeitos de rede” (SRNICEK, 2017; MAZZUCATO et al., 2023) – e que permitem a datificação do trabalho. </w:t>
      </w:r>
    </w:p>
    <w:p w:rsidR="00000000" w:rsidDel="00000000" w:rsidP="00000000" w:rsidRDefault="00000000" w:rsidRPr="00000000" w14:paraId="00000010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Estes e outros achados do CPCT apontam para necessidade de mais estudos interdisciplinares que sigam esclarecendo os mecanismos e implicações da datificação heteromada do trabalho de comunicação, de modo a contribuir com as lutas dos trabalhadores e a sua autodeterminação informativa (BRASIL, 2018) na forma de regulações e outras políticas públicas.</w:t>
      </w:r>
    </w:p>
    <w:p w:rsidR="00000000" w:rsidDel="00000000" w:rsidP="00000000" w:rsidRDefault="00000000" w:rsidRPr="00000000" w14:paraId="00000011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REFERÊNCIAS BIBLIOGRÁFICAS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ALPHABET INC.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Alphabet Annual Report 2024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Mountain View: Alphabet Inc., 2025.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Lei nº 13.709, de 14 de agosto de 2018.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Lei Geral de Proteção de Dados Pessoais (LGPD)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Brasília, DF: Presidência da República, [2018]. Disponível em: https://www.planalto.gov.br/ccivil_03/_ato2015-2018/2018/lei/l13709.htm. Acesso em: 15 jan. 2026.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BRAVERMAN, Harry.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Labor and monopoly capital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The degradation of work in the twentieth century. nyu Press, 1998.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CUKIER, K.; MAYER-SCHOENBERGER, V. The rise of big data: How it’s changing the way we think about the world. In: PITICI, M.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The Best Writing on Mathematics 2014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Princeton: Princeton University Press, 2013. p. 20-32.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EKBIA, Hamid R.; NARDI, Bonnie 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Heteromation, and other stories of computing and capitalism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MIT Press, 2017.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FIGARO, Roseli. Impactos da Inteligência Artificial no mundo do trabalho.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G20 Brasil 2024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Disponível em: https://www.g20.org/pt-br/noticias/impactos-da-inteligencia-artificial-no-mundo -do-trabalho. Acesso: 11/5/2024.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GOOGLE.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Work Insights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Organizational adoption and collaboration insights, 2024. Disponível em: https://workspace.google.com/intl/pt-BR/products/workinsights/. Acesso em: 3 fev. 2026.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GIERMINDL, Lisa Marie et al. The dark sides of people analytics: reviewing the perils for organisations and employees.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European Journal of Information Systems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v. 31, n. 3, p. 410-435, 2022.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MAZZUCATO, Mariana; RYAN-COLLINS, Josh; GOUZOULIS, Giorgos. Mapping modern economic rents: the good, the bad, and the grey areas.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Cambridge Journal of Economics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v. 47, n. 3, p. 507-534, 2023.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MICROSOFT. Descrição geral do Microsoft Viva.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Microsoft Learn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2025. Disponível em: https://learn.microsoft.com/pt-br/viva/microsoft-viva-overview. Acesso em: 3 fev. 2026.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PASQUINELLI, Matteo.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The eye of the master: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social history of artificial intelligence. Verso Books, 2023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RUSSELL, Stuart.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Human-Compatible Artificial Intelligence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New York: Penguin Uk, 2019. ISBN 0198862539.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SRNICEK, Nick.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Platform capitalism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John Wiley &amp; Sons, 2017.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 DIJCK, J. Confiamos nos dados? As implicações da datificação para o monitoramento social.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Matrizes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v. 11, n. 1, p. 39-59, jan./abr. 2017.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VILJOEN, Salome. Democratic data: A relational theory for data governance.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Yale Law Journal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v. 131, n. 3, p. 566-643, 2021.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742" w:top="2070" w:left="1134" w:right="1134" w:header="720" w:footer="11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right" w:leader="none" w:pos="8478"/>
      </w:tabs>
      <w:jc w:val="right"/>
      <w:rPr>
        <w:color w:val="000000"/>
      </w:rPr>
    </w:pP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-889190</wp:posOffset>
              </wp:positionH>
              <wp:positionV relativeFrom="paragraph">
                <wp:posOffset>221241</wp:posOffset>
              </wp:positionV>
              <wp:extent cx="7891145" cy="1040182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00425" y="3259900"/>
                        <a:ext cx="7891145" cy="1040182"/>
                        <a:chOff x="1400425" y="3259900"/>
                        <a:chExt cx="7891150" cy="1040200"/>
                      </a:xfrm>
                    </wpg:grpSpPr>
                    <wpg:grpSp>
                      <wpg:cNvGrpSpPr/>
                      <wpg:grpSpPr>
                        <a:xfrm>
                          <a:off x="1400428" y="3259909"/>
                          <a:ext cx="7891145" cy="1040182"/>
                          <a:chOff x="0" y="0"/>
                          <a:chExt cx="7891145" cy="104018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891125" cy="104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62838" y="0"/>
                            <a:ext cx="757110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0" y="87682"/>
                            <a:ext cx="7891145" cy="9525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889348" y="200416"/>
                            <a:ext cx="126555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7" name="Shape 7"/>
                        <wps:spPr>
                          <a:xfrm>
                            <a:off x="5542767" y="269310"/>
                            <a:ext cx="174942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09.0000152587891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3"/>
                                  <w:vertAlign w:val="baseline"/>
                                </w:rPr>
                                <w:t xml:space="preserve">www.sociedadeepticc.org.br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-889190</wp:posOffset>
              </wp:positionH>
              <wp:positionV relativeFrom="paragraph">
                <wp:posOffset>221241</wp:posOffset>
              </wp:positionV>
              <wp:extent cx="7891145" cy="104018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91145" cy="10401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right" w:leader="none" w:pos="8478"/>
      </w:tabs>
      <w:jc w:val="right"/>
      <w:rPr>
        <w:color w:val="000000"/>
      </w:rPr>
    </w:pP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Pesquisa com apoio da Fapesp, processo 2022/05714-0.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-720089</wp:posOffset>
              </wp:positionH>
              <wp:positionV relativeFrom="paragraph">
                <wp:posOffset>-457199</wp:posOffset>
              </wp:positionV>
              <wp:extent cx="7891154" cy="9525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00400" y="3303750"/>
                        <a:ext cx="7891154" cy="952500"/>
                        <a:chOff x="1400400" y="3303750"/>
                        <a:chExt cx="7891200" cy="952500"/>
                      </a:xfrm>
                    </wpg:grpSpPr>
                    <wpg:grpSp>
                      <wpg:cNvGrpSpPr/>
                      <wpg:grpSpPr>
                        <a:xfrm>
                          <a:off x="1400423" y="3303750"/>
                          <a:ext cx="7891154" cy="952500"/>
                          <a:chOff x="0" y="0"/>
                          <a:chExt cx="7891154" cy="952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8911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0" y="0"/>
                            <a:ext cx="7891154" cy="9525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720247" y="263047"/>
                            <a:ext cx="176720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11" name="Shape 11"/>
                        <wps:spPr>
                          <a:xfrm>
                            <a:off x="3939436" y="225468"/>
                            <a:ext cx="3201670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3"/>
                                  <w:vertAlign w:val="baseline"/>
                                </w:rPr>
                                <w:t xml:space="preserve">Imperialismo, colonialismo e soberania na periferia do capitalismo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3939436" y="507304"/>
                            <a:ext cx="32016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  <w:t xml:space="preserve">Universidade Federal de Minas Gerais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3"/>
                                  <w:vertAlign w:val="baseline"/>
                                </w:rPr>
                                <w:t xml:space="preserve">Belo Horizonte - MG, 19 a 23 de maio de 2026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4427951" y="419622"/>
                            <a:ext cx="2609215" cy="5715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lt1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-720089</wp:posOffset>
              </wp:positionH>
              <wp:positionV relativeFrom="paragraph">
                <wp:posOffset>-457199</wp:posOffset>
              </wp:positionV>
              <wp:extent cx="7891154" cy="9525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91154" cy="952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-691514</wp:posOffset>
          </wp:positionH>
          <wp:positionV relativeFrom="paragraph">
            <wp:posOffset>-657224</wp:posOffset>
          </wp:positionV>
          <wp:extent cx="7505633" cy="111061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633" cy="11106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5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