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3F467" w14:textId="3CFCA2DB" w:rsidR="00D35F28" w:rsidRDefault="0063747F" w:rsidP="004A67A3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706F34">
        <w:rPr>
          <w:b/>
          <w:bCs/>
          <w:sz w:val="24"/>
          <w:szCs w:val="24"/>
        </w:rPr>
        <w:t xml:space="preserve">MUDANÇAS NO USO DA TERRA E EXPANSÃO PECUÁRIA NA REGIÃO </w:t>
      </w:r>
      <w:r w:rsidR="00C011CF">
        <w:rPr>
          <w:b/>
          <w:bCs/>
          <w:sz w:val="24"/>
          <w:szCs w:val="24"/>
        </w:rPr>
        <w:t xml:space="preserve">DE INTEGRAÇÃO DO </w:t>
      </w:r>
      <w:r w:rsidRPr="00706F34">
        <w:rPr>
          <w:b/>
          <w:bCs/>
          <w:sz w:val="24"/>
          <w:szCs w:val="24"/>
        </w:rPr>
        <w:t>TOCANTINS-PA: UMA ANÁLISE DE 2013 A 2023</w:t>
      </w:r>
    </w:p>
    <w:p w14:paraId="14955085" w14:textId="77777777" w:rsidR="00706F34" w:rsidRPr="00706F34" w:rsidRDefault="00706F34" w:rsidP="004A67A3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1259DBA3" w14:textId="77777777" w:rsidR="00D35F28" w:rsidRPr="00584C2A" w:rsidRDefault="00D35F28" w:rsidP="004A67A3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Larissa Lourenço de Oliveira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Regina Oliveira da Silva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</w:p>
    <w:p w14:paraId="1C4BB0E4" w14:textId="77777777" w:rsidR="00D35F28" w:rsidRDefault="00D35F28" w:rsidP="004A67A3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5C6CCA18" w14:textId="14E0527E" w:rsidR="00D35F28" w:rsidRPr="004A67A3" w:rsidRDefault="00D35F28" w:rsidP="004A67A3">
      <w:pPr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Mestra em Agriculturas Familiares e Desenvolvimento Sustentável. Museu Paraense Emílio Goeldi. </w:t>
      </w:r>
      <w:r w:rsidRPr="00F03663">
        <w:rPr>
          <w:sz w:val="24"/>
          <w:szCs w:val="24"/>
        </w:rPr>
        <w:t>larissalourenco@museu-goeldi.br</w:t>
      </w:r>
    </w:p>
    <w:p w14:paraId="05649C80" w14:textId="25A80531" w:rsidR="00D35F28" w:rsidRDefault="00D35F28" w:rsidP="004A67A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791B9B">
        <w:rPr>
          <w:sz w:val="24"/>
          <w:szCs w:val="24"/>
          <w:vertAlign w:val="superscript"/>
        </w:rPr>
        <w:t>2</w:t>
      </w:r>
      <w:r w:rsidRPr="00791B9B">
        <w:rPr>
          <w:sz w:val="24"/>
          <w:szCs w:val="24"/>
        </w:rPr>
        <w:t xml:space="preserve">Doutora em Desenvolvimento Sustentável. </w:t>
      </w:r>
      <w:r>
        <w:rPr>
          <w:sz w:val="24"/>
          <w:szCs w:val="24"/>
        </w:rPr>
        <w:t xml:space="preserve">Museu Paraense Emílio Goeldi. </w:t>
      </w:r>
      <w:r w:rsidRPr="00791B9B">
        <w:rPr>
          <w:noProof/>
          <w:sz w:val="24"/>
          <w:szCs w:val="24"/>
        </w:rPr>
        <w:drawing>
          <wp:inline distT="0" distB="0" distL="0" distR="0" wp14:anchorId="7E7C6B1A" wp14:editId="0625C660">
            <wp:extent cx="9525" cy="9525"/>
            <wp:effectExtent l="0" t="0" r="0" b="0"/>
            <wp:docPr id="62483508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D46712">
          <w:rPr>
            <w:rStyle w:val="Hyperlink"/>
            <w:color w:val="000000" w:themeColor="text1"/>
            <w:sz w:val="24"/>
            <w:szCs w:val="24"/>
            <w:u w:val="none"/>
          </w:rPr>
          <w:t>oliveira@museu-goeldi.br</w:t>
        </w:r>
      </w:hyperlink>
    </w:p>
    <w:p w14:paraId="0DD0460C" w14:textId="77777777" w:rsidR="00D35F28" w:rsidRDefault="00D35F28" w:rsidP="004A67A3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9310FC" w14:textId="048F7035" w:rsidR="007830E4" w:rsidRDefault="009C13EE" w:rsidP="004A67A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D8D681F" w14:textId="77777777" w:rsidR="004A67A3" w:rsidRDefault="004A67A3" w:rsidP="004A67A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69F71AB" w14:textId="15368C39" w:rsidR="004A67A3" w:rsidRDefault="00D35F28" w:rsidP="004A67A3">
      <w:pPr>
        <w:shd w:val="clear" w:color="auto" w:fill="FFFFFF"/>
        <w:tabs>
          <w:tab w:val="left" w:pos="0"/>
        </w:tabs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O Estado do Pará vem passando por diversas transformações em sua paisagem, principalmente </w:t>
      </w:r>
      <w:r w:rsidR="00706F34">
        <w:rPr>
          <w:sz w:val="24"/>
          <w:szCs w:val="24"/>
        </w:rPr>
        <w:t xml:space="preserve">no </w:t>
      </w:r>
      <w:r w:rsidR="007B4F63">
        <w:rPr>
          <w:sz w:val="24"/>
          <w:szCs w:val="24"/>
        </w:rPr>
        <w:t xml:space="preserve">cenário </w:t>
      </w:r>
      <w:r>
        <w:rPr>
          <w:sz w:val="24"/>
          <w:szCs w:val="24"/>
        </w:rPr>
        <w:t>agrári</w:t>
      </w:r>
      <w:r w:rsidR="007B4F63">
        <w:rPr>
          <w:sz w:val="24"/>
          <w:szCs w:val="24"/>
        </w:rPr>
        <w:t>o</w:t>
      </w:r>
      <w:r w:rsidR="001D482D">
        <w:rPr>
          <w:sz w:val="24"/>
          <w:szCs w:val="24"/>
        </w:rPr>
        <w:t xml:space="preserve">, sobretudo, </w:t>
      </w:r>
      <w:r>
        <w:rPr>
          <w:sz w:val="24"/>
          <w:szCs w:val="24"/>
        </w:rPr>
        <w:t xml:space="preserve">o avanço de cultivos como soja </w:t>
      </w:r>
      <w:r w:rsidR="00522494">
        <w:rPr>
          <w:sz w:val="24"/>
          <w:szCs w:val="24"/>
        </w:rPr>
        <w:t>(</w:t>
      </w:r>
      <w:r w:rsidR="00522494" w:rsidRPr="00522494">
        <w:rPr>
          <w:i/>
          <w:iCs/>
          <w:sz w:val="24"/>
          <w:szCs w:val="24"/>
        </w:rPr>
        <w:t>Glycine max</w:t>
      </w:r>
      <w:r w:rsidR="00522494" w:rsidRPr="00522494">
        <w:rPr>
          <w:sz w:val="24"/>
          <w:szCs w:val="24"/>
        </w:rPr>
        <w:t xml:space="preserve">) </w:t>
      </w:r>
      <w:r>
        <w:rPr>
          <w:sz w:val="24"/>
          <w:szCs w:val="24"/>
        </w:rPr>
        <w:t>e milho</w:t>
      </w:r>
      <w:r w:rsidR="00522494">
        <w:rPr>
          <w:sz w:val="24"/>
          <w:szCs w:val="24"/>
        </w:rPr>
        <w:t xml:space="preserve"> </w:t>
      </w:r>
      <w:r w:rsidR="00522494" w:rsidRPr="00522494">
        <w:rPr>
          <w:sz w:val="24"/>
          <w:szCs w:val="24"/>
        </w:rPr>
        <w:t>(</w:t>
      </w:r>
      <w:r w:rsidR="00522494" w:rsidRPr="00522494">
        <w:rPr>
          <w:i/>
          <w:iCs/>
          <w:sz w:val="24"/>
          <w:szCs w:val="24"/>
        </w:rPr>
        <w:t>Zea mays</w:t>
      </w:r>
      <w:r w:rsidR="00522494" w:rsidRPr="00522494">
        <w:rPr>
          <w:sz w:val="24"/>
          <w:szCs w:val="24"/>
        </w:rPr>
        <w:t>)</w:t>
      </w:r>
      <w:r>
        <w:rPr>
          <w:sz w:val="24"/>
          <w:szCs w:val="24"/>
        </w:rPr>
        <w:t>, além do monocultivo de espécies florestais, como o dendê</w:t>
      </w:r>
      <w:r w:rsidR="001D482D">
        <w:rPr>
          <w:sz w:val="24"/>
          <w:szCs w:val="24"/>
        </w:rPr>
        <w:t xml:space="preserve"> </w:t>
      </w:r>
      <w:r w:rsidR="001D482D" w:rsidRPr="00270AF8">
        <w:rPr>
          <w:i/>
          <w:iCs/>
          <w:sz w:val="24"/>
          <w:szCs w:val="24"/>
        </w:rPr>
        <w:t>(Elaeis guineensis</w:t>
      </w:r>
      <w:r w:rsidR="001D482D">
        <w:rPr>
          <w:sz w:val="24"/>
          <w:szCs w:val="24"/>
        </w:rPr>
        <w:t>)</w:t>
      </w:r>
      <w:r>
        <w:rPr>
          <w:sz w:val="24"/>
          <w:szCs w:val="24"/>
        </w:rPr>
        <w:t xml:space="preserve">. Neste sentido, analisou-se a conversão de </w:t>
      </w:r>
      <w:r w:rsidR="001D482D">
        <w:rPr>
          <w:sz w:val="24"/>
          <w:szCs w:val="24"/>
        </w:rPr>
        <w:t>t</w:t>
      </w:r>
      <w:r>
        <w:rPr>
          <w:sz w:val="24"/>
          <w:szCs w:val="24"/>
        </w:rPr>
        <w:t xml:space="preserve">erras </w:t>
      </w:r>
      <w:r w:rsidR="003D7503">
        <w:rPr>
          <w:sz w:val="24"/>
          <w:szCs w:val="24"/>
        </w:rPr>
        <w:t xml:space="preserve">para pastagem </w:t>
      </w:r>
      <w:r>
        <w:rPr>
          <w:sz w:val="24"/>
          <w:szCs w:val="24"/>
        </w:rPr>
        <w:t>nos munícipios da Região de Integração do Tocantins</w:t>
      </w:r>
      <w:r w:rsidR="0073306B">
        <w:rPr>
          <w:sz w:val="24"/>
          <w:szCs w:val="24"/>
        </w:rPr>
        <w:t>, região fortemente impactada</w:t>
      </w:r>
      <w:r w:rsidR="007B4F63">
        <w:rPr>
          <w:sz w:val="24"/>
          <w:szCs w:val="24"/>
        </w:rPr>
        <w:t xml:space="preserve"> pelo monocultivo do dendê, </w:t>
      </w:r>
      <w:r w:rsidR="001D482D">
        <w:rPr>
          <w:sz w:val="24"/>
          <w:szCs w:val="24"/>
        </w:rPr>
        <w:t xml:space="preserve">em áreas naturais convertidas em pastagens e em áreas anteriormente ocupadas por pastagens. </w:t>
      </w:r>
      <w:r w:rsidR="005577F3">
        <w:rPr>
          <w:sz w:val="24"/>
          <w:szCs w:val="24"/>
        </w:rPr>
        <w:t xml:space="preserve">O objetivo deste trabalho foi </w:t>
      </w:r>
      <w:r w:rsidR="001D482D">
        <w:rPr>
          <w:sz w:val="24"/>
          <w:szCs w:val="24"/>
        </w:rPr>
        <w:t>identificar</w:t>
      </w:r>
      <w:r w:rsidR="005577F3">
        <w:rPr>
          <w:sz w:val="24"/>
          <w:szCs w:val="24"/>
        </w:rPr>
        <w:t xml:space="preserve"> o aumento</w:t>
      </w:r>
      <w:r w:rsidR="001D482D">
        <w:rPr>
          <w:sz w:val="24"/>
          <w:szCs w:val="24"/>
        </w:rPr>
        <w:t>, em hectares,</w:t>
      </w:r>
      <w:r w:rsidR="005577F3">
        <w:rPr>
          <w:sz w:val="24"/>
          <w:szCs w:val="24"/>
        </w:rPr>
        <w:t xml:space="preserve"> das áreas destinadas </w:t>
      </w:r>
      <w:r w:rsidR="003D7503">
        <w:rPr>
          <w:sz w:val="24"/>
          <w:szCs w:val="24"/>
        </w:rPr>
        <w:t xml:space="preserve">ao pasto </w:t>
      </w:r>
      <w:r w:rsidR="005577F3">
        <w:rPr>
          <w:sz w:val="24"/>
          <w:szCs w:val="24"/>
        </w:rPr>
        <w:t>na região,</w:t>
      </w:r>
      <w:r w:rsidR="00706F34">
        <w:rPr>
          <w:sz w:val="24"/>
          <w:szCs w:val="24"/>
        </w:rPr>
        <w:t xml:space="preserve"> </w:t>
      </w:r>
      <w:r w:rsidR="005577F3">
        <w:rPr>
          <w:sz w:val="24"/>
          <w:szCs w:val="24"/>
        </w:rPr>
        <w:t xml:space="preserve">explorando os anos de 2013 </w:t>
      </w:r>
      <w:r w:rsidR="004A67A3">
        <w:rPr>
          <w:sz w:val="24"/>
          <w:szCs w:val="24"/>
        </w:rPr>
        <w:t>a</w:t>
      </w:r>
      <w:r w:rsidR="005577F3">
        <w:rPr>
          <w:sz w:val="24"/>
          <w:szCs w:val="24"/>
        </w:rPr>
        <w:t xml:space="preserve"> 2023. A metodologia utilizada avaliou </w:t>
      </w:r>
      <w:r w:rsidR="00706F34">
        <w:rPr>
          <w:sz w:val="24"/>
          <w:szCs w:val="24"/>
        </w:rPr>
        <w:t xml:space="preserve">a classe “pastagem” </w:t>
      </w:r>
      <w:r w:rsidR="005577F3">
        <w:rPr>
          <w:sz w:val="24"/>
          <w:szCs w:val="24"/>
        </w:rPr>
        <w:t>disponíve</w:t>
      </w:r>
      <w:r w:rsidR="00706F34">
        <w:rPr>
          <w:sz w:val="24"/>
          <w:szCs w:val="24"/>
        </w:rPr>
        <w:t>l</w:t>
      </w:r>
      <w:r w:rsidR="005577F3">
        <w:rPr>
          <w:sz w:val="24"/>
          <w:szCs w:val="24"/>
        </w:rPr>
        <w:t xml:space="preserve"> na plataforma do MAP Biomas</w:t>
      </w:r>
      <w:r w:rsidR="00706F34">
        <w:rPr>
          <w:sz w:val="24"/>
          <w:szCs w:val="24"/>
        </w:rPr>
        <w:t xml:space="preserve">. </w:t>
      </w:r>
      <w:r w:rsidR="005577F3" w:rsidRPr="003A683A">
        <w:rPr>
          <w:bCs/>
          <w:sz w:val="24"/>
          <w:szCs w:val="24"/>
        </w:rPr>
        <w:t>Os valores</w:t>
      </w:r>
      <w:r w:rsidR="001D482D">
        <w:rPr>
          <w:bCs/>
          <w:sz w:val="24"/>
          <w:szCs w:val="24"/>
        </w:rPr>
        <w:t xml:space="preserve">, em </w:t>
      </w:r>
      <w:proofErr w:type="gramStart"/>
      <w:r w:rsidR="001D482D">
        <w:rPr>
          <w:bCs/>
          <w:sz w:val="24"/>
          <w:szCs w:val="24"/>
        </w:rPr>
        <w:t>ha</w:t>
      </w:r>
      <w:proofErr w:type="gramEnd"/>
      <w:r w:rsidR="001D482D">
        <w:rPr>
          <w:bCs/>
          <w:sz w:val="24"/>
          <w:szCs w:val="24"/>
        </w:rPr>
        <w:t>,</w:t>
      </w:r>
      <w:r w:rsidR="005577F3" w:rsidRPr="003A683A">
        <w:rPr>
          <w:bCs/>
          <w:sz w:val="24"/>
          <w:szCs w:val="24"/>
        </w:rPr>
        <w:t xml:space="preserve"> foram tabelados </w:t>
      </w:r>
      <w:r w:rsidR="005577F3">
        <w:rPr>
          <w:bCs/>
          <w:sz w:val="24"/>
          <w:szCs w:val="24"/>
        </w:rPr>
        <w:t>a</w:t>
      </w:r>
      <w:r w:rsidR="00522494">
        <w:rPr>
          <w:bCs/>
          <w:sz w:val="24"/>
          <w:szCs w:val="24"/>
        </w:rPr>
        <w:t xml:space="preserve"> </w:t>
      </w:r>
      <w:r w:rsidR="005577F3">
        <w:rPr>
          <w:bCs/>
          <w:sz w:val="24"/>
          <w:szCs w:val="24"/>
        </w:rPr>
        <w:t xml:space="preserve">fim de calcular a porcentagem </w:t>
      </w:r>
      <w:r w:rsidR="005577F3" w:rsidRPr="003A683A">
        <w:rPr>
          <w:bCs/>
          <w:sz w:val="24"/>
          <w:szCs w:val="24"/>
        </w:rPr>
        <w:t xml:space="preserve">de perda </w:t>
      </w:r>
      <w:r w:rsidR="001D482D">
        <w:rPr>
          <w:bCs/>
          <w:sz w:val="24"/>
          <w:szCs w:val="24"/>
        </w:rPr>
        <w:t>ou</w:t>
      </w:r>
      <w:r w:rsidR="005577F3" w:rsidRPr="003A683A">
        <w:rPr>
          <w:bCs/>
          <w:sz w:val="24"/>
          <w:szCs w:val="24"/>
        </w:rPr>
        <w:t xml:space="preserve"> ganho</w:t>
      </w:r>
      <w:r w:rsidR="003D7503">
        <w:rPr>
          <w:bCs/>
          <w:sz w:val="24"/>
          <w:szCs w:val="24"/>
        </w:rPr>
        <w:t xml:space="preserve"> dessas áreas</w:t>
      </w:r>
      <w:r w:rsidR="0025144C">
        <w:rPr>
          <w:bCs/>
          <w:sz w:val="24"/>
          <w:szCs w:val="24"/>
        </w:rPr>
        <w:t xml:space="preserve">. </w:t>
      </w:r>
      <w:r w:rsidR="00C35E10">
        <w:rPr>
          <w:bCs/>
          <w:sz w:val="24"/>
          <w:szCs w:val="24"/>
        </w:rPr>
        <w:t>Barcarena foi o</w:t>
      </w:r>
      <w:r w:rsidR="001D482D">
        <w:rPr>
          <w:bCs/>
          <w:sz w:val="24"/>
          <w:szCs w:val="24"/>
        </w:rPr>
        <w:t xml:space="preserve"> munícipio</w:t>
      </w:r>
      <w:r w:rsidR="00C35E10">
        <w:rPr>
          <w:bCs/>
          <w:sz w:val="24"/>
          <w:szCs w:val="24"/>
        </w:rPr>
        <w:t xml:space="preserve"> que teve aumento mais significativo no período analisado</w:t>
      </w:r>
      <w:r w:rsidR="00DC18FF">
        <w:rPr>
          <w:bCs/>
          <w:sz w:val="24"/>
          <w:szCs w:val="24"/>
        </w:rPr>
        <w:t xml:space="preserve"> (52,08%), </w:t>
      </w:r>
      <w:r w:rsidR="001D482D">
        <w:rPr>
          <w:bCs/>
          <w:sz w:val="24"/>
          <w:szCs w:val="24"/>
        </w:rPr>
        <w:t xml:space="preserve">no que diz respeito às áreas destinadas à pastagem, </w:t>
      </w:r>
      <w:r w:rsidR="00DC18FF">
        <w:rPr>
          <w:bCs/>
          <w:sz w:val="24"/>
          <w:szCs w:val="24"/>
        </w:rPr>
        <w:t>seguido de Limoeiro do Ajuru (50,98)</w:t>
      </w:r>
      <w:r w:rsidR="00C35E10">
        <w:rPr>
          <w:bCs/>
          <w:sz w:val="24"/>
          <w:szCs w:val="24"/>
        </w:rPr>
        <w:t xml:space="preserve">. </w:t>
      </w:r>
      <w:r w:rsidR="00DC18FF">
        <w:rPr>
          <w:bCs/>
          <w:sz w:val="24"/>
          <w:szCs w:val="24"/>
        </w:rPr>
        <w:t xml:space="preserve">Esses municípios tiveram </w:t>
      </w:r>
      <w:r w:rsidR="00C35E10">
        <w:rPr>
          <w:bCs/>
          <w:sz w:val="24"/>
          <w:szCs w:val="24"/>
        </w:rPr>
        <w:t>expansão em atividades agrícolas</w:t>
      </w:r>
      <w:r w:rsidR="003D7503">
        <w:rPr>
          <w:bCs/>
          <w:sz w:val="24"/>
          <w:szCs w:val="24"/>
        </w:rPr>
        <w:t xml:space="preserve"> </w:t>
      </w:r>
      <w:r w:rsidR="00C35E10">
        <w:rPr>
          <w:bCs/>
          <w:sz w:val="24"/>
          <w:szCs w:val="24"/>
        </w:rPr>
        <w:t>e</w:t>
      </w:r>
      <w:r w:rsidR="00DC18FF">
        <w:rPr>
          <w:bCs/>
          <w:sz w:val="24"/>
          <w:szCs w:val="24"/>
        </w:rPr>
        <w:t xml:space="preserve"> no caso de Barcarena,</w:t>
      </w:r>
      <w:r w:rsidR="00C35E10">
        <w:rPr>
          <w:bCs/>
          <w:sz w:val="24"/>
          <w:szCs w:val="24"/>
        </w:rPr>
        <w:t xml:space="preserve"> </w:t>
      </w:r>
      <w:r w:rsidR="003D7503">
        <w:rPr>
          <w:bCs/>
          <w:sz w:val="24"/>
          <w:szCs w:val="24"/>
        </w:rPr>
        <w:t xml:space="preserve">houve </w:t>
      </w:r>
      <w:r w:rsidR="00C35E10">
        <w:rPr>
          <w:bCs/>
          <w:sz w:val="24"/>
          <w:szCs w:val="24"/>
        </w:rPr>
        <w:t>investimento em infraestrutura para exportação, como um porto destinado ao escoamento da produção</w:t>
      </w:r>
      <w:r w:rsidR="003D7503">
        <w:rPr>
          <w:bCs/>
          <w:sz w:val="24"/>
          <w:szCs w:val="24"/>
        </w:rPr>
        <w:t>, que pode impactar em aberturas de novas áreas para atividade pecuária</w:t>
      </w:r>
      <w:r w:rsidR="00C35E10">
        <w:rPr>
          <w:bCs/>
          <w:sz w:val="24"/>
          <w:szCs w:val="24"/>
        </w:rPr>
        <w:t xml:space="preserve">. </w:t>
      </w:r>
      <w:r w:rsidR="00DC18FF">
        <w:rPr>
          <w:bCs/>
          <w:sz w:val="24"/>
          <w:szCs w:val="24"/>
        </w:rPr>
        <w:t>Os municípios de Abaetetuba e Igarapé-Miri, também tiveram aumento significativo, com</w:t>
      </w:r>
      <w:r w:rsidR="00522494">
        <w:rPr>
          <w:bCs/>
          <w:sz w:val="24"/>
          <w:szCs w:val="24"/>
        </w:rPr>
        <w:t xml:space="preserve"> crescimento de</w:t>
      </w:r>
      <w:r w:rsidR="00DC18FF">
        <w:rPr>
          <w:bCs/>
          <w:sz w:val="24"/>
          <w:szCs w:val="24"/>
        </w:rPr>
        <w:t xml:space="preserve"> 44,36% e 37,25% respectivamente. </w:t>
      </w:r>
      <w:r w:rsidR="00522494">
        <w:rPr>
          <w:bCs/>
          <w:sz w:val="24"/>
          <w:szCs w:val="24"/>
        </w:rPr>
        <w:t xml:space="preserve">Políticas de incentivo ao crédito rural, </w:t>
      </w:r>
      <w:r w:rsidR="00DC18FF" w:rsidRPr="00DC18FF">
        <w:rPr>
          <w:bCs/>
          <w:sz w:val="24"/>
          <w:szCs w:val="24"/>
        </w:rPr>
        <w:t>pode ter contribuído para esse aumento.</w:t>
      </w:r>
      <w:r w:rsidR="00DC18FF">
        <w:rPr>
          <w:bCs/>
          <w:sz w:val="24"/>
          <w:szCs w:val="24"/>
        </w:rPr>
        <w:t xml:space="preserve"> Já municípios com menor crescimento</w:t>
      </w:r>
      <w:r w:rsidR="00522494">
        <w:rPr>
          <w:bCs/>
          <w:sz w:val="24"/>
          <w:szCs w:val="24"/>
        </w:rPr>
        <w:t xml:space="preserve"> em pastagem</w:t>
      </w:r>
      <w:r w:rsidR="00DC18FF">
        <w:rPr>
          <w:bCs/>
          <w:sz w:val="24"/>
          <w:szCs w:val="24"/>
        </w:rPr>
        <w:t xml:space="preserve">, como Tailândia (4,97%) </w:t>
      </w:r>
      <w:r w:rsidR="00706F34">
        <w:rPr>
          <w:bCs/>
          <w:sz w:val="24"/>
          <w:szCs w:val="24"/>
        </w:rPr>
        <w:t>e Baião (15,75%)</w:t>
      </w:r>
      <w:r w:rsidR="000353DE">
        <w:rPr>
          <w:bCs/>
          <w:sz w:val="24"/>
          <w:szCs w:val="24"/>
        </w:rPr>
        <w:t>,</w:t>
      </w:r>
      <w:r w:rsidR="00706F34">
        <w:rPr>
          <w:bCs/>
          <w:sz w:val="24"/>
          <w:szCs w:val="24"/>
        </w:rPr>
        <w:t xml:space="preserve"> </w:t>
      </w:r>
      <w:r w:rsidR="00706F34" w:rsidRPr="00706F34">
        <w:rPr>
          <w:bCs/>
          <w:sz w:val="24"/>
          <w:szCs w:val="24"/>
        </w:rPr>
        <w:t>apresentaram menores percentuais de crescimento, o que pode refletir uma menor expansão agrícola ou barreiras econômicas e logísticas para o desenvolvimento da infraestrutura. Tailândia, por exemplo, enfrenta desafios relacionados ao desmatamento ilegal e à exploração de madeira, que afetam sua estabilidade econômica e ambiental.</w:t>
      </w:r>
      <w:r w:rsidR="000572D3">
        <w:rPr>
          <w:bCs/>
          <w:sz w:val="24"/>
          <w:szCs w:val="24"/>
        </w:rPr>
        <w:t xml:space="preserve"> O avanço das áreas de pastagem na região </w:t>
      </w:r>
      <w:r w:rsidR="000572D3" w:rsidRPr="000572D3">
        <w:rPr>
          <w:bCs/>
          <w:sz w:val="24"/>
          <w:szCs w:val="24"/>
        </w:rPr>
        <w:t xml:space="preserve">reflete não apenas a intensificação do uso da terra, mas também uma transição nas dinâmicas de uso do solo, </w:t>
      </w:r>
      <w:r w:rsidR="00522494">
        <w:rPr>
          <w:bCs/>
          <w:sz w:val="24"/>
          <w:szCs w:val="24"/>
        </w:rPr>
        <w:t xml:space="preserve">pois as áreas </w:t>
      </w:r>
      <w:r w:rsidR="000572D3" w:rsidRPr="000572D3">
        <w:rPr>
          <w:bCs/>
          <w:sz w:val="24"/>
          <w:szCs w:val="24"/>
        </w:rPr>
        <w:t>naturais vêm sendo convertidas para atender à demanda por pastagens.</w:t>
      </w:r>
      <w:r w:rsidR="000572D3">
        <w:rPr>
          <w:bCs/>
          <w:sz w:val="24"/>
          <w:szCs w:val="24"/>
        </w:rPr>
        <w:t xml:space="preserve"> P</w:t>
      </w:r>
      <w:r w:rsidR="000572D3" w:rsidRPr="000572D3">
        <w:rPr>
          <w:bCs/>
          <w:sz w:val="24"/>
          <w:szCs w:val="24"/>
        </w:rPr>
        <w:t>ara mitigar os impactos dessa transformação, torna-se essencial a implementação de políticas de gestão de uso da terra que promovam práticas agrícolas mais sustentáveis, aliadas ao fortalecimento de regulamentações para o uso racional das áreas de past</w:t>
      </w:r>
      <w:r w:rsidR="000572D3">
        <w:rPr>
          <w:bCs/>
          <w:sz w:val="24"/>
          <w:szCs w:val="24"/>
        </w:rPr>
        <w:t>o.</w:t>
      </w:r>
    </w:p>
    <w:p w14:paraId="121E28F3" w14:textId="7CC96E75" w:rsidR="000572D3" w:rsidRPr="001D482D" w:rsidRDefault="000572D3" w:rsidP="004A67A3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0572D3">
        <w:rPr>
          <w:bCs/>
          <w:sz w:val="24"/>
          <w:szCs w:val="24"/>
        </w:rPr>
        <w:t xml:space="preserve"> </w:t>
      </w:r>
    </w:p>
    <w:p w14:paraId="37CC90E2" w14:textId="77777777" w:rsidR="004A67A3" w:rsidRDefault="009C13EE" w:rsidP="004A67A3">
      <w:pPr>
        <w:shd w:val="clear" w:color="auto" w:fill="FFFFFF"/>
        <w:tabs>
          <w:tab w:val="left" w:pos="2500"/>
        </w:tabs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8A4843" w:rsidRPr="00706F34">
        <w:rPr>
          <w:bCs/>
          <w:sz w:val="24"/>
          <w:szCs w:val="24"/>
        </w:rPr>
        <w:t>Conversão de áreas naturais</w:t>
      </w:r>
      <w:r w:rsidR="008A4843">
        <w:rPr>
          <w:bCs/>
          <w:sz w:val="24"/>
          <w:szCs w:val="24"/>
        </w:rPr>
        <w:t>.</w:t>
      </w:r>
      <w:r w:rsidR="008A4843" w:rsidRPr="00706F34">
        <w:rPr>
          <w:bCs/>
          <w:sz w:val="24"/>
          <w:szCs w:val="24"/>
        </w:rPr>
        <w:t xml:space="preserve"> </w:t>
      </w:r>
      <w:r w:rsidR="00706F34" w:rsidRPr="00706F34">
        <w:rPr>
          <w:bCs/>
          <w:sz w:val="24"/>
          <w:szCs w:val="24"/>
        </w:rPr>
        <w:t>Pecuária. Região de Integração do Tocantins.</w:t>
      </w:r>
    </w:p>
    <w:p w14:paraId="12AEFB45" w14:textId="3DD88E01" w:rsidR="003B2E5B" w:rsidRPr="00706F34" w:rsidRDefault="00706F34" w:rsidP="004A67A3">
      <w:pPr>
        <w:shd w:val="clear" w:color="auto" w:fill="FFFFFF"/>
        <w:tabs>
          <w:tab w:val="left" w:pos="2500"/>
        </w:tabs>
        <w:rPr>
          <w:bCs/>
          <w:sz w:val="24"/>
          <w:szCs w:val="24"/>
        </w:rPr>
      </w:pPr>
      <w:r w:rsidRPr="00706F34">
        <w:rPr>
          <w:bCs/>
          <w:sz w:val="24"/>
          <w:szCs w:val="24"/>
        </w:rPr>
        <w:t xml:space="preserve"> </w:t>
      </w:r>
    </w:p>
    <w:p w14:paraId="44C4213B" w14:textId="3DDF03BF" w:rsidR="000353DE" w:rsidRDefault="009C13EE" w:rsidP="004A67A3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0353DE">
        <w:rPr>
          <w:sz w:val="24"/>
          <w:szCs w:val="24"/>
        </w:rPr>
        <w:t xml:space="preserve"> Desenvolvimento agrícola, </w:t>
      </w:r>
      <w:r w:rsidR="00D46712">
        <w:rPr>
          <w:sz w:val="24"/>
          <w:szCs w:val="24"/>
        </w:rPr>
        <w:t>Economia</w:t>
      </w:r>
      <w:r w:rsidR="000353DE">
        <w:rPr>
          <w:sz w:val="24"/>
          <w:szCs w:val="24"/>
        </w:rPr>
        <w:t xml:space="preserve"> extrativa, política ambiental, produção e manejo florestal</w:t>
      </w:r>
      <w:r w:rsidR="004A67A3">
        <w:rPr>
          <w:sz w:val="24"/>
          <w:szCs w:val="24"/>
        </w:rPr>
        <w:t>.</w:t>
      </w:r>
    </w:p>
    <w:sectPr w:rsidR="000353DE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424A35" w14:textId="77777777" w:rsidR="00C60005" w:rsidRDefault="00C60005">
      <w:r>
        <w:separator/>
      </w:r>
    </w:p>
  </w:endnote>
  <w:endnote w:type="continuationSeparator" w:id="0">
    <w:p w14:paraId="0D6BBA8B" w14:textId="77777777" w:rsidR="00C60005" w:rsidRDefault="00C6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B3322" w14:textId="77777777" w:rsidR="00C60005" w:rsidRDefault="00C60005">
      <w:r>
        <w:separator/>
      </w:r>
    </w:p>
  </w:footnote>
  <w:footnote w:type="continuationSeparator" w:id="0">
    <w:p w14:paraId="59B59617" w14:textId="77777777" w:rsidR="00C60005" w:rsidRDefault="00C60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353DE"/>
    <w:rsid w:val="000572D3"/>
    <w:rsid w:val="000B3EE9"/>
    <w:rsid w:val="000C1307"/>
    <w:rsid w:val="00132385"/>
    <w:rsid w:val="00152E07"/>
    <w:rsid w:val="001D482D"/>
    <w:rsid w:val="00245445"/>
    <w:rsid w:val="0025144C"/>
    <w:rsid w:val="00261086"/>
    <w:rsid w:val="00305E36"/>
    <w:rsid w:val="00362A1E"/>
    <w:rsid w:val="00393D03"/>
    <w:rsid w:val="003A6125"/>
    <w:rsid w:val="003B2E5B"/>
    <w:rsid w:val="003D7503"/>
    <w:rsid w:val="00427462"/>
    <w:rsid w:val="0048607D"/>
    <w:rsid w:val="004A67A3"/>
    <w:rsid w:val="004D0A20"/>
    <w:rsid w:val="00522494"/>
    <w:rsid w:val="005577F3"/>
    <w:rsid w:val="005B1E24"/>
    <w:rsid w:val="00626BB8"/>
    <w:rsid w:val="0063747F"/>
    <w:rsid w:val="00703A34"/>
    <w:rsid w:val="00706F34"/>
    <w:rsid w:val="0073306B"/>
    <w:rsid w:val="00741696"/>
    <w:rsid w:val="00775D86"/>
    <w:rsid w:val="007830E4"/>
    <w:rsid w:val="007B4F63"/>
    <w:rsid w:val="00803D17"/>
    <w:rsid w:val="008A4843"/>
    <w:rsid w:val="008C5EE0"/>
    <w:rsid w:val="00922504"/>
    <w:rsid w:val="009423CF"/>
    <w:rsid w:val="00957BE7"/>
    <w:rsid w:val="009C13EE"/>
    <w:rsid w:val="00A820AB"/>
    <w:rsid w:val="00A86693"/>
    <w:rsid w:val="00AE0D17"/>
    <w:rsid w:val="00B26E21"/>
    <w:rsid w:val="00B826D9"/>
    <w:rsid w:val="00BE24FE"/>
    <w:rsid w:val="00C011CF"/>
    <w:rsid w:val="00C35E10"/>
    <w:rsid w:val="00C60005"/>
    <w:rsid w:val="00C64DF0"/>
    <w:rsid w:val="00C822CA"/>
    <w:rsid w:val="00D028D7"/>
    <w:rsid w:val="00D35F28"/>
    <w:rsid w:val="00D46712"/>
    <w:rsid w:val="00DC18FF"/>
    <w:rsid w:val="00E161EB"/>
    <w:rsid w:val="00E16A8E"/>
    <w:rsid w:val="00E904F0"/>
    <w:rsid w:val="00EA154B"/>
    <w:rsid w:val="00EB4111"/>
    <w:rsid w:val="00ED2EA7"/>
    <w:rsid w:val="00EE0138"/>
    <w:rsid w:val="00EF168F"/>
    <w:rsid w:val="00FD46AA"/>
    <w:rsid w:val="00FD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eira@museu-goeldi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484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10</cp:revision>
  <dcterms:created xsi:type="dcterms:W3CDTF">2024-11-07T15:39:00Z</dcterms:created>
  <dcterms:modified xsi:type="dcterms:W3CDTF">2024-11-08T18:59:00Z</dcterms:modified>
</cp:coreProperties>
</file>