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820BF" w14:textId="77777777" w:rsidR="003F6036" w:rsidRPr="00514FA4" w:rsidRDefault="003F6036" w:rsidP="003F6036">
      <w:pPr>
        <w:spacing w:line="259" w:lineRule="auto"/>
        <w:jc w:val="center"/>
        <w:rPr>
          <w:b/>
          <w:sz w:val="28"/>
          <w:szCs w:val="23"/>
        </w:rPr>
      </w:pPr>
      <w:r w:rsidRPr="00ED5C8C">
        <w:rPr>
          <w:b/>
          <w:sz w:val="28"/>
          <w:szCs w:val="23"/>
        </w:rPr>
        <w:t xml:space="preserve">SÍNTESE DE BIODIESEL METÍLICO VIA ESTERIFICAÇÃO UTILIZANDO NANOPARTÍCULAS MAGNÉTICAS DE FERRITAS DE COBALTO </w:t>
      </w:r>
      <w:r>
        <w:rPr>
          <w:b/>
          <w:sz w:val="28"/>
          <w:szCs w:val="23"/>
        </w:rPr>
        <w:t>REVESTIDAS</w:t>
      </w:r>
      <w:r w:rsidRPr="00ED5C8C">
        <w:rPr>
          <w:b/>
          <w:sz w:val="28"/>
          <w:szCs w:val="23"/>
        </w:rPr>
        <w:t xml:space="preserve"> COM LIGNINA SULFONADA COMO CATALISADORES HETEROGÊNEOS</w:t>
      </w:r>
    </w:p>
    <w:p w14:paraId="52967EE0" w14:textId="77777777" w:rsidR="00F33759" w:rsidRDefault="00F33759">
      <w:pPr>
        <w:jc w:val="center"/>
        <w:rPr>
          <w:sz w:val="24"/>
          <w:szCs w:val="24"/>
        </w:rPr>
      </w:pPr>
    </w:p>
    <w:p w14:paraId="728E363B" w14:textId="6D0584D8" w:rsidR="00F33759" w:rsidRDefault="003F6036" w:rsidP="003F6036">
      <w:pPr>
        <w:spacing w:line="259" w:lineRule="auto"/>
        <w:jc w:val="center"/>
        <w:rPr>
          <w:color w:val="FF0000"/>
          <w:sz w:val="24"/>
          <w:szCs w:val="24"/>
        </w:rPr>
      </w:pPr>
      <w:r w:rsidRPr="006449B3">
        <w:rPr>
          <w:b/>
          <w:sz w:val="24"/>
          <w:u w:val="single"/>
        </w:rPr>
        <w:t xml:space="preserve">Leandro Henrique Ribeiro </w:t>
      </w:r>
      <w:proofErr w:type="gramStart"/>
      <w:r w:rsidRPr="006449B3">
        <w:rPr>
          <w:b/>
          <w:sz w:val="24"/>
          <w:u w:val="single"/>
        </w:rPr>
        <w:t>Varão</w:t>
      </w:r>
      <w:r w:rsidRPr="006449B3">
        <w:rPr>
          <w:sz w:val="24"/>
        </w:rPr>
        <w:t xml:space="preserve"> </w:t>
      </w:r>
      <w:r w:rsidRPr="006449B3">
        <w:rPr>
          <w:rStyle w:val="Refdenotaderodap"/>
          <w:rFonts w:eastAsiaTheme="minorEastAsia"/>
          <w:b/>
          <w:sz w:val="24"/>
          <w:u w:val="single"/>
        </w:rPr>
        <w:footnoteReference w:id="1"/>
      </w:r>
      <w:r w:rsidRPr="006449B3">
        <w:rPr>
          <w:b/>
          <w:sz w:val="24"/>
        </w:rPr>
        <w:t>;</w:t>
      </w:r>
      <w:proofErr w:type="gramEnd"/>
      <w:r w:rsidRPr="006449B3">
        <w:rPr>
          <w:b/>
          <w:sz w:val="24"/>
        </w:rPr>
        <w:t xml:space="preserve"> Thiago Alves Lopes Silva</w:t>
      </w:r>
      <w:r>
        <w:rPr>
          <w:b/>
          <w:sz w:val="24"/>
        </w:rPr>
        <w:t xml:space="preserve"> </w:t>
      </w:r>
      <w:r w:rsidRPr="006449B3">
        <w:rPr>
          <w:b/>
          <w:sz w:val="24"/>
          <w:vertAlign w:val="superscript"/>
        </w:rPr>
        <w:t>2</w:t>
      </w:r>
      <w:r>
        <w:rPr>
          <w:b/>
          <w:sz w:val="24"/>
        </w:rPr>
        <w:t>;</w:t>
      </w:r>
      <w:r w:rsidRPr="006449B3">
        <w:rPr>
          <w:b/>
          <w:sz w:val="24"/>
        </w:rPr>
        <w:t xml:space="preserve"> </w:t>
      </w:r>
      <w:proofErr w:type="spellStart"/>
      <w:r w:rsidRPr="006449B3">
        <w:rPr>
          <w:b/>
          <w:sz w:val="24"/>
        </w:rPr>
        <w:t>Hernán</w:t>
      </w:r>
      <w:proofErr w:type="spellEnd"/>
      <w:r w:rsidRPr="006449B3">
        <w:rPr>
          <w:b/>
          <w:sz w:val="24"/>
        </w:rPr>
        <w:t xml:space="preserve"> </w:t>
      </w:r>
      <w:proofErr w:type="spellStart"/>
      <w:r w:rsidRPr="006449B3">
        <w:rPr>
          <w:b/>
          <w:sz w:val="24"/>
        </w:rPr>
        <w:t>Darío</w:t>
      </w:r>
      <w:proofErr w:type="spellEnd"/>
      <w:r w:rsidRPr="006449B3">
        <w:rPr>
          <w:b/>
          <w:sz w:val="24"/>
        </w:rPr>
        <w:t xml:space="preserve"> </w:t>
      </w:r>
      <w:proofErr w:type="spellStart"/>
      <w:r w:rsidRPr="006449B3">
        <w:rPr>
          <w:b/>
          <w:sz w:val="24"/>
        </w:rPr>
        <w:t>Zamora</w:t>
      </w:r>
      <w:proofErr w:type="spellEnd"/>
      <w:r w:rsidRPr="006449B3">
        <w:rPr>
          <w:b/>
          <w:sz w:val="24"/>
        </w:rPr>
        <w:t xml:space="preserve"> </w:t>
      </w:r>
      <w:proofErr w:type="spellStart"/>
      <w:r w:rsidRPr="006449B3">
        <w:rPr>
          <w:b/>
          <w:sz w:val="24"/>
        </w:rPr>
        <w:t>Zamora</w:t>
      </w:r>
      <w:proofErr w:type="spellEnd"/>
      <w:r>
        <w:rPr>
          <w:b/>
          <w:sz w:val="24"/>
        </w:rPr>
        <w:t xml:space="preserve"> </w:t>
      </w:r>
      <w:r w:rsidRPr="006449B3">
        <w:rPr>
          <w:b/>
          <w:sz w:val="24"/>
          <w:vertAlign w:val="superscript"/>
        </w:rPr>
        <w:t>3</w:t>
      </w:r>
      <w:r>
        <w:rPr>
          <w:b/>
          <w:sz w:val="24"/>
          <w:vertAlign w:val="subscript"/>
        </w:rPr>
        <w:t>;</w:t>
      </w:r>
      <w:r w:rsidRPr="006449B3">
        <w:rPr>
          <w:b/>
          <w:sz w:val="24"/>
          <w:vertAlign w:val="subscript"/>
        </w:rPr>
        <w:t xml:space="preserve"> </w:t>
      </w:r>
      <w:r w:rsidRPr="006449B3">
        <w:rPr>
          <w:b/>
          <w:sz w:val="24"/>
        </w:rPr>
        <w:t>Daniel</w:t>
      </w:r>
      <w:r w:rsidRPr="006449B3">
        <w:rPr>
          <w:b/>
          <w:sz w:val="24"/>
          <w:vertAlign w:val="subscript"/>
        </w:rPr>
        <w:t xml:space="preserve"> </w:t>
      </w:r>
      <w:proofErr w:type="spellStart"/>
      <w:r w:rsidRPr="006449B3">
        <w:rPr>
          <w:b/>
          <w:sz w:val="24"/>
        </w:rPr>
        <w:t>Pasquini</w:t>
      </w:r>
      <w:proofErr w:type="spellEnd"/>
      <w:r>
        <w:rPr>
          <w:b/>
          <w:sz w:val="24"/>
        </w:rPr>
        <w:t xml:space="preserve"> </w:t>
      </w:r>
      <w:r w:rsidRPr="006449B3">
        <w:rPr>
          <w:b/>
          <w:sz w:val="24"/>
          <w:vertAlign w:val="superscript"/>
        </w:rPr>
        <w:t>4</w:t>
      </w:r>
      <w:r>
        <w:rPr>
          <w:b/>
          <w:sz w:val="24"/>
        </w:rPr>
        <w:t xml:space="preserve"> ;</w:t>
      </w:r>
      <w:r w:rsidRPr="006449B3">
        <w:rPr>
          <w:b/>
          <w:sz w:val="24"/>
        </w:rPr>
        <w:t xml:space="preserve"> Luís Carlos de Morais</w:t>
      </w:r>
      <w:r>
        <w:rPr>
          <w:b/>
          <w:sz w:val="24"/>
        </w:rPr>
        <w:t xml:space="preserve"> </w:t>
      </w:r>
      <w:r w:rsidRPr="006449B3">
        <w:rPr>
          <w:b/>
          <w:sz w:val="24"/>
          <w:vertAlign w:val="superscript"/>
        </w:rPr>
        <w:t>5</w:t>
      </w:r>
      <w:r w:rsidRPr="006449B3">
        <w:rPr>
          <w:b/>
          <w:sz w:val="24"/>
        </w:rPr>
        <w:t xml:space="preserve"> </w:t>
      </w:r>
    </w:p>
    <w:p w14:paraId="54C373FD" w14:textId="77777777" w:rsidR="00F33759" w:rsidRDefault="00F33759">
      <w:pPr>
        <w:jc w:val="center"/>
        <w:rPr>
          <w:vertAlign w:val="superscript"/>
        </w:rPr>
      </w:pPr>
    </w:p>
    <w:p w14:paraId="694582CE" w14:textId="77777777" w:rsidR="00F33759" w:rsidRDefault="001D6ACC">
      <w:pPr>
        <w:keepNext/>
        <w:pBdr>
          <w:top w:val="nil"/>
          <w:left w:val="nil"/>
          <w:bottom w:val="nil"/>
          <w:right w:val="nil"/>
          <w:between w:val="nil"/>
        </w:pBdr>
        <w:spacing w:after="80"/>
        <w:jc w:val="center"/>
        <w:rPr>
          <w:color w:val="000000"/>
          <w:sz w:val="24"/>
          <w:szCs w:val="24"/>
        </w:rPr>
      </w:pPr>
      <w:r>
        <w:rPr>
          <w:b/>
          <w:color w:val="000000"/>
          <w:sz w:val="24"/>
          <w:szCs w:val="24"/>
        </w:rPr>
        <w:t>Resumo</w:t>
      </w:r>
    </w:p>
    <w:p w14:paraId="2AB80722" w14:textId="2795B3F3" w:rsidR="00F33759" w:rsidRDefault="003F6036">
      <w:pPr>
        <w:jc w:val="both"/>
        <w:rPr>
          <w:sz w:val="24"/>
          <w:szCs w:val="24"/>
        </w:rPr>
      </w:pPr>
      <w:r w:rsidRPr="000E5A0D">
        <w:rPr>
          <w:sz w:val="24"/>
        </w:rPr>
        <w:t xml:space="preserve">Obteve-se biodiesel metílico via esterificação utilizando </w:t>
      </w:r>
      <w:proofErr w:type="spellStart"/>
      <w:r w:rsidRPr="000E5A0D">
        <w:rPr>
          <w:sz w:val="24"/>
        </w:rPr>
        <w:t>nanopartículas</w:t>
      </w:r>
      <w:proofErr w:type="spellEnd"/>
      <w:r w:rsidRPr="000E5A0D">
        <w:rPr>
          <w:sz w:val="24"/>
        </w:rPr>
        <w:t xml:space="preserve"> magnéticas (</w:t>
      </w:r>
      <w:proofErr w:type="spellStart"/>
      <w:r w:rsidRPr="000E5A0D">
        <w:rPr>
          <w:sz w:val="24"/>
        </w:rPr>
        <w:t>NPMs</w:t>
      </w:r>
      <w:proofErr w:type="spellEnd"/>
      <w:r w:rsidRPr="000E5A0D">
        <w:rPr>
          <w:sz w:val="24"/>
        </w:rPr>
        <w:t xml:space="preserve">) de </w:t>
      </w:r>
      <w:proofErr w:type="spellStart"/>
      <w:r w:rsidRPr="000E5A0D">
        <w:rPr>
          <w:sz w:val="24"/>
        </w:rPr>
        <w:t>ferritas</w:t>
      </w:r>
      <w:proofErr w:type="spellEnd"/>
      <w:r w:rsidRPr="000E5A0D">
        <w:rPr>
          <w:sz w:val="24"/>
        </w:rPr>
        <w:t xml:space="preserve"> de cobalto (CoFe</w:t>
      </w:r>
      <w:r w:rsidRPr="000E5A0D">
        <w:rPr>
          <w:sz w:val="24"/>
          <w:vertAlign w:val="subscript"/>
        </w:rPr>
        <w:t>2</w:t>
      </w:r>
      <w:r w:rsidRPr="000E5A0D">
        <w:rPr>
          <w:sz w:val="24"/>
        </w:rPr>
        <w:t>O</w:t>
      </w:r>
      <w:r w:rsidRPr="000E5A0D">
        <w:rPr>
          <w:sz w:val="24"/>
          <w:vertAlign w:val="subscript"/>
        </w:rPr>
        <w:t>4</w:t>
      </w:r>
      <w:r w:rsidRPr="000E5A0D">
        <w:rPr>
          <w:sz w:val="24"/>
        </w:rPr>
        <w:t xml:space="preserve">) revestidas com lignina sulfonada (LS) como catalisadores heterogêneos. Sintetizou-se as </w:t>
      </w:r>
      <w:proofErr w:type="spellStart"/>
      <w:r w:rsidRPr="000E5A0D">
        <w:rPr>
          <w:sz w:val="24"/>
        </w:rPr>
        <w:t>NPMs</w:t>
      </w:r>
      <w:proofErr w:type="spellEnd"/>
      <w:r w:rsidRPr="000E5A0D">
        <w:rPr>
          <w:sz w:val="24"/>
        </w:rPr>
        <w:t xml:space="preserve"> por </w:t>
      </w:r>
      <w:proofErr w:type="spellStart"/>
      <w:r w:rsidRPr="000E5A0D">
        <w:rPr>
          <w:sz w:val="24"/>
        </w:rPr>
        <w:t>coprecipitação</w:t>
      </w:r>
      <w:proofErr w:type="spellEnd"/>
      <w:r w:rsidRPr="000E5A0D">
        <w:rPr>
          <w:sz w:val="24"/>
        </w:rPr>
        <w:t xml:space="preserve"> química e obteve-se LS de lignina de bagaço de cana-de-açúcar empregando a espécie reativa </w:t>
      </w:r>
      <w:proofErr w:type="spellStart"/>
      <w:r w:rsidRPr="000E5A0D">
        <w:rPr>
          <w:sz w:val="24"/>
        </w:rPr>
        <w:t>acetilsulfato</w:t>
      </w:r>
      <w:proofErr w:type="spellEnd"/>
      <w:r w:rsidRPr="000E5A0D">
        <w:rPr>
          <w:sz w:val="24"/>
        </w:rPr>
        <w:t xml:space="preserve">. Adotou-se duas proporções de reagentes, obtendo LS5 e LS7,5 – posteriormente incorporados às </w:t>
      </w:r>
      <w:proofErr w:type="spellStart"/>
      <w:r w:rsidRPr="000E5A0D">
        <w:rPr>
          <w:sz w:val="24"/>
        </w:rPr>
        <w:t>NPMs</w:t>
      </w:r>
      <w:proofErr w:type="spellEnd"/>
      <w:r w:rsidRPr="000E5A0D">
        <w:rPr>
          <w:sz w:val="24"/>
        </w:rPr>
        <w:t xml:space="preserve">. Caracterizou-se os catalisadores por Análise Elementar (CHNS) (AE), </w:t>
      </w:r>
      <w:r w:rsidRPr="000E5A0D">
        <w:rPr>
          <w:rFonts w:eastAsia="TimesNewRoman"/>
          <w:sz w:val="24"/>
        </w:rPr>
        <w:t>titulação ácido-base,</w:t>
      </w:r>
      <w:r w:rsidRPr="000E5A0D">
        <w:rPr>
          <w:sz w:val="24"/>
        </w:rPr>
        <w:t xml:space="preserve"> MEV, adsorção física de nitrogênio, </w:t>
      </w:r>
      <w:r w:rsidRPr="000E5A0D">
        <w:rPr>
          <w:bCs/>
          <w:sz w:val="24"/>
        </w:rPr>
        <w:t>DRX</w:t>
      </w:r>
      <w:r w:rsidRPr="000E5A0D">
        <w:rPr>
          <w:sz w:val="24"/>
        </w:rPr>
        <w:t xml:space="preserve"> e TGA. Na esterificação avaliou-se </w:t>
      </w:r>
      <w:r w:rsidRPr="000E5A0D">
        <w:rPr>
          <w:bCs/>
          <w:sz w:val="24"/>
        </w:rPr>
        <w:t>CoFe</w:t>
      </w:r>
      <w:r w:rsidRPr="000E5A0D">
        <w:rPr>
          <w:bCs/>
          <w:sz w:val="24"/>
          <w:vertAlign w:val="subscript"/>
        </w:rPr>
        <w:t>2</w:t>
      </w:r>
      <w:r w:rsidRPr="000E5A0D">
        <w:rPr>
          <w:bCs/>
          <w:sz w:val="24"/>
        </w:rPr>
        <w:t>O</w:t>
      </w:r>
      <w:r w:rsidRPr="000E5A0D">
        <w:rPr>
          <w:bCs/>
          <w:sz w:val="24"/>
          <w:vertAlign w:val="subscript"/>
        </w:rPr>
        <w:t>4</w:t>
      </w:r>
      <w:r w:rsidRPr="000E5A0D">
        <w:rPr>
          <w:bCs/>
          <w:sz w:val="24"/>
        </w:rPr>
        <w:t>-LS5 e CoFe</w:t>
      </w:r>
      <w:r w:rsidRPr="000E5A0D">
        <w:rPr>
          <w:bCs/>
          <w:sz w:val="24"/>
          <w:vertAlign w:val="subscript"/>
        </w:rPr>
        <w:t>2</w:t>
      </w:r>
      <w:r w:rsidRPr="000E5A0D">
        <w:rPr>
          <w:bCs/>
          <w:sz w:val="24"/>
        </w:rPr>
        <w:t>O</w:t>
      </w:r>
      <w:r w:rsidRPr="000E5A0D">
        <w:rPr>
          <w:bCs/>
          <w:sz w:val="24"/>
          <w:vertAlign w:val="subscript"/>
        </w:rPr>
        <w:t>4</w:t>
      </w:r>
      <w:r w:rsidRPr="000E5A0D">
        <w:rPr>
          <w:bCs/>
          <w:sz w:val="24"/>
        </w:rPr>
        <w:t>-LS7,5 com as outras variáveis fixas. Determinou-se a</w:t>
      </w:r>
      <w:r w:rsidRPr="000E5A0D">
        <w:rPr>
          <w:sz w:val="24"/>
        </w:rPr>
        <w:t xml:space="preserve"> conversão do ácido oleico em ésteres por FTIR e GC-MS. AE revelou teor de enxofre em massa de 2,68% para LS5 e LS7,5. </w:t>
      </w:r>
      <w:r w:rsidRPr="000E5A0D">
        <w:rPr>
          <w:noProof/>
          <w:sz w:val="24"/>
        </w:rPr>
        <w:t xml:space="preserve">As LS apresentaram </w:t>
      </w:r>
      <w:r w:rsidRPr="000E5A0D">
        <w:rPr>
          <w:sz w:val="24"/>
        </w:rPr>
        <w:t>teores de –</w:t>
      </w:r>
      <w:r w:rsidRPr="000E5A0D">
        <w:rPr>
          <w:rFonts w:eastAsia="TimesNewRoman"/>
          <w:sz w:val="24"/>
        </w:rPr>
        <w:t>SO</w:t>
      </w:r>
      <w:r w:rsidRPr="000E5A0D">
        <w:rPr>
          <w:rFonts w:eastAsia="TimesNewRoman"/>
          <w:sz w:val="24"/>
          <w:vertAlign w:val="subscript"/>
        </w:rPr>
        <w:t>3</w:t>
      </w:r>
      <w:r w:rsidRPr="000E5A0D">
        <w:rPr>
          <w:rFonts w:eastAsia="TimesNewRoman"/>
          <w:sz w:val="24"/>
        </w:rPr>
        <w:t xml:space="preserve">H </w:t>
      </w:r>
      <w:r w:rsidRPr="000E5A0D">
        <w:rPr>
          <w:noProof/>
          <w:sz w:val="24"/>
        </w:rPr>
        <w:t>de 1,8 mol g</w:t>
      </w:r>
      <w:r w:rsidRPr="000E5A0D">
        <w:rPr>
          <w:rFonts w:eastAsia="TimesNewRoman"/>
          <w:sz w:val="24"/>
          <w:vertAlign w:val="superscript"/>
        </w:rPr>
        <w:t>–</w:t>
      </w:r>
      <w:r w:rsidRPr="000E5A0D">
        <w:rPr>
          <w:noProof/>
          <w:sz w:val="24"/>
          <w:vertAlign w:val="superscript"/>
        </w:rPr>
        <w:t xml:space="preserve">1 </w:t>
      </w:r>
      <w:r w:rsidRPr="000E5A0D">
        <w:rPr>
          <w:noProof/>
          <w:sz w:val="24"/>
        </w:rPr>
        <w:t>e as NPMs revestidas de 0,4 mol g</w:t>
      </w:r>
      <w:r w:rsidRPr="000E5A0D">
        <w:rPr>
          <w:rFonts w:eastAsia="TimesNewRoman"/>
          <w:sz w:val="24"/>
          <w:vertAlign w:val="superscript"/>
        </w:rPr>
        <w:t>–</w:t>
      </w:r>
      <w:r w:rsidRPr="000E5A0D">
        <w:rPr>
          <w:noProof/>
          <w:sz w:val="24"/>
          <w:vertAlign w:val="superscript"/>
        </w:rPr>
        <w:t>1</w:t>
      </w:r>
      <w:r w:rsidRPr="000E5A0D">
        <w:rPr>
          <w:rFonts w:eastAsia="TimesNewRoman"/>
          <w:sz w:val="24"/>
        </w:rPr>
        <w:t xml:space="preserve">; logo, o volume maior de </w:t>
      </w:r>
      <w:r w:rsidRPr="000E5A0D">
        <w:rPr>
          <w:sz w:val="24"/>
        </w:rPr>
        <w:t>H</w:t>
      </w:r>
      <w:r w:rsidRPr="000E5A0D">
        <w:rPr>
          <w:sz w:val="24"/>
          <w:vertAlign w:val="subscript"/>
        </w:rPr>
        <w:t>2</w:t>
      </w:r>
      <w:r w:rsidRPr="000E5A0D">
        <w:rPr>
          <w:sz w:val="24"/>
        </w:rPr>
        <w:t>SO</w:t>
      </w:r>
      <w:r w:rsidRPr="000E5A0D">
        <w:rPr>
          <w:sz w:val="24"/>
          <w:vertAlign w:val="subscript"/>
        </w:rPr>
        <w:t xml:space="preserve">4 </w:t>
      </w:r>
      <w:r w:rsidRPr="000E5A0D">
        <w:rPr>
          <w:sz w:val="24"/>
        </w:rPr>
        <w:t>(98%)</w:t>
      </w:r>
      <w:r w:rsidRPr="000E5A0D">
        <w:rPr>
          <w:sz w:val="24"/>
          <w:vertAlign w:val="subscript"/>
        </w:rPr>
        <w:t xml:space="preserve"> </w:t>
      </w:r>
      <w:r w:rsidRPr="000E5A0D">
        <w:rPr>
          <w:sz w:val="24"/>
        </w:rPr>
        <w:t xml:space="preserve">empregado </w:t>
      </w:r>
      <w:r w:rsidRPr="000E5A0D">
        <w:rPr>
          <w:rFonts w:eastAsia="TimesNewRoman"/>
          <w:sz w:val="24"/>
        </w:rPr>
        <w:t xml:space="preserve">na preparação de LS7,5 não </w:t>
      </w:r>
      <w:r w:rsidRPr="000E5A0D">
        <w:rPr>
          <w:noProof/>
          <w:sz w:val="24"/>
        </w:rPr>
        <w:t xml:space="preserve">elevou o teor de </w:t>
      </w:r>
      <w:r w:rsidRPr="000E5A0D">
        <w:rPr>
          <w:sz w:val="24"/>
        </w:rPr>
        <w:t>–</w:t>
      </w:r>
      <w:r w:rsidRPr="000E5A0D">
        <w:rPr>
          <w:rFonts w:eastAsia="TimesNewRoman"/>
          <w:sz w:val="24"/>
        </w:rPr>
        <w:t>SO</w:t>
      </w:r>
      <w:r w:rsidRPr="000E5A0D">
        <w:rPr>
          <w:rFonts w:eastAsia="TimesNewRoman"/>
          <w:sz w:val="24"/>
          <w:vertAlign w:val="subscript"/>
        </w:rPr>
        <w:t>3</w:t>
      </w:r>
      <w:r w:rsidRPr="000E5A0D">
        <w:rPr>
          <w:rFonts w:eastAsia="TimesNewRoman"/>
          <w:sz w:val="24"/>
        </w:rPr>
        <w:t xml:space="preserve">H. </w:t>
      </w:r>
      <w:r w:rsidRPr="000E5A0D">
        <w:rPr>
          <w:sz w:val="24"/>
        </w:rPr>
        <w:t xml:space="preserve">MEV mostrou que o revestimento das </w:t>
      </w:r>
      <w:proofErr w:type="spellStart"/>
      <w:r w:rsidRPr="000E5A0D">
        <w:rPr>
          <w:sz w:val="24"/>
        </w:rPr>
        <w:t>NPMs</w:t>
      </w:r>
      <w:proofErr w:type="spellEnd"/>
      <w:r w:rsidRPr="000E5A0D">
        <w:rPr>
          <w:sz w:val="24"/>
        </w:rPr>
        <w:t xml:space="preserve"> acarretou mudança morfológica e os aglomerados assumiram tamanhos maiores, exibindo morfologia mais homogênea e formato esférico mais bem definido. A incorporação de LS resultou em diminuição da área superficial das </w:t>
      </w:r>
      <w:proofErr w:type="spellStart"/>
      <w:r w:rsidRPr="000E5A0D">
        <w:rPr>
          <w:sz w:val="24"/>
        </w:rPr>
        <w:t>NPMs</w:t>
      </w:r>
      <w:proofErr w:type="spellEnd"/>
      <w:r w:rsidRPr="000E5A0D">
        <w:rPr>
          <w:sz w:val="24"/>
        </w:rPr>
        <w:t xml:space="preserve">: </w:t>
      </w:r>
      <w:r w:rsidRPr="000E5A0D">
        <w:rPr>
          <w:rFonts w:eastAsia="TimesNewRoman"/>
          <w:sz w:val="24"/>
        </w:rPr>
        <w:t xml:space="preserve">70,97 </w:t>
      </w:r>
      <w:r w:rsidRPr="000E5A0D">
        <w:rPr>
          <w:sz w:val="24"/>
        </w:rPr>
        <w:t>m</w:t>
      </w:r>
      <w:r w:rsidRPr="000E5A0D">
        <w:rPr>
          <w:sz w:val="24"/>
          <w:vertAlign w:val="superscript"/>
        </w:rPr>
        <w:t>2</w:t>
      </w:r>
      <w:r w:rsidRPr="000E5A0D">
        <w:rPr>
          <w:sz w:val="24"/>
        </w:rPr>
        <w:t>g</w:t>
      </w:r>
      <w:r w:rsidRPr="000E5A0D">
        <w:rPr>
          <w:sz w:val="24"/>
          <w:vertAlign w:val="superscript"/>
        </w:rPr>
        <w:t>-1</w:t>
      </w:r>
      <w:r w:rsidRPr="000E5A0D">
        <w:rPr>
          <w:sz w:val="24"/>
        </w:rPr>
        <w:t xml:space="preserve"> (CoFe</w:t>
      </w:r>
      <w:r w:rsidRPr="000E5A0D">
        <w:rPr>
          <w:sz w:val="24"/>
          <w:vertAlign w:val="subscript"/>
        </w:rPr>
        <w:t>2</w:t>
      </w:r>
      <w:r w:rsidRPr="000E5A0D">
        <w:rPr>
          <w:sz w:val="24"/>
        </w:rPr>
        <w:t>O</w:t>
      </w:r>
      <w:r w:rsidRPr="000E5A0D">
        <w:rPr>
          <w:sz w:val="24"/>
          <w:vertAlign w:val="subscript"/>
        </w:rPr>
        <w:t>4</w:t>
      </w:r>
      <w:r w:rsidRPr="000E5A0D">
        <w:rPr>
          <w:sz w:val="24"/>
        </w:rPr>
        <w:t xml:space="preserve">); </w:t>
      </w:r>
      <w:r w:rsidRPr="000E5A0D">
        <w:rPr>
          <w:rFonts w:eastAsia="TimesNewRoman"/>
          <w:sz w:val="24"/>
        </w:rPr>
        <w:t xml:space="preserve">41,47 </w:t>
      </w:r>
      <w:r w:rsidRPr="000E5A0D">
        <w:rPr>
          <w:sz w:val="24"/>
        </w:rPr>
        <w:t>(CoFe</w:t>
      </w:r>
      <w:r w:rsidRPr="000E5A0D">
        <w:rPr>
          <w:sz w:val="24"/>
          <w:vertAlign w:val="subscript"/>
        </w:rPr>
        <w:t>2</w:t>
      </w:r>
      <w:r w:rsidRPr="000E5A0D">
        <w:rPr>
          <w:sz w:val="24"/>
        </w:rPr>
        <w:t>O</w:t>
      </w:r>
      <w:r w:rsidRPr="000E5A0D">
        <w:rPr>
          <w:sz w:val="24"/>
          <w:vertAlign w:val="subscript"/>
        </w:rPr>
        <w:t>4</w:t>
      </w:r>
      <w:r w:rsidRPr="000E5A0D">
        <w:rPr>
          <w:sz w:val="24"/>
        </w:rPr>
        <w:t xml:space="preserve">-LS5); </w:t>
      </w:r>
      <w:r w:rsidRPr="000E5A0D">
        <w:rPr>
          <w:rFonts w:eastAsia="TimesNewRoman"/>
          <w:sz w:val="24"/>
        </w:rPr>
        <w:t xml:space="preserve">e 34,41 </w:t>
      </w:r>
      <w:r w:rsidRPr="000E5A0D">
        <w:rPr>
          <w:sz w:val="24"/>
        </w:rPr>
        <w:t>m</w:t>
      </w:r>
      <w:r w:rsidRPr="000E5A0D">
        <w:rPr>
          <w:sz w:val="24"/>
          <w:vertAlign w:val="superscript"/>
        </w:rPr>
        <w:t>2</w:t>
      </w:r>
      <w:r w:rsidRPr="000E5A0D">
        <w:rPr>
          <w:sz w:val="24"/>
        </w:rPr>
        <w:t>g</w:t>
      </w:r>
      <w:r w:rsidRPr="000E5A0D">
        <w:rPr>
          <w:sz w:val="24"/>
          <w:vertAlign w:val="superscript"/>
        </w:rPr>
        <w:t xml:space="preserve">-1 </w:t>
      </w:r>
      <w:r w:rsidRPr="000E5A0D">
        <w:rPr>
          <w:sz w:val="24"/>
        </w:rPr>
        <w:t>(CoFe</w:t>
      </w:r>
      <w:r w:rsidRPr="000E5A0D">
        <w:rPr>
          <w:sz w:val="24"/>
          <w:vertAlign w:val="subscript"/>
        </w:rPr>
        <w:t>2</w:t>
      </w:r>
      <w:r w:rsidRPr="000E5A0D">
        <w:rPr>
          <w:sz w:val="24"/>
        </w:rPr>
        <w:t>O</w:t>
      </w:r>
      <w:r w:rsidRPr="000E5A0D">
        <w:rPr>
          <w:sz w:val="24"/>
          <w:vertAlign w:val="subscript"/>
        </w:rPr>
        <w:t>4</w:t>
      </w:r>
      <w:r w:rsidRPr="000E5A0D">
        <w:rPr>
          <w:sz w:val="24"/>
        </w:rPr>
        <w:t xml:space="preserve">-LS7,5), corroborando o MEV. Conforme os </w:t>
      </w:r>
      <w:proofErr w:type="spellStart"/>
      <w:r w:rsidRPr="000E5A0D">
        <w:rPr>
          <w:sz w:val="24"/>
        </w:rPr>
        <w:t>difratogramas</w:t>
      </w:r>
      <w:proofErr w:type="spellEnd"/>
      <w:r w:rsidRPr="000E5A0D">
        <w:rPr>
          <w:sz w:val="24"/>
        </w:rPr>
        <w:t xml:space="preserve">, o revestimento das </w:t>
      </w:r>
      <w:proofErr w:type="spellStart"/>
      <w:r w:rsidRPr="000E5A0D">
        <w:rPr>
          <w:sz w:val="24"/>
        </w:rPr>
        <w:t>NPMs</w:t>
      </w:r>
      <w:proofErr w:type="spellEnd"/>
      <w:r w:rsidRPr="000E5A0D">
        <w:rPr>
          <w:sz w:val="24"/>
        </w:rPr>
        <w:t xml:space="preserve"> foi bem sucedido, exibindo a presença do amplo halo amorfo típico da lignina em 2θ (</w:t>
      </w:r>
      <w:r w:rsidRPr="000E5A0D">
        <w:rPr>
          <w:rFonts w:eastAsia="AdvGulliv-R"/>
          <w:sz w:val="24"/>
        </w:rPr>
        <w:t>10-30</w:t>
      </w:r>
      <w:r w:rsidRPr="000E5A0D">
        <w:rPr>
          <w:sz w:val="24"/>
        </w:rPr>
        <w:t xml:space="preserve">°). </w:t>
      </w:r>
      <w:r w:rsidRPr="000E5A0D">
        <w:rPr>
          <w:rStyle w:val="normaltextrun"/>
          <w:sz w:val="24"/>
          <w:bdr w:val="none" w:sz="0" w:space="0" w:color="auto" w:frame="1"/>
        </w:rPr>
        <w:t>Os</w:t>
      </w:r>
      <w:r w:rsidRPr="000E5A0D">
        <w:rPr>
          <w:sz w:val="24"/>
        </w:rPr>
        <w:t xml:space="preserve"> termogramas revelaram elevação da estabilidade térmica da lignina após a </w:t>
      </w:r>
      <w:proofErr w:type="spellStart"/>
      <w:r w:rsidRPr="000E5A0D">
        <w:rPr>
          <w:sz w:val="24"/>
        </w:rPr>
        <w:t>sulfonação</w:t>
      </w:r>
      <w:proofErr w:type="spellEnd"/>
      <w:r w:rsidRPr="000E5A0D">
        <w:rPr>
          <w:sz w:val="24"/>
        </w:rPr>
        <w:t>: LS5 (130-280°C); LS7,5 (120-280°C); CoFe</w:t>
      </w:r>
      <w:r w:rsidRPr="000E5A0D">
        <w:rPr>
          <w:sz w:val="24"/>
          <w:vertAlign w:val="subscript"/>
        </w:rPr>
        <w:t>2</w:t>
      </w:r>
      <w:r w:rsidRPr="000E5A0D">
        <w:rPr>
          <w:sz w:val="24"/>
        </w:rPr>
        <w:t>O</w:t>
      </w:r>
      <w:r w:rsidRPr="000E5A0D">
        <w:rPr>
          <w:sz w:val="24"/>
          <w:vertAlign w:val="subscript"/>
        </w:rPr>
        <w:t>4</w:t>
      </w:r>
      <w:r w:rsidRPr="000E5A0D">
        <w:rPr>
          <w:sz w:val="24"/>
        </w:rPr>
        <w:t>-LS5 (130-570°C); CoFe</w:t>
      </w:r>
      <w:r w:rsidRPr="000E5A0D">
        <w:rPr>
          <w:sz w:val="24"/>
          <w:vertAlign w:val="subscript"/>
        </w:rPr>
        <w:t>2</w:t>
      </w:r>
      <w:r w:rsidRPr="000E5A0D">
        <w:rPr>
          <w:sz w:val="24"/>
        </w:rPr>
        <w:t>O</w:t>
      </w:r>
      <w:r w:rsidRPr="000E5A0D">
        <w:rPr>
          <w:sz w:val="24"/>
          <w:vertAlign w:val="subscript"/>
        </w:rPr>
        <w:t>4</w:t>
      </w:r>
      <w:r w:rsidRPr="000E5A0D">
        <w:rPr>
          <w:sz w:val="24"/>
        </w:rPr>
        <w:t xml:space="preserve">-LS7,5 (130-960°C). Calculou-se os seguintes percentuais de LS incorporada às </w:t>
      </w:r>
      <w:proofErr w:type="spellStart"/>
      <w:r w:rsidRPr="000E5A0D">
        <w:rPr>
          <w:sz w:val="24"/>
        </w:rPr>
        <w:t>NPMs</w:t>
      </w:r>
      <w:proofErr w:type="spellEnd"/>
      <w:r w:rsidRPr="000E5A0D">
        <w:rPr>
          <w:sz w:val="24"/>
        </w:rPr>
        <w:t>: CoFe</w:t>
      </w:r>
      <w:r w:rsidRPr="000E5A0D">
        <w:rPr>
          <w:sz w:val="24"/>
          <w:vertAlign w:val="subscript"/>
        </w:rPr>
        <w:t>2</w:t>
      </w:r>
      <w:r w:rsidRPr="000E5A0D">
        <w:rPr>
          <w:sz w:val="24"/>
        </w:rPr>
        <w:t>O</w:t>
      </w:r>
      <w:r w:rsidRPr="000E5A0D">
        <w:rPr>
          <w:sz w:val="24"/>
          <w:vertAlign w:val="subscript"/>
        </w:rPr>
        <w:t>4</w:t>
      </w:r>
      <w:r w:rsidRPr="000E5A0D">
        <w:rPr>
          <w:sz w:val="24"/>
        </w:rPr>
        <w:t>-LS5 (79,5%) e CoFe</w:t>
      </w:r>
      <w:r w:rsidRPr="000E5A0D">
        <w:rPr>
          <w:sz w:val="24"/>
          <w:vertAlign w:val="subscript"/>
        </w:rPr>
        <w:t>2</w:t>
      </w:r>
      <w:r w:rsidRPr="000E5A0D">
        <w:rPr>
          <w:sz w:val="24"/>
        </w:rPr>
        <w:t>O</w:t>
      </w:r>
      <w:r w:rsidRPr="000E5A0D">
        <w:rPr>
          <w:sz w:val="24"/>
          <w:vertAlign w:val="subscript"/>
        </w:rPr>
        <w:t>4</w:t>
      </w:r>
      <w:r w:rsidRPr="000E5A0D">
        <w:rPr>
          <w:sz w:val="24"/>
        </w:rPr>
        <w:t>-LS7,5 (78,5%). Os dados GC-MS e FTIR revelaram maiores conversões a temperaturas e tempos mais altos. Destacando-se, CoFe</w:t>
      </w:r>
      <w:r w:rsidRPr="000E5A0D">
        <w:rPr>
          <w:sz w:val="24"/>
          <w:vertAlign w:val="subscript"/>
        </w:rPr>
        <w:t>2</w:t>
      </w:r>
      <w:r w:rsidRPr="000E5A0D">
        <w:rPr>
          <w:sz w:val="24"/>
        </w:rPr>
        <w:t>O</w:t>
      </w:r>
      <w:r w:rsidRPr="000E5A0D">
        <w:rPr>
          <w:sz w:val="24"/>
          <w:vertAlign w:val="subscript"/>
        </w:rPr>
        <w:t>4</w:t>
      </w:r>
      <w:r w:rsidRPr="000E5A0D">
        <w:rPr>
          <w:sz w:val="24"/>
        </w:rPr>
        <w:t>-LS5: 75,60% (100°C/4h) e 79,20% (100°C/6h); e CoFe</w:t>
      </w:r>
      <w:r w:rsidRPr="000E5A0D">
        <w:rPr>
          <w:sz w:val="24"/>
          <w:vertAlign w:val="subscript"/>
        </w:rPr>
        <w:t>2</w:t>
      </w:r>
      <w:r w:rsidRPr="000E5A0D">
        <w:rPr>
          <w:sz w:val="24"/>
        </w:rPr>
        <w:t>O</w:t>
      </w:r>
      <w:r w:rsidRPr="000E5A0D">
        <w:rPr>
          <w:sz w:val="24"/>
          <w:vertAlign w:val="subscript"/>
        </w:rPr>
        <w:t>4</w:t>
      </w:r>
      <w:r w:rsidRPr="000E5A0D">
        <w:rPr>
          <w:sz w:val="24"/>
        </w:rPr>
        <w:t>-LS7,5: 80,90% (80°C/6h). Tais resultados evidenciam o potencial dos catalisadores sintetizados para obter-se biodiesel via esterificação, especialmente empregando matérias-primas com altos teores de AGL</w:t>
      </w:r>
      <w:r w:rsidR="001D6ACC">
        <w:rPr>
          <w:sz w:val="24"/>
          <w:szCs w:val="24"/>
        </w:rPr>
        <w:t>.</w:t>
      </w:r>
    </w:p>
    <w:p w14:paraId="70F66536" w14:textId="77777777" w:rsidR="00F33759" w:rsidRDefault="001D6ACC">
      <w:pPr>
        <w:jc w:val="both"/>
        <w:rPr>
          <w:sz w:val="24"/>
          <w:szCs w:val="24"/>
        </w:rPr>
      </w:pPr>
      <w:r>
        <w:rPr>
          <w:sz w:val="24"/>
          <w:szCs w:val="24"/>
        </w:rPr>
        <w:t xml:space="preserve"> </w:t>
      </w:r>
    </w:p>
    <w:p w14:paraId="3795BBDC" w14:textId="2D4A201E" w:rsidR="00F33759" w:rsidRPr="003F6036" w:rsidRDefault="001D6ACC">
      <w:pPr>
        <w:jc w:val="both"/>
        <w:rPr>
          <w:sz w:val="24"/>
          <w:szCs w:val="24"/>
        </w:rPr>
      </w:pPr>
      <w:r>
        <w:rPr>
          <w:sz w:val="24"/>
          <w:szCs w:val="24"/>
        </w:rPr>
        <w:t xml:space="preserve">PALAVRAS-CHAVE: </w:t>
      </w:r>
      <w:r w:rsidR="003F6036" w:rsidRPr="000E5A0D">
        <w:rPr>
          <w:bCs/>
          <w:sz w:val="24"/>
        </w:rPr>
        <w:t xml:space="preserve">Lignina. </w:t>
      </w:r>
      <w:proofErr w:type="spellStart"/>
      <w:r w:rsidR="003F6036" w:rsidRPr="000E5A0D">
        <w:rPr>
          <w:bCs/>
          <w:sz w:val="24"/>
        </w:rPr>
        <w:t>Sulfonação</w:t>
      </w:r>
      <w:proofErr w:type="spellEnd"/>
      <w:r w:rsidR="003F6036" w:rsidRPr="000E5A0D">
        <w:rPr>
          <w:bCs/>
          <w:sz w:val="24"/>
        </w:rPr>
        <w:t xml:space="preserve">. </w:t>
      </w:r>
      <w:proofErr w:type="spellStart"/>
      <w:r w:rsidR="003F6036" w:rsidRPr="000E5A0D">
        <w:rPr>
          <w:bCs/>
          <w:sz w:val="24"/>
        </w:rPr>
        <w:t>Nanopartículas</w:t>
      </w:r>
      <w:proofErr w:type="spellEnd"/>
      <w:r w:rsidR="003F6036" w:rsidRPr="000E5A0D">
        <w:rPr>
          <w:bCs/>
          <w:sz w:val="24"/>
        </w:rPr>
        <w:t xml:space="preserve"> Magnéticas. Esterificação. Biodiesel.</w:t>
      </w:r>
      <w:r w:rsidR="003F6036" w:rsidRPr="00B4471E">
        <w:rPr>
          <w:b/>
          <w:bCs/>
          <w:i/>
          <w:sz w:val="24"/>
        </w:rPr>
        <w:t xml:space="preserve">  </w:t>
      </w:r>
    </w:p>
    <w:p w14:paraId="0654A87D" w14:textId="77777777" w:rsidR="00F33759" w:rsidRDefault="001D6ACC">
      <w:pPr>
        <w:jc w:val="both"/>
      </w:pPr>
      <w:r>
        <w:rPr>
          <w:vertAlign w:val="superscript"/>
        </w:rPr>
        <w:footnoteReference w:id="2"/>
      </w:r>
      <w:r>
        <w:t xml:space="preserve"> </w:t>
      </w:r>
    </w:p>
    <w:p w14:paraId="78D07469" w14:textId="77777777" w:rsidR="00F33759" w:rsidRDefault="00F33759">
      <w:pPr>
        <w:keepNext/>
        <w:pBdr>
          <w:top w:val="nil"/>
          <w:left w:val="nil"/>
          <w:bottom w:val="nil"/>
          <w:right w:val="nil"/>
          <w:between w:val="nil"/>
        </w:pBdr>
        <w:spacing w:after="80"/>
        <w:jc w:val="both"/>
        <w:rPr>
          <w:color w:val="000000"/>
          <w:sz w:val="22"/>
          <w:szCs w:val="22"/>
        </w:rPr>
        <w:sectPr w:rsidR="00F33759">
          <w:headerReference w:type="default" r:id="rId7"/>
          <w:footerReference w:type="default" r:id="rId8"/>
          <w:headerReference w:type="first" r:id="rId9"/>
          <w:pgSz w:w="11907" w:h="16840"/>
          <w:pgMar w:top="408" w:right="1134" w:bottom="1418" w:left="1134" w:header="0" w:footer="181" w:gutter="0"/>
          <w:pgNumType w:start="1"/>
          <w:cols w:space="720"/>
        </w:sectPr>
      </w:pPr>
    </w:p>
    <w:p w14:paraId="700ED867" w14:textId="77777777" w:rsidR="00F33759" w:rsidRDefault="001D6ACC">
      <w:pPr>
        <w:keepNext/>
        <w:pBdr>
          <w:top w:val="nil"/>
          <w:left w:val="nil"/>
          <w:bottom w:val="nil"/>
          <w:right w:val="nil"/>
          <w:between w:val="nil"/>
        </w:pBdr>
        <w:spacing w:after="80"/>
        <w:rPr>
          <w:color w:val="000000"/>
          <w:sz w:val="24"/>
          <w:szCs w:val="24"/>
        </w:rPr>
      </w:pPr>
      <w:r>
        <w:rPr>
          <w:b/>
          <w:color w:val="000000"/>
          <w:sz w:val="24"/>
          <w:szCs w:val="24"/>
        </w:rPr>
        <w:lastRenderedPageBreak/>
        <w:t>Introdução</w:t>
      </w:r>
    </w:p>
    <w:p w14:paraId="77C5673F" w14:textId="1B4886A0" w:rsidR="003F6036" w:rsidRPr="000E5A0D" w:rsidRDefault="003F6036" w:rsidP="003F6036">
      <w:pPr>
        <w:autoSpaceDE w:val="0"/>
        <w:autoSpaceDN w:val="0"/>
        <w:adjustRightInd w:val="0"/>
        <w:ind w:firstLine="425"/>
        <w:jc w:val="both"/>
        <w:rPr>
          <w:sz w:val="24"/>
          <w:szCs w:val="24"/>
        </w:rPr>
      </w:pPr>
      <w:r w:rsidRPr="00820339">
        <w:rPr>
          <w:sz w:val="24"/>
          <w:szCs w:val="24"/>
        </w:rPr>
        <w:t>O biodiesel</w:t>
      </w:r>
      <w:r>
        <w:rPr>
          <w:sz w:val="24"/>
          <w:szCs w:val="24"/>
        </w:rPr>
        <w:t xml:space="preserve"> </w:t>
      </w:r>
      <w:r w:rsidRPr="00820339">
        <w:rPr>
          <w:sz w:val="24"/>
          <w:szCs w:val="24"/>
        </w:rPr>
        <w:t>tem recebido grande atenção como um sucedâneo promissor ao óleo diesel em decorrência de suas propriedades físico-</w:t>
      </w:r>
      <w:r w:rsidRPr="00820339">
        <w:rPr>
          <w:sz w:val="24"/>
          <w:szCs w:val="24"/>
        </w:rPr>
        <w:lastRenderedPageBreak/>
        <w:t xml:space="preserve">químicas similares; matéria-prima abundante; baixa toxicidade; fácil biodegradabilidade; bem como a possibilidade de ser usado puro ou misturado ao </w:t>
      </w:r>
      <w:r w:rsidRPr="000E5A0D">
        <w:rPr>
          <w:sz w:val="24"/>
          <w:szCs w:val="24"/>
        </w:rPr>
        <w:t>diesel.</w:t>
      </w:r>
      <w:r w:rsidR="00C56669">
        <w:rPr>
          <w:sz w:val="24"/>
          <w:szCs w:val="24"/>
          <w:vertAlign w:val="superscript"/>
        </w:rPr>
        <w:t>1</w:t>
      </w:r>
      <w:r w:rsidRPr="000E5A0D">
        <w:rPr>
          <w:sz w:val="24"/>
          <w:szCs w:val="24"/>
          <w:vertAlign w:val="superscript"/>
        </w:rPr>
        <w:t xml:space="preserve"> </w:t>
      </w:r>
      <w:r w:rsidRPr="000E5A0D">
        <w:rPr>
          <w:sz w:val="24"/>
          <w:szCs w:val="24"/>
        </w:rPr>
        <w:t xml:space="preserve">Atualmente, a </w:t>
      </w:r>
      <w:r w:rsidRPr="000E5A0D">
        <w:rPr>
          <w:sz w:val="24"/>
          <w:szCs w:val="24"/>
        </w:rPr>
        <w:lastRenderedPageBreak/>
        <w:t>transesterificação é a via mais utilizada industrialmente para a produção deste biocombustível, desenvolvida utilizando catálise homogênea alcalina.</w:t>
      </w:r>
      <w:r w:rsidRPr="000E5A0D">
        <w:rPr>
          <w:bCs/>
          <w:sz w:val="24"/>
          <w:szCs w:val="24"/>
        </w:rPr>
        <w:t xml:space="preserve"> </w:t>
      </w:r>
      <w:r w:rsidRPr="000E5A0D">
        <w:rPr>
          <w:sz w:val="24"/>
          <w:szCs w:val="24"/>
        </w:rPr>
        <w:t>No entanto, esta rota é muito influenciada pelas características do óleo ou gordura empregada como matéria-prima, a qual deve ser de alta qualidade (baixo teor de ácidos graxos livres (AGL) &lt;1,0% e umidade &lt;0,5%). Pois, elevados níveis para esses parâmetros são prejudiciais ao processo de produção e a viabilidade técnica dos ésteres resultantes.</w:t>
      </w:r>
      <w:r w:rsidR="00C56669">
        <w:rPr>
          <w:sz w:val="24"/>
          <w:szCs w:val="24"/>
          <w:vertAlign w:val="superscript"/>
        </w:rPr>
        <w:t>2</w:t>
      </w:r>
      <w:r w:rsidRPr="000E5A0D">
        <w:rPr>
          <w:sz w:val="24"/>
          <w:szCs w:val="24"/>
          <w:vertAlign w:val="superscript"/>
        </w:rPr>
        <w:t>,</w:t>
      </w:r>
      <w:r w:rsidR="00C56669">
        <w:rPr>
          <w:sz w:val="24"/>
          <w:szCs w:val="24"/>
          <w:vertAlign w:val="superscript"/>
        </w:rPr>
        <w:t>3</w:t>
      </w:r>
    </w:p>
    <w:p w14:paraId="6B16C861" w14:textId="7AAADB60" w:rsidR="003F6036" w:rsidRPr="000E5A0D" w:rsidRDefault="003F6036" w:rsidP="003F6036">
      <w:pPr>
        <w:autoSpaceDE w:val="0"/>
        <w:autoSpaceDN w:val="0"/>
        <w:adjustRightInd w:val="0"/>
        <w:ind w:firstLine="425"/>
        <w:jc w:val="both"/>
        <w:rPr>
          <w:sz w:val="24"/>
          <w:szCs w:val="24"/>
        </w:rPr>
      </w:pPr>
      <w:r w:rsidRPr="000E5A0D">
        <w:rPr>
          <w:sz w:val="24"/>
          <w:szCs w:val="24"/>
        </w:rPr>
        <w:t>Assim, a esterificação assume grande importância, por possibilitar o aproveitamento de matérias-primas com alta concentração de AGL, as quais podem ser de baixo custo e de baixa qualidade, apresentando menor custo agregado em relação aos insumos empregados no processo de transesterificação.</w:t>
      </w:r>
      <w:r w:rsidRPr="000E5A0D">
        <w:rPr>
          <w:sz w:val="24"/>
          <w:szCs w:val="24"/>
          <w:vertAlign w:val="superscript"/>
        </w:rPr>
        <w:t xml:space="preserve"> </w:t>
      </w:r>
      <w:r w:rsidRPr="000E5A0D">
        <w:rPr>
          <w:sz w:val="24"/>
          <w:szCs w:val="24"/>
        </w:rPr>
        <w:t>Esta tecnologia é tipicamente desenvolvida na presença de catalisadores ácidos homogêneos, como o ácido sulfúrico (H</w:t>
      </w:r>
      <w:r w:rsidRPr="000E5A0D">
        <w:rPr>
          <w:sz w:val="24"/>
          <w:szCs w:val="24"/>
          <w:vertAlign w:val="subscript"/>
        </w:rPr>
        <w:t>2</w:t>
      </w:r>
      <w:r w:rsidRPr="000E5A0D">
        <w:rPr>
          <w:sz w:val="24"/>
          <w:szCs w:val="24"/>
        </w:rPr>
        <w:t>SO</w:t>
      </w:r>
      <w:r w:rsidRPr="000E5A0D">
        <w:rPr>
          <w:sz w:val="24"/>
          <w:szCs w:val="24"/>
          <w:vertAlign w:val="subscript"/>
        </w:rPr>
        <w:t>4</w:t>
      </w:r>
      <w:r w:rsidRPr="000E5A0D">
        <w:rPr>
          <w:sz w:val="24"/>
          <w:szCs w:val="24"/>
        </w:rPr>
        <w:t>), os quais exibem bom desempenho e são rentáveis para a produção de biodiesel. Contudo, o uso de espécies catalíticas dessa natureza sofre com muitas questões difíceis de serem resolvidas, dentre as quais, corrosão, poluição, etapa de neutralização complexa, etapa de separação cara e impossibilidade de reuso do catalisador.</w:t>
      </w:r>
      <w:r w:rsidR="00C56669">
        <w:rPr>
          <w:sz w:val="24"/>
          <w:szCs w:val="24"/>
          <w:vertAlign w:val="superscript"/>
        </w:rPr>
        <w:t>1</w:t>
      </w:r>
      <w:r w:rsidRPr="000E5A0D">
        <w:rPr>
          <w:sz w:val="24"/>
          <w:szCs w:val="24"/>
          <w:vertAlign w:val="superscript"/>
        </w:rPr>
        <w:t>,</w:t>
      </w:r>
      <w:r w:rsidR="00C56669">
        <w:rPr>
          <w:sz w:val="24"/>
          <w:szCs w:val="24"/>
          <w:vertAlign w:val="superscript"/>
        </w:rPr>
        <w:t>4</w:t>
      </w:r>
    </w:p>
    <w:p w14:paraId="6412320A" w14:textId="2FA4C54B" w:rsidR="003F6036" w:rsidRDefault="003F6036" w:rsidP="003F6036">
      <w:pPr>
        <w:autoSpaceDE w:val="0"/>
        <w:autoSpaceDN w:val="0"/>
        <w:adjustRightInd w:val="0"/>
        <w:ind w:firstLine="425"/>
        <w:jc w:val="both"/>
        <w:rPr>
          <w:sz w:val="24"/>
          <w:szCs w:val="24"/>
        </w:rPr>
      </w:pPr>
      <w:r w:rsidRPr="000E5A0D">
        <w:rPr>
          <w:sz w:val="24"/>
          <w:szCs w:val="24"/>
        </w:rPr>
        <w:t xml:space="preserve">Recentemente, muita atenção tem sido dada ao uso de catalisadores sólidos. </w:t>
      </w:r>
      <w:r w:rsidRPr="000E5A0D">
        <w:rPr>
          <w:rFonts w:eastAsia="AdvGulliv-R"/>
          <w:sz w:val="24"/>
          <w:szCs w:val="24"/>
        </w:rPr>
        <w:t xml:space="preserve">Sistemas catalíticos heterogêneos </w:t>
      </w:r>
      <w:r w:rsidRPr="000E5A0D">
        <w:rPr>
          <w:sz w:val="24"/>
          <w:szCs w:val="24"/>
        </w:rPr>
        <w:t xml:space="preserve">oferecem vantagens técnicas, econômicas e ambientais, </w:t>
      </w:r>
      <w:r w:rsidRPr="000E5A0D">
        <w:rPr>
          <w:rFonts w:eastAsia="AdvGulliv-R"/>
          <w:sz w:val="24"/>
          <w:szCs w:val="24"/>
        </w:rPr>
        <w:t>podendo facilitar a separação do biodiesel da mistura reacional junto com a possibilidade de recuperação do catalisador para reuso, potencialmente levando a menores custos de produção.</w:t>
      </w:r>
      <w:r w:rsidRPr="000E5A0D">
        <w:rPr>
          <w:bCs/>
          <w:sz w:val="24"/>
          <w:szCs w:val="24"/>
        </w:rPr>
        <w:t xml:space="preserve"> D</w:t>
      </w:r>
      <w:r w:rsidRPr="000E5A0D">
        <w:rPr>
          <w:sz w:val="24"/>
          <w:szCs w:val="24"/>
        </w:rPr>
        <w:t>iversos catalisadores desta natureza têm sido desenvolvidos para uso em reações de esterificação de ácidos graxos em substituição aos catalisadores tradicionais.</w:t>
      </w:r>
      <w:r w:rsidR="00C56669" w:rsidRPr="00C56669">
        <w:rPr>
          <w:sz w:val="24"/>
          <w:szCs w:val="24"/>
          <w:vertAlign w:val="superscript"/>
        </w:rPr>
        <w:t>5,6</w:t>
      </w:r>
    </w:p>
    <w:p w14:paraId="29168CC4" w14:textId="77777777" w:rsidR="003F6036" w:rsidRDefault="003F6036" w:rsidP="003F6036">
      <w:pPr>
        <w:autoSpaceDE w:val="0"/>
        <w:autoSpaceDN w:val="0"/>
        <w:adjustRightInd w:val="0"/>
        <w:ind w:firstLine="425"/>
        <w:jc w:val="both"/>
        <w:rPr>
          <w:sz w:val="24"/>
          <w:szCs w:val="24"/>
        </w:rPr>
      </w:pPr>
      <w:r w:rsidRPr="00CE6F36">
        <w:rPr>
          <w:sz w:val="24"/>
          <w:szCs w:val="24"/>
        </w:rPr>
        <w:t xml:space="preserve">Neste trabalho, biodiesel metílico foi sintetizado via esterificação do ácido oleico utilizando </w:t>
      </w:r>
      <w:proofErr w:type="spellStart"/>
      <w:r w:rsidRPr="00CE6F36">
        <w:rPr>
          <w:sz w:val="24"/>
          <w:szCs w:val="24"/>
        </w:rPr>
        <w:t>nanopartículas</w:t>
      </w:r>
      <w:proofErr w:type="spellEnd"/>
      <w:r w:rsidRPr="00CE6F36">
        <w:rPr>
          <w:sz w:val="24"/>
          <w:szCs w:val="24"/>
        </w:rPr>
        <w:t xml:space="preserve"> magnéticas (</w:t>
      </w:r>
      <w:proofErr w:type="spellStart"/>
      <w:r w:rsidRPr="00CE6F36">
        <w:rPr>
          <w:sz w:val="24"/>
          <w:szCs w:val="24"/>
        </w:rPr>
        <w:t>NPMs</w:t>
      </w:r>
      <w:proofErr w:type="spellEnd"/>
      <w:r w:rsidRPr="00CE6F36">
        <w:rPr>
          <w:sz w:val="24"/>
          <w:szCs w:val="24"/>
        </w:rPr>
        <w:t xml:space="preserve">) de </w:t>
      </w:r>
      <w:proofErr w:type="spellStart"/>
      <w:r w:rsidRPr="00CE6F36">
        <w:rPr>
          <w:sz w:val="24"/>
          <w:szCs w:val="24"/>
        </w:rPr>
        <w:t>ferritas</w:t>
      </w:r>
      <w:proofErr w:type="spellEnd"/>
      <w:r w:rsidRPr="00CE6F36">
        <w:rPr>
          <w:sz w:val="24"/>
          <w:szCs w:val="24"/>
        </w:rPr>
        <w:t xml:space="preserve"> de cobalto (CoFe</w:t>
      </w:r>
      <w:r w:rsidRPr="00CE6F36">
        <w:rPr>
          <w:sz w:val="24"/>
          <w:szCs w:val="24"/>
          <w:vertAlign w:val="subscript"/>
        </w:rPr>
        <w:t>2</w:t>
      </w:r>
      <w:r w:rsidRPr="00CE6F36">
        <w:rPr>
          <w:sz w:val="24"/>
          <w:szCs w:val="24"/>
        </w:rPr>
        <w:t>O</w:t>
      </w:r>
      <w:r w:rsidRPr="00CE6F36">
        <w:rPr>
          <w:sz w:val="24"/>
          <w:szCs w:val="24"/>
          <w:vertAlign w:val="subscript"/>
        </w:rPr>
        <w:t>4</w:t>
      </w:r>
      <w:r w:rsidRPr="00CE6F36">
        <w:rPr>
          <w:sz w:val="24"/>
          <w:szCs w:val="24"/>
        </w:rPr>
        <w:t xml:space="preserve">) revestidas com lignina sulfonada (LS) como catalisadores heterogêneos. </w:t>
      </w:r>
    </w:p>
    <w:p w14:paraId="38024C21" w14:textId="77777777" w:rsidR="003F6036" w:rsidRDefault="003F6036">
      <w:pPr>
        <w:widowControl w:val="0"/>
        <w:pBdr>
          <w:top w:val="nil"/>
          <w:left w:val="nil"/>
          <w:bottom w:val="nil"/>
          <w:right w:val="nil"/>
          <w:between w:val="nil"/>
        </w:pBdr>
        <w:spacing w:after="80"/>
        <w:jc w:val="both"/>
        <w:rPr>
          <w:b/>
          <w:color w:val="000000"/>
          <w:sz w:val="24"/>
          <w:szCs w:val="24"/>
        </w:rPr>
      </w:pPr>
    </w:p>
    <w:p w14:paraId="2CF676E4" w14:textId="77777777" w:rsidR="00F33759" w:rsidRDefault="001D6ACC">
      <w:pPr>
        <w:widowControl w:val="0"/>
        <w:pBdr>
          <w:top w:val="nil"/>
          <w:left w:val="nil"/>
          <w:bottom w:val="nil"/>
          <w:right w:val="nil"/>
          <w:between w:val="nil"/>
        </w:pBdr>
        <w:spacing w:after="80"/>
        <w:jc w:val="both"/>
        <w:rPr>
          <w:color w:val="000000"/>
          <w:sz w:val="24"/>
          <w:szCs w:val="24"/>
        </w:rPr>
      </w:pPr>
      <w:r>
        <w:rPr>
          <w:b/>
          <w:color w:val="000000"/>
          <w:sz w:val="24"/>
          <w:szCs w:val="24"/>
        </w:rPr>
        <w:t>Metodologia</w:t>
      </w:r>
    </w:p>
    <w:p w14:paraId="6A9694B0" w14:textId="7D94492B" w:rsidR="003F6036" w:rsidRDefault="003F6036" w:rsidP="003F6036">
      <w:pPr>
        <w:ind w:firstLine="340"/>
        <w:jc w:val="both"/>
        <w:rPr>
          <w:sz w:val="24"/>
          <w:szCs w:val="24"/>
        </w:rPr>
      </w:pPr>
      <w:r>
        <w:rPr>
          <w:sz w:val="24"/>
          <w:szCs w:val="24"/>
        </w:rPr>
        <w:lastRenderedPageBreak/>
        <w:t xml:space="preserve">Os ensaios foram conduzidos no </w:t>
      </w:r>
      <w:r w:rsidRPr="00606293">
        <w:rPr>
          <w:sz w:val="24"/>
          <w:szCs w:val="24"/>
          <w:shd w:val="clear" w:color="auto" w:fill="FFFFFF"/>
        </w:rPr>
        <w:t>Laboratório de Reciclagem de Polímeros</w:t>
      </w:r>
      <w:r>
        <w:rPr>
          <w:sz w:val="24"/>
          <w:szCs w:val="24"/>
          <w:shd w:val="clear" w:color="auto" w:fill="FFFFFF"/>
        </w:rPr>
        <w:t xml:space="preserve"> da U</w:t>
      </w:r>
      <w:r w:rsidRPr="00606293">
        <w:rPr>
          <w:sz w:val="24"/>
          <w:szCs w:val="24"/>
        </w:rPr>
        <w:t>niversidade Federal de Uberlândia (UFU)</w:t>
      </w:r>
      <w:r>
        <w:rPr>
          <w:sz w:val="24"/>
          <w:szCs w:val="24"/>
        </w:rPr>
        <w:t xml:space="preserve">. </w:t>
      </w:r>
      <w:r w:rsidRPr="00CE6F36">
        <w:rPr>
          <w:sz w:val="24"/>
          <w:szCs w:val="24"/>
        </w:rPr>
        <w:t xml:space="preserve">As </w:t>
      </w:r>
      <w:proofErr w:type="spellStart"/>
      <w:r w:rsidRPr="00CE6F36">
        <w:rPr>
          <w:sz w:val="24"/>
          <w:szCs w:val="24"/>
        </w:rPr>
        <w:t>NPMs</w:t>
      </w:r>
      <w:proofErr w:type="spellEnd"/>
      <w:r w:rsidRPr="00CE6F36">
        <w:rPr>
          <w:sz w:val="24"/>
          <w:szCs w:val="24"/>
        </w:rPr>
        <w:t xml:space="preserve"> foram </w:t>
      </w:r>
      <w:r w:rsidRPr="0065190B">
        <w:rPr>
          <w:sz w:val="24"/>
          <w:szCs w:val="24"/>
        </w:rPr>
        <w:t xml:space="preserve">sintetizadas via </w:t>
      </w:r>
      <w:proofErr w:type="spellStart"/>
      <w:r w:rsidRPr="0065190B">
        <w:rPr>
          <w:sz w:val="24"/>
          <w:szCs w:val="24"/>
        </w:rPr>
        <w:t>coprecipitação</w:t>
      </w:r>
      <w:proofErr w:type="spellEnd"/>
      <w:r w:rsidRPr="0065190B">
        <w:rPr>
          <w:sz w:val="24"/>
          <w:szCs w:val="24"/>
        </w:rPr>
        <w:t xml:space="preserve"> química, </w:t>
      </w:r>
      <w:r w:rsidRPr="0065190B">
        <w:rPr>
          <w:bCs/>
          <w:sz w:val="24"/>
          <w:szCs w:val="24"/>
        </w:rPr>
        <w:t xml:space="preserve">baseado em </w:t>
      </w:r>
      <w:r w:rsidRPr="0065190B">
        <w:rPr>
          <w:sz w:val="24"/>
          <w:szCs w:val="24"/>
        </w:rPr>
        <w:t>El-</w:t>
      </w:r>
      <w:proofErr w:type="spellStart"/>
      <w:r w:rsidRPr="0065190B">
        <w:rPr>
          <w:sz w:val="24"/>
          <w:szCs w:val="24"/>
        </w:rPr>
        <w:t>Okr</w:t>
      </w:r>
      <w:proofErr w:type="spellEnd"/>
      <w:r w:rsidRPr="0065190B">
        <w:rPr>
          <w:sz w:val="24"/>
          <w:szCs w:val="24"/>
        </w:rPr>
        <w:t xml:space="preserve"> et al.</w:t>
      </w:r>
      <w:r w:rsidR="00A6700B" w:rsidRPr="0065190B">
        <w:rPr>
          <w:sz w:val="24"/>
          <w:szCs w:val="24"/>
          <w:vertAlign w:val="superscript"/>
        </w:rPr>
        <w:t>7</w:t>
      </w:r>
      <w:r w:rsidRPr="0065190B">
        <w:rPr>
          <w:sz w:val="24"/>
          <w:szCs w:val="24"/>
        </w:rPr>
        <w:t xml:space="preserve"> com modificações. A LS foi obtida a partir de lignina de bagaço de cana-de-açúcar, </w:t>
      </w:r>
      <w:proofErr w:type="spellStart"/>
      <w:r w:rsidRPr="0065190B">
        <w:rPr>
          <w:sz w:val="24"/>
          <w:szCs w:val="24"/>
        </w:rPr>
        <w:t>pré-tratado</w:t>
      </w:r>
      <w:proofErr w:type="spellEnd"/>
      <w:r w:rsidRPr="0065190B">
        <w:rPr>
          <w:sz w:val="24"/>
          <w:szCs w:val="24"/>
        </w:rPr>
        <w:t xml:space="preserve"> por explosão a vapor em reator de 200 L (190 °C, 15 minutos), </w:t>
      </w:r>
      <w:proofErr w:type="spellStart"/>
      <w:r w:rsidRPr="0065190B">
        <w:rPr>
          <w:sz w:val="24"/>
          <w:szCs w:val="24"/>
        </w:rPr>
        <w:t>deslignificada</w:t>
      </w:r>
      <w:proofErr w:type="spellEnd"/>
      <w:r w:rsidRPr="0065190B">
        <w:rPr>
          <w:sz w:val="24"/>
          <w:szCs w:val="24"/>
        </w:rPr>
        <w:t xml:space="preserve"> com </w:t>
      </w:r>
      <w:proofErr w:type="spellStart"/>
      <w:r w:rsidRPr="0065190B">
        <w:rPr>
          <w:sz w:val="24"/>
          <w:szCs w:val="24"/>
        </w:rPr>
        <w:t>NaOH</w:t>
      </w:r>
      <w:proofErr w:type="spellEnd"/>
      <w:r w:rsidRPr="0065190B">
        <w:rPr>
          <w:sz w:val="24"/>
          <w:szCs w:val="24"/>
        </w:rPr>
        <w:t xml:space="preserve"> 1% (m/v) em reator de 350 L e precipitada com H</w:t>
      </w:r>
      <w:r w:rsidRPr="0065190B">
        <w:rPr>
          <w:sz w:val="24"/>
          <w:szCs w:val="24"/>
          <w:vertAlign w:val="subscript"/>
        </w:rPr>
        <w:t>2</w:t>
      </w:r>
      <w:r w:rsidRPr="0065190B">
        <w:rPr>
          <w:sz w:val="24"/>
          <w:szCs w:val="24"/>
        </w:rPr>
        <w:t>SO</w:t>
      </w:r>
      <w:r w:rsidRPr="0065190B">
        <w:rPr>
          <w:sz w:val="24"/>
          <w:szCs w:val="24"/>
          <w:vertAlign w:val="subscript"/>
        </w:rPr>
        <w:t xml:space="preserve">4 </w:t>
      </w:r>
      <w:r w:rsidR="004E0971" w:rsidRPr="0065190B">
        <w:rPr>
          <w:sz w:val="24"/>
          <w:szCs w:val="24"/>
        </w:rPr>
        <w:t xml:space="preserve">P.A. em pH 2,0. </w:t>
      </w:r>
      <w:r w:rsidR="009818A2" w:rsidRPr="0065190B">
        <w:rPr>
          <w:sz w:val="24"/>
          <w:szCs w:val="24"/>
        </w:rPr>
        <w:t>Para a</w:t>
      </w:r>
      <w:r w:rsidRPr="0065190B">
        <w:rPr>
          <w:sz w:val="24"/>
          <w:szCs w:val="24"/>
        </w:rPr>
        <w:t xml:space="preserve"> </w:t>
      </w:r>
      <w:proofErr w:type="spellStart"/>
      <w:r w:rsidRPr="0065190B">
        <w:rPr>
          <w:sz w:val="24"/>
          <w:szCs w:val="24"/>
        </w:rPr>
        <w:t>sulfonação</w:t>
      </w:r>
      <w:proofErr w:type="spellEnd"/>
      <w:r w:rsidRPr="0065190B">
        <w:rPr>
          <w:sz w:val="24"/>
          <w:szCs w:val="24"/>
        </w:rPr>
        <w:t xml:space="preserve"> </w:t>
      </w:r>
      <w:r w:rsidR="009818A2" w:rsidRPr="0065190B">
        <w:rPr>
          <w:sz w:val="24"/>
          <w:szCs w:val="24"/>
        </w:rPr>
        <w:t>adotou</w:t>
      </w:r>
      <w:r w:rsidRPr="0065190B">
        <w:rPr>
          <w:sz w:val="24"/>
          <w:szCs w:val="24"/>
        </w:rPr>
        <w:t xml:space="preserve">-se o emprego da espécie reativa </w:t>
      </w:r>
      <w:proofErr w:type="spellStart"/>
      <w:r w:rsidRPr="0065190B">
        <w:rPr>
          <w:sz w:val="24"/>
          <w:szCs w:val="24"/>
        </w:rPr>
        <w:t>acetilsulfato</w:t>
      </w:r>
      <w:proofErr w:type="spellEnd"/>
      <w:r w:rsidRPr="0065190B">
        <w:rPr>
          <w:sz w:val="24"/>
          <w:szCs w:val="24"/>
        </w:rPr>
        <w:t xml:space="preserve"> (H</w:t>
      </w:r>
      <w:r w:rsidRPr="0065190B">
        <w:rPr>
          <w:sz w:val="24"/>
          <w:szCs w:val="24"/>
          <w:vertAlign w:val="subscript"/>
        </w:rPr>
        <w:t>2</w:t>
      </w:r>
      <w:r w:rsidRPr="0065190B">
        <w:rPr>
          <w:sz w:val="24"/>
          <w:szCs w:val="24"/>
        </w:rPr>
        <w:t>SO</w:t>
      </w:r>
      <w:r w:rsidRPr="0065190B">
        <w:rPr>
          <w:sz w:val="24"/>
          <w:szCs w:val="24"/>
          <w:vertAlign w:val="subscript"/>
        </w:rPr>
        <w:t>4</w:t>
      </w:r>
      <w:r w:rsidRPr="0065190B">
        <w:rPr>
          <w:sz w:val="24"/>
          <w:szCs w:val="24"/>
        </w:rPr>
        <w:t xml:space="preserve"> (98%) + </w:t>
      </w:r>
      <w:r w:rsidRPr="0065190B">
        <w:rPr>
          <w:sz w:val="24"/>
          <w:szCs w:val="24"/>
          <w:shd w:val="clear" w:color="auto" w:fill="FFFFFF"/>
        </w:rPr>
        <w:t>anidrido acético</w:t>
      </w:r>
      <w:r w:rsidRPr="0065190B">
        <w:rPr>
          <w:sz w:val="24"/>
          <w:szCs w:val="24"/>
        </w:rPr>
        <w:t>), conforme Brandão et al.</w:t>
      </w:r>
      <w:r w:rsidR="00A6700B" w:rsidRPr="0065190B">
        <w:rPr>
          <w:sz w:val="24"/>
          <w:szCs w:val="24"/>
          <w:vertAlign w:val="superscript"/>
        </w:rPr>
        <w:t>8</w:t>
      </w:r>
      <w:r w:rsidR="009818A2" w:rsidRPr="0065190B">
        <w:rPr>
          <w:sz w:val="24"/>
          <w:szCs w:val="24"/>
        </w:rPr>
        <w:t xml:space="preserve"> As proporções de reagentes adotas constam na </w:t>
      </w:r>
      <w:r w:rsidRPr="0065190B">
        <w:rPr>
          <w:sz w:val="24"/>
          <w:szCs w:val="24"/>
        </w:rPr>
        <w:t>Tabela 1.</w:t>
      </w:r>
      <w:r w:rsidRPr="00CE6F36">
        <w:rPr>
          <w:sz w:val="24"/>
          <w:szCs w:val="24"/>
        </w:rPr>
        <w:t xml:space="preserve"> </w:t>
      </w:r>
    </w:p>
    <w:p w14:paraId="2DD31621" w14:textId="5E3427CF" w:rsidR="003F6036" w:rsidRDefault="003F6036" w:rsidP="003F6036">
      <w:pPr>
        <w:ind w:firstLine="340"/>
        <w:jc w:val="both"/>
        <w:rPr>
          <w:sz w:val="24"/>
          <w:szCs w:val="24"/>
        </w:rPr>
      </w:pPr>
      <w:r w:rsidRPr="00820339">
        <w:rPr>
          <w:sz w:val="24"/>
          <w:szCs w:val="24"/>
        </w:rPr>
        <w:t xml:space="preserve">Para </w:t>
      </w:r>
      <w:r>
        <w:rPr>
          <w:sz w:val="24"/>
          <w:szCs w:val="24"/>
        </w:rPr>
        <w:t>o revestimento</w:t>
      </w:r>
      <w:r w:rsidRPr="00820339">
        <w:rPr>
          <w:sz w:val="24"/>
          <w:szCs w:val="24"/>
        </w:rPr>
        <w:t xml:space="preserve"> das </w:t>
      </w:r>
      <w:proofErr w:type="spellStart"/>
      <w:r w:rsidRPr="00820339">
        <w:rPr>
          <w:sz w:val="24"/>
          <w:szCs w:val="24"/>
        </w:rPr>
        <w:t>NPMs</w:t>
      </w:r>
      <w:proofErr w:type="spellEnd"/>
      <w:r w:rsidRPr="00820339">
        <w:rPr>
          <w:sz w:val="24"/>
          <w:szCs w:val="24"/>
        </w:rPr>
        <w:t xml:space="preserve">, dissolveu-se a LS em 10 </w:t>
      </w:r>
      <w:proofErr w:type="spellStart"/>
      <w:r w:rsidRPr="00820339">
        <w:rPr>
          <w:sz w:val="24"/>
          <w:szCs w:val="24"/>
        </w:rPr>
        <w:t>mL</w:t>
      </w:r>
      <w:proofErr w:type="spellEnd"/>
      <w:r w:rsidRPr="00820339">
        <w:rPr>
          <w:sz w:val="24"/>
          <w:szCs w:val="24"/>
        </w:rPr>
        <w:t xml:space="preserve"> de </w:t>
      </w:r>
      <w:proofErr w:type="spellStart"/>
      <w:r w:rsidRPr="00820339">
        <w:rPr>
          <w:sz w:val="24"/>
          <w:szCs w:val="24"/>
          <w:shd w:val="clear" w:color="auto" w:fill="FFFFFF"/>
        </w:rPr>
        <w:t>tetraidrofurano</w:t>
      </w:r>
      <w:proofErr w:type="spellEnd"/>
      <w:r w:rsidRPr="00820339">
        <w:rPr>
          <w:sz w:val="24"/>
          <w:szCs w:val="24"/>
        </w:rPr>
        <w:t xml:space="preserve"> (THF) e, em seguida, adicionou-se lentamente as </w:t>
      </w:r>
      <w:proofErr w:type="spellStart"/>
      <w:r w:rsidRPr="00820339">
        <w:rPr>
          <w:sz w:val="24"/>
          <w:szCs w:val="24"/>
        </w:rPr>
        <w:t>NPMs</w:t>
      </w:r>
      <w:proofErr w:type="spellEnd"/>
      <w:r w:rsidRPr="00820339">
        <w:rPr>
          <w:sz w:val="24"/>
          <w:szCs w:val="24"/>
        </w:rPr>
        <w:t xml:space="preserve">, as quais estavam em meio aquoso. Obedeceu-se razão </w:t>
      </w:r>
      <w:proofErr w:type="gramStart"/>
      <w:r w:rsidRPr="00820339">
        <w:rPr>
          <w:sz w:val="24"/>
          <w:szCs w:val="24"/>
        </w:rPr>
        <w:t>LS:NPM</w:t>
      </w:r>
      <w:proofErr w:type="gramEnd"/>
      <w:r w:rsidRPr="00820339">
        <w:rPr>
          <w:sz w:val="24"/>
          <w:szCs w:val="24"/>
        </w:rPr>
        <w:t xml:space="preserve"> de 1:1 m/m. </w:t>
      </w:r>
      <w:r w:rsidR="009818A2">
        <w:rPr>
          <w:sz w:val="24"/>
          <w:szCs w:val="24"/>
        </w:rPr>
        <w:t>Manteve-se o</w:t>
      </w:r>
      <w:r w:rsidRPr="00820339">
        <w:rPr>
          <w:sz w:val="24"/>
          <w:szCs w:val="24"/>
        </w:rPr>
        <w:t xml:space="preserve"> sistema sob agitação por 30 minutos e em repouso por 24 h. Sendo então lavado com água destilada gelada e seco em estufa a baixa temperatura.  </w:t>
      </w:r>
    </w:p>
    <w:p w14:paraId="1604C2F0" w14:textId="776B5776" w:rsidR="003F6036" w:rsidRDefault="003F6036" w:rsidP="003F6036">
      <w:pPr>
        <w:ind w:firstLine="340"/>
        <w:jc w:val="both"/>
        <w:rPr>
          <w:sz w:val="24"/>
          <w:szCs w:val="24"/>
        </w:rPr>
      </w:pPr>
      <w:r w:rsidRPr="00CE6F36">
        <w:rPr>
          <w:sz w:val="24"/>
          <w:szCs w:val="24"/>
        </w:rPr>
        <w:t xml:space="preserve">Os catalisadores foram caracterizados por Análise Elementar (CHNS) (AE), </w:t>
      </w:r>
      <w:r w:rsidRPr="00CE6F36">
        <w:rPr>
          <w:rFonts w:eastAsia="TimesNewRoman"/>
          <w:sz w:val="24"/>
          <w:szCs w:val="24"/>
        </w:rPr>
        <w:t>titulação ácido-base (</w:t>
      </w:r>
      <w:r w:rsidRPr="00CE6F36">
        <w:rPr>
          <w:sz w:val="24"/>
          <w:szCs w:val="24"/>
        </w:rPr>
        <w:t xml:space="preserve">teor de </w:t>
      </w:r>
      <w:r w:rsidRPr="00CE6F36">
        <w:rPr>
          <w:rFonts w:eastAsia="TimesNewRoman"/>
          <w:sz w:val="24"/>
          <w:szCs w:val="24"/>
        </w:rPr>
        <w:t>–SO</w:t>
      </w:r>
      <w:r w:rsidRPr="00CE6F36">
        <w:rPr>
          <w:rFonts w:eastAsia="TimesNewRoman"/>
          <w:sz w:val="24"/>
          <w:szCs w:val="24"/>
          <w:vertAlign w:val="subscript"/>
        </w:rPr>
        <w:t>3</w:t>
      </w:r>
      <w:r w:rsidRPr="00CE6F36">
        <w:rPr>
          <w:rFonts w:eastAsia="TimesNewRoman"/>
          <w:sz w:val="24"/>
          <w:szCs w:val="24"/>
        </w:rPr>
        <w:t xml:space="preserve">H </w:t>
      </w:r>
      <w:r w:rsidRPr="00CE6F36">
        <w:rPr>
          <w:noProof/>
          <w:sz w:val="24"/>
          <w:szCs w:val="24"/>
        </w:rPr>
        <w:t>(mol</w:t>
      </w:r>
      <w:r w:rsidR="009818A2">
        <w:rPr>
          <w:noProof/>
          <w:sz w:val="24"/>
          <w:szCs w:val="24"/>
        </w:rPr>
        <w:t>.</w:t>
      </w:r>
      <w:r w:rsidRPr="00CE6F36">
        <w:rPr>
          <w:noProof/>
          <w:sz w:val="24"/>
          <w:szCs w:val="24"/>
        </w:rPr>
        <w:t>g</w:t>
      </w:r>
      <w:r w:rsidRPr="00CE6F36">
        <w:rPr>
          <w:rFonts w:eastAsia="TimesNewRoman"/>
          <w:sz w:val="24"/>
          <w:szCs w:val="24"/>
          <w:vertAlign w:val="superscript"/>
        </w:rPr>
        <w:t>–</w:t>
      </w:r>
      <w:r w:rsidRPr="00CE6F36">
        <w:rPr>
          <w:noProof/>
          <w:sz w:val="24"/>
          <w:szCs w:val="24"/>
          <w:vertAlign w:val="superscript"/>
        </w:rPr>
        <w:t>1</w:t>
      </w:r>
      <w:r w:rsidRPr="00CE6F36">
        <w:rPr>
          <w:noProof/>
          <w:sz w:val="24"/>
          <w:szCs w:val="24"/>
        </w:rPr>
        <w:t>))</w:t>
      </w:r>
      <w:r w:rsidRPr="00CE6F36">
        <w:rPr>
          <w:rFonts w:eastAsia="TimesNewRoman"/>
          <w:sz w:val="24"/>
          <w:szCs w:val="24"/>
        </w:rPr>
        <w:t>,</w:t>
      </w:r>
      <w:r w:rsidRPr="00CE6F36">
        <w:rPr>
          <w:sz w:val="24"/>
          <w:szCs w:val="24"/>
        </w:rPr>
        <w:t xml:space="preserve"> Microscopia Eletrônica de Varredura (MEV), adsorção física de nitrogênio (B.E.T e B.J.H), </w:t>
      </w:r>
      <w:proofErr w:type="spellStart"/>
      <w:r w:rsidRPr="00CE6F36">
        <w:rPr>
          <w:bCs/>
          <w:sz w:val="24"/>
          <w:szCs w:val="24"/>
        </w:rPr>
        <w:t>Difratometria</w:t>
      </w:r>
      <w:proofErr w:type="spellEnd"/>
      <w:r w:rsidRPr="00CE6F36">
        <w:rPr>
          <w:bCs/>
          <w:sz w:val="24"/>
          <w:szCs w:val="24"/>
        </w:rPr>
        <w:t xml:space="preserve"> de raios X (DRX)</w:t>
      </w:r>
      <w:r w:rsidRPr="00CE6F36">
        <w:rPr>
          <w:sz w:val="24"/>
          <w:szCs w:val="24"/>
        </w:rPr>
        <w:t xml:space="preserve"> e Análise Termogravimétrica (TGA). </w:t>
      </w:r>
      <w:r w:rsidR="009818A2">
        <w:rPr>
          <w:sz w:val="24"/>
          <w:szCs w:val="24"/>
        </w:rPr>
        <w:t>A</w:t>
      </w:r>
      <w:r w:rsidRPr="00CE6F36">
        <w:rPr>
          <w:sz w:val="24"/>
          <w:szCs w:val="24"/>
        </w:rPr>
        <w:t xml:space="preserve"> esterificação</w:t>
      </w:r>
      <w:r w:rsidRPr="00BE2887">
        <w:rPr>
          <w:sz w:val="24"/>
          <w:szCs w:val="24"/>
        </w:rPr>
        <w:t xml:space="preserve"> </w:t>
      </w:r>
      <w:r w:rsidR="009818A2">
        <w:rPr>
          <w:sz w:val="24"/>
          <w:szCs w:val="24"/>
        </w:rPr>
        <w:t>foi conduzida</w:t>
      </w:r>
      <w:r w:rsidRPr="00BE2887">
        <w:rPr>
          <w:sz w:val="24"/>
          <w:szCs w:val="24"/>
        </w:rPr>
        <w:t xml:space="preserve"> em sistema fechado utilizando um reator de bancada </w:t>
      </w:r>
      <w:proofErr w:type="spellStart"/>
      <w:r w:rsidRPr="00BE2887">
        <w:rPr>
          <w:sz w:val="24"/>
          <w:szCs w:val="24"/>
        </w:rPr>
        <w:t>Parr</w:t>
      </w:r>
      <w:proofErr w:type="spellEnd"/>
      <w:r w:rsidRPr="00BE2887">
        <w:rPr>
          <w:sz w:val="24"/>
          <w:szCs w:val="24"/>
        </w:rPr>
        <w:t xml:space="preserve"> 4848 (</w:t>
      </w:r>
      <w:proofErr w:type="spellStart"/>
      <w:r w:rsidRPr="00BE2887">
        <w:rPr>
          <w:sz w:val="24"/>
          <w:szCs w:val="24"/>
        </w:rPr>
        <w:t>Parr</w:t>
      </w:r>
      <w:proofErr w:type="spellEnd"/>
      <w:r w:rsidRPr="00BE2887">
        <w:rPr>
          <w:sz w:val="24"/>
          <w:szCs w:val="24"/>
        </w:rPr>
        <w:t xml:space="preserve"> </w:t>
      </w:r>
      <w:proofErr w:type="spellStart"/>
      <w:r w:rsidRPr="00BE2887">
        <w:rPr>
          <w:sz w:val="24"/>
          <w:szCs w:val="24"/>
        </w:rPr>
        <w:t>Instrument</w:t>
      </w:r>
      <w:proofErr w:type="spellEnd"/>
      <w:r w:rsidRPr="00BE2887">
        <w:rPr>
          <w:sz w:val="24"/>
          <w:szCs w:val="24"/>
        </w:rPr>
        <w:t xml:space="preserve"> </w:t>
      </w:r>
      <w:proofErr w:type="spellStart"/>
      <w:r w:rsidRPr="00BE2887">
        <w:rPr>
          <w:sz w:val="24"/>
          <w:szCs w:val="24"/>
        </w:rPr>
        <w:t>Company</w:t>
      </w:r>
      <w:proofErr w:type="spellEnd"/>
      <w:r w:rsidRPr="00BE2887">
        <w:rPr>
          <w:sz w:val="24"/>
          <w:szCs w:val="24"/>
        </w:rPr>
        <w:t xml:space="preserve">) equipado com sistema de aquecimento, agitação magnética, controlador de temperatura e com capacidade </w:t>
      </w:r>
      <w:r w:rsidRPr="00BE2887">
        <w:rPr>
          <w:bCs/>
          <w:sz w:val="24"/>
          <w:szCs w:val="24"/>
        </w:rPr>
        <w:t xml:space="preserve">de </w:t>
      </w:r>
      <w:r w:rsidRPr="00BE2887">
        <w:rPr>
          <w:sz w:val="24"/>
          <w:szCs w:val="24"/>
        </w:rPr>
        <w:t xml:space="preserve">450 </w:t>
      </w:r>
      <w:proofErr w:type="spellStart"/>
      <w:r w:rsidRPr="00BE2887">
        <w:rPr>
          <w:sz w:val="24"/>
          <w:szCs w:val="24"/>
        </w:rPr>
        <w:t>mL</w:t>
      </w:r>
      <w:proofErr w:type="spellEnd"/>
      <w:r w:rsidRPr="00BE2887">
        <w:rPr>
          <w:sz w:val="24"/>
          <w:szCs w:val="24"/>
        </w:rPr>
        <w:t>.</w:t>
      </w:r>
      <w:r>
        <w:rPr>
          <w:sz w:val="24"/>
          <w:szCs w:val="24"/>
        </w:rPr>
        <w:t xml:space="preserve"> A</w:t>
      </w:r>
      <w:r w:rsidRPr="00CE6F36">
        <w:rPr>
          <w:sz w:val="24"/>
          <w:szCs w:val="24"/>
        </w:rPr>
        <w:t xml:space="preserve">valiou-se os catalisadores </w:t>
      </w:r>
      <w:r w:rsidRPr="00CE6F36">
        <w:rPr>
          <w:bCs/>
          <w:sz w:val="24"/>
          <w:szCs w:val="24"/>
        </w:rPr>
        <w:t>CoFe</w:t>
      </w:r>
      <w:r w:rsidRPr="00CE6F36">
        <w:rPr>
          <w:bCs/>
          <w:sz w:val="24"/>
          <w:szCs w:val="24"/>
          <w:vertAlign w:val="subscript"/>
        </w:rPr>
        <w:t>2</w:t>
      </w:r>
      <w:r w:rsidRPr="00CE6F36">
        <w:rPr>
          <w:bCs/>
          <w:sz w:val="24"/>
          <w:szCs w:val="24"/>
        </w:rPr>
        <w:t>O</w:t>
      </w:r>
      <w:r w:rsidRPr="00CE6F36">
        <w:rPr>
          <w:bCs/>
          <w:sz w:val="24"/>
          <w:szCs w:val="24"/>
          <w:vertAlign w:val="subscript"/>
        </w:rPr>
        <w:t>4</w:t>
      </w:r>
      <w:r w:rsidRPr="00CE6F36">
        <w:rPr>
          <w:bCs/>
          <w:sz w:val="24"/>
          <w:szCs w:val="24"/>
        </w:rPr>
        <w:t>-LS5 e CoFe</w:t>
      </w:r>
      <w:r w:rsidRPr="00CE6F36">
        <w:rPr>
          <w:bCs/>
          <w:sz w:val="24"/>
          <w:szCs w:val="24"/>
          <w:vertAlign w:val="subscript"/>
        </w:rPr>
        <w:t>2</w:t>
      </w:r>
      <w:r w:rsidRPr="00CE6F36">
        <w:rPr>
          <w:bCs/>
          <w:sz w:val="24"/>
          <w:szCs w:val="24"/>
        </w:rPr>
        <w:t>O</w:t>
      </w:r>
      <w:r w:rsidRPr="00CE6F36">
        <w:rPr>
          <w:bCs/>
          <w:sz w:val="24"/>
          <w:szCs w:val="24"/>
          <w:vertAlign w:val="subscript"/>
        </w:rPr>
        <w:t>4</w:t>
      </w:r>
      <w:r w:rsidRPr="00CE6F36">
        <w:rPr>
          <w:bCs/>
          <w:sz w:val="24"/>
          <w:szCs w:val="24"/>
        </w:rPr>
        <w:t xml:space="preserve">-LS7,5, </w:t>
      </w:r>
      <w:r>
        <w:rPr>
          <w:sz w:val="24"/>
          <w:szCs w:val="24"/>
        </w:rPr>
        <w:t>segundo</w:t>
      </w:r>
      <w:r w:rsidRPr="00CE6F36">
        <w:rPr>
          <w:sz w:val="24"/>
          <w:szCs w:val="24"/>
        </w:rPr>
        <w:t xml:space="preserve"> as seguintes </w:t>
      </w:r>
      <w:r w:rsidRPr="00CE6F36">
        <w:rPr>
          <w:bCs/>
          <w:sz w:val="24"/>
          <w:szCs w:val="24"/>
        </w:rPr>
        <w:t xml:space="preserve">variáveis: </w:t>
      </w:r>
      <w:r w:rsidRPr="00CE6F36">
        <w:rPr>
          <w:sz w:val="24"/>
          <w:szCs w:val="24"/>
        </w:rPr>
        <w:t xml:space="preserve">razão molar metanol/ácido oleico 10:1; catalisador a 5% em relação ao ácido oleico (m/m); tempos de 4 e 6 horas; e temperaturas de </w:t>
      </w:r>
      <w:r w:rsidRPr="00CE6F36">
        <w:rPr>
          <w:bCs/>
          <w:sz w:val="24"/>
          <w:szCs w:val="24"/>
        </w:rPr>
        <w:t>80 e 100°C.</w:t>
      </w:r>
      <w:r w:rsidRPr="00CE6F36">
        <w:rPr>
          <w:sz w:val="24"/>
          <w:szCs w:val="24"/>
        </w:rPr>
        <w:t xml:space="preserve"> A conversão do ácido oleico em ésteres foi determinada por Espectroscopia de Infravermelho com Transformada de Fourier (FTIR) e Cromatografia Gasosa acoplada ao Espectrômetro de Massas (GC-MS).</w:t>
      </w:r>
    </w:p>
    <w:p w14:paraId="7C93A075" w14:textId="77777777" w:rsidR="00F33759" w:rsidRDefault="00F33759">
      <w:pPr>
        <w:spacing w:after="120"/>
        <w:jc w:val="both"/>
        <w:rPr>
          <w:rFonts w:ascii="Arial" w:eastAsia="Arial" w:hAnsi="Arial" w:cs="Arial"/>
          <w:sz w:val="24"/>
          <w:szCs w:val="24"/>
        </w:rPr>
      </w:pPr>
    </w:p>
    <w:p w14:paraId="467FA1F6" w14:textId="77777777" w:rsidR="00F33759" w:rsidRDefault="001D6ACC">
      <w:pPr>
        <w:widowControl w:val="0"/>
        <w:pBdr>
          <w:top w:val="nil"/>
          <w:left w:val="nil"/>
          <w:bottom w:val="nil"/>
          <w:right w:val="nil"/>
          <w:between w:val="nil"/>
        </w:pBdr>
        <w:spacing w:after="80"/>
        <w:jc w:val="both"/>
        <w:rPr>
          <w:color w:val="000000"/>
          <w:sz w:val="24"/>
          <w:szCs w:val="24"/>
        </w:rPr>
      </w:pPr>
      <w:r>
        <w:rPr>
          <w:b/>
          <w:color w:val="000000"/>
          <w:sz w:val="24"/>
          <w:szCs w:val="24"/>
        </w:rPr>
        <w:t>Resultados e Discussões</w:t>
      </w:r>
    </w:p>
    <w:p w14:paraId="53F182B3" w14:textId="6C2D449E" w:rsidR="003F6036" w:rsidRPr="008B5DDB" w:rsidRDefault="003F6036" w:rsidP="003F6036">
      <w:pPr>
        <w:ind w:firstLine="340"/>
        <w:jc w:val="both"/>
        <w:rPr>
          <w:color w:val="000000" w:themeColor="text1"/>
          <w:sz w:val="24"/>
          <w:szCs w:val="24"/>
        </w:rPr>
      </w:pPr>
      <w:r w:rsidRPr="008B5DDB">
        <w:rPr>
          <w:color w:val="000000" w:themeColor="text1"/>
          <w:sz w:val="24"/>
          <w:szCs w:val="24"/>
        </w:rPr>
        <w:t xml:space="preserve">Os </w:t>
      </w:r>
      <w:proofErr w:type="spellStart"/>
      <w:r w:rsidRPr="008B5DDB">
        <w:rPr>
          <w:color w:val="000000" w:themeColor="text1"/>
          <w:sz w:val="24"/>
          <w:szCs w:val="24"/>
        </w:rPr>
        <w:t>difratogramas</w:t>
      </w:r>
      <w:proofErr w:type="spellEnd"/>
      <w:r w:rsidRPr="008B5DDB">
        <w:rPr>
          <w:color w:val="000000" w:themeColor="text1"/>
          <w:sz w:val="24"/>
          <w:szCs w:val="24"/>
        </w:rPr>
        <w:t xml:space="preserve"> </w:t>
      </w:r>
      <w:r w:rsidR="004E0971">
        <w:rPr>
          <w:color w:val="000000" w:themeColor="text1"/>
          <w:sz w:val="24"/>
          <w:szCs w:val="24"/>
        </w:rPr>
        <w:t xml:space="preserve">obtidos </w:t>
      </w:r>
      <w:r w:rsidRPr="008B5DDB">
        <w:rPr>
          <w:color w:val="000000" w:themeColor="text1"/>
          <w:sz w:val="24"/>
          <w:szCs w:val="24"/>
        </w:rPr>
        <w:t xml:space="preserve">são exibidos na </w:t>
      </w:r>
      <w:r w:rsidRPr="00C56669">
        <w:rPr>
          <w:color w:val="000000" w:themeColor="text1"/>
          <w:sz w:val="24"/>
          <w:szCs w:val="24"/>
        </w:rPr>
        <w:t>Figura 1.</w:t>
      </w:r>
      <w:r w:rsidRPr="008B5DDB">
        <w:rPr>
          <w:color w:val="000000" w:themeColor="text1"/>
          <w:sz w:val="24"/>
          <w:szCs w:val="24"/>
        </w:rPr>
        <w:t xml:space="preserve"> Nota-se para lignina pura, LS5 e LS7,5 </w:t>
      </w:r>
      <w:r>
        <w:rPr>
          <w:color w:val="000000" w:themeColor="text1"/>
          <w:sz w:val="24"/>
          <w:szCs w:val="24"/>
        </w:rPr>
        <w:lastRenderedPageBreak/>
        <w:t>o</w:t>
      </w:r>
      <w:r w:rsidRPr="008B5DDB">
        <w:rPr>
          <w:color w:val="000000" w:themeColor="text1"/>
          <w:sz w:val="24"/>
          <w:szCs w:val="24"/>
        </w:rPr>
        <w:t xml:space="preserve"> amplo halo em 2θ (10-30°), confirmando que </w:t>
      </w:r>
      <w:r w:rsidR="004E0971">
        <w:rPr>
          <w:color w:val="000000" w:themeColor="text1"/>
          <w:sz w:val="24"/>
          <w:szCs w:val="24"/>
        </w:rPr>
        <w:t>estes</w:t>
      </w:r>
      <w:r w:rsidRPr="008B5DDB">
        <w:rPr>
          <w:color w:val="000000" w:themeColor="text1"/>
          <w:sz w:val="24"/>
          <w:szCs w:val="24"/>
        </w:rPr>
        <w:t xml:space="preserve"> apresentam estruturas carbônicas amorfas compostas por carbonos aromáticos distribuídos de forma aleatória.</w:t>
      </w:r>
      <w:r w:rsidR="00A6700B">
        <w:rPr>
          <w:color w:val="000000" w:themeColor="text1"/>
          <w:sz w:val="24"/>
          <w:szCs w:val="24"/>
          <w:vertAlign w:val="superscript"/>
        </w:rPr>
        <w:t>9</w:t>
      </w:r>
      <w:r>
        <w:rPr>
          <w:color w:val="000000" w:themeColor="text1"/>
          <w:sz w:val="24"/>
          <w:szCs w:val="24"/>
          <w:vertAlign w:val="superscript"/>
        </w:rPr>
        <w:t xml:space="preserve"> </w:t>
      </w:r>
      <w:r w:rsidRPr="008B5DDB">
        <w:rPr>
          <w:color w:val="000000" w:themeColor="text1"/>
          <w:sz w:val="24"/>
          <w:szCs w:val="24"/>
        </w:rPr>
        <w:t xml:space="preserve">Observa-se que as </w:t>
      </w:r>
      <w:proofErr w:type="spellStart"/>
      <w:r w:rsidRPr="008B5DDB">
        <w:rPr>
          <w:color w:val="000000" w:themeColor="text1"/>
          <w:sz w:val="24"/>
          <w:szCs w:val="24"/>
        </w:rPr>
        <w:t>NPMs</w:t>
      </w:r>
      <w:proofErr w:type="spellEnd"/>
      <w:r w:rsidRPr="008B5DDB">
        <w:rPr>
          <w:color w:val="000000" w:themeColor="text1"/>
          <w:sz w:val="24"/>
          <w:szCs w:val="24"/>
        </w:rPr>
        <w:t xml:space="preserve"> puras exibem características típicas para estruturas do tipo </w:t>
      </w:r>
      <w:proofErr w:type="spellStart"/>
      <w:r w:rsidRPr="008B5DDB">
        <w:rPr>
          <w:color w:val="000000" w:themeColor="text1"/>
          <w:sz w:val="24"/>
          <w:szCs w:val="24"/>
        </w:rPr>
        <w:t>espinélio</w:t>
      </w:r>
      <w:proofErr w:type="spellEnd"/>
      <w:r w:rsidRPr="008B5DDB">
        <w:rPr>
          <w:color w:val="000000" w:themeColor="text1"/>
          <w:sz w:val="24"/>
          <w:szCs w:val="24"/>
        </w:rPr>
        <w:t xml:space="preserve"> cúbica com grupos espaciais (Fd3 ̅m) (JCPDS </w:t>
      </w:r>
      <w:proofErr w:type="spellStart"/>
      <w:r w:rsidRPr="008B5DDB">
        <w:rPr>
          <w:color w:val="000000" w:themeColor="text1"/>
          <w:sz w:val="24"/>
          <w:szCs w:val="24"/>
        </w:rPr>
        <w:t>card</w:t>
      </w:r>
      <w:proofErr w:type="spellEnd"/>
      <w:r w:rsidRPr="008B5DDB">
        <w:rPr>
          <w:color w:val="000000" w:themeColor="text1"/>
          <w:sz w:val="24"/>
          <w:szCs w:val="24"/>
        </w:rPr>
        <w:t xml:space="preserve"> Nº. 1-1121), </w:t>
      </w:r>
      <w:r w:rsidR="004E0971">
        <w:rPr>
          <w:color w:val="000000" w:themeColor="text1"/>
          <w:sz w:val="24"/>
          <w:szCs w:val="24"/>
        </w:rPr>
        <w:t>conforme</w:t>
      </w:r>
      <w:r w:rsidRPr="008B5DDB">
        <w:rPr>
          <w:color w:val="000000" w:themeColor="text1"/>
          <w:sz w:val="24"/>
          <w:szCs w:val="24"/>
        </w:rPr>
        <w:t xml:space="preserve"> esperado para CoFe</w:t>
      </w:r>
      <w:r w:rsidRPr="008B5DDB">
        <w:rPr>
          <w:color w:val="000000" w:themeColor="text1"/>
          <w:sz w:val="24"/>
          <w:szCs w:val="24"/>
          <w:vertAlign w:val="subscript"/>
        </w:rPr>
        <w:t>2</w:t>
      </w:r>
      <w:r w:rsidRPr="008B5DDB">
        <w:rPr>
          <w:color w:val="000000" w:themeColor="text1"/>
          <w:sz w:val="24"/>
          <w:szCs w:val="24"/>
        </w:rPr>
        <w:t>O</w:t>
      </w:r>
      <w:r w:rsidRPr="008B5DDB">
        <w:rPr>
          <w:color w:val="000000" w:themeColor="text1"/>
          <w:sz w:val="24"/>
          <w:szCs w:val="24"/>
          <w:vertAlign w:val="subscript"/>
        </w:rPr>
        <w:t>4</w:t>
      </w:r>
      <w:r w:rsidRPr="008B5DDB">
        <w:rPr>
          <w:color w:val="000000" w:themeColor="text1"/>
          <w:sz w:val="24"/>
          <w:szCs w:val="24"/>
        </w:rPr>
        <w:t xml:space="preserve">. Para as </w:t>
      </w:r>
      <w:proofErr w:type="spellStart"/>
      <w:r w:rsidRPr="008B5DDB">
        <w:rPr>
          <w:color w:val="000000" w:themeColor="text1"/>
          <w:sz w:val="24"/>
          <w:szCs w:val="24"/>
        </w:rPr>
        <w:t>ferritas</w:t>
      </w:r>
      <w:proofErr w:type="spellEnd"/>
      <w:r w:rsidRPr="008B5DDB">
        <w:rPr>
          <w:color w:val="000000" w:themeColor="text1"/>
          <w:sz w:val="24"/>
          <w:szCs w:val="24"/>
        </w:rPr>
        <w:t xml:space="preserve"> revestidas, observa-se que os </w:t>
      </w:r>
      <w:proofErr w:type="spellStart"/>
      <w:r w:rsidR="004E0971" w:rsidRPr="008B5DDB">
        <w:rPr>
          <w:color w:val="000000" w:themeColor="text1"/>
          <w:sz w:val="24"/>
          <w:szCs w:val="24"/>
        </w:rPr>
        <w:t>difratogramas</w:t>
      </w:r>
      <w:proofErr w:type="spellEnd"/>
      <w:r w:rsidRPr="008B5DDB">
        <w:rPr>
          <w:color w:val="000000" w:themeColor="text1"/>
          <w:sz w:val="24"/>
          <w:szCs w:val="24"/>
        </w:rPr>
        <w:t xml:space="preserve"> de todas as amostras exibem os picos característicos para CoFe</w:t>
      </w:r>
      <w:r w:rsidRPr="008B5DDB">
        <w:rPr>
          <w:color w:val="000000" w:themeColor="text1"/>
          <w:sz w:val="24"/>
          <w:szCs w:val="24"/>
          <w:vertAlign w:val="subscript"/>
        </w:rPr>
        <w:t>2</w:t>
      </w:r>
      <w:r w:rsidRPr="008B5DDB">
        <w:rPr>
          <w:color w:val="000000" w:themeColor="text1"/>
          <w:sz w:val="24"/>
          <w:szCs w:val="24"/>
        </w:rPr>
        <w:t>O</w:t>
      </w:r>
      <w:r w:rsidRPr="008B5DDB">
        <w:rPr>
          <w:color w:val="000000" w:themeColor="text1"/>
          <w:sz w:val="24"/>
          <w:szCs w:val="24"/>
          <w:vertAlign w:val="subscript"/>
        </w:rPr>
        <w:t>4</w:t>
      </w:r>
      <w:r w:rsidRPr="008B5DDB">
        <w:rPr>
          <w:color w:val="000000" w:themeColor="text1"/>
          <w:sz w:val="24"/>
          <w:szCs w:val="24"/>
        </w:rPr>
        <w:t xml:space="preserve">, demonstrando que fase a cristalina das mesmas não mudou durante o processo de revestimento. Além disso, nota-se a presença do amplo halo amorfo típico da lignina em 2θ (10-30°), confirmando portanto a sua incorporação às </w:t>
      </w:r>
      <w:proofErr w:type="spellStart"/>
      <w:r w:rsidRPr="008B5DDB">
        <w:rPr>
          <w:color w:val="000000" w:themeColor="text1"/>
          <w:sz w:val="24"/>
          <w:szCs w:val="24"/>
        </w:rPr>
        <w:t>NPMs</w:t>
      </w:r>
      <w:proofErr w:type="spellEnd"/>
      <w:r w:rsidRPr="008B5DDB">
        <w:rPr>
          <w:color w:val="000000" w:themeColor="text1"/>
          <w:sz w:val="24"/>
          <w:szCs w:val="24"/>
        </w:rPr>
        <w:t>.</w:t>
      </w:r>
      <w:r>
        <w:rPr>
          <w:color w:val="000000" w:themeColor="text1"/>
          <w:sz w:val="24"/>
          <w:szCs w:val="24"/>
        </w:rPr>
        <w:t xml:space="preserve"> </w:t>
      </w:r>
      <w:r w:rsidRPr="008B5DDB">
        <w:rPr>
          <w:color w:val="000000" w:themeColor="text1"/>
          <w:sz w:val="24"/>
          <w:szCs w:val="24"/>
        </w:rPr>
        <w:t xml:space="preserve"> </w:t>
      </w:r>
      <w:r w:rsidR="004E0971">
        <w:rPr>
          <w:color w:val="000000" w:themeColor="text1"/>
          <w:sz w:val="24"/>
          <w:szCs w:val="24"/>
        </w:rPr>
        <w:t xml:space="preserve"> </w:t>
      </w:r>
    </w:p>
    <w:p w14:paraId="732FFC85" w14:textId="5052F211" w:rsidR="003F6036" w:rsidRPr="00C56669" w:rsidRDefault="003F6036" w:rsidP="003F6036">
      <w:pPr>
        <w:autoSpaceDE w:val="0"/>
        <w:autoSpaceDN w:val="0"/>
        <w:adjustRightInd w:val="0"/>
        <w:ind w:firstLine="340"/>
        <w:jc w:val="both"/>
        <w:rPr>
          <w:color w:val="000000" w:themeColor="text1"/>
          <w:sz w:val="24"/>
          <w:szCs w:val="24"/>
        </w:rPr>
      </w:pPr>
      <w:r w:rsidRPr="00C56669">
        <w:rPr>
          <w:color w:val="000000" w:themeColor="text1"/>
          <w:sz w:val="24"/>
          <w:szCs w:val="24"/>
        </w:rPr>
        <w:t>A Figura 2 apresenta os dados de MEV</w:t>
      </w:r>
      <w:r w:rsidR="004E0971" w:rsidRPr="00C56669">
        <w:rPr>
          <w:color w:val="000000" w:themeColor="text1"/>
          <w:sz w:val="24"/>
          <w:szCs w:val="24"/>
        </w:rPr>
        <w:t>.</w:t>
      </w:r>
      <w:r w:rsidRPr="00C56669">
        <w:rPr>
          <w:color w:val="000000" w:themeColor="text1"/>
          <w:sz w:val="24"/>
          <w:szCs w:val="24"/>
        </w:rPr>
        <w:t xml:space="preserve"> </w:t>
      </w:r>
      <w:r w:rsidR="004E0971" w:rsidRPr="00C56669">
        <w:rPr>
          <w:color w:val="000000" w:themeColor="text1"/>
          <w:sz w:val="24"/>
          <w:szCs w:val="24"/>
        </w:rPr>
        <w:t>Observa-se p</w:t>
      </w:r>
      <w:r w:rsidRPr="00C56669">
        <w:rPr>
          <w:color w:val="000000" w:themeColor="text1"/>
          <w:sz w:val="24"/>
          <w:szCs w:val="24"/>
        </w:rPr>
        <w:t xml:space="preserve">ara as </w:t>
      </w:r>
      <w:proofErr w:type="spellStart"/>
      <w:r w:rsidRPr="00C56669">
        <w:rPr>
          <w:color w:val="000000" w:themeColor="text1"/>
          <w:sz w:val="24"/>
          <w:szCs w:val="24"/>
        </w:rPr>
        <w:t>NPMs</w:t>
      </w:r>
      <w:proofErr w:type="spellEnd"/>
      <w:r w:rsidRPr="00C56669">
        <w:rPr>
          <w:color w:val="000000" w:themeColor="text1"/>
          <w:sz w:val="24"/>
          <w:szCs w:val="24"/>
        </w:rPr>
        <w:t xml:space="preserve"> puras a formação de aglomerados de </w:t>
      </w:r>
      <w:proofErr w:type="spellStart"/>
      <w:r w:rsidRPr="00C56669">
        <w:rPr>
          <w:color w:val="000000" w:themeColor="text1"/>
          <w:sz w:val="24"/>
          <w:szCs w:val="24"/>
        </w:rPr>
        <w:t>nanopartículas</w:t>
      </w:r>
      <w:proofErr w:type="spellEnd"/>
      <w:r w:rsidRPr="00C56669">
        <w:rPr>
          <w:color w:val="000000" w:themeColor="text1"/>
          <w:sz w:val="24"/>
          <w:szCs w:val="24"/>
        </w:rPr>
        <w:t xml:space="preserve"> formando partículas maiores.</w:t>
      </w:r>
      <w:r w:rsidRPr="00C56669">
        <w:rPr>
          <w:color w:val="000000" w:themeColor="text1"/>
          <w:sz w:val="24"/>
          <w:szCs w:val="24"/>
          <w:vertAlign w:val="superscript"/>
        </w:rPr>
        <w:t xml:space="preserve"> </w:t>
      </w:r>
      <w:r w:rsidRPr="00C56669">
        <w:rPr>
          <w:color w:val="000000" w:themeColor="text1"/>
          <w:sz w:val="24"/>
          <w:szCs w:val="24"/>
        </w:rPr>
        <w:t xml:space="preserve">Após o revestimento com LS, nota-se uma mudança morfológica. </w:t>
      </w:r>
      <w:r w:rsidR="004E0971" w:rsidRPr="00C56669">
        <w:rPr>
          <w:color w:val="000000" w:themeColor="text1"/>
          <w:sz w:val="24"/>
          <w:szCs w:val="24"/>
        </w:rPr>
        <w:t>Assim,</w:t>
      </w:r>
      <w:r w:rsidRPr="00C56669">
        <w:rPr>
          <w:color w:val="000000" w:themeColor="text1"/>
          <w:sz w:val="24"/>
          <w:szCs w:val="24"/>
        </w:rPr>
        <w:t xml:space="preserve"> os aglomerados assumem tamanhos maiores, com morfologia mais homogênea e formato esférico mais bem definido</w:t>
      </w:r>
      <w:r w:rsidR="004E0971" w:rsidRPr="00C56669">
        <w:rPr>
          <w:color w:val="000000" w:themeColor="text1"/>
          <w:sz w:val="24"/>
          <w:szCs w:val="24"/>
        </w:rPr>
        <w:t>,</w:t>
      </w:r>
      <w:r w:rsidRPr="00C56669">
        <w:rPr>
          <w:color w:val="000000" w:themeColor="text1"/>
          <w:sz w:val="24"/>
          <w:szCs w:val="24"/>
        </w:rPr>
        <w:t xml:space="preserve"> </w:t>
      </w:r>
      <w:r w:rsidR="004E0971" w:rsidRPr="00C56669">
        <w:rPr>
          <w:color w:val="000000" w:themeColor="text1"/>
          <w:sz w:val="24"/>
          <w:szCs w:val="24"/>
        </w:rPr>
        <w:t>sendo</w:t>
      </w:r>
      <w:r w:rsidRPr="00C56669">
        <w:rPr>
          <w:color w:val="000000" w:themeColor="text1"/>
          <w:sz w:val="24"/>
          <w:szCs w:val="24"/>
        </w:rPr>
        <w:t xml:space="preserve"> uniforme para CoFe</w:t>
      </w:r>
      <w:r w:rsidRPr="00C56669">
        <w:rPr>
          <w:color w:val="000000" w:themeColor="text1"/>
          <w:sz w:val="24"/>
          <w:szCs w:val="24"/>
          <w:vertAlign w:val="subscript"/>
        </w:rPr>
        <w:t>2</w:t>
      </w:r>
      <w:r w:rsidRPr="00C56669">
        <w:rPr>
          <w:color w:val="000000" w:themeColor="text1"/>
          <w:sz w:val="24"/>
          <w:szCs w:val="24"/>
        </w:rPr>
        <w:t>O</w:t>
      </w:r>
      <w:r w:rsidRPr="00C56669">
        <w:rPr>
          <w:color w:val="000000" w:themeColor="text1"/>
          <w:sz w:val="24"/>
          <w:szCs w:val="24"/>
          <w:vertAlign w:val="subscript"/>
        </w:rPr>
        <w:t>4</w:t>
      </w:r>
      <w:r w:rsidRPr="00C56669">
        <w:rPr>
          <w:color w:val="000000" w:themeColor="text1"/>
          <w:sz w:val="24"/>
          <w:szCs w:val="24"/>
        </w:rPr>
        <w:t xml:space="preserve">-LS7,5. </w:t>
      </w:r>
    </w:p>
    <w:p w14:paraId="12F75EF3" w14:textId="2FE37CF3" w:rsidR="003F6036" w:rsidRPr="008B5DDB" w:rsidRDefault="004E0971" w:rsidP="003F6036">
      <w:pPr>
        <w:autoSpaceDE w:val="0"/>
        <w:autoSpaceDN w:val="0"/>
        <w:adjustRightInd w:val="0"/>
        <w:ind w:firstLine="340"/>
        <w:jc w:val="both"/>
        <w:rPr>
          <w:color w:val="000000" w:themeColor="text1"/>
          <w:sz w:val="24"/>
          <w:szCs w:val="24"/>
        </w:rPr>
      </w:pPr>
      <w:r w:rsidRPr="00C56669">
        <w:rPr>
          <w:color w:val="000000" w:themeColor="text1"/>
          <w:sz w:val="24"/>
          <w:szCs w:val="24"/>
        </w:rPr>
        <w:t>Os dados de</w:t>
      </w:r>
      <w:r w:rsidR="003F6036" w:rsidRPr="00C56669">
        <w:rPr>
          <w:color w:val="000000" w:themeColor="text1"/>
          <w:sz w:val="24"/>
          <w:szCs w:val="24"/>
        </w:rPr>
        <w:t xml:space="preserve"> Área Superficial (A</w:t>
      </w:r>
      <w:r w:rsidR="003F6036" w:rsidRPr="00C56669">
        <w:rPr>
          <w:color w:val="000000" w:themeColor="text1"/>
          <w:sz w:val="24"/>
          <w:szCs w:val="24"/>
          <w:vertAlign w:val="subscript"/>
        </w:rPr>
        <w:t>BET</w:t>
      </w:r>
      <w:r w:rsidR="003F6036" w:rsidRPr="00C56669">
        <w:rPr>
          <w:color w:val="000000" w:themeColor="text1"/>
          <w:sz w:val="24"/>
          <w:szCs w:val="24"/>
        </w:rPr>
        <w:t xml:space="preserve">), </w:t>
      </w:r>
      <w:r w:rsidRPr="00C56669">
        <w:rPr>
          <w:color w:val="000000" w:themeColor="text1"/>
          <w:sz w:val="24"/>
          <w:szCs w:val="24"/>
        </w:rPr>
        <w:t xml:space="preserve">Volume e </w:t>
      </w:r>
      <w:r w:rsidR="003F6036" w:rsidRPr="00C56669">
        <w:rPr>
          <w:color w:val="000000" w:themeColor="text1"/>
          <w:sz w:val="24"/>
          <w:szCs w:val="24"/>
        </w:rPr>
        <w:t>Tamanho dos poros (BJH) são apresentadas na Tabela 2.</w:t>
      </w:r>
      <w:r w:rsidR="003F6036" w:rsidRPr="008B5DDB">
        <w:rPr>
          <w:color w:val="000000" w:themeColor="text1"/>
          <w:sz w:val="24"/>
          <w:szCs w:val="24"/>
        </w:rPr>
        <w:t xml:space="preserve"> </w:t>
      </w:r>
      <w:r w:rsidR="003F6036" w:rsidRPr="008B5DDB">
        <w:rPr>
          <w:rFonts w:eastAsia="AdvGulliv-R"/>
          <w:color w:val="000000" w:themeColor="text1"/>
          <w:sz w:val="24"/>
          <w:szCs w:val="24"/>
        </w:rPr>
        <w:t xml:space="preserve">Nota-se que </w:t>
      </w:r>
      <w:r w:rsidR="003F6036" w:rsidRPr="008B5DDB">
        <w:rPr>
          <w:color w:val="000000" w:themeColor="text1"/>
          <w:sz w:val="24"/>
          <w:szCs w:val="24"/>
        </w:rPr>
        <w:t>a incorporação de LS resultou em uma diminuição na A</w:t>
      </w:r>
      <w:r w:rsidR="003F6036" w:rsidRPr="008B5DDB">
        <w:rPr>
          <w:color w:val="000000" w:themeColor="text1"/>
          <w:sz w:val="24"/>
          <w:szCs w:val="24"/>
          <w:vertAlign w:val="subscript"/>
        </w:rPr>
        <w:t>BET</w:t>
      </w:r>
      <w:r w:rsidR="003F6036" w:rsidRPr="008B5DDB">
        <w:rPr>
          <w:color w:val="000000" w:themeColor="text1"/>
          <w:sz w:val="24"/>
          <w:szCs w:val="24"/>
        </w:rPr>
        <w:t xml:space="preserve">, confirmando a incorporação de LS nas NPMS. Esta redução ocorre devido aos efeitos de agregação entre as NPMS, esses efeitos de agregação também causam o aumento do volume de poros.  </w:t>
      </w:r>
    </w:p>
    <w:p w14:paraId="370241A8" w14:textId="1F63EEA0" w:rsidR="003F6036" w:rsidRPr="00C56669" w:rsidRDefault="003F6036" w:rsidP="003F6036">
      <w:pPr>
        <w:autoSpaceDE w:val="0"/>
        <w:autoSpaceDN w:val="0"/>
        <w:adjustRightInd w:val="0"/>
        <w:ind w:firstLine="340"/>
        <w:jc w:val="both"/>
        <w:rPr>
          <w:color w:val="000000" w:themeColor="text1"/>
          <w:sz w:val="24"/>
          <w:szCs w:val="24"/>
        </w:rPr>
      </w:pPr>
      <w:r w:rsidRPr="008B5DDB">
        <w:rPr>
          <w:color w:val="000000" w:themeColor="text1"/>
          <w:sz w:val="24"/>
          <w:szCs w:val="24"/>
        </w:rPr>
        <w:t xml:space="preserve"> A AE mostrou que as LS exibem teores de enxofre em massa iguais a 2,68% e </w:t>
      </w:r>
      <w:r>
        <w:rPr>
          <w:color w:val="000000" w:themeColor="text1"/>
          <w:sz w:val="24"/>
          <w:szCs w:val="24"/>
        </w:rPr>
        <w:t>a</w:t>
      </w:r>
      <w:r w:rsidRPr="008B5DDB">
        <w:rPr>
          <w:color w:val="000000" w:themeColor="text1"/>
          <w:sz w:val="24"/>
          <w:szCs w:val="24"/>
        </w:rPr>
        <w:t>s fórmulas moleculares mínimas calculadas para a lignina pura, LS5 e LS7,5 foram C</w:t>
      </w:r>
      <w:r w:rsidRPr="008B5DDB">
        <w:rPr>
          <w:color w:val="000000" w:themeColor="text1"/>
          <w:sz w:val="24"/>
          <w:szCs w:val="24"/>
          <w:vertAlign w:val="subscript"/>
        </w:rPr>
        <w:t>9</w:t>
      </w:r>
      <w:r w:rsidRPr="008B5DDB">
        <w:rPr>
          <w:color w:val="000000" w:themeColor="text1"/>
          <w:sz w:val="24"/>
          <w:szCs w:val="24"/>
        </w:rPr>
        <w:t>H</w:t>
      </w:r>
      <w:r w:rsidRPr="008B5DDB">
        <w:rPr>
          <w:color w:val="000000" w:themeColor="text1"/>
          <w:sz w:val="24"/>
          <w:szCs w:val="24"/>
          <w:vertAlign w:val="subscript"/>
        </w:rPr>
        <w:t>10,4</w:t>
      </w:r>
      <w:r w:rsidRPr="008B5DDB">
        <w:rPr>
          <w:color w:val="000000" w:themeColor="text1"/>
          <w:sz w:val="24"/>
          <w:szCs w:val="24"/>
        </w:rPr>
        <w:t>O</w:t>
      </w:r>
      <w:r w:rsidRPr="008B5DDB">
        <w:rPr>
          <w:color w:val="000000" w:themeColor="text1"/>
          <w:sz w:val="24"/>
          <w:szCs w:val="24"/>
          <w:vertAlign w:val="subscript"/>
        </w:rPr>
        <w:t>3,75</w:t>
      </w:r>
      <w:r w:rsidRPr="008B5DDB">
        <w:rPr>
          <w:color w:val="000000" w:themeColor="text1"/>
          <w:sz w:val="24"/>
          <w:szCs w:val="24"/>
        </w:rPr>
        <w:t>, C</w:t>
      </w:r>
      <w:r w:rsidRPr="008B5DDB">
        <w:rPr>
          <w:color w:val="000000" w:themeColor="text1"/>
          <w:sz w:val="24"/>
          <w:szCs w:val="24"/>
          <w:vertAlign w:val="subscript"/>
        </w:rPr>
        <w:t>9</w:t>
      </w:r>
      <w:r w:rsidRPr="008B5DDB">
        <w:rPr>
          <w:color w:val="000000" w:themeColor="text1"/>
          <w:sz w:val="24"/>
          <w:szCs w:val="24"/>
        </w:rPr>
        <w:t>H</w:t>
      </w:r>
      <w:r w:rsidRPr="008B5DDB">
        <w:rPr>
          <w:color w:val="000000" w:themeColor="text1"/>
          <w:sz w:val="24"/>
          <w:szCs w:val="24"/>
          <w:vertAlign w:val="subscript"/>
        </w:rPr>
        <w:t>10,52</w:t>
      </w:r>
      <w:r w:rsidRPr="008B5DDB">
        <w:rPr>
          <w:color w:val="000000" w:themeColor="text1"/>
          <w:sz w:val="24"/>
          <w:szCs w:val="24"/>
        </w:rPr>
        <w:t>O</w:t>
      </w:r>
      <w:r w:rsidRPr="008B5DDB">
        <w:rPr>
          <w:color w:val="000000" w:themeColor="text1"/>
          <w:sz w:val="24"/>
          <w:szCs w:val="24"/>
          <w:vertAlign w:val="subscript"/>
        </w:rPr>
        <w:t>5,62</w:t>
      </w:r>
      <w:r w:rsidRPr="008B5DDB">
        <w:rPr>
          <w:color w:val="000000" w:themeColor="text1"/>
          <w:sz w:val="24"/>
          <w:szCs w:val="24"/>
        </w:rPr>
        <w:t>(SO</w:t>
      </w:r>
      <w:r w:rsidRPr="008B5DDB">
        <w:rPr>
          <w:color w:val="000000" w:themeColor="text1"/>
          <w:sz w:val="24"/>
          <w:szCs w:val="24"/>
          <w:vertAlign w:val="subscript"/>
        </w:rPr>
        <w:t>3</w:t>
      </w:r>
      <w:r w:rsidRPr="008B5DDB">
        <w:rPr>
          <w:color w:val="000000" w:themeColor="text1"/>
          <w:sz w:val="24"/>
          <w:szCs w:val="24"/>
        </w:rPr>
        <w:t>H)</w:t>
      </w:r>
      <w:r w:rsidRPr="008B5DDB">
        <w:rPr>
          <w:color w:val="000000" w:themeColor="text1"/>
          <w:sz w:val="24"/>
          <w:szCs w:val="24"/>
          <w:vertAlign w:val="subscript"/>
        </w:rPr>
        <w:t>0,18</w:t>
      </w:r>
      <w:r w:rsidRPr="008B5DDB">
        <w:rPr>
          <w:color w:val="000000" w:themeColor="text1"/>
          <w:sz w:val="24"/>
          <w:szCs w:val="24"/>
        </w:rPr>
        <w:t xml:space="preserve"> e C</w:t>
      </w:r>
      <w:r w:rsidRPr="008B5DDB">
        <w:rPr>
          <w:color w:val="000000" w:themeColor="text1"/>
          <w:sz w:val="24"/>
          <w:szCs w:val="24"/>
          <w:vertAlign w:val="subscript"/>
        </w:rPr>
        <w:t>9</w:t>
      </w:r>
      <w:r w:rsidRPr="008B5DDB">
        <w:rPr>
          <w:color w:val="000000" w:themeColor="text1"/>
          <w:sz w:val="24"/>
          <w:szCs w:val="24"/>
        </w:rPr>
        <w:t>H</w:t>
      </w:r>
      <w:r w:rsidRPr="008B5DDB">
        <w:rPr>
          <w:color w:val="000000" w:themeColor="text1"/>
          <w:sz w:val="24"/>
          <w:szCs w:val="24"/>
          <w:vertAlign w:val="subscript"/>
        </w:rPr>
        <w:t>10,52</w:t>
      </w:r>
      <w:r w:rsidRPr="008B5DDB">
        <w:rPr>
          <w:color w:val="000000" w:themeColor="text1"/>
          <w:sz w:val="24"/>
          <w:szCs w:val="24"/>
        </w:rPr>
        <w:t>O</w:t>
      </w:r>
      <w:r w:rsidRPr="008B5DDB">
        <w:rPr>
          <w:color w:val="000000" w:themeColor="text1"/>
          <w:sz w:val="24"/>
          <w:szCs w:val="24"/>
          <w:vertAlign w:val="subscript"/>
        </w:rPr>
        <w:t>5,62</w:t>
      </w:r>
      <w:r w:rsidRPr="008B5DDB">
        <w:rPr>
          <w:color w:val="000000" w:themeColor="text1"/>
          <w:sz w:val="24"/>
          <w:szCs w:val="24"/>
        </w:rPr>
        <w:t>(SO</w:t>
      </w:r>
      <w:r w:rsidRPr="008B5DDB">
        <w:rPr>
          <w:color w:val="000000" w:themeColor="text1"/>
          <w:sz w:val="24"/>
          <w:szCs w:val="24"/>
          <w:vertAlign w:val="subscript"/>
        </w:rPr>
        <w:t>3</w:t>
      </w:r>
      <w:r w:rsidRPr="008B5DDB">
        <w:rPr>
          <w:color w:val="000000" w:themeColor="text1"/>
          <w:sz w:val="24"/>
          <w:szCs w:val="24"/>
        </w:rPr>
        <w:t>H)</w:t>
      </w:r>
      <w:r w:rsidRPr="008B5DDB">
        <w:rPr>
          <w:color w:val="000000" w:themeColor="text1"/>
          <w:sz w:val="24"/>
          <w:szCs w:val="24"/>
          <w:vertAlign w:val="subscript"/>
        </w:rPr>
        <w:t>0,17</w:t>
      </w:r>
      <w:r w:rsidRPr="008B5DDB">
        <w:rPr>
          <w:color w:val="000000" w:themeColor="text1"/>
          <w:sz w:val="24"/>
          <w:szCs w:val="24"/>
        </w:rPr>
        <w:t xml:space="preserve">, respectivamente. </w:t>
      </w:r>
      <w:r w:rsidRPr="008B5DDB">
        <w:rPr>
          <w:rFonts w:eastAsia="TimesNewRoman"/>
          <w:color w:val="000000" w:themeColor="text1"/>
          <w:sz w:val="24"/>
          <w:szCs w:val="24"/>
        </w:rPr>
        <w:t xml:space="preserve">Os teores de grupos </w:t>
      </w:r>
      <w:r w:rsidRPr="008B5DDB">
        <w:rPr>
          <w:color w:val="000000" w:themeColor="text1"/>
          <w:sz w:val="24"/>
          <w:szCs w:val="24"/>
        </w:rPr>
        <w:t>–SO</w:t>
      </w:r>
      <w:r w:rsidRPr="008B5DDB">
        <w:rPr>
          <w:color w:val="000000" w:themeColor="text1"/>
          <w:sz w:val="24"/>
          <w:szCs w:val="24"/>
          <w:vertAlign w:val="subscript"/>
        </w:rPr>
        <w:t>3</w:t>
      </w:r>
      <w:r w:rsidRPr="008B5DDB">
        <w:rPr>
          <w:color w:val="000000" w:themeColor="text1"/>
          <w:sz w:val="24"/>
          <w:szCs w:val="24"/>
        </w:rPr>
        <w:t>H demonstram o mesmo valor para CoFe</w:t>
      </w:r>
      <w:r w:rsidRPr="008B5DDB">
        <w:rPr>
          <w:color w:val="000000" w:themeColor="text1"/>
          <w:sz w:val="24"/>
          <w:szCs w:val="24"/>
          <w:vertAlign w:val="subscript"/>
        </w:rPr>
        <w:t>2</w:t>
      </w:r>
      <w:r w:rsidRPr="008B5DDB">
        <w:rPr>
          <w:color w:val="000000" w:themeColor="text1"/>
          <w:sz w:val="24"/>
          <w:szCs w:val="24"/>
        </w:rPr>
        <w:t>O</w:t>
      </w:r>
      <w:r w:rsidRPr="008B5DDB">
        <w:rPr>
          <w:color w:val="000000" w:themeColor="text1"/>
          <w:sz w:val="24"/>
          <w:szCs w:val="24"/>
          <w:vertAlign w:val="subscript"/>
        </w:rPr>
        <w:t>4</w:t>
      </w:r>
      <w:r w:rsidRPr="008B5DDB">
        <w:rPr>
          <w:color w:val="000000" w:themeColor="text1"/>
          <w:sz w:val="24"/>
          <w:szCs w:val="24"/>
        </w:rPr>
        <w:t>-LS5 e CoFe</w:t>
      </w:r>
      <w:r w:rsidRPr="008B5DDB">
        <w:rPr>
          <w:color w:val="000000" w:themeColor="text1"/>
          <w:sz w:val="24"/>
          <w:szCs w:val="24"/>
          <w:vertAlign w:val="subscript"/>
        </w:rPr>
        <w:t>2</w:t>
      </w:r>
      <w:r w:rsidRPr="008B5DDB">
        <w:rPr>
          <w:color w:val="000000" w:themeColor="text1"/>
          <w:sz w:val="24"/>
          <w:szCs w:val="24"/>
        </w:rPr>
        <w:t>O</w:t>
      </w:r>
      <w:r w:rsidRPr="008B5DDB">
        <w:rPr>
          <w:color w:val="000000" w:themeColor="text1"/>
          <w:sz w:val="24"/>
          <w:szCs w:val="24"/>
          <w:vertAlign w:val="subscript"/>
        </w:rPr>
        <w:t>4</w:t>
      </w:r>
      <w:r w:rsidRPr="008B5DDB">
        <w:rPr>
          <w:color w:val="000000" w:themeColor="text1"/>
          <w:sz w:val="24"/>
          <w:szCs w:val="24"/>
        </w:rPr>
        <w:t>-LS7,5 (</w:t>
      </w:r>
      <w:r w:rsidRPr="008B5DDB">
        <w:rPr>
          <w:color w:val="000000" w:themeColor="text1"/>
          <w:sz w:val="24"/>
          <w:szCs w:val="24"/>
          <w:lang w:val="en-US"/>
        </w:rPr>
        <w:t>0.4 –</w:t>
      </w:r>
      <w:r w:rsidRPr="00C56669">
        <w:rPr>
          <w:noProof/>
          <w:color w:val="000000" w:themeColor="text1"/>
          <w:sz w:val="24"/>
          <w:szCs w:val="24"/>
          <w:lang w:val="en-US"/>
        </w:rPr>
        <w:t>SO</w:t>
      </w:r>
      <w:r w:rsidRPr="00C56669">
        <w:rPr>
          <w:noProof/>
          <w:color w:val="000000" w:themeColor="text1"/>
          <w:sz w:val="24"/>
          <w:szCs w:val="24"/>
          <w:vertAlign w:val="subscript"/>
          <w:lang w:val="en-US"/>
        </w:rPr>
        <w:t>3</w:t>
      </w:r>
      <w:r w:rsidRPr="00C56669">
        <w:rPr>
          <w:noProof/>
          <w:color w:val="000000" w:themeColor="text1"/>
          <w:sz w:val="24"/>
          <w:szCs w:val="24"/>
          <w:lang w:val="en-US"/>
        </w:rPr>
        <w:t>H (mol.g</w:t>
      </w:r>
      <w:r w:rsidRPr="00C56669">
        <w:rPr>
          <w:noProof/>
          <w:color w:val="000000" w:themeColor="text1"/>
          <w:sz w:val="24"/>
          <w:szCs w:val="24"/>
          <w:vertAlign w:val="superscript"/>
          <w:lang w:val="en-US"/>
        </w:rPr>
        <w:t>-1</w:t>
      </w:r>
      <w:r w:rsidRPr="00C56669">
        <w:rPr>
          <w:noProof/>
          <w:color w:val="000000" w:themeColor="text1"/>
          <w:sz w:val="24"/>
          <w:szCs w:val="24"/>
          <w:lang w:val="en-US"/>
        </w:rPr>
        <w:t>),</w:t>
      </w:r>
      <w:r w:rsidRPr="008B5DDB">
        <w:rPr>
          <w:noProof/>
          <w:color w:val="000000" w:themeColor="text1"/>
          <w:sz w:val="24"/>
          <w:szCs w:val="24"/>
          <w:lang w:val="en-US"/>
        </w:rPr>
        <w:t xml:space="preserve"> </w:t>
      </w:r>
      <w:r w:rsidRPr="008B5DDB">
        <w:rPr>
          <w:bCs/>
          <w:color w:val="000000" w:themeColor="text1"/>
          <w:sz w:val="24"/>
          <w:szCs w:val="24"/>
        </w:rPr>
        <w:t xml:space="preserve">valores superiores aos reportados na literatura como </w:t>
      </w:r>
      <w:proofErr w:type="spellStart"/>
      <w:r w:rsidRPr="008B5DDB">
        <w:rPr>
          <w:color w:val="000000" w:themeColor="text1"/>
          <w:sz w:val="24"/>
          <w:szCs w:val="24"/>
        </w:rPr>
        <w:t>Kumar</w:t>
      </w:r>
      <w:proofErr w:type="spellEnd"/>
      <w:r>
        <w:rPr>
          <w:color w:val="000000" w:themeColor="text1"/>
          <w:sz w:val="24"/>
          <w:szCs w:val="24"/>
        </w:rPr>
        <w:t>;</w:t>
      </w:r>
      <w:r w:rsidRPr="008B5DDB">
        <w:rPr>
          <w:color w:val="000000" w:themeColor="text1"/>
          <w:sz w:val="24"/>
          <w:szCs w:val="24"/>
        </w:rPr>
        <w:t xml:space="preserve"> Alén</w:t>
      </w:r>
      <w:r>
        <w:rPr>
          <w:color w:val="000000" w:themeColor="text1"/>
          <w:sz w:val="24"/>
          <w:szCs w:val="24"/>
          <w:vertAlign w:val="superscript"/>
        </w:rPr>
        <w:t>1</w:t>
      </w:r>
      <w:r w:rsidR="00A6700B">
        <w:rPr>
          <w:color w:val="000000" w:themeColor="text1"/>
          <w:sz w:val="24"/>
          <w:szCs w:val="24"/>
          <w:vertAlign w:val="superscript"/>
        </w:rPr>
        <w:t>0</w:t>
      </w:r>
      <w:r w:rsidRPr="008B5DDB">
        <w:rPr>
          <w:color w:val="000000" w:themeColor="text1"/>
          <w:sz w:val="24"/>
          <w:szCs w:val="24"/>
        </w:rPr>
        <w:t xml:space="preserve"> e </w:t>
      </w:r>
      <w:proofErr w:type="spellStart"/>
      <w:r w:rsidRPr="008B5DDB">
        <w:rPr>
          <w:color w:val="000000" w:themeColor="text1"/>
          <w:sz w:val="24"/>
          <w:szCs w:val="24"/>
        </w:rPr>
        <w:t>Liang</w:t>
      </w:r>
      <w:proofErr w:type="spellEnd"/>
      <w:r w:rsidRPr="008B5DDB">
        <w:rPr>
          <w:color w:val="000000" w:themeColor="text1"/>
          <w:sz w:val="24"/>
          <w:szCs w:val="24"/>
        </w:rPr>
        <w:t xml:space="preserve"> et al.</w:t>
      </w:r>
      <w:r w:rsidRPr="009F2C72">
        <w:rPr>
          <w:color w:val="000000" w:themeColor="text1"/>
          <w:sz w:val="24"/>
          <w:szCs w:val="24"/>
          <w:vertAlign w:val="superscript"/>
        </w:rPr>
        <w:t>1</w:t>
      </w:r>
      <w:r w:rsidR="00A6700B">
        <w:rPr>
          <w:color w:val="000000" w:themeColor="text1"/>
          <w:sz w:val="24"/>
          <w:szCs w:val="24"/>
          <w:vertAlign w:val="superscript"/>
        </w:rPr>
        <w:t>1</w:t>
      </w:r>
      <w:r w:rsidRPr="008B5DDB">
        <w:rPr>
          <w:color w:val="000000" w:themeColor="text1"/>
          <w:sz w:val="24"/>
          <w:szCs w:val="24"/>
        </w:rPr>
        <w:t xml:space="preserve">, os quais apresentam catalisadores sólidos preparados a partir da </w:t>
      </w:r>
      <w:proofErr w:type="spellStart"/>
      <w:r w:rsidRPr="008B5DDB">
        <w:rPr>
          <w:color w:val="000000" w:themeColor="text1"/>
          <w:sz w:val="24"/>
          <w:szCs w:val="24"/>
        </w:rPr>
        <w:t>sulfonação</w:t>
      </w:r>
      <w:proofErr w:type="spellEnd"/>
      <w:r w:rsidRPr="008B5DDB">
        <w:rPr>
          <w:color w:val="000000" w:themeColor="text1"/>
          <w:sz w:val="24"/>
          <w:szCs w:val="24"/>
        </w:rPr>
        <w:t xml:space="preserve"> de lignina com teores de grupamentos –</w:t>
      </w:r>
      <w:r w:rsidRPr="008B5DDB">
        <w:rPr>
          <w:rFonts w:eastAsia="TimesNewRoman"/>
          <w:color w:val="000000" w:themeColor="text1"/>
          <w:sz w:val="24"/>
          <w:szCs w:val="24"/>
        </w:rPr>
        <w:t>SO</w:t>
      </w:r>
      <w:r w:rsidRPr="008B5DDB">
        <w:rPr>
          <w:rFonts w:eastAsia="TimesNewRoman"/>
          <w:color w:val="000000" w:themeColor="text1"/>
          <w:sz w:val="24"/>
          <w:szCs w:val="24"/>
          <w:vertAlign w:val="subscript"/>
        </w:rPr>
        <w:t>3</w:t>
      </w:r>
      <w:r w:rsidRPr="008B5DDB">
        <w:rPr>
          <w:rFonts w:eastAsia="TimesNewRoman"/>
          <w:color w:val="000000" w:themeColor="text1"/>
          <w:sz w:val="24"/>
          <w:szCs w:val="24"/>
        </w:rPr>
        <w:t>H</w:t>
      </w:r>
      <w:r w:rsidRPr="008B5DDB">
        <w:rPr>
          <w:color w:val="000000" w:themeColor="text1"/>
          <w:sz w:val="24"/>
          <w:szCs w:val="24"/>
        </w:rPr>
        <w:t xml:space="preserve"> iguais a 1,40 e </w:t>
      </w:r>
      <w:r w:rsidRPr="008B5DDB">
        <w:rPr>
          <w:bCs/>
          <w:color w:val="000000" w:themeColor="text1"/>
          <w:sz w:val="24"/>
          <w:szCs w:val="24"/>
        </w:rPr>
        <w:t xml:space="preserve">2,22 </w:t>
      </w:r>
      <w:r w:rsidRPr="008B5DDB">
        <w:rPr>
          <w:color w:val="000000" w:themeColor="text1"/>
          <w:sz w:val="24"/>
          <w:szCs w:val="24"/>
        </w:rPr>
        <w:t>mmol.g</w:t>
      </w:r>
      <w:r w:rsidRPr="008B5DDB">
        <w:rPr>
          <w:color w:val="000000" w:themeColor="text1"/>
          <w:sz w:val="24"/>
          <w:szCs w:val="24"/>
          <w:vertAlign w:val="superscript"/>
        </w:rPr>
        <w:t>-1</w:t>
      </w:r>
      <w:r w:rsidRPr="008B5DDB">
        <w:rPr>
          <w:bCs/>
          <w:color w:val="000000" w:themeColor="text1"/>
          <w:sz w:val="24"/>
          <w:szCs w:val="24"/>
        </w:rPr>
        <w:t xml:space="preserve">, respectivamente. </w:t>
      </w:r>
      <w:r w:rsidRPr="008B5DDB">
        <w:rPr>
          <w:color w:val="000000" w:themeColor="text1"/>
          <w:sz w:val="24"/>
          <w:szCs w:val="24"/>
        </w:rPr>
        <w:t>Tais resultados evidenciam que os volumes maiores de H</w:t>
      </w:r>
      <w:r w:rsidRPr="008B5DDB">
        <w:rPr>
          <w:color w:val="000000" w:themeColor="text1"/>
          <w:sz w:val="24"/>
          <w:szCs w:val="24"/>
          <w:vertAlign w:val="subscript"/>
        </w:rPr>
        <w:t>2</w:t>
      </w:r>
      <w:r w:rsidRPr="008B5DDB">
        <w:rPr>
          <w:color w:val="000000" w:themeColor="text1"/>
          <w:sz w:val="24"/>
          <w:szCs w:val="24"/>
        </w:rPr>
        <w:t>SO</w:t>
      </w:r>
      <w:r w:rsidRPr="008B5DDB">
        <w:rPr>
          <w:color w:val="000000" w:themeColor="text1"/>
          <w:sz w:val="24"/>
          <w:szCs w:val="24"/>
          <w:vertAlign w:val="subscript"/>
        </w:rPr>
        <w:t>4</w:t>
      </w:r>
      <w:r w:rsidRPr="008B5DDB">
        <w:rPr>
          <w:color w:val="000000" w:themeColor="text1"/>
          <w:sz w:val="24"/>
          <w:szCs w:val="24"/>
        </w:rPr>
        <w:t xml:space="preserve"> (98%) e </w:t>
      </w:r>
      <w:r w:rsidRPr="008B5DDB">
        <w:rPr>
          <w:color w:val="000000" w:themeColor="text1"/>
          <w:sz w:val="24"/>
          <w:szCs w:val="24"/>
          <w:shd w:val="clear" w:color="auto" w:fill="FFFFFF"/>
        </w:rPr>
        <w:t>anidrido acético</w:t>
      </w:r>
      <w:r w:rsidRPr="008B5DDB">
        <w:rPr>
          <w:color w:val="000000" w:themeColor="text1"/>
          <w:sz w:val="24"/>
          <w:szCs w:val="24"/>
        </w:rPr>
        <w:t xml:space="preserve"> </w:t>
      </w:r>
      <w:r w:rsidRPr="008B5DDB">
        <w:rPr>
          <w:color w:val="000000" w:themeColor="text1"/>
          <w:sz w:val="24"/>
          <w:szCs w:val="24"/>
        </w:rPr>
        <w:lastRenderedPageBreak/>
        <w:t xml:space="preserve">utilizados na preparação de LS7,5 não contribuíram para aumentar a quantidade de </w:t>
      </w:r>
      <w:r w:rsidRPr="00C56669">
        <w:rPr>
          <w:color w:val="000000" w:themeColor="text1"/>
          <w:sz w:val="24"/>
          <w:szCs w:val="24"/>
        </w:rPr>
        <w:t>grupos –SO</w:t>
      </w:r>
      <w:r w:rsidRPr="00C56669">
        <w:rPr>
          <w:color w:val="000000" w:themeColor="text1"/>
          <w:sz w:val="24"/>
          <w:szCs w:val="24"/>
          <w:vertAlign w:val="subscript"/>
        </w:rPr>
        <w:t>3</w:t>
      </w:r>
      <w:r w:rsidRPr="00C56669">
        <w:rPr>
          <w:color w:val="000000" w:themeColor="text1"/>
          <w:sz w:val="24"/>
          <w:szCs w:val="24"/>
        </w:rPr>
        <w:t xml:space="preserve">H na estrutura química da lignina (Tabela 3).   </w:t>
      </w:r>
    </w:p>
    <w:p w14:paraId="6C9D9867" w14:textId="77777777" w:rsidR="003F6036" w:rsidRPr="008B5DDB" w:rsidRDefault="003F6036" w:rsidP="003F6036">
      <w:pPr>
        <w:ind w:firstLine="340"/>
        <w:jc w:val="both"/>
        <w:rPr>
          <w:color w:val="000000" w:themeColor="text1"/>
          <w:sz w:val="24"/>
          <w:szCs w:val="24"/>
        </w:rPr>
      </w:pPr>
      <w:r w:rsidRPr="00C56669">
        <w:rPr>
          <w:rStyle w:val="normaltextrun"/>
          <w:color w:val="000000" w:themeColor="text1"/>
          <w:sz w:val="24"/>
          <w:szCs w:val="24"/>
          <w:bdr w:val="none" w:sz="0" w:space="0" w:color="auto" w:frame="1"/>
        </w:rPr>
        <w:t>Os</w:t>
      </w:r>
      <w:r w:rsidRPr="00C56669">
        <w:rPr>
          <w:color w:val="000000" w:themeColor="text1"/>
          <w:sz w:val="24"/>
          <w:szCs w:val="24"/>
        </w:rPr>
        <w:t xml:space="preserve"> termogramas revelaram uma maior estabilidade térmica da lignina após a </w:t>
      </w:r>
      <w:proofErr w:type="spellStart"/>
      <w:r w:rsidRPr="00C56669">
        <w:rPr>
          <w:color w:val="000000" w:themeColor="text1"/>
          <w:sz w:val="24"/>
          <w:szCs w:val="24"/>
        </w:rPr>
        <w:t>sulfonação</w:t>
      </w:r>
      <w:proofErr w:type="spellEnd"/>
      <w:r w:rsidRPr="00C56669">
        <w:rPr>
          <w:color w:val="000000" w:themeColor="text1"/>
          <w:sz w:val="24"/>
          <w:szCs w:val="24"/>
        </w:rPr>
        <w:t xml:space="preserve"> (Figura 3).</w:t>
      </w:r>
      <w:r w:rsidRPr="008B5DDB">
        <w:rPr>
          <w:color w:val="000000" w:themeColor="text1"/>
          <w:sz w:val="24"/>
          <w:szCs w:val="24"/>
        </w:rPr>
        <w:t xml:space="preserve"> Observa-se para ambas as amostras perfis similares até aproximadamente 300 °C, no entanto, a partir desta temperatura nota-se uma maior estabilidade térmica para LS7,5, cuja degradação completa ocorre em torno de 1000 °C; enquanto que para LS5 acontece em aproximadamente 800 °C. As semelhanças observadas inicialmente nos perfis de degradação térmica de LS5 e LS7,5 condizem com os dados da AE, os quais revelaram que ambos os materiais possuem teores de enxofre iguais. Enquanto que a maior estabilidade térmica exibida por LS7,5 em temperaturas mais elevadas pode ser atribuída ao maior volume de H</w:t>
      </w:r>
      <w:r w:rsidRPr="008B5DDB">
        <w:rPr>
          <w:color w:val="000000" w:themeColor="text1"/>
          <w:sz w:val="24"/>
          <w:szCs w:val="24"/>
          <w:vertAlign w:val="subscript"/>
        </w:rPr>
        <w:t>2</w:t>
      </w:r>
      <w:r w:rsidRPr="008B5DDB">
        <w:rPr>
          <w:color w:val="000000" w:themeColor="text1"/>
          <w:sz w:val="24"/>
          <w:szCs w:val="24"/>
        </w:rPr>
        <w:t>SO</w:t>
      </w:r>
      <w:r w:rsidRPr="008B5DDB">
        <w:rPr>
          <w:color w:val="000000" w:themeColor="text1"/>
          <w:sz w:val="24"/>
          <w:szCs w:val="24"/>
          <w:vertAlign w:val="subscript"/>
        </w:rPr>
        <w:t xml:space="preserve">4 </w:t>
      </w:r>
      <w:r w:rsidRPr="008B5DDB">
        <w:rPr>
          <w:color w:val="000000" w:themeColor="text1"/>
          <w:sz w:val="24"/>
          <w:szCs w:val="24"/>
        </w:rPr>
        <w:t>(98%) empregado em sua síntese, o que ocasionou uma maior agregação da lignina.</w:t>
      </w:r>
    </w:p>
    <w:p w14:paraId="74ECA778" w14:textId="77777777" w:rsidR="003F6036" w:rsidRPr="00C56669" w:rsidRDefault="003F6036" w:rsidP="003F6036">
      <w:pPr>
        <w:ind w:firstLine="340"/>
        <w:jc w:val="both"/>
        <w:rPr>
          <w:color w:val="000000" w:themeColor="text1"/>
          <w:sz w:val="24"/>
          <w:szCs w:val="24"/>
        </w:rPr>
      </w:pPr>
      <w:r w:rsidRPr="008B5DDB">
        <w:rPr>
          <w:rStyle w:val="fsa"/>
          <w:color w:val="000000" w:themeColor="text1"/>
          <w:sz w:val="24"/>
          <w:szCs w:val="24"/>
        </w:rPr>
        <w:t xml:space="preserve">Para as </w:t>
      </w:r>
      <w:proofErr w:type="spellStart"/>
      <w:r w:rsidRPr="008B5DDB">
        <w:rPr>
          <w:rStyle w:val="fsa"/>
          <w:color w:val="000000" w:themeColor="text1"/>
          <w:sz w:val="24"/>
          <w:szCs w:val="24"/>
        </w:rPr>
        <w:t>ferritas</w:t>
      </w:r>
      <w:proofErr w:type="spellEnd"/>
      <w:r w:rsidRPr="008B5DDB">
        <w:rPr>
          <w:rStyle w:val="fsa"/>
          <w:color w:val="000000" w:themeColor="text1"/>
          <w:sz w:val="24"/>
          <w:szCs w:val="24"/>
        </w:rPr>
        <w:t xml:space="preserve"> </w:t>
      </w:r>
      <w:r w:rsidRPr="00C56669">
        <w:rPr>
          <w:color w:val="000000" w:themeColor="text1"/>
          <w:sz w:val="24"/>
          <w:szCs w:val="24"/>
        </w:rPr>
        <w:t>revestidas (Figura 3)</w:t>
      </w:r>
      <w:r w:rsidRPr="00C56669">
        <w:rPr>
          <w:rStyle w:val="fsa"/>
          <w:color w:val="000000" w:themeColor="text1"/>
          <w:sz w:val="24"/>
          <w:szCs w:val="24"/>
        </w:rPr>
        <w:t xml:space="preserve">, nota-se a ocorrência de </w:t>
      </w:r>
      <w:r w:rsidRPr="00C56669">
        <w:rPr>
          <w:color w:val="000000" w:themeColor="text1"/>
          <w:sz w:val="24"/>
          <w:szCs w:val="24"/>
        </w:rPr>
        <w:t>dois eventos térmicos. O primeiro, do início da análise até aproximadamente 130 °C, relativo à perda da umidade adsorvida; e o segundo, atribuído à degradação da LS incorporada à NPM. Nesse sentido, as faixas de degradação observadas para cada amostra foram: CoFe</w:t>
      </w:r>
      <w:r w:rsidRPr="00C56669">
        <w:rPr>
          <w:color w:val="000000" w:themeColor="text1"/>
          <w:sz w:val="24"/>
          <w:szCs w:val="24"/>
          <w:vertAlign w:val="subscript"/>
        </w:rPr>
        <w:t>2</w:t>
      </w:r>
      <w:r w:rsidRPr="00C56669">
        <w:rPr>
          <w:color w:val="000000" w:themeColor="text1"/>
          <w:sz w:val="24"/>
          <w:szCs w:val="24"/>
        </w:rPr>
        <w:t>O</w:t>
      </w:r>
      <w:r w:rsidRPr="00C56669">
        <w:rPr>
          <w:color w:val="000000" w:themeColor="text1"/>
          <w:sz w:val="24"/>
          <w:szCs w:val="24"/>
          <w:vertAlign w:val="subscript"/>
        </w:rPr>
        <w:t>4</w:t>
      </w:r>
      <w:r w:rsidRPr="00C56669">
        <w:rPr>
          <w:color w:val="000000" w:themeColor="text1"/>
          <w:sz w:val="24"/>
          <w:szCs w:val="24"/>
        </w:rPr>
        <w:t>-LS5 (130-570 °C) e CoFe</w:t>
      </w:r>
      <w:r w:rsidRPr="00C56669">
        <w:rPr>
          <w:color w:val="000000" w:themeColor="text1"/>
          <w:sz w:val="24"/>
          <w:szCs w:val="24"/>
          <w:vertAlign w:val="subscript"/>
        </w:rPr>
        <w:t>2</w:t>
      </w:r>
      <w:r w:rsidRPr="00C56669">
        <w:rPr>
          <w:color w:val="000000" w:themeColor="text1"/>
          <w:sz w:val="24"/>
          <w:szCs w:val="24"/>
        </w:rPr>
        <w:t>O</w:t>
      </w:r>
      <w:r w:rsidRPr="00C56669">
        <w:rPr>
          <w:color w:val="000000" w:themeColor="text1"/>
          <w:sz w:val="24"/>
          <w:szCs w:val="24"/>
          <w:vertAlign w:val="subscript"/>
        </w:rPr>
        <w:t>4</w:t>
      </w:r>
      <w:r w:rsidRPr="00C56669">
        <w:rPr>
          <w:color w:val="000000" w:themeColor="text1"/>
          <w:sz w:val="24"/>
          <w:szCs w:val="24"/>
        </w:rPr>
        <w:t xml:space="preserve">-LS7,5 (130-960 °C). Os percentuais de LS incorporado às </w:t>
      </w:r>
      <w:proofErr w:type="spellStart"/>
      <w:r w:rsidRPr="00C56669">
        <w:rPr>
          <w:color w:val="000000" w:themeColor="text1"/>
          <w:sz w:val="24"/>
          <w:szCs w:val="24"/>
        </w:rPr>
        <w:t>NPMs</w:t>
      </w:r>
      <w:proofErr w:type="spellEnd"/>
      <w:r w:rsidRPr="00C56669">
        <w:rPr>
          <w:color w:val="000000" w:themeColor="text1"/>
          <w:sz w:val="24"/>
          <w:szCs w:val="24"/>
        </w:rPr>
        <w:t xml:space="preserve"> (Tabela 4)</w:t>
      </w:r>
      <w:r w:rsidRPr="008B5DDB">
        <w:rPr>
          <w:color w:val="000000" w:themeColor="text1"/>
          <w:sz w:val="24"/>
          <w:szCs w:val="24"/>
        </w:rPr>
        <w:t xml:space="preserve"> corroboram os padrões de DRX obtidos, uma vez que exibem a incorporação de LS em grandes quantidades, confirmado pela presença da região amorfa 2θ (10-30°), característica para a </w:t>
      </w:r>
      <w:r w:rsidRPr="00C56669">
        <w:rPr>
          <w:color w:val="000000" w:themeColor="text1"/>
          <w:sz w:val="24"/>
          <w:szCs w:val="24"/>
        </w:rPr>
        <w:t xml:space="preserve">lignina. </w:t>
      </w:r>
    </w:p>
    <w:p w14:paraId="35E190C5" w14:textId="61121072" w:rsidR="003F6036" w:rsidRPr="00C56669" w:rsidRDefault="003F6036" w:rsidP="003F6036">
      <w:pPr>
        <w:ind w:firstLine="340"/>
        <w:jc w:val="both"/>
        <w:rPr>
          <w:color w:val="000000" w:themeColor="text1"/>
          <w:sz w:val="24"/>
          <w:szCs w:val="24"/>
        </w:rPr>
      </w:pPr>
      <w:r w:rsidRPr="00C56669">
        <w:rPr>
          <w:color w:val="000000" w:themeColor="text1"/>
          <w:sz w:val="24"/>
          <w:szCs w:val="24"/>
        </w:rPr>
        <w:t>A partir dos espectros de FTIR obtidos, as alturas dos picos do ácido oleico (1710 cm</w:t>
      </w:r>
      <w:r w:rsidRPr="00C56669">
        <w:rPr>
          <w:color w:val="000000" w:themeColor="text1"/>
          <w:sz w:val="24"/>
          <w:szCs w:val="24"/>
          <w:vertAlign w:val="superscript"/>
        </w:rPr>
        <w:t>-1</w:t>
      </w:r>
      <w:r w:rsidRPr="00C56669">
        <w:rPr>
          <w:color w:val="000000" w:themeColor="text1"/>
          <w:sz w:val="24"/>
          <w:szCs w:val="24"/>
        </w:rPr>
        <w:t>) e éster (1742 cm</w:t>
      </w:r>
      <w:r w:rsidRPr="00C56669">
        <w:rPr>
          <w:color w:val="000000" w:themeColor="text1"/>
          <w:sz w:val="24"/>
          <w:szCs w:val="24"/>
          <w:vertAlign w:val="superscript"/>
        </w:rPr>
        <w:t>-1</w:t>
      </w:r>
      <w:r w:rsidRPr="00C56669">
        <w:rPr>
          <w:color w:val="000000" w:themeColor="text1"/>
          <w:sz w:val="24"/>
          <w:szCs w:val="24"/>
        </w:rPr>
        <w:t xml:space="preserve">) foram determinados traçando-se uma linha de base. O teor de ácido oleico nos produtos e a conversão do referido ácido graxo após a esterificação foram determinadas por Cromatografia Gasosa Acoplada à Espectrometria de Massas (GC-MS). A identificação dos constituintes químicos das amostras analisadas foi realizada pela comparação com os espectros de massas das substâncias do banco de dados do sistema GC-MS. A partir da análise quantitativa dos picos característicos do ácido oleico e do éster, </w:t>
      </w:r>
      <w:r w:rsidRPr="00C56669">
        <w:rPr>
          <w:color w:val="000000" w:themeColor="text1"/>
          <w:sz w:val="24"/>
          <w:szCs w:val="24"/>
        </w:rPr>
        <w:lastRenderedPageBreak/>
        <w:t>calculou-se a porcentagem de ambos considerando-se a altura dos picos. As alturas foram determinadas traçando-se uma linha de base sobre os picos de interesse, relacionando os mesmos utilizando regra de três. As proporções entre os picos analisados bem como as concentrações de ácido oleico nos produtos obtidos via esterificação determinados por GC-MS, avaliando-se a</w:t>
      </w:r>
      <w:r w:rsidRPr="00C56669">
        <w:rPr>
          <w:bCs/>
          <w:color w:val="000000" w:themeColor="text1"/>
          <w:sz w:val="24"/>
          <w:szCs w:val="24"/>
        </w:rPr>
        <w:t xml:space="preserve">s variáveis tempo de reação e temperatura </w:t>
      </w:r>
      <w:r w:rsidRPr="00C56669">
        <w:rPr>
          <w:color w:val="000000" w:themeColor="text1"/>
          <w:sz w:val="24"/>
          <w:szCs w:val="24"/>
        </w:rPr>
        <w:t xml:space="preserve">(Tabela </w:t>
      </w:r>
      <w:r w:rsidR="00CE645B" w:rsidRPr="00C56669">
        <w:rPr>
          <w:color w:val="000000" w:themeColor="text1"/>
          <w:sz w:val="24"/>
          <w:szCs w:val="24"/>
        </w:rPr>
        <w:t>5</w:t>
      </w:r>
      <w:r w:rsidRPr="00C56669">
        <w:rPr>
          <w:color w:val="000000" w:themeColor="text1"/>
          <w:sz w:val="24"/>
          <w:szCs w:val="24"/>
        </w:rPr>
        <w:t xml:space="preserve">). </w:t>
      </w:r>
    </w:p>
    <w:p w14:paraId="297B97E1" w14:textId="3114B813" w:rsidR="003F6036" w:rsidRPr="00C56669" w:rsidRDefault="003F6036" w:rsidP="003F6036">
      <w:pPr>
        <w:pStyle w:val="Textodecomentrio"/>
        <w:ind w:firstLine="340"/>
        <w:jc w:val="both"/>
        <w:rPr>
          <w:rFonts w:ascii="Times New Roman" w:hAnsi="Times New Roman" w:cs="Times New Roman"/>
          <w:color w:val="000000" w:themeColor="text1"/>
          <w:sz w:val="24"/>
        </w:rPr>
      </w:pPr>
      <w:r w:rsidRPr="00C56669">
        <w:rPr>
          <w:rFonts w:ascii="Times New Roman" w:hAnsi="Times New Roman" w:cs="Times New Roman"/>
          <w:color w:val="000000" w:themeColor="text1"/>
          <w:sz w:val="24"/>
        </w:rPr>
        <w:t xml:space="preserve">Os dados exibidos na Tabela </w:t>
      </w:r>
      <w:r w:rsidR="00CE645B" w:rsidRPr="00C56669">
        <w:rPr>
          <w:rFonts w:ascii="Times New Roman" w:hAnsi="Times New Roman" w:cs="Times New Roman"/>
          <w:color w:val="000000" w:themeColor="text1"/>
          <w:sz w:val="24"/>
        </w:rPr>
        <w:t>5</w:t>
      </w:r>
      <w:r w:rsidRPr="00C56669">
        <w:rPr>
          <w:rFonts w:ascii="Times New Roman" w:hAnsi="Times New Roman" w:cs="Times New Roman"/>
          <w:color w:val="000000" w:themeColor="text1"/>
          <w:sz w:val="24"/>
        </w:rPr>
        <w:t>, demostram que para Co</w:t>
      </w:r>
      <w:r w:rsidRPr="00C56669">
        <w:rPr>
          <w:rFonts w:ascii="Times New Roman" w:hAnsi="Times New Roman" w:cs="Times New Roman"/>
          <w:color w:val="000000" w:themeColor="text1"/>
          <w:sz w:val="24"/>
          <w:szCs w:val="24"/>
        </w:rPr>
        <w:t>Fe</w:t>
      </w:r>
      <w:r w:rsidRPr="00C56669">
        <w:rPr>
          <w:rFonts w:ascii="Times New Roman" w:hAnsi="Times New Roman" w:cs="Times New Roman"/>
          <w:color w:val="000000" w:themeColor="text1"/>
          <w:sz w:val="24"/>
          <w:szCs w:val="24"/>
          <w:vertAlign w:val="subscript"/>
        </w:rPr>
        <w:t>2</w:t>
      </w:r>
      <w:r w:rsidRPr="00C56669">
        <w:rPr>
          <w:rFonts w:ascii="Times New Roman" w:hAnsi="Times New Roman" w:cs="Times New Roman"/>
          <w:color w:val="000000" w:themeColor="text1"/>
          <w:sz w:val="24"/>
          <w:szCs w:val="24"/>
        </w:rPr>
        <w:t>O</w:t>
      </w:r>
      <w:r w:rsidRPr="00C56669">
        <w:rPr>
          <w:rFonts w:ascii="Times New Roman" w:hAnsi="Times New Roman" w:cs="Times New Roman"/>
          <w:color w:val="000000" w:themeColor="text1"/>
          <w:sz w:val="24"/>
          <w:szCs w:val="24"/>
          <w:vertAlign w:val="subscript"/>
        </w:rPr>
        <w:t>4</w:t>
      </w:r>
      <w:r w:rsidRPr="00C56669">
        <w:rPr>
          <w:rFonts w:ascii="Times New Roman" w:hAnsi="Times New Roman" w:cs="Times New Roman"/>
          <w:color w:val="000000" w:themeColor="text1"/>
          <w:sz w:val="24"/>
        </w:rPr>
        <w:t xml:space="preserve">-LS5, a 80ºC o processo de catálise não apresenta valores expressivos para a conversão de ácido oleico em éster metílico, sendo observadas conversões na ordem de 65% para os tempos de 4 e 6h. No entanto, para a temperatura de 100ºC, são observados altos índices de produção de metil éster, </w:t>
      </w:r>
      <w:r w:rsidRPr="00C56669">
        <w:rPr>
          <w:rFonts w:ascii="Times New Roman" w:hAnsi="Times New Roman" w:cs="Times New Roman"/>
          <w:color w:val="000000" w:themeColor="text1"/>
          <w:sz w:val="24"/>
          <w:lang w:eastAsia="pt-BR"/>
        </w:rPr>
        <w:t>75,60 e 79,20%, para</w:t>
      </w:r>
      <w:r w:rsidRPr="00C56669">
        <w:rPr>
          <w:rFonts w:ascii="Times New Roman" w:hAnsi="Times New Roman" w:cs="Times New Roman"/>
          <w:color w:val="000000" w:themeColor="text1"/>
          <w:sz w:val="24"/>
        </w:rPr>
        <w:t xml:space="preserve"> 4 e 6h, respectivamente. Para Co</w:t>
      </w:r>
      <w:r w:rsidRPr="00C56669">
        <w:rPr>
          <w:rFonts w:ascii="Times New Roman" w:hAnsi="Times New Roman" w:cs="Times New Roman"/>
          <w:color w:val="000000" w:themeColor="text1"/>
          <w:sz w:val="24"/>
          <w:szCs w:val="24"/>
        </w:rPr>
        <w:t>Fe</w:t>
      </w:r>
      <w:r w:rsidRPr="00C56669">
        <w:rPr>
          <w:rFonts w:ascii="Times New Roman" w:hAnsi="Times New Roman" w:cs="Times New Roman"/>
          <w:color w:val="000000" w:themeColor="text1"/>
          <w:sz w:val="24"/>
          <w:szCs w:val="24"/>
          <w:vertAlign w:val="subscript"/>
        </w:rPr>
        <w:t>2</w:t>
      </w:r>
      <w:r w:rsidRPr="00C56669">
        <w:rPr>
          <w:rFonts w:ascii="Times New Roman" w:hAnsi="Times New Roman" w:cs="Times New Roman"/>
          <w:color w:val="000000" w:themeColor="text1"/>
          <w:sz w:val="24"/>
          <w:szCs w:val="24"/>
        </w:rPr>
        <w:t>O</w:t>
      </w:r>
      <w:r w:rsidRPr="00C56669">
        <w:rPr>
          <w:rFonts w:ascii="Times New Roman" w:hAnsi="Times New Roman" w:cs="Times New Roman"/>
          <w:color w:val="000000" w:themeColor="text1"/>
          <w:sz w:val="24"/>
          <w:szCs w:val="24"/>
          <w:vertAlign w:val="subscript"/>
        </w:rPr>
        <w:t>4</w:t>
      </w:r>
      <w:r w:rsidRPr="00C56669">
        <w:rPr>
          <w:rFonts w:ascii="Times New Roman" w:hAnsi="Times New Roman" w:cs="Times New Roman"/>
          <w:color w:val="000000" w:themeColor="text1"/>
          <w:sz w:val="24"/>
        </w:rPr>
        <w:t>-SL7,5 nota-se que a maior taxa de conversão ocorre a 80ºC, destacando-se o ensaio realizado a 6h (</w:t>
      </w:r>
      <w:r w:rsidRPr="00C56669">
        <w:rPr>
          <w:rFonts w:ascii="Times New Roman" w:hAnsi="Times New Roman" w:cs="Times New Roman"/>
          <w:color w:val="000000" w:themeColor="text1"/>
          <w:sz w:val="24"/>
          <w:lang w:eastAsia="pt-BR"/>
        </w:rPr>
        <w:t>80,90%)</w:t>
      </w:r>
      <w:r w:rsidRPr="00C56669">
        <w:rPr>
          <w:rFonts w:ascii="Times New Roman" w:hAnsi="Times New Roman" w:cs="Times New Roman"/>
          <w:color w:val="000000" w:themeColor="text1"/>
          <w:sz w:val="24"/>
        </w:rPr>
        <w:t>. Ademais, o aumento da temperatura para 100ºC não representou uma maior eficiência catalítica, observando-se conversões inferiores a 50% para os tempos de 4 e 6h.</w:t>
      </w:r>
    </w:p>
    <w:p w14:paraId="057E6311" w14:textId="77777777" w:rsidR="003F6036" w:rsidRPr="00C56669" w:rsidRDefault="003F6036" w:rsidP="003F6036">
      <w:pPr>
        <w:widowControl w:val="0"/>
        <w:pBdr>
          <w:top w:val="nil"/>
          <w:left w:val="nil"/>
          <w:bottom w:val="nil"/>
          <w:right w:val="nil"/>
          <w:between w:val="nil"/>
        </w:pBdr>
        <w:spacing w:after="80"/>
        <w:jc w:val="both"/>
        <w:rPr>
          <w:b/>
          <w:color w:val="000000"/>
          <w:sz w:val="24"/>
          <w:szCs w:val="24"/>
        </w:rPr>
      </w:pPr>
    </w:p>
    <w:p w14:paraId="5CAB2BDC" w14:textId="77777777" w:rsidR="003F6036" w:rsidRPr="00C56669" w:rsidRDefault="003F6036" w:rsidP="003F6036">
      <w:pPr>
        <w:widowControl w:val="0"/>
        <w:pBdr>
          <w:top w:val="nil"/>
          <w:left w:val="nil"/>
          <w:bottom w:val="nil"/>
          <w:right w:val="nil"/>
          <w:between w:val="nil"/>
        </w:pBdr>
        <w:spacing w:after="80"/>
        <w:jc w:val="both"/>
        <w:rPr>
          <w:b/>
          <w:color w:val="000000"/>
          <w:sz w:val="24"/>
          <w:szCs w:val="24"/>
        </w:rPr>
      </w:pPr>
      <w:r w:rsidRPr="00C56669">
        <w:rPr>
          <w:b/>
          <w:color w:val="000000"/>
          <w:sz w:val="24"/>
          <w:szCs w:val="24"/>
        </w:rPr>
        <w:t>Considerações finais</w:t>
      </w:r>
    </w:p>
    <w:p w14:paraId="2ACE2075" w14:textId="77777777" w:rsidR="003F6036" w:rsidRPr="00C56669" w:rsidRDefault="003F6036" w:rsidP="003F6036">
      <w:pPr>
        <w:autoSpaceDE w:val="0"/>
        <w:autoSpaceDN w:val="0"/>
        <w:adjustRightInd w:val="0"/>
        <w:ind w:firstLine="340"/>
        <w:jc w:val="both"/>
        <w:rPr>
          <w:color w:val="000000" w:themeColor="text1"/>
          <w:sz w:val="24"/>
          <w:szCs w:val="24"/>
        </w:rPr>
      </w:pPr>
      <w:r w:rsidRPr="00C56669">
        <w:rPr>
          <w:color w:val="000000" w:themeColor="text1"/>
          <w:sz w:val="24"/>
          <w:szCs w:val="24"/>
        </w:rPr>
        <w:t xml:space="preserve">Neste estudo, preparou-se um novo sólido heterogêneo revestindo-se de </w:t>
      </w:r>
      <w:proofErr w:type="spellStart"/>
      <w:r w:rsidRPr="00C56669">
        <w:rPr>
          <w:color w:val="000000" w:themeColor="text1"/>
          <w:sz w:val="24"/>
          <w:szCs w:val="24"/>
        </w:rPr>
        <w:t>ferritas</w:t>
      </w:r>
      <w:proofErr w:type="spellEnd"/>
      <w:r w:rsidRPr="00C56669">
        <w:rPr>
          <w:color w:val="000000" w:themeColor="text1"/>
          <w:sz w:val="24"/>
          <w:szCs w:val="24"/>
        </w:rPr>
        <w:t xml:space="preserve"> de cobalto com LS para uso em reações de esterificação, obtendo-se ésteres metílicos. Os dados de AE e titulação ácido-base evidenciaram que a metodologia de </w:t>
      </w:r>
      <w:proofErr w:type="spellStart"/>
      <w:r w:rsidRPr="00C56669">
        <w:rPr>
          <w:color w:val="000000" w:themeColor="text1"/>
          <w:sz w:val="24"/>
          <w:szCs w:val="24"/>
        </w:rPr>
        <w:t>sulfonação</w:t>
      </w:r>
      <w:proofErr w:type="spellEnd"/>
      <w:r w:rsidRPr="00C56669">
        <w:rPr>
          <w:color w:val="000000" w:themeColor="text1"/>
          <w:sz w:val="24"/>
          <w:szCs w:val="24"/>
        </w:rPr>
        <w:t xml:space="preserve"> adotada possibilitou a inserção de altos teores de grupos –SO</w:t>
      </w:r>
      <w:r w:rsidRPr="00C56669">
        <w:rPr>
          <w:color w:val="000000" w:themeColor="text1"/>
          <w:sz w:val="24"/>
          <w:szCs w:val="24"/>
          <w:vertAlign w:val="subscript"/>
        </w:rPr>
        <w:t>3</w:t>
      </w:r>
      <w:r w:rsidRPr="00C56669">
        <w:rPr>
          <w:color w:val="000000" w:themeColor="text1"/>
          <w:sz w:val="24"/>
          <w:szCs w:val="24"/>
        </w:rPr>
        <w:t xml:space="preserve">H na estrutura molecular da lignina. </w:t>
      </w:r>
    </w:p>
    <w:p w14:paraId="40BFFF1F" w14:textId="77777777" w:rsidR="003F6036" w:rsidRPr="00C56669" w:rsidRDefault="003F6036" w:rsidP="003F6036">
      <w:pPr>
        <w:autoSpaceDE w:val="0"/>
        <w:autoSpaceDN w:val="0"/>
        <w:adjustRightInd w:val="0"/>
        <w:ind w:firstLine="340"/>
        <w:jc w:val="both"/>
        <w:rPr>
          <w:color w:val="000000" w:themeColor="text1"/>
          <w:sz w:val="24"/>
          <w:szCs w:val="24"/>
        </w:rPr>
      </w:pPr>
      <w:r w:rsidRPr="00C56669">
        <w:rPr>
          <w:sz w:val="24"/>
          <w:szCs w:val="24"/>
        </w:rPr>
        <w:t xml:space="preserve">A eficiência do processo de revestimento das </w:t>
      </w:r>
      <w:proofErr w:type="spellStart"/>
      <w:r w:rsidRPr="00C56669">
        <w:rPr>
          <w:sz w:val="24"/>
          <w:szCs w:val="24"/>
        </w:rPr>
        <w:t>ferritas</w:t>
      </w:r>
      <w:proofErr w:type="spellEnd"/>
      <w:r w:rsidRPr="00C56669">
        <w:rPr>
          <w:sz w:val="24"/>
          <w:szCs w:val="24"/>
        </w:rPr>
        <w:t xml:space="preserve"> com LS foi confirmado através de DRX, A</w:t>
      </w:r>
      <w:r w:rsidRPr="00C56669">
        <w:rPr>
          <w:sz w:val="24"/>
          <w:szCs w:val="24"/>
          <w:vertAlign w:val="subscript"/>
        </w:rPr>
        <w:t>BET</w:t>
      </w:r>
      <w:r w:rsidRPr="00C56669">
        <w:rPr>
          <w:sz w:val="24"/>
          <w:szCs w:val="24"/>
        </w:rPr>
        <w:t xml:space="preserve"> e TGA. Os padrões de DRX possibilitaram verificar a presença do amplo halo amorfo característico da lignina em 2θ (</w:t>
      </w:r>
      <w:r w:rsidRPr="00C56669">
        <w:rPr>
          <w:rFonts w:eastAsia="AdvGulliv-R"/>
          <w:sz w:val="24"/>
          <w:szCs w:val="24"/>
        </w:rPr>
        <w:t>10-30</w:t>
      </w:r>
      <w:r w:rsidRPr="00C56669">
        <w:rPr>
          <w:sz w:val="24"/>
          <w:szCs w:val="24"/>
        </w:rPr>
        <w:t>°). Enquanto os dados de A</w:t>
      </w:r>
      <w:r w:rsidRPr="00C56669">
        <w:rPr>
          <w:sz w:val="24"/>
          <w:szCs w:val="24"/>
          <w:vertAlign w:val="subscript"/>
        </w:rPr>
        <w:t xml:space="preserve">BET </w:t>
      </w:r>
      <w:r w:rsidRPr="00C56669">
        <w:rPr>
          <w:sz w:val="24"/>
          <w:szCs w:val="24"/>
        </w:rPr>
        <w:t>revelaram uma diminuição da</w:t>
      </w:r>
      <w:r w:rsidRPr="00C56669">
        <w:rPr>
          <w:color w:val="000000" w:themeColor="text1"/>
          <w:sz w:val="24"/>
          <w:szCs w:val="24"/>
        </w:rPr>
        <w:t xml:space="preserve"> área superficial das amostras. E os termogramas mostraram percentuais de incorporação de LS próximos a 80%. Nos ensaios catalíticos observou-se conversões de aproximadamente 80%. Destacando-se, CoFe</w:t>
      </w:r>
      <w:r w:rsidRPr="00C56669">
        <w:rPr>
          <w:color w:val="000000" w:themeColor="text1"/>
          <w:sz w:val="24"/>
          <w:szCs w:val="24"/>
          <w:vertAlign w:val="subscript"/>
        </w:rPr>
        <w:t>2</w:t>
      </w:r>
      <w:r w:rsidRPr="00C56669">
        <w:rPr>
          <w:color w:val="000000" w:themeColor="text1"/>
          <w:sz w:val="24"/>
          <w:szCs w:val="24"/>
        </w:rPr>
        <w:t>O</w:t>
      </w:r>
      <w:r w:rsidRPr="00C56669">
        <w:rPr>
          <w:color w:val="000000" w:themeColor="text1"/>
          <w:sz w:val="24"/>
          <w:szCs w:val="24"/>
          <w:vertAlign w:val="subscript"/>
        </w:rPr>
        <w:t>4</w:t>
      </w:r>
      <w:r w:rsidRPr="00C56669">
        <w:rPr>
          <w:color w:val="000000" w:themeColor="text1"/>
          <w:sz w:val="24"/>
          <w:szCs w:val="24"/>
        </w:rPr>
        <w:t>-LS5: 75,60% (100°C/4h) e 79,20% (100°C/6h); e CoFe</w:t>
      </w:r>
      <w:r w:rsidRPr="00C56669">
        <w:rPr>
          <w:color w:val="000000" w:themeColor="text1"/>
          <w:sz w:val="24"/>
          <w:szCs w:val="24"/>
          <w:vertAlign w:val="subscript"/>
        </w:rPr>
        <w:t>2</w:t>
      </w:r>
      <w:r w:rsidRPr="00C56669">
        <w:rPr>
          <w:color w:val="000000" w:themeColor="text1"/>
          <w:sz w:val="24"/>
          <w:szCs w:val="24"/>
        </w:rPr>
        <w:t>O</w:t>
      </w:r>
      <w:r w:rsidRPr="00C56669">
        <w:rPr>
          <w:color w:val="000000" w:themeColor="text1"/>
          <w:sz w:val="24"/>
          <w:szCs w:val="24"/>
          <w:vertAlign w:val="subscript"/>
        </w:rPr>
        <w:t>4</w:t>
      </w:r>
      <w:r w:rsidRPr="00C56669">
        <w:rPr>
          <w:color w:val="000000" w:themeColor="text1"/>
          <w:sz w:val="24"/>
          <w:szCs w:val="24"/>
        </w:rPr>
        <w:t xml:space="preserve">-LS7,5: 80,90% (80°C/6h). Nota-se que os melhores </w:t>
      </w:r>
      <w:r w:rsidRPr="00C56669">
        <w:rPr>
          <w:color w:val="000000" w:themeColor="text1"/>
          <w:sz w:val="24"/>
          <w:szCs w:val="24"/>
        </w:rPr>
        <w:lastRenderedPageBreak/>
        <w:t>desempenhos catalíticos foram alcançados para os catalisadores que apresentam as A</w:t>
      </w:r>
      <w:r w:rsidRPr="00C56669">
        <w:rPr>
          <w:color w:val="000000" w:themeColor="text1"/>
          <w:sz w:val="24"/>
          <w:szCs w:val="24"/>
          <w:vertAlign w:val="subscript"/>
        </w:rPr>
        <w:t>BET</w:t>
      </w:r>
      <w:r w:rsidRPr="00C56669">
        <w:rPr>
          <w:color w:val="000000" w:themeColor="text1"/>
          <w:sz w:val="24"/>
          <w:szCs w:val="24"/>
        </w:rPr>
        <w:t>, indicando que esta variável é tão importante quanto o teor de grupos –SO</w:t>
      </w:r>
      <w:r w:rsidRPr="00C56669">
        <w:rPr>
          <w:color w:val="000000" w:themeColor="text1"/>
          <w:sz w:val="24"/>
          <w:szCs w:val="24"/>
          <w:vertAlign w:val="subscript"/>
        </w:rPr>
        <w:t>3</w:t>
      </w:r>
      <w:r w:rsidRPr="00C56669">
        <w:rPr>
          <w:color w:val="000000" w:themeColor="text1"/>
          <w:sz w:val="24"/>
          <w:szCs w:val="24"/>
        </w:rPr>
        <w:t>H incorporados, pois um material com maiores A</w:t>
      </w:r>
      <w:r w:rsidRPr="00C56669">
        <w:rPr>
          <w:color w:val="000000" w:themeColor="text1"/>
          <w:sz w:val="24"/>
          <w:szCs w:val="24"/>
          <w:vertAlign w:val="subscript"/>
        </w:rPr>
        <w:t>BET</w:t>
      </w:r>
      <w:r w:rsidRPr="00C56669">
        <w:rPr>
          <w:color w:val="000000" w:themeColor="text1"/>
          <w:sz w:val="24"/>
          <w:szCs w:val="24"/>
        </w:rPr>
        <w:t xml:space="preserve"> permite maior acessibilidade do ácido oleico aos sítios ácidos favorecendo a esterificação.</w:t>
      </w:r>
    </w:p>
    <w:p w14:paraId="20AB2134" w14:textId="77777777" w:rsidR="003F6036" w:rsidRPr="002F009B" w:rsidRDefault="003F6036" w:rsidP="003F6036">
      <w:pPr>
        <w:autoSpaceDE w:val="0"/>
        <w:autoSpaceDN w:val="0"/>
        <w:adjustRightInd w:val="0"/>
        <w:ind w:firstLine="340"/>
        <w:jc w:val="both"/>
        <w:rPr>
          <w:color w:val="000000" w:themeColor="text1"/>
          <w:sz w:val="24"/>
          <w:szCs w:val="24"/>
        </w:rPr>
      </w:pPr>
      <w:r w:rsidRPr="00C56669">
        <w:rPr>
          <w:color w:val="000000" w:themeColor="text1"/>
          <w:sz w:val="24"/>
          <w:szCs w:val="24"/>
        </w:rPr>
        <w:t>Por fim, nota-se que os sólidos sintetizados demonstraram potencial para produção de biodiesel via esterificação, empregando especialmente matérias-primas lipídicas de baixo custo e altos teores</w:t>
      </w:r>
      <w:r w:rsidRPr="002F009B">
        <w:rPr>
          <w:color w:val="000000" w:themeColor="text1"/>
          <w:sz w:val="24"/>
          <w:szCs w:val="24"/>
        </w:rPr>
        <w:t xml:space="preserve"> de AGL. Além de reunir vantagens, como, serem elaborados a partir da lignina, fonte de baixo custo e disponível em larga escala; e a superação dos inconvenientes relacionados aos sistemas convencionais desenvolvidos em fase homogênea, podendo levar a</w:t>
      </w:r>
      <w:r w:rsidRPr="002F009B">
        <w:rPr>
          <w:rFonts w:eastAsia="AdvGulliv-R"/>
          <w:color w:val="000000" w:themeColor="text1"/>
          <w:sz w:val="24"/>
          <w:szCs w:val="24"/>
        </w:rPr>
        <w:t xml:space="preserve"> menores custos de produção.   </w:t>
      </w:r>
    </w:p>
    <w:p w14:paraId="602592AB" w14:textId="77777777" w:rsidR="003F6036" w:rsidRDefault="003F6036" w:rsidP="003F6036">
      <w:pPr>
        <w:jc w:val="both"/>
        <w:rPr>
          <w:b/>
          <w:sz w:val="24"/>
          <w:szCs w:val="24"/>
        </w:rPr>
      </w:pPr>
    </w:p>
    <w:p w14:paraId="1C788E9A" w14:textId="77777777" w:rsidR="003F6036" w:rsidRPr="00271E8B" w:rsidRDefault="003F6036" w:rsidP="003F6036">
      <w:pPr>
        <w:jc w:val="both"/>
        <w:rPr>
          <w:b/>
          <w:sz w:val="24"/>
          <w:szCs w:val="24"/>
        </w:rPr>
      </w:pPr>
      <w:r w:rsidRPr="00271E8B">
        <w:rPr>
          <w:b/>
          <w:sz w:val="24"/>
          <w:szCs w:val="24"/>
        </w:rPr>
        <w:t xml:space="preserve">Agradecimentos </w:t>
      </w:r>
    </w:p>
    <w:p w14:paraId="312B10E3" w14:textId="10FC55D8" w:rsidR="00F33759" w:rsidRDefault="003F6036" w:rsidP="004E0971">
      <w:pPr>
        <w:tabs>
          <w:tab w:val="left" w:pos="2127"/>
        </w:tabs>
        <w:ind w:firstLine="425"/>
        <w:jc w:val="both"/>
        <w:rPr>
          <w:sz w:val="24"/>
          <w:szCs w:val="24"/>
        </w:rPr>
      </w:pPr>
      <w:r w:rsidRPr="00271E8B">
        <w:rPr>
          <w:sz w:val="24"/>
          <w:szCs w:val="24"/>
        </w:rPr>
        <w:t xml:space="preserve">FAPEMIG, </w:t>
      </w:r>
      <w:r>
        <w:rPr>
          <w:sz w:val="24"/>
          <w:szCs w:val="24"/>
        </w:rPr>
        <w:t>UFU,</w:t>
      </w:r>
      <w:r w:rsidRPr="00271E8B">
        <w:rPr>
          <w:sz w:val="24"/>
          <w:szCs w:val="24"/>
        </w:rPr>
        <w:t xml:space="preserve"> CAPES e CNPq.</w:t>
      </w:r>
    </w:p>
    <w:p w14:paraId="3B760694" w14:textId="77777777" w:rsidR="004E0971" w:rsidRDefault="004E0971" w:rsidP="004E0971">
      <w:pPr>
        <w:tabs>
          <w:tab w:val="left" w:pos="2127"/>
        </w:tabs>
        <w:ind w:firstLine="425"/>
        <w:jc w:val="both"/>
        <w:rPr>
          <w:color w:val="000000"/>
          <w:sz w:val="24"/>
          <w:szCs w:val="24"/>
        </w:rPr>
      </w:pPr>
    </w:p>
    <w:p w14:paraId="44BB8321" w14:textId="77777777" w:rsidR="00F33759" w:rsidRDefault="001D6ACC">
      <w:pPr>
        <w:keepNext/>
        <w:pBdr>
          <w:top w:val="nil"/>
          <w:left w:val="nil"/>
          <w:bottom w:val="nil"/>
          <w:right w:val="nil"/>
          <w:between w:val="nil"/>
        </w:pBdr>
        <w:spacing w:after="80"/>
        <w:rPr>
          <w:color w:val="000000"/>
          <w:sz w:val="24"/>
          <w:szCs w:val="24"/>
        </w:rPr>
      </w:pPr>
      <w:r>
        <w:rPr>
          <w:b/>
          <w:color w:val="000000"/>
          <w:sz w:val="24"/>
          <w:szCs w:val="24"/>
        </w:rPr>
        <w:t>Referências</w:t>
      </w:r>
    </w:p>
    <w:p w14:paraId="68A26B84" w14:textId="77777777" w:rsidR="00F33759" w:rsidRDefault="00F33759">
      <w:pPr>
        <w:keepNext/>
        <w:pBdr>
          <w:top w:val="nil"/>
          <w:left w:val="nil"/>
          <w:bottom w:val="nil"/>
          <w:right w:val="nil"/>
          <w:between w:val="nil"/>
        </w:pBdr>
        <w:spacing w:after="80"/>
        <w:rPr>
          <w:color w:val="000000"/>
          <w:sz w:val="24"/>
          <w:szCs w:val="24"/>
        </w:rPr>
      </w:pPr>
    </w:p>
    <w:p w14:paraId="7B17EB5C" w14:textId="77777777" w:rsidR="003F6036" w:rsidRPr="00496333" w:rsidRDefault="003F6036" w:rsidP="003F6036">
      <w:pPr>
        <w:pStyle w:val="PargrafodaLista"/>
        <w:numPr>
          <w:ilvl w:val="0"/>
          <w:numId w:val="1"/>
        </w:numPr>
        <w:autoSpaceDE w:val="0"/>
        <w:autoSpaceDN w:val="0"/>
        <w:adjustRightInd w:val="0"/>
        <w:spacing w:after="120" w:line="240" w:lineRule="auto"/>
        <w:ind w:left="357" w:hanging="357"/>
        <w:jc w:val="both"/>
        <w:rPr>
          <w:rFonts w:ascii="Times New Roman" w:hAnsi="Times New Roman" w:cs="Times New Roman"/>
          <w:color w:val="000000" w:themeColor="text1"/>
          <w:sz w:val="20"/>
          <w:szCs w:val="20"/>
          <w:shd w:val="clear" w:color="auto" w:fill="FFFFFF"/>
          <w:lang w:val="en-US"/>
        </w:rPr>
      </w:pPr>
      <w:r w:rsidRPr="00496333">
        <w:rPr>
          <w:rFonts w:ascii="Times New Roman" w:hAnsi="Times New Roman" w:cs="Times New Roman"/>
          <w:color w:val="000000" w:themeColor="text1"/>
          <w:sz w:val="20"/>
          <w:szCs w:val="20"/>
        </w:rPr>
        <w:t>ARANSIOLA, E. F.;</w:t>
      </w:r>
      <w:r w:rsidRPr="00496333">
        <w:rPr>
          <w:rFonts w:ascii="Times New Roman" w:eastAsia="Times New Roman" w:hAnsi="Times New Roman" w:cs="Times New Roman"/>
          <w:color w:val="000000" w:themeColor="text1"/>
          <w:sz w:val="20"/>
          <w:szCs w:val="20"/>
          <w:bdr w:val="none" w:sz="0" w:space="0" w:color="auto" w:frame="1"/>
          <w:lang w:eastAsia="pt-BR"/>
        </w:rPr>
        <w:t xml:space="preserve"> OJUMU</w:t>
      </w:r>
      <w:r w:rsidRPr="00496333">
        <w:rPr>
          <w:rFonts w:ascii="Times New Roman" w:eastAsia="Times New Roman" w:hAnsi="Times New Roman" w:cs="Times New Roman"/>
          <w:color w:val="000000" w:themeColor="text1"/>
          <w:sz w:val="20"/>
          <w:szCs w:val="20"/>
          <w:lang w:eastAsia="pt-BR"/>
        </w:rPr>
        <w:t xml:space="preserve">, T. V.; </w:t>
      </w:r>
      <w:r w:rsidRPr="00496333">
        <w:rPr>
          <w:rFonts w:ascii="Times New Roman" w:eastAsia="Times New Roman" w:hAnsi="Times New Roman" w:cs="Times New Roman"/>
          <w:color w:val="000000" w:themeColor="text1"/>
          <w:sz w:val="20"/>
          <w:szCs w:val="20"/>
          <w:bdr w:val="none" w:sz="0" w:space="0" w:color="auto" w:frame="1"/>
          <w:lang w:eastAsia="pt-BR"/>
        </w:rPr>
        <w:t>OYEKOLA</w:t>
      </w:r>
      <w:r w:rsidRPr="00496333">
        <w:rPr>
          <w:rFonts w:ascii="Times New Roman" w:eastAsia="Times New Roman" w:hAnsi="Times New Roman" w:cs="Times New Roman"/>
          <w:color w:val="000000" w:themeColor="text1"/>
          <w:sz w:val="20"/>
          <w:szCs w:val="20"/>
          <w:lang w:eastAsia="pt-BR"/>
        </w:rPr>
        <w:t xml:space="preserve">, O. O.; </w:t>
      </w:r>
      <w:r w:rsidRPr="00496333">
        <w:rPr>
          <w:rFonts w:ascii="Times New Roman" w:eastAsia="Times New Roman" w:hAnsi="Times New Roman" w:cs="Times New Roman"/>
          <w:color w:val="000000" w:themeColor="text1"/>
          <w:sz w:val="20"/>
          <w:szCs w:val="20"/>
          <w:bdr w:val="none" w:sz="0" w:space="0" w:color="auto" w:frame="1"/>
          <w:lang w:eastAsia="pt-BR"/>
        </w:rPr>
        <w:t>MADZIMBAMUTO</w:t>
      </w:r>
      <w:r w:rsidRPr="00496333">
        <w:rPr>
          <w:rFonts w:ascii="Times New Roman" w:eastAsia="Times New Roman" w:hAnsi="Times New Roman" w:cs="Times New Roman"/>
          <w:color w:val="000000" w:themeColor="text1"/>
          <w:sz w:val="20"/>
          <w:szCs w:val="20"/>
          <w:lang w:eastAsia="pt-BR"/>
        </w:rPr>
        <w:t xml:space="preserve">, T. F.; </w:t>
      </w:r>
      <w:r w:rsidRPr="00496333">
        <w:rPr>
          <w:rFonts w:ascii="Times New Roman" w:eastAsia="Times New Roman" w:hAnsi="Times New Roman" w:cs="Times New Roman"/>
          <w:color w:val="000000" w:themeColor="text1"/>
          <w:sz w:val="20"/>
          <w:szCs w:val="20"/>
          <w:bdr w:val="none" w:sz="0" w:space="0" w:color="auto" w:frame="1"/>
          <w:lang w:eastAsia="pt-BR"/>
        </w:rPr>
        <w:t>IKHU-OMOREGBE</w:t>
      </w:r>
      <w:r w:rsidRPr="00496333">
        <w:rPr>
          <w:rFonts w:ascii="Times New Roman" w:eastAsia="Times New Roman" w:hAnsi="Times New Roman" w:cs="Times New Roman"/>
          <w:color w:val="000000" w:themeColor="text1"/>
          <w:sz w:val="20"/>
          <w:szCs w:val="20"/>
          <w:lang w:eastAsia="pt-BR"/>
        </w:rPr>
        <w:t>, D. I. O</w:t>
      </w:r>
      <w:r w:rsidRPr="00496333">
        <w:rPr>
          <w:rFonts w:ascii="Times New Roman" w:eastAsia="AdvGulliv-R" w:hAnsi="Times New Roman" w:cs="Times New Roman"/>
          <w:color w:val="000000" w:themeColor="text1"/>
          <w:sz w:val="20"/>
          <w:szCs w:val="20"/>
        </w:rPr>
        <w:t xml:space="preserve">. </w:t>
      </w:r>
      <w:r w:rsidRPr="00496333">
        <w:rPr>
          <w:rFonts w:ascii="Times New Roman" w:hAnsi="Times New Roman" w:cs="Times New Roman"/>
          <w:color w:val="000000" w:themeColor="text1"/>
          <w:sz w:val="20"/>
          <w:szCs w:val="20"/>
          <w:lang w:val="en-US"/>
        </w:rPr>
        <w:t xml:space="preserve">A review of current technology for biodiesel production: State of the art. </w:t>
      </w:r>
      <w:proofErr w:type="spellStart"/>
      <w:r w:rsidRPr="00496333">
        <w:rPr>
          <w:rFonts w:ascii="Times New Roman" w:hAnsi="Times New Roman" w:cs="Times New Roman"/>
          <w:b/>
          <w:color w:val="000000" w:themeColor="text1"/>
          <w:sz w:val="20"/>
          <w:szCs w:val="20"/>
        </w:rPr>
        <w:t>Biomass</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and</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Bioenergy</w:t>
      </w:r>
      <w:proofErr w:type="spellEnd"/>
      <w:r w:rsidRPr="00496333">
        <w:rPr>
          <w:rFonts w:ascii="Times New Roman" w:hAnsi="Times New Roman" w:cs="Times New Roman"/>
          <w:color w:val="000000" w:themeColor="text1"/>
          <w:sz w:val="20"/>
          <w:szCs w:val="20"/>
        </w:rPr>
        <w:t xml:space="preserve">, v. 61, p. 276-297, 2014. </w:t>
      </w:r>
    </w:p>
    <w:p w14:paraId="5FAD22C7" w14:textId="77777777" w:rsidR="003F6036" w:rsidRPr="00496333" w:rsidRDefault="003F6036" w:rsidP="003F6036">
      <w:pPr>
        <w:pStyle w:val="PargrafodaLista"/>
        <w:numPr>
          <w:ilvl w:val="0"/>
          <w:numId w:val="1"/>
        </w:numPr>
        <w:autoSpaceDE w:val="0"/>
        <w:autoSpaceDN w:val="0"/>
        <w:adjustRightInd w:val="0"/>
        <w:spacing w:after="120" w:line="240" w:lineRule="auto"/>
        <w:ind w:left="357" w:hanging="357"/>
        <w:jc w:val="both"/>
        <w:rPr>
          <w:rFonts w:ascii="Times New Roman" w:hAnsi="Times New Roman" w:cs="Times New Roman"/>
          <w:color w:val="000000" w:themeColor="text1"/>
          <w:sz w:val="20"/>
          <w:szCs w:val="20"/>
          <w:shd w:val="clear" w:color="auto" w:fill="FFFFFF"/>
          <w:lang w:val="en-US"/>
        </w:rPr>
      </w:pPr>
      <w:r w:rsidRPr="00496333">
        <w:rPr>
          <w:rFonts w:ascii="Times New Roman" w:hAnsi="Times New Roman" w:cs="Times New Roman"/>
          <w:color w:val="000000" w:themeColor="text1"/>
          <w:sz w:val="20"/>
          <w:szCs w:val="20"/>
          <w:shd w:val="clear" w:color="auto" w:fill="FFFFFF"/>
          <w:lang w:val="en-US"/>
        </w:rPr>
        <w:t>THANH, L. T.;</w:t>
      </w:r>
      <w:r w:rsidRPr="00496333">
        <w:rPr>
          <w:rFonts w:ascii="Times New Roman" w:hAnsi="Times New Roman" w:cs="Times New Roman"/>
          <w:color w:val="000000" w:themeColor="text1"/>
          <w:sz w:val="20"/>
          <w:szCs w:val="20"/>
        </w:rPr>
        <w:t xml:space="preserve"> OKITSU, K.; BOI, L. V.; MAEDA, Y. </w:t>
      </w:r>
      <w:r w:rsidRPr="00496333">
        <w:rPr>
          <w:rFonts w:ascii="Times New Roman" w:hAnsi="Times New Roman" w:cs="Times New Roman"/>
          <w:color w:val="000000" w:themeColor="text1"/>
          <w:sz w:val="20"/>
          <w:szCs w:val="20"/>
          <w:shd w:val="clear" w:color="auto" w:fill="FFFFFF"/>
          <w:lang w:val="en-US"/>
        </w:rPr>
        <w:t>Catalytic technologies for biodiesel fuel production and utilization of glycerol: A review.</w:t>
      </w:r>
      <w:r w:rsidRPr="00496333">
        <w:rPr>
          <w:rStyle w:val="apple-converted-space"/>
          <w:rFonts w:ascii="Times New Roman" w:hAnsi="Times New Roman" w:cs="Times New Roman"/>
          <w:color w:val="000000" w:themeColor="text1"/>
          <w:sz w:val="20"/>
          <w:szCs w:val="20"/>
          <w:shd w:val="clear" w:color="auto" w:fill="FFFFFF"/>
          <w:lang w:val="en-US"/>
        </w:rPr>
        <w:t> </w:t>
      </w:r>
      <w:r w:rsidRPr="00496333">
        <w:rPr>
          <w:rStyle w:val="nfase"/>
          <w:rFonts w:ascii="Times New Roman" w:hAnsi="Times New Roman" w:cs="Times New Roman"/>
          <w:b/>
          <w:color w:val="000000" w:themeColor="text1"/>
          <w:sz w:val="20"/>
          <w:szCs w:val="20"/>
          <w:shd w:val="clear" w:color="auto" w:fill="FFFFFF"/>
          <w:lang w:val="en-US"/>
        </w:rPr>
        <w:t>Catalysts</w:t>
      </w:r>
      <w:r w:rsidRPr="00496333">
        <w:rPr>
          <w:rFonts w:ascii="Times New Roman" w:hAnsi="Times New Roman" w:cs="Times New Roman"/>
          <w:color w:val="000000" w:themeColor="text1"/>
          <w:sz w:val="20"/>
          <w:szCs w:val="20"/>
          <w:shd w:val="clear" w:color="auto" w:fill="FFFFFF"/>
          <w:lang w:val="en-US"/>
        </w:rPr>
        <w:t>,</w:t>
      </w:r>
      <w:r w:rsidRPr="00496333">
        <w:rPr>
          <w:rStyle w:val="apple-converted-space"/>
          <w:rFonts w:ascii="Times New Roman" w:hAnsi="Times New Roman" w:cs="Times New Roman"/>
          <w:color w:val="000000" w:themeColor="text1"/>
          <w:sz w:val="20"/>
          <w:szCs w:val="20"/>
          <w:shd w:val="clear" w:color="auto" w:fill="FFFFFF"/>
          <w:lang w:val="en-US"/>
        </w:rPr>
        <w:t xml:space="preserve"> v. </w:t>
      </w:r>
      <w:proofErr w:type="gramStart"/>
      <w:r w:rsidRPr="00496333">
        <w:rPr>
          <w:rStyle w:val="nfase"/>
          <w:rFonts w:ascii="Times New Roman" w:hAnsi="Times New Roman" w:cs="Times New Roman"/>
          <w:i w:val="0"/>
          <w:color w:val="000000" w:themeColor="text1"/>
          <w:sz w:val="20"/>
          <w:szCs w:val="20"/>
          <w:shd w:val="clear" w:color="auto" w:fill="FFFFFF"/>
          <w:lang w:val="en-US"/>
        </w:rPr>
        <w:t>2</w:t>
      </w:r>
      <w:proofErr w:type="gramEnd"/>
      <w:r w:rsidRPr="00496333">
        <w:rPr>
          <w:rFonts w:ascii="Times New Roman" w:hAnsi="Times New Roman" w:cs="Times New Roman"/>
          <w:color w:val="000000" w:themeColor="text1"/>
          <w:sz w:val="20"/>
          <w:szCs w:val="20"/>
          <w:shd w:val="clear" w:color="auto" w:fill="FFFFFF"/>
          <w:lang w:val="en-US"/>
        </w:rPr>
        <w:t xml:space="preserve">, p. 191-222, </w:t>
      </w:r>
      <w:r w:rsidRPr="00496333">
        <w:rPr>
          <w:rFonts w:ascii="Times New Roman" w:hAnsi="Times New Roman" w:cs="Times New Roman"/>
          <w:bCs/>
          <w:color w:val="000000" w:themeColor="text1"/>
          <w:sz w:val="20"/>
          <w:szCs w:val="20"/>
          <w:shd w:val="clear" w:color="auto" w:fill="FFFFFF"/>
          <w:lang w:val="en-US"/>
        </w:rPr>
        <w:t>2012</w:t>
      </w:r>
      <w:r w:rsidRPr="00496333">
        <w:rPr>
          <w:rFonts w:ascii="Times New Roman" w:hAnsi="Times New Roman" w:cs="Times New Roman"/>
          <w:color w:val="000000" w:themeColor="text1"/>
          <w:sz w:val="20"/>
          <w:szCs w:val="20"/>
          <w:shd w:val="clear" w:color="auto" w:fill="FFFFFF"/>
          <w:lang w:val="en-US"/>
        </w:rPr>
        <w:t xml:space="preserve">. </w:t>
      </w:r>
    </w:p>
    <w:p w14:paraId="101C1DF6" w14:textId="77777777" w:rsidR="003F6036" w:rsidRPr="00496333" w:rsidRDefault="003F6036" w:rsidP="003F6036">
      <w:pPr>
        <w:pStyle w:val="PargrafodaLista"/>
        <w:numPr>
          <w:ilvl w:val="0"/>
          <w:numId w:val="1"/>
        </w:numPr>
        <w:autoSpaceDE w:val="0"/>
        <w:autoSpaceDN w:val="0"/>
        <w:adjustRightInd w:val="0"/>
        <w:spacing w:after="120" w:line="240" w:lineRule="auto"/>
        <w:ind w:left="357" w:hanging="357"/>
        <w:jc w:val="both"/>
        <w:rPr>
          <w:rStyle w:val="Hyperlink"/>
          <w:rFonts w:ascii="Times New Roman" w:hAnsi="Times New Roman" w:cs="Times New Roman"/>
          <w:color w:val="000000" w:themeColor="text1"/>
          <w:sz w:val="20"/>
          <w:szCs w:val="20"/>
          <w:u w:val="none"/>
        </w:rPr>
      </w:pPr>
      <w:r w:rsidRPr="00496333">
        <w:rPr>
          <w:rFonts w:ascii="Times New Roman" w:hAnsi="Times New Roman" w:cs="Times New Roman"/>
          <w:color w:val="000000" w:themeColor="text1"/>
          <w:sz w:val="20"/>
          <w:szCs w:val="20"/>
          <w:lang w:val="en-US"/>
        </w:rPr>
        <w:t xml:space="preserve">KOCHEPKA, D. M.; </w:t>
      </w:r>
      <w:r w:rsidRPr="00496333">
        <w:rPr>
          <w:rStyle w:val="hlfld-contribauthor"/>
          <w:rFonts w:ascii="Times New Roman" w:hAnsi="Times New Roman" w:cs="Times New Roman"/>
          <w:bCs/>
          <w:color w:val="000000" w:themeColor="text1"/>
          <w:sz w:val="20"/>
          <w:szCs w:val="20"/>
          <w:shd w:val="clear" w:color="auto" w:fill="FFFFFF"/>
        </w:rPr>
        <w:t>DILL, L. P.; COUTO, G. H.; KRIEGER, N.; RAMOS, L. P.</w:t>
      </w:r>
      <w:r w:rsidRPr="00496333">
        <w:rPr>
          <w:rFonts w:ascii="Times New Roman" w:eastAsia="AdvGulliv-R" w:hAnsi="Times New Roman" w:cs="Times New Roman"/>
          <w:color w:val="000000" w:themeColor="text1"/>
          <w:sz w:val="20"/>
          <w:szCs w:val="20"/>
          <w:lang w:val="en-US"/>
        </w:rPr>
        <w:t xml:space="preserve">  </w:t>
      </w:r>
      <w:r w:rsidRPr="00496333">
        <w:rPr>
          <w:rFonts w:ascii="Times New Roman" w:hAnsi="Times New Roman" w:cs="Times New Roman"/>
          <w:bCs/>
          <w:color w:val="000000" w:themeColor="text1"/>
          <w:sz w:val="20"/>
          <w:szCs w:val="20"/>
          <w:lang w:val="en-US"/>
        </w:rPr>
        <w:t xml:space="preserve">Production of fatty acid ethyl esters from waste cooking oil using </w:t>
      </w:r>
      <w:proofErr w:type="spellStart"/>
      <w:r w:rsidRPr="00496333">
        <w:rPr>
          <w:rFonts w:ascii="Times New Roman" w:hAnsi="Times New Roman" w:cs="Times New Roman"/>
          <w:bCs/>
          <w:color w:val="000000" w:themeColor="text1"/>
          <w:sz w:val="20"/>
          <w:szCs w:val="20"/>
          <w:lang w:val="en-US"/>
        </w:rPr>
        <w:t>Novozym</w:t>
      </w:r>
      <w:proofErr w:type="spellEnd"/>
      <w:r w:rsidRPr="00496333">
        <w:rPr>
          <w:rFonts w:ascii="Times New Roman" w:hAnsi="Times New Roman" w:cs="Times New Roman"/>
          <w:bCs/>
          <w:color w:val="000000" w:themeColor="text1"/>
          <w:sz w:val="20"/>
          <w:szCs w:val="20"/>
          <w:lang w:val="en-US"/>
        </w:rPr>
        <w:t xml:space="preserve"> 435 in a solvent-free system. </w:t>
      </w:r>
      <w:r w:rsidRPr="00496333">
        <w:rPr>
          <w:rStyle w:val="CitaoHTML"/>
          <w:rFonts w:ascii="Times New Roman" w:hAnsi="Times New Roman" w:cs="Times New Roman"/>
          <w:b/>
          <w:color w:val="000000" w:themeColor="text1"/>
          <w:sz w:val="20"/>
          <w:szCs w:val="20"/>
          <w:shd w:val="clear" w:color="auto" w:fill="FFFFFF"/>
          <w:lang w:val="en-US"/>
        </w:rPr>
        <w:t>Energy &amp; Fuels</w:t>
      </w:r>
      <w:r w:rsidRPr="00496333">
        <w:rPr>
          <w:rFonts w:ascii="Times New Roman" w:hAnsi="Times New Roman" w:cs="Times New Roman"/>
          <w:color w:val="000000" w:themeColor="text1"/>
          <w:sz w:val="20"/>
          <w:szCs w:val="20"/>
          <w:shd w:val="clear" w:color="auto" w:fill="FFFFFF"/>
          <w:lang w:val="en-US"/>
        </w:rPr>
        <w:t>,</w:t>
      </w:r>
      <w:r w:rsidRPr="00496333">
        <w:rPr>
          <w:rStyle w:val="apple-converted-space"/>
          <w:rFonts w:ascii="Times New Roman" w:hAnsi="Times New Roman" w:cs="Times New Roman"/>
          <w:color w:val="000000" w:themeColor="text1"/>
          <w:sz w:val="20"/>
          <w:szCs w:val="20"/>
          <w:shd w:val="clear" w:color="auto" w:fill="FFFFFF"/>
          <w:lang w:val="en-US"/>
        </w:rPr>
        <w:t> v. </w:t>
      </w:r>
      <w:r w:rsidRPr="00496333">
        <w:rPr>
          <w:rStyle w:val="citationvolume"/>
          <w:rFonts w:ascii="Times New Roman" w:hAnsi="Times New Roman" w:cs="Times New Roman"/>
          <w:color w:val="000000" w:themeColor="text1"/>
          <w:sz w:val="20"/>
          <w:szCs w:val="20"/>
          <w:shd w:val="clear" w:color="auto" w:fill="FFFFFF"/>
          <w:lang w:val="en-US"/>
        </w:rPr>
        <w:t>29</w:t>
      </w:r>
      <w:r w:rsidRPr="00496333">
        <w:rPr>
          <w:rStyle w:val="apple-converted-space"/>
          <w:rFonts w:ascii="Times New Roman" w:hAnsi="Times New Roman" w:cs="Times New Roman"/>
          <w:color w:val="000000" w:themeColor="text1"/>
          <w:sz w:val="20"/>
          <w:szCs w:val="20"/>
          <w:shd w:val="clear" w:color="auto" w:fill="FFFFFF"/>
          <w:lang w:val="en-US"/>
        </w:rPr>
        <w:t xml:space="preserve">, </w:t>
      </w:r>
      <w:r w:rsidRPr="00496333">
        <w:rPr>
          <w:rFonts w:ascii="Times New Roman" w:hAnsi="Times New Roman" w:cs="Times New Roman"/>
          <w:color w:val="000000" w:themeColor="text1"/>
          <w:sz w:val="20"/>
          <w:szCs w:val="20"/>
          <w:shd w:val="clear" w:color="auto" w:fill="FFFFFF"/>
          <w:lang w:val="en-US"/>
        </w:rPr>
        <w:t xml:space="preserve">p. 8074-8081, 2015. </w:t>
      </w:r>
      <w:hyperlink r:id="rId10" w:tgtFrame="_blank" w:history="1"/>
    </w:p>
    <w:p w14:paraId="21B62EE6" w14:textId="77777777" w:rsidR="003F6036" w:rsidRPr="00496333" w:rsidRDefault="003F6036" w:rsidP="003F6036">
      <w:pPr>
        <w:pStyle w:val="PargrafodaLista"/>
        <w:numPr>
          <w:ilvl w:val="0"/>
          <w:numId w:val="1"/>
        </w:numPr>
        <w:autoSpaceDE w:val="0"/>
        <w:autoSpaceDN w:val="0"/>
        <w:adjustRightInd w:val="0"/>
        <w:spacing w:after="120" w:line="240" w:lineRule="auto"/>
        <w:ind w:left="357" w:hanging="357"/>
        <w:jc w:val="both"/>
        <w:rPr>
          <w:rFonts w:ascii="Times New Roman" w:hAnsi="Times New Roman" w:cs="Times New Roman"/>
          <w:color w:val="000000" w:themeColor="text1"/>
          <w:sz w:val="20"/>
          <w:szCs w:val="20"/>
        </w:rPr>
      </w:pPr>
      <w:r w:rsidRPr="00496333">
        <w:rPr>
          <w:rFonts w:ascii="Times New Roman" w:hAnsi="Times New Roman" w:cs="Times New Roman"/>
          <w:color w:val="000000" w:themeColor="text1"/>
          <w:sz w:val="20"/>
          <w:szCs w:val="20"/>
        </w:rPr>
        <w:t xml:space="preserve">RAMOS, L. P.; SILVA, F. R.; MANGRICH, A. S.; CORDEIRO, C. S. </w:t>
      </w:r>
      <w:r w:rsidRPr="00496333">
        <w:rPr>
          <w:rFonts w:ascii="Times New Roman" w:eastAsia="AdvGulliv-R" w:hAnsi="Times New Roman" w:cs="Times New Roman"/>
          <w:color w:val="000000" w:themeColor="text1"/>
          <w:sz w:val="20"/>
          <w:szCs w:val="20"/>
        </w:rPr>
        <w:t xml:space="preserve"> </w:t>
      </w:r>
      <w:r w:rsidRPr="00496333">
        <w:rPr>
          <w:rFonts w:ascii="Times New Roman" w:hAnsi="Times New Roman" w:cs="Times New Roman"/>
          <w:color w:val="000000" w:themeColor="text1"/>
          <w:sz w:val="20"/>
          <w:szCs w:val="20"/>
        </w:rPr>
        <w:t xml:space="preserve">Tecnologias de produção de biodiesel. </w:t>
      </w:r>
      <w:r w:rsidRPr="00496333">
        <w:rPr>
          <w:rFonts w:ascii="Times New Roman" w:hAnsi="Times New Roman" w:cs="Times New Roman"/>
          <w:b/>
          <w:color w:val="000000" w:themeColor="text1"/>
          <w:sz w:val="20"/>
          <w:szCs w:val="20"/>
        </w:rPr>
        <w:t>Revista Virtual de Química</w:t>
      </w:r>
      <w:r w:rsidRPr="00496333">
        <w:rPr>
          <w:rFonts w:ascii="Times New Roman" w:hAnsi="Times New Roman" w:cs="Times New Roman"/>
          <w:color w:val="000000" w:themeColor="text1"/>
          <w:sz w:val="20"/>
          <w:szCs w:val="20"/>
        </w:rPr>
        <w:t xml:space="preserve">, v. 3, p. 385-405, 2011. </w:t>
      </w:r>
    </w:p>
    <w:p w14:paraId="653200CC" w14:textId="77777777" w:rsidR="003F6036" w:rsidRPr="00496333" w:rsidRDefault="003F6036" w:rsidP="003F6036">
      <w:pPr>
        <w:pStyle w:val="PargrafodaLista"/>
        <w:numPr>
          <w:ilvl w:val="0"/>
          <w:numId w:val="1"/>
        </w:numPr>
        <w:autoSpaceDE w:val="0"/>
        <w:autoSpaceDN w:val="0"/>
        <w:adjustRightInd w:val="0"/>
        <w:spacing w:after="120" w:line="240" w:lineRule="auto"/>
        <w:ind w:left="357" w:hanging="357"/>
        <w:jc w:val="both"/>
        <w:rPr>
          <w:rFonts w:ascii="Times New Roman" w:hAnsi="Times New Roman" w:cs="Times New Roman"/>
          <w:color w:val="000000" w:themeColor="text1"/>
          <w:sz w:val="20"/>
          <w:szCs w:val="20"/>
          <w:lang w:val="en-US"/>
        </w:rPr>
      </w:pPr>
      <w:r w:rsidRPr="00496333">
        <w:rPr>
          <w:rFonts w:ascii="Times New Roman" w:hAnsi="Times New Roman" w:cs="Times New Roman"/>
          <w:color w:val="000000" w:themeColor="text1"/>
          <w:sz w:val="20"/>
          <w:szCs w:val="20"/>
        </w:rPr>
        <w:t xml:space="preserve">DEGIRMENBASI, N.; </w:t>
      </w:r>
      <w:r w:rsidRPr="00496333">
        <w:rPr>
          <w:rFonts w:ascii="Times New Roman" w:eastAsia="AdvGulliv-R" w:hAnsi="Times New Roman" w:cs="Times New Roman"/>
          <w:color w:val="000000" w:themeColor="text1"/>
          <w:sz w:val="20"/>
          <w:szCs w:val="20"/>
        </w:rPr>
        <w:t>COSKUN, S.; BOZ, N.; KALYON, D. M.</w:t>
      </w:r>
      <w:r w:rsidRPr="00496333">
        <w:rPr>
          <w:rFonts w:ascii="Times New Roman" w:hAnsi="Times New Roman" w:cs="Times New Roman"/>
          <w:color w:val="000000" w:themeColor="text1"/>
          <w:sz w:val="20"/>
          <w:szCs w:val="20"/>
        </w:rPr>
        <w:t xml:space="preserve"> </w:t>
      </w:r>
      <w:r w:rsidRPr="00496333">
        <w:rPr>
          <w:rFonts w:ascii="Times New Roman" w:eastAsia="AdvGulliv-R" w:hAnsi="Times New Roman" w:cs="Times New Roman"/>
          <w:color w:val="000000" w:themeColor="text1"/>
          <w:sz w:val="20"/>
          <w:szCs w:val="20"/>
          <w:lang w:val="en-US"/>
        </w:rPr>
        <w:t xml:space="preserve"> </w:t>
      </w:r>
      <w:r w:rsidRPr="00496333">
        <w:rPr>
          <w:rFonts w:ascii="Times New Roman" w:hAnsi="Times New Roman" w:cs="Times New Roman"/>
          <w:color w:val="000000" w:themeColor="text1"/>
          <w:sz w:val="20"/>
          <w:szCs w:val="20"/>
          <w:lang w:val="en-US"/>
        </w:rPr>
        <w:t xml:space="preserve">Biodiesel synthesis from canola oil via heterogeneous catalysis using functionalized </w:t>
      </w:r>
      <w:proofErr w:type="spellStart"/>
      <w:r w:rsidRPr="00496333">
        <w:rPr>
          <w:rFonts w:ascii="Times New Roman" w:hAnsi="Times New Roman" w:cs="Times New Roman"/>
          <w:color w:val="000000" w:themeColor="text1"/>
          <w:sz w:val="20"/>
          <w:szCs w:val="20"/>
          <w:lang w:val="en-US"/>
        </w:rPr>
        <w:t>CaO</w:t>
      </w:r>
      <w:proofErr w:type="spellEnd"/>
      <w:r w:rsidRPr="00496333">
        <w:rPr>
          <w:rFonts w:ascii="Times New Roman" w:hAnsi="Times New Roman" w:cs="Times New Roman"/>
          <w:color w:val="000000" w:themeColor="text1"/>
          <w:sz w:val="20"/>
          <w:szCs w:val="20"/>
          <w:lang w:val="en-US"/>
        </w:rPr>
        <w:t xml:space="preserve"> nanoparticles. </w:t>
      </w:r>
      <w:proofErr w:type="spellStart"/>
      <w:r w:rsidRPr="00496333">
        <w:rPr>
          <w:rFonts w:ascii="Times New Roman" w:hAnsi="Times New Roman" w:cs="Times New Roman"/>
          <w:b/>
          <w:color w:val="000000" w:themeColor="text1"/>
          <w:sz w:val="20"/>
          <w:szCs w:val="20"/>
        </w:rPr>
        <w:t>Fuel</w:t>
      </w:r>
      <w:proofErr w:type="spellEnd"/>
      <w:r w:rsidRPr="00496333">
        <w:rPr>
          <w:rFonts w:ascii="Times New Roman" w:hAnsi="Times New Roman" w:cs="Times New Roman"/>
          <w:color w:val="000000" w:themeColor="text1"/>
          <w:sz w:val="20"/>
          <w:szCs w:val="20"/>
        </w:rPr>
        <w:t xml:space="preserve">, v. 153, p. 620-627, 2015. </w:t>
      </w:r>
    </w:p>
    <w:p w14:paraId="4A558ABE" w14:textId="77777777" w:rsidR="003F6036" w:rsidRPr="00496333" w:rsidRDefault="003F6036" w:rsidP="003F6036">
      <w:pPr>
        <w:pStyle w:val="PargrafodaLista"/>
        <w:numPr>
          <w:ilvl w:val="0"/>
          <w:numId w:val="1"/>
        </w:numPr>
        <w:pBdr>
          <w:top w:val="nil"/>
          <w:left w:val="nil"/>
          <w:bottom w:val="nil"/>
          <w:right w:val="nil"/>
          <w:between w:val="nil"/>
        </w:pBdr>
        <w:autoSpaceDE w:val="0"/>
        <w:autoSpaceDN w:val="0"/>
        <w:adjustRightInd w:val="0"/>
        <w:spacing w:after="120" w:line="240" w:lineRule="auto"/>
        <w:ind w:left="357" w:hanging="357"/>
        <w:jc w:val="both"/>
        <w:rPr>
          <w:rFonts w:ascii="Times New Roman" w:hAnsi="Times New Roman" w:cs="Times New Roman"/>
          <w:color w:val="000000" w:themeColor="text1"/>
          <w:sz w:val="20"/>
          <w:szCs w:val="20"/>
        </w:rPr>
      </w:pPr>
      <w:r w:rsidRPr="00496333">
        <w:rPr>
          <w:rFonts w:ascii="Times New Roman" w:hAnsi="Times New Roman" w:cs="Times New Roman"/>
          <w:color w:val="000000" w:themeColor="text1"/>
          <w:sz w:val="20"/>
          <w:szCs w:val="20"/>
          <w:lang w:val="en-US"/>
        </w:rPr>
        <w:t xml:space="preserve">JEENPADIPHAT, S.; TUNGASMITA, D. N. Esterification of oleic acid and high acid content palm oil over </w:t>
      </w:r>
      <w:proofErr w:type="spellStart"/>
      <w:r w:rsidRPr="00496333">
        <w:rPr>
          <w:rFonts w:ascii="Times New Roman" w:hAnsi="Times New Roman" w:cs="Times New Roman"/>
          <w:color w:val="000000" w:themeColor="text1"/>
          <w:sz w:val="20"/>
          <w:szCs w:val="20"/>
          <w:lang w:val="en-US"/>
        </w:rPr>
        <w:t>na</w:t>
      </w:r>
      <w:proofErr w:type="spellEnd"/>
      <w:r w:rsidRPr="00496333">
        <w:rPr>
          <w:rFonts w:ascii="Times New Roman" w:hAnsi="Times New Roman" w:cs="Times New Roman"/>
          <w:color w:val="000000" w:themeColor="text1"/>
          <w:sz w:val="20"/>
          <w:szCs w:val="20"/>
          <w:lang w:val="en-US"/>
        </w:rPr>
        <w:t xml:space="preserve"> acid-activated bentonite catalyst. </w:t>
      </w:r>
      <w:r w:rsidRPr="00496333">
        <w:rPr>
          <w:rFonts w:ascii="Times New Roman" w:hAnsi="Times New Roman" w:cs="Times New Roman"/>
          <w:b/>
          <w:color w:val="000000" w:themeColor="text1"/>
          <w:sz w:val="20"/>
          <w:szCs w:val="20"/>
          <w:lang w:val="en-US"/>
        </w:rPr>
        <w:t>Applied Clay Science</w:t>
      </w:r>
      <w:r w:rsidRPr="00496333">
        <w:rPr>
          <w:rFonts w:ascii="Times New Roman" w:hAnsi="Times New Roman" w:cs="Times New Roman"/>
          <w:color w:val="000000" w:themeColor="text1"/>
          <w:sz w:val="20"/>
          <w:szCs w:val="20"/>
          <w:lang w:val="en-US"/>
        </w:rPr>
        <w:t xml:space="preserve">, v. 87, p. 272-277, 2014. </w:t>
      </w:r>
    </w:p>
    <w:p w14:paraId="4EB885CC" w14:textId="77777777" w:rsidR="003F6036" w:rsidRPr="00496333" w:rsidRDefault="003F6036" w:rsidP="003F6036">
      <w:pPr>
        <w:pStyle w:val="PargrafodaLista"/>
        <w:numPr>
          <w:ilvl w:val="0"/>
          <w:numId w:val="1"/>
        </w:numPr>
        <w:pBdr>
          <w:top w:val="nil"/>
          <w:left w:val="nil"/>
          <w:bottom w:val="nil"/>
          <w:right w:val="nil"/>
          <w:between w:val="nil"/>
        </w:pBdr>
        <w:autoSpaceDE w:val="0"/>
        <w:autoSpaceDN w:val="0"/>
        <w:adjustRightInd w:val="0"/>
        <w:spacing w:after="120" w:line="240" w:lineRule="auto"/>
        <w:ind w:left="357" w:hanging="357"/>
        <w:jc w:val="both"/>
        <w:rPr>
          <w:rFonts w:ascii="Times New Roman" w:hAnsi="Times New Roman" w:cs="Times New Roman"/>
          <w:i/>
          <w:color w:val="000000" w:themeColor="text1"/>
          <w:sz w:val="20"/>
          <w:szCs w:val="20"/>
        </w:rPr>
      </w:pPr>
      <w:r w:rsidRPr="00496333">
        <w:rPr>
          <w:rFonts w:ascii="Times New Roman" w:hAnsi="Times New Roman" w:cs="Times New Roman"/>
          <w:color w:val="000000" w:themeColor="text1"/>
          <w:sz w:val="20"/>
          <w:szCs w:val="20"/>
        </w:rPr>
        <w:t>EL-OKR, M. M.; SALEM, M. A.; SALIM, M. S.; EL-OKR, R. M.; ASHOUSH, M.; TALAAT, H. M.</w:t>
      </w:r>
      <w:r w:rsidRPr="00496333">
        <w:rPr>
          <w:rFonts w:ascii="Times New Roman" w:hAnsi="Times New Roman" w:cs="Times New Roman"/>
          <w:i/>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Synthesis</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of</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cobalt</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ferrite</w:t>
      </w:r>
      <w:proofErr w:type="spellEnd"/>
      <w:r w:rsidRPr="00496333">
        <w:rPr>
          <w:rStyle w:val="title-text"/>
          <w:rFonts w:ascii="Times New Roman" w:hAnsi="Times New Roman" w:cs="Times New Roman"/>
          <w:color w:val="000000" w:themeColor="text1"/>
          <w:sz w:val="20"/>
          <w:szCs w:val="20"/>
        </w:rPr>
        <w:t xml:space="preserve"> nano-</w:t>
      </w:r>
      <w:proofErr w:type="spellStart"/>
      <w:r w:rsidRPr="00496333">
        <w:rPr>
          <w:rStyle w:val="title-text"/>
          <w:rFonts w:ascii="Times New Roman" w:hAnsi="Times New Roman" w:cs="Times New Roman"/>
          <w:color w:val="000000" w:themeColor="text1"/>
          <w:sz w:val="20"/>
          <w:szCs w:val="20"/>
        </w:rPr>
        <w:t>particles</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and</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their</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magnetic</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Style w:val="title-text"/>
          <w:rFonts w:ascii="Times New Roman" w:hAnsi="Times New Roman" w:cs="Times New Roman"/>
          <w:color w:val="000000" w:themeColor="text1"/>
          <w:sz w:val="20"/>
          <w:szCs w:val="20"/>
        </w:rPr>
        <w:t>characterization</w:t>
      </w:r>
      <w:proofErr w:type="spellEnd"/>
      <w:r w:rsidRPr="00496333">
        <w:rPr>
          <w:rStyle w:val="title-text"/>
          <w:rFonts w:ascii="Times New Roman" w:hAnsi="Times New Roman" w:cs="Times New Roman"/>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Journal</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of</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Magnetism</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and</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Magnetic</w:t>
      </w:r>
      <w:proofErr w:type="spellEnd"/>
      <w:r w:rsidRPr="00496333">
        <w:rPr>
          <w:rFonts w:ascii="Times New Roman" w:hAnsi="Times New Roman" w:cs="Times New Roman"/>
          <w:b/>
          <w:color w:val="000000" w:themeColor="text1"/>
          <w:sz w:val="20"/>
          <w:szCs w:val="20"/>
        </w:rPr>
        <w:t xml:space="preserve"> </w:t>
      </w:r>
      <w:proofErr w:type="spellStart"/>
      <w:r w:rsidRPr="00496333">
        <w:rPr>
          <w:rFonts w:ascii="Times New Roman" w:hAnsi="Times New Roman" w:cs="Times New Roman"/>
          <w:b/>
          <w:color w:val="000000" w:themeColor="text1"/>
          <w:sz w:val="20"/>
          <w:szCs w:val="20"/>
        </w:rPr>
        <w:t>Materials</w:t>
      </w:r>
      <w:proofErr w:type="spellEnd"/>
      <w:r w:rsidRPr="00496333">
        <w:rPr>
          <w:rFonts w:ascii="Times New Roman" w:hAnsi="Times New Roman" w:cs="Times New Roman"/>
          <w:color w:val="000000" w:themeColor="text1"/>
          <w:sz w:val="20"/>
          <w:szCs w:val="20"/>
        </w:rPr>
        <w:t>, v. 323, p. 920-926,</w:t>
      </w:r>
      <w:r w:rsidRPr="00496333">
        <w:rPr>
          <w:rFonts w:ascii="Times New Roman" w:hAnsi="Times New Roman" w:cs="Times New Roman"/>
          <w:b/>
          <w:color w:val="000000" w:themeColor="text1"/>
          <w:sz w:val="20"/>
          <w:szCs w:val="20"/>
        </w:rPr>
        <w:t xml:space="preserve"> </w:t>
      </w:r>
      <w:r w:rsidRPr="00496333">
        <w:rPr>
          <w:rFonts w:ascii="Times New Roman" w:hAnsi="Times New Roman" w:cs="Times New Roman"/>
          <w:color w:val="000000" w:themeColor="text1"/>
          <w:sz w:val="20"/>
          <w:szCs w:val="20"/>
        </w:rPr>
        <w:t>2011.</w:t>
      </w:r>
    </w:p>
    <w:p w14:paraId="1299F9BF" w14:textId="61C1DE23" w:rsidR="003F6036" w:rsidRPr="000E5A0D" w:rsidRDefault="003F6036" w:rsidP="00496333">
      <w:pPr>
        <w:pStyle w:val="PargrafodaLista"/>
        <w:numPr>
          <w:ilvl w:val="0"/>
          <w:numId w:val="1"/>
        </w:numPr>
        <w:pBdr>
          <w:top w:val="nil"/>
          <w:left w:val="nil"/>
          <w:bottom w:val="nil"/>
          <w:right w:val="nil"/>
          <w:between w:val="nil"/>
        </w:pBdr>
        <w:autoSpaceDE w:val="0"/>
        <w:autoSpaceDN w:val="0"/>
        <w:adjustRightInd w:val="0"/>
        <w:spacing w:after="120" w:line="240" w:lineRule="auto"/>
        <w:ind w:left="357" w:hanging="357"/>
        <w:jc w:val="both"/>
        <w:rPr>
          <w:rFonts w:ascii="Times New Roman" w:hAnsi="Times New Roman" w:cs="Times New Roman"/>
          <w:color w:val="000000" w:themeColor="text1"/>
          <w:sz w:val="20"/>
          <w:szCs w:val="20"/>
        </w:rPr>
      </w:pPr>
      <w:r w:rsidRPr="000E5A0D">
        <w:rPr>
          <w:rFonts w:ascii="Times New Roman" w:hAnsi="Times New Roman" w:cs="Times New Roman"/>
          <w:bCs/>
          <w:color w:val="000000" w:themeColor="text1"/>
          <w:sz w:val="20"/>
          <w:szCs w:val="20"/>
        </w:rPr>
        <w:lastRenderedPageBreak/>
        <w:t>BRANDÃO, L. R.; MEIRELES, C. S.; ASSUNÇÃO, R. M. N.; RODRIGUES FILHO, G.</w:t>
      </w:r>
      <w:r w:rsidRPr="000E5A0D">
        <w:rPr>
          <w:rFonts w:ascii="Times New Roman" w:hAnsi="Times New Roman" w:cs="Times New Roman"/>
          <w:b/>
          <w:bCs/>
          <w:color w:val="000000" w:themeColor="text1"/>
          <w:sz w:val="20"/>
          <w:szCs w:val="20"/>
        </w:rPr>
        <w:t xml:space="preserve"> </w:t>
      </w:r>
      <w:r w:rsidRPr="000E5A0D">
        <w:rPr>
          <w:rFonts w:ascii="Times New Roman" w:hAnsi="Times New Roman" w:cs="Times New Roman"/>
          <w:color w:val="000000" w:themeColor="text1"/>
          <w:sz w:val="20"/>
          <w:szCs w:val="20"/>
          <w:lang w:val="en-US"/>
        </w:rPr>
        <w:t xml:space="preserve">Diffusion of water through </w:t>
      </w:r>
      <w:proofErr w:type="gramStart"/>
      <w:r w:rsidRPr="000E5A0D">
        <w:rPr>
          <w:rFonts w:ascii="Times New Roman" w:hAnsi="Times New Roman" w:cs="Times New Roman"/>
          <w:color w:val="000000" w:themeColor="text1"/>
          <w:sz w:val="20"/>
          <w:szCs w:val="20"/>
          <w:lang w:val="en-US"/>
        </w:rPr>
        <w:t>Poly(</w:t>
      </w:r>
      <w:proofErr w:type="spellStart"/>
      <w:proofErr w:type="gramEnd"/>
      <w:r w:rsidRPr="000E5A0D">
        <w:rPr>
          <w:rFonts w:ascii="Times New Roman" w:hAnsi="Times New Roman" w:cs="Times New Roman"/>
          <w:color w:val="000000" w:themeColor="text1"/>
          <w:sz w:val="20"/>
          <w:szCs w:val="20"/>
          <w:lang w:val="en-US"/>
        </w:rPr>
        <w:t>styrenesulfonate</w:t>
      </w:r>
      <w:proofErr w:type="spellEnd"/>
      <w:r w:rsidRPr="000E5A0D">
        <w:rPr>
          <w:rFonts w:ascii="Times New Roman" w:hAnsi="Times New Roman" w:cs="Times New Roman"/>
          <w:color w:val="000000" w:themeColor="text1"/>
          <w:sz w:val="20"/>
          <w:szCs w:val="20"/>
          <w:lang w:val="en-US"/>
        </w:rPr>
        <w:t xml:space="preserve">) membranes produced from the </w:t>
      </w:r>
      <w:proofErr w:type="spellStart"/>
      <w:r w:rsidRPr="000E5A0D">
        <w:rPr>
          <w:rFonts w:ascii="Times New Roman" w:hAnsi="Times New Roman" w:cs="Times New Roman"/>
          <w:color w:val="000000" w:themeColor="text1"/>
          <w:sz w:val="20"/>
          <w:szCs w:val="20"/>
          <w:lang w:val="en-US"/>
        </w:rPr>
        <w:t>sulfonation</w:t>
      </w:r>
      <w:proofErr w:type="spellEnd"/>
      <w:r w:rsidRPr="000E5A0D">
        <w:rPr>
          <w:rFonts w:ascii="Times New Roman" w:hAnsi="Times New Roman" w:cs="Times New Roman"/>
          <w:color w:val="000000" w:themeColor="text1"/>
          <w:sz w:val="20"/>
          <w:szCs w:val="20"/>
          <w:lang w:val="en-US"/>
        </w:rPr>
        <w:t xml:space="preserve"> of wasted PS plastic cups. </w:t>
      </w:r>
      <w:proofErr w:type="spellStart"/>
      <w:r w:rsidRPr="000E5A0D">
        <w:rPr>
          <w:rFonts w:ascii="Times New Roman" w:hAnsi="Times New Roman" w:cs="Times New Roman"/>
          <w:b/>
          <w:color w:val="000000" w:themeColor="text1"/>
          <w:sz w:val="20"/>
          <w:szCs w:val="20"/>
        </w:rPr>
        <w:t>Polymer</w:t>
      </w:r>
      <w:proofErr w:type="spellEnd"/>
      <w:r w:rsidRPr="000E5A0D">
        <w:rPr>
          <w:rFonts w:ascii="Times New Roman" w:hAnsi="Times New Roman" w:cs="Times New Roman"/>
          <w:b/>
          <w:color w:val="000000" w:themeColor="text1"/>
          <w:sz w:val="20"/>
          <w:szCs w:val="20"/>
        </w:rPr>
        <w:t xml:space="preserve"> </w:t>
      </w:r>
      <w:proofErr w:type="spellStart"/>
      <w:r w:rsidRPr="000E5A0D">
        <w:rPr>
          <w:rFonts w:ascii="Times New Roman" w:hAnsi="Times New Roman" w:cs="Times New Roman"/>
          <w:b/>
          <w:color w:val="000000" w:themeColor="text1"/>
          <w:sz w:val="20"/>
          <w:szCs w:val="20"/>
        </w:rPr>
        <w:t>Bulletin</w:t>
      </w:r>
      <w:proofErr w:type="spellEnd"/>
      <w:r w:rsidRPr="000E5A0D">
        <w:rPr>
          <w:rFonts w:ascii="Times New Roman" w:hAnsi="Times New Roman" w:cs="Times New Roman"/>
          <w:color w:val="000000" w:themeColor="text1"/>
          <w:sz w:val="20"/>
          <w:szCs w:val="20"/>
        </w:rPr>
        <w:t xml:space="preserve">, v. 55, p. 269-275, 2005. </w:t>
      </w:r>
    </w:p>
    <w:p w14:paraId="296F8276" w14:textId="77777777" w:rsidR="003F6036" w:rsidRPr="000E5A0D" w:rsidRDefault="003F6036" w:rsidP="00496333">
      <w:pPr>
        <w:pStyle w:val="PargrafodaLista"/>
        <w:numPr>
          <w:ilvl w:val="0"/>
          <w:numId w:val="1"/>
        </w:numPr>
        <w:spacing w:after="120" w:line="240" w:lineRule="auto"/>
        <w:ind w:left="357" w:hanging="357"/>
        <w:jc w:val="both"/>
        <w:rPr>
          <w:rFonts w:ascii="Times New Roman" w:hAnsi="Times New Roman" w:cs="Times New Roman"/>
          <w:bCs/>
          <w:color w:val="000000" w:themeColor="text1"/>
          <w:sz w:val="20"/>
          <w:szCs w:val="20"/>
          <w:lang w:val="en-US"/>
        </w:rPr>
      </w:pPr>
      <w:r w:rsidRPr="000E5A0D">
        <w:rPr>
          <w:rStyle w:val="bold"/>
          <w:rFonts w:ascii="Times New Roman" w:eastAsiaTheme="majorEastAsia" w:hAnsi="Times New Roman" w:cs="Times New Roman"/>
          <w:bCs/>
          <w:color w:val="000000" w:themeColor="text1"/>
          <w:sz w:val="20"/>
          <w:szCs w:val="20"/>
        </w:rPr>
        <w:t>KUMARI</w:t>
      </w:r>
      <w:r w:rsidRPr="000E5A0D">
        <w:rPr>
          <w:rFonts w:ascii="Times New Roman" w:hAnsi="Times New Roman" w:cs="Times New Roman"/>
          <w:color w:val="000000" w:themeColor="text1"/>
          <w:sz w:val="20"/>
          <w:szCs w:val="20"/>
        </w:rPr>
        <w:t>, S.; CHAUHAN, G. S.;</w:t>
      </w:r>
      <w:r w:rsidRPr="000E5A0D">
        <w:rPr>
          <w:rStyle w:val="apple-converted-space"/>
          <w:rFonts w:ascii="Times New Roman" w:hAnsi="Times New Roman" w:cs="Times New Roman"/>
          <w:color w:val="000000" w:themeColor="text1"/>
          <w:sz w:val="20"/>
          <w:szCs w:val="20"/>
        </w:rPr>
        <w:t> </w:t>
      </w:r>
      <w:r w:rsidRPr="000E5A0D">
        <w:rPr>
          <w:rFonts w:ascii="Times New Roman" w:hAnsi="Times New Roman" w:cs="Times New Roman"/>
          <w:color w:val="000000" w:themeColor="text1"/>
          <w:sz w:val="20"/>
          <w:szCs w:val="20"/>
        </w:rPr>
        <w:t>MONGA, S.; KAUSHIK, A.; AHN</w:t>
      </w:r>
      <w:r w:rsidRPr="000E5A0D">
        <w:rPr>
          <w:rStyle w:val="apple-converted-space"/>
          <w:rFonts w:ascii="Times New Roman" w:hAnsi="Times New Roman" w:cs="Times New Roman"/>
          <w:color w:val="000000" w:themeColor="text1"/>
          <w:sz w:val="20"/>
          <w:szCs w:val="20"/>
        </w:rPr>
        <w:t xml:space="preserve">, J. H. </w:t>
      </w:r>
      <w:r w:rsidRPr="000E5A0D">
        <w:rPr>
          <w:rFonts w:ascii="Times New Roman" w:hAnsi="Times New Roman" w:cs="Times New Roman"/>
          <w:color w:val="000000" w:themeColor="text1"/>
          <w:sz w:val="20"/>
          <w:szCs w:val="20"/>
          <w:lang w:val="en-US"/>
        </w:rPr>
        <w:t>N</w:t>
      </w:r>
      <w:r w:rsidRPr="000E5A0D">
        <w:rPr>
          <w:rStyle w:val="titleheading"/>
          <w:rFonts w:ascii="Times New Roman" w:hAnsi="Times New Roman" w:cs="Times New Roman"/>
          <w:bCs/>
          <w:color w:val="000000" w:themeColor="text1"/>
          <w:sz w:val="20"/>
          <w:szCs w:val="20"/>
          <w:lang w:val="en-US"/>
        </w:rPr>
        <w:t>ew lignin-based polyurethane foam for wastewater treatment</w:t>
      </w:r>
      <w:r w:rsidRPr="000E5A0D">
        <w:rPr>
          <w:rStyle w:val="titleheading"/>
          <w:rFonts w:ascii="Times New Roman" w:hAnsi="Times New Roman" w:cs="Times New Roman"/>
          <w:bCs/>
          <w:caps/>
          <w:color w:val="000000" w:themeColor="text1"/>
          <w:sz w:val="20"/>
          <w:szCs w:val="20"/>
          <w:lang w:val="en-US"/>
        </w:rPr>
        <w:t>.</w:t>
      </w:r>
      <w:r w:rsidRPr="000E5A0D">
        <w:rPr>
          <w:rFonts w:ascii="Times New Roman" w:hAnsi="Times New Roman" w:cs="Times New Roman"/>
          <w:bCs/>
          <w:caps/>
          <w:color w:val="000000" w:themeColor="text1"/>
          <w:sz w:val="20"/>
          <w:szCs w:val="20"/>
          <w:lang w:val="en-US"/>
        </w:rPr>
        <w:t xml:space="preserve"> </w:t>
      </w:r>
      <w:r w:rsidRPr="000E5A0D">
        <w:rPr>
          <w:rFonts w:ascii="Times New Roman" w:hAnsi="Times New Roman" w:cs="Times New Roman"/>
          <w:b/>
          <w:bCs/>
          <w:color w:val="000000" w:themeColor="text1"/>
          <w:sz w:val="20"/>
          <w:szCs w:val="20"/>
          <w:lang w:val="en-US"/>
        </w:rPr>
        <w:t>RSC Advances</w:t>
      </w:r>
      <w:r w:rsidRPr="000E5A0D">
        <w:rPr>
          <w:rFonts w:ascii="Times New Roman" w:hAnsi="Times New Roman" w:cs="Times New Roman"/>
          <w:bCs/>
          <w:color w:val="000000" w:themeColor="text1"/>
          <w:sz w:val="20"/>
          <w:szCs w:val="20"/>
          <w:lang w:val="en-US"/>
        </w:rPr>
        <w:t>, v</w:t>
      </w:r>
      <w:r w:rsidRPr="000E5A0D">
        <w:rPr>
          <w:rFonts w:ascii="Times New Roman" w:hAnsi="Times New Roman" w:cs="Times New Roman"/>
          <w:bCs/>
          <w:caps/>
          <w:color w:val="000000" w:themeColor="text1"/>
          <w:sz w:val="20"/>
          <w:szCs w:val="20"/>
          <w:lang w:val="en-US"/>
        </w:rPr>
        <w:t xml:space="preserve">. </w:t>
      </w:r>
      <w:proofErr w:type="gramStart"/>
      <w:r w:rsidRPr="000E5A0D">
        <w:rPr>
          <w:rFonts w:ascii="Times New Roman" w:hAnsi="Times New Roman" w:cs="Times New Roman"/>
          <w:bCs/>
          <w:caps/>
          <w:color w:val="000000" w:themeColor="text1"/>
          <w:sz w:val="20"/>
          <w:szCs w:val="20"/>
          <w:lang w:val="en-US"/>
        </w:rPr>
        <w:t>6</w:t>
      </w:r>
      <w:proofErr w:type="gramEnd"/>
      <w:r w:rsidRPr="000E5A0D">
        <w:rPr>
          <w:rFonts w:ascii="Times New Roman" w:hAnsi="Times New Roman" w:cs="Times New Roman"/>
          <w:bCs/>
          <w:caps/>
          <w:color w:val="000000" w:themeColor="text1"/>
          <w:sz w:val="20"/>
          <w:szCs w:val="20"/>
          <w:lang w:val="en-US"/>
        </w:rPr>
        <w:t xml:space="preserve">, </w:t>
      </w:r>
      <w:r w:rsidRPr="000E5A0D">
        <w:rPr>
          <w:rFonts w:ascii="Times New Roman" w:hAnsi="Times New Roman" w:cs="Times New Roman"/>
          <w:bCs/>
          <w:color w:val="000000" w:themeColor="text1"/>
          <w:sz w:val="20"/>
          <w:szCs w:val="20"/>
          <w:lang w:val="en-US"/>
        </w:rPr>
        <w:t>p</w:t>
      </w:r>
      <w:r w:rsidRPr="000E5A0D">
        <w:rPr>
          <w:rFonts w:ascii="Times New Roman" w:hAnsi="Times New Roman" w:cs="Times New Roman"/>
          <w:bCs/>
          <w:caps/>
          <w:color w:val="000000" w:themeColor="text1"/>
          <w:sz w:val="20"/>
          <w:szCs w:val="20"/>
          <w:lang w:val="en-US"/>
        </w:rPr>
        <w:t xml:space="preserve">. </w:t>
      </w:r>
      <w:r w:rsidRPr="000E5A0D">
        <w:rPr>
          <w:rFonts w:ascii="Times New Roman" w:hAnsi="Times New Roman" w:cs="Times New Roman"/>
          <w:bCs/>
          <w:color w:val="000000" w:themeColor="text1"/>
          <w:sz w:val="20"/>
          <w:szCs w:val="20"/>
          <w:lang w:val="en-US"/>
        </w:rPr>
        <w:t>77768-77776, 2016.</w:t>
      </w:r>
    </w:p>
    <w:p w14:paraId="35ECA4BC" w14:textId="77777777" w:rsidR="003F6036" w:rsidRPr="000E5A0D" w:rsidRDefault="003F6036" w:rsidP="00496333">
      <w:pPr>
        <w:pStyle w:val="PargrafodaLista"/>
        <w:numPr>
          <w:ilvl w:val="0"/>
          <w:numId w:val="1"/>
        </w:numPr>
        <w:spacing w:after="120" w:line="240" w:lineRule="auto"/>
        <w:ind w:left="357" w:hanging="357"/>
        <w:jc w:val="both"/>
        <w:rPr>
          <w:rFonts w:ascii="Times New Roman" w:hAnsi="Times New Roman" w:cs="Times New Roman"/>
          <w:color w:val="000000" w:themeColor="text1"/>
          <w:sz w:val="20"/>
          <w:szCs w:val="20"/>
          <w:lang w:val="en-US"/>
        </w:rPr>
      </w:pPr>
      <w:r w:rsidRPr="000E5A0D">
        <w:rPr>
          <w:rFonts w:ascii="Times New Roman" w:hAnsi="Times New Roman" w:cs="Times New Roman"/>
          <w:color w:val="000000" w:themeColor="text1"/>
          <w:sz w:val="20"/>
          <w:szCs w:val="20"/>
          <w:lang w:val="en-US"/>
        </w:rPr>
        <w:t xml:space="preserve">KUMAR, H.; ALÉN, R. Microwave-assisted esterification of tall oil fatty acids with methanol </w:t>
      </w:r>
      <w:r w:rsidRPr="000E5A0D">
        <w:rPr>
          <w:rFonts w:ascii="Times New Roman" w:hAnsi="Times New Roman" w:cs="Times New Roman"/>
          <w:color w:val="000000" w:themeColor="text1"/>
          <w:sz w:val="20"/>
          <w:szCs w:val="20"/>
          <w:lang w:val="en-US"/>
        </w:rPr>
        <w:lastRenderedPageBreak/>
        <w:t xml:space="preserve">using lignin-based solid catalyst. </w:t>
      </w:r>
      <w:r w:rsidRPr="000E5A0D">
        <w:rPr>
          <w:rFonts w:ascii="Times New Roman" w:hAnsi="Times New Roman" w:cs="Times New Roman"/>
          <w:b/>
          <w:color w:val="000000" w:themeColor="text1"/>
          <w:sz w:val="20"/>
          <w:szCs w:val="20"/>
          <w:lang w:val="en-US"/>
        </w:rPr>
        <w:t>Energy &amp; Fuels</w:t>
      </w:r>
      <w:r w:rsidRPr="000E5A0D">
        <w:rPr>
          <w:rFonts w:ascii="Times New Roman" w:hAnsi="Times New Roman" w:cs="Times New Roman"/>
          <w:color w:val="000000" w:themeColor="text1"/>
          <w:sz w:val="20"/>
          <w:szCs w:val="20"/>
          <w:lang w:val="en-US"/>
        </w:rPr>
        <w:t xml:space="preserve">, v. </w:t>
      </w:r>
      <w:r w:rsidRPr="000E5A0D">
        <w:rPr>
          <w:rStyle w:val="citationvolume"/>
          <w:rFonts w:ascii="Times New Roman" w:hAnsi="Times New Roman" w:cs="Times New Roman"/>
          <w:iCs/>
          <w:color w:val="000000" w:themeColor="text1"/>
          <w:sz w:val="20"/>
          <w:szCs w:val="20"/>
          <w:shd w:val="clear" w:color="auto" w:fill="FFFFFF"/>
          <w:lang w:val="en-US"/>
        </w:rPr>
        <w:t xml:space="preserve">30, </w:t>
      </w:r>
      <w:r w:rsidRPr="000E5A0D">
        <w:rPr>
          <w:rFonts w:ascii="Times New Roman" w:hAnsi="Times New Roman" w:cs="Times New Roman"/>
          <w:color w:val="000000" w:themeColor="text1"/>
          <w:sz w:val="20"/>
          <w:szCs w:val="20"/>
          <w:shd w:val="clear" w:color="auto" w:fill="FFFFFF"/>
          <w:lang w:val="en-US"/>
        </w:rPr>
        <w:t>p. 9451-9455,</w:t>
      </w:r>
      <w:r w:rsidRPr="000E5A0D">
        <w:rPr>
          <w:rFonts w:ascii="Times New Roman" w:hAnsi="Times New Roman" w:cs="Times New Roman"/>
          <w:color w:val="000000" w:themeColor="text1"/>
          <w:sz w:val="20"/>
          <w:szCs w:val="20"/>
          <w:lang w:val="en-US"/>
        </w:rPr>
        <w:t xml:space="preserve"> 2016. </w:t>
      </w:r>
    </w:p>
    <w:p w14:paraId="52789F28" w14:textId="77777777" w:rsidR="003F6036" w:rsidRPr="00EE4592" w:rsidRDefault="003F6036" w:rsidP="00496333">
      <w:pPr>
        <w:pStyle w:val="PargrafodaLista"/>
        <w:numPr>
          <w:ilvl w:val="0"/>
          <w:numId w:val="1"/>
        </w:numPr>
        <w:spacing w:after="120" w:line="240" w:lineRule="auto"/>
        <w:ind w:left="357" w:hanging="357"/>
        <w:jc w:val="both"/>
        <w:rPr>
          <w:rFonts w:ascii="Times New Roman" w:hAnsi="Times New Roman" w:cs="Times New Roman"/>
          <w:color w:val="000000" w:themeColor="text1"/>
          <w:sz w:val="20"/>
          <w:szCs w:val="20"/>
          <w:lang w:val="en-US"/>
        </w:rPr>
      </w:pPr>
      <w:r w:rsidRPr="000E5A0D">
        <w:rPr>
          <w:rFonts w:ascii="Times New Roman" w:hAnsi="Times New Roman" w:cs="Times New Roman"/>
          <w:color w:val="000000" w:themeColor="text1"/>
          <w:sz w:val="20"/>
          <w:szCs w:val="20"/>
        </w:rPr>
        <w:t xml:space="preserve">LIANG, F. B.; </w:t>
      </w:r>
      <w:r w:rsidRPr="000E5A0D">
        <w:rPr>
          <w:rFonts w:ascii="Times New Roman" w:hAnsi="Times New Roman" w:cs="Times New Roman"/>
          <w:color w:val="000000" w:themeColor="text1"/>
          <w:sz w:val="20"/>
          <w:szCs w:val="20"/>
          <w:bdr w:val="none" w:sz="0" w:space="0" w:color="auto" w:frame="1"/>
        </w:rPr>
        <w:t>SONG</w:t>
      </w:r>
      <w:r w:rsidRPr="000E5A0D">
        <w:rPr>
          <w:rFonts w:ascii="Times New Roman" w:hAnsi="Times New Roman" w:cs="Times New Roman"/>
          <w:color w:val="000000" w:themeColor="text1"/>
          <w:sz w:val="20"/>
          <w:szCs w:val="20"/>
        </w:rPr>
        <w:t xml:space="preserve">, Y.; </w:t>
      </w:r>
      <w:r w:rsidRPr="000E5A0D">
        <w:rPr>
          <w:rFonts w:ascii="Times New Roman" w:hAnsi="Times New Roman" w:cs="Times New Roman"/>
          <w:color w:val="000000" w:themeColor="text1"/>
          <w:sz w:val="20"/>
          <w:szCs w:val="20"/>
          <w:bdr w:val="none" w:sz="0" w:space="0" w:color="auto" w:frame="1"/>
        </w:rPr>
        <w:t>HUANG, C.;</w:t>
      </w:r>
      <w:r w:rsidRPr="000E5A0D">
        <w:rPr>
          <w:rFonts w:ascii="Times New Roman" w:hAnsi="Times New Roman" w:cs="Times New Roman"/>
          <w:color w:val="000000" w:themeColor="text1"/>
          <w:sz w:val="20"/>
          <w:szCs w:val="20"/>
        </w:rPr>
        <w:t> </w:t>
      </w:r>
      <w:r w:rsidRPr="000E5A0D">
        <w:rPr>
          <w:rFonts w:ascii="Times New Roman" w:hAnsi="Times New Roman" w:cs="Times New Roman"/>
          <w:color w:val="000000" w:themeColor="text1"/>
          <w:sz w:val="20"/>
          <w:szCs w:val="20"/>
          <w:bdr w:val="none" w:sz="0" w:space="0" w:color="auto" w:frame="1"/>
        </w:rPr>
        <w:t>ZHANG</w:t>
      </w:r>
      <w:r w:rsidRPr="000E5A0D">
        <w:rPr>
          <w:rFonts w:ascii="Times New Roman" w:hAnsi="Times New Roman" w:cs="Times New Roman"/>
          <w:color w:val="000000" w:themeColor="text1"/>
          <w:sz w:val="20"/>
          <w:szCs w:val="20"/>
        </w:rPr>
        <w:t xml:space="preserve">, J.; </w:t>
      </w:r>
      <w:r w:rsidRPr="000E5A0D">
        <w:rPr>
          <w:rFonts w:ascii="Times New Roman" w:hAnsi="Times New Roman" w:cs="Times New Roman"/>
          <w:color w:val="000000" w:themeColor="text1"/>
          <w:sz w:val="20"/>
          <w:szCs w:val="20"/>
          <w:bdr w:val="none" w:sz="0" w:space="0" w:color="auto" w:frame="1"/>
        </w:rPr>
        <w:t>CHEN</w:t>
      </w:r>
      <w:r w:rsidRPr="000E5A0D">
        <w:rPr>
          <w:rFonts w:ascii="Times New Roman" w:hAnsi="Times New Roman" w:cs="Times New Roman"/>
          <w:color w:val="000000" w:themeColor="text1"/>
          <w:sz w:val="20"/>
          <w:szCs w:val="20"/>
        </w:rPr>
        <w:t xml:space="preserve">, B. </w:t>
      </w:r>
      <w:r w:rsidRPr="000E5A0D">
        <w:rPr>
          <w:rFonts w:ascii="Times New Roman" w:hAnsi="Times New Roman" w:cs="Times New Roman"/>
          <w:color w:val="000000" w:themeColor="text1"/>
          <w:sz w:val="20"/>
          <w:szCs w:val="20"/>
          <w:lang w:val="en-US"/>
        </w:rPr>
        <w:t xml:space="preserve">Preparation and performance evaluation of a lignin-based solid acid from acid hydrolysis lignin. </w:t>
      </w:r>
      <w:r w:rsidRPr="000E5A0D">
        <w:rPr>
          <w:rFonts w:ascii="Times New Roman" w:hAnsi="Times New Roman" w:cs="Times New Roman"/>
          <w:b/>
          <w:color w:val="000000" w:themeColor="text1"/>
          <w:sz w:val="20"/>
          <w:szCs w:val="20"/>
          <w:lang w:val="en-US"/>
        </w:rPr>
        <w:t>Catalysis Communications</w:t>
      </w:r>
      <w:r w:rsidRPr="000E5A0D">
        <w:rPr>
          <w:rFonts w:ascii="Times New Roman" w:hAnsi="Times New Roman" w:cs="Times New Roman"/>
          <w:color w:val="000000" w:themeColor="text1"/>
          <w:sz w:val="20"/>
          <w:szCs w:val="20"/>
          <w:lang w:val="en-US"/>
        </w:rPr>
        <w:t xml:space="preserve">, v. 40, p. 93-97, 2013. </w:t>
      </w:r>
    </w:p>
    <w:p w14:paraId="4AB3746B" w14:textId="787E99B8" w:rsidR="00F33759" w:rsidRDefault="003F6036">
      <w:pPr>
        <w:pBdr>
          <w:top w:val="nil"/>
          <w:left w:val="nil"/>
          <w:bottom w:val="nil"/>
          <w:right w:val="nil"/>
          <w:between w:val="nil"/>
        </w:pBdr>
        <w:ind w:left="360" w:hanging="360"/>
        <w:jc w:val="both"/>
        <w:rPr>
          <w:color w:val="000000"/>
        </w:rPr>
      </w:pPr>
      <w:r>
        <w:rPr>
          <w:color w:val="000000"/>
        </w:rPr>
        <w:t xml:space="preserve"> </w:t>
      </w:r>
    </w:p>
    <w:p w14:paraId="618600DD" w14:textId="77777777" w:rsidR="00F33759" w:rsidRDefault="00F33759">
      <w:pPr>
        <w:pBdr>
          <w:top w:val="nil"/>
          <w:left w:val="nil"/>
          <w:bottom w:val="nil"/>
          <w:right w:val="nil"/>
          <w:between w:val="nil"/>
        </w:pBdr>
        <w:ind w:left="360" w:hanging="360"/>
        <w:jc w:val="both"/>
        <w:rPr>
          <w:color w:val="000000"/>
        </w:rPr>
      </w:pPr>
    </w:p>
    <w:p w14:paraId="45973CFB" w14:textId="77777777" w:rsidR="004E0971" w:rsidRDefault="004E0971">
      <w:pPr>
        <w:pBdr>
          <w:top w:val="nil"/>
          <w:left w:val="nil"/>
          <w:bottom w:val="nil"/>
          <w:right w:val="nil"/>
          <w:between w:val="nil"/>
        </w:pBdr>
        <w:ind w:left="360" w:hanging="360"/>
        <w:jc w:val="both"/>
        <w:rPr>
          <w:color w:val="000000"/>
        </w:rPr>
        <w:sectPr w:rsidR="004E0971" w:rsidSect="004E0971">
          <w:headerReference w:type="default" r:id="rId11"/>
          <w:type w:val="continuous"/>
          <w:pgSz w:w="11907" w:h="16840"/>
          <w:pgMar w:top="408" w:right="1134" w:bottom="1134" w:left="1134" w:header="431" w:footer="184" w:gutter="0"/>
          <w:cols w:num="2" w:space="720" w:equalWidth="0">
            <w:col w:w="4621" w:space="397"/>
            <w:col w:w="4621" w:space="0"/>
          </w:cols>
          <w:titlePg/>
          <w:docGrid w:linePitch="272"/>
        </w:sectPr>
      </w:pPr>
    </w:p>
    <w:p w14:paraId="6CDC0FE0" w14:textId="53CEF4EE" w:rsidR="00F33759" w:rsidRDefault="00F33759">
      <w:pPr>
        <w:pBdr>
          <w:top w:val="nil"/>
          <w:left w:val="nil"/>
          <w:bottom w:val="nil"/>
          <w:right w:val="nil"/>
          <w:between w:val="nil"/>
        </w:pBdr>
        <w:ind w:left="360" w:hanging="360"/>
        <w:jc w:val="both"/>
        <w:rPr>
          <w:color w:val="000000"/>
        </w:rPr>
      </w:pPr>
    </w:p>
    <w:p w14:paraId="2B5AA512" w14:textId="77777777" w:rsidR="004E0971" w:rsidRPr="00DE54AE" w:rsidRDefault="004E0971" w:rsidP="004E0971">
      <w:pPr>
        <w:jc w:val="center"/>
        <w:rPr>
          <w:sz w:val="24"/>
          <w:szCs w:val="24"/>
        </w:rPr>
      </w:pPr>
      <w:r w:rsidRPr="00DE54AE">
        <w:rPr>
          <w:b/>
          <w:sz w:val="24"/>
          <w:szCs w:val="24"/>
        </w:rPr>
        <w:t>Tabela 1.</w:t>
      </w:r>
      <w:r w:rsidRPr="00DE54AE">
        <w:rPr>
          <w:sz w:val="24"/>
          <w:szCs w:val="24"/>
        </w:rPr>
        <w:t xml:space="preserve"> Proporção d</w:t>
      </w:r>
      <w:r>
        <w:rPr>
          <w:sz w:val="24"/>
          <w:szCs w:val="24"/>
        </w:rPr>
        <w:t>os reagentes utilizados para prepara</w:t>
      </w:r>
      <w:r w:rsidRPr="00DE54AE">
        <w:rPr>
          <w:sz w:val="24"/>
          <w:szCs w:val="24"/>
        </w:rPr>
        <w:t>ção da LS</w:t>
      </w:r>
      <w:r>
        <w:rPr>
          <w:sz w:val="24"/>
          <w:szCs w:val="24"/>
        </w:rPr>
        <w:t>.</w:t>
      </w:r>
      <w:r w:rsidRPr="00DE54AE">
        <w:rPr>
          <w:sz w:val="24"/>
          <w:szCs w:val="24"/>
        </w:rPr>
        <w:t xml:space="preserve"> </w:t>
      </w:r>
    </w:p>
    <w:tbl>
      <w:tblPr>
        <w:tblStyle w:val="Tabelacomgrade"/>
        <w:tblW w:w="0" w:type="auto"/>
        <w:tblLook w:val="04A0" w:firstRow="1" w:lastRow="0" w:firstColumn="1" w:lastColumn="0" w:noHBand="0" w:noVBand="1"/>
      </w:tblPr>
      <w:tblGrid>
        <w:gridCol w:w="1369"/>
        <w:gridCol w:w="1433"/>
        <w:gridCol w:w="2126"/>
        <w:gridCol w:w="2126"/>
        <w:gridCol w:w="2233"/>
      </w:tblGrid>
      <w:tr w:rsidR="004E0971" w:rsidRPr="00820339" w14:paraId="2BE22D7D" w14:textId="77777777" w:rsidTr="009E37D1">
        <w:tc>
          <w:tcPr>
            <w:tcW w:w="1369" w:type="dxa"/>
            <w:tcBorders>
              <w:left w:val="nil"/>
              <w:bottom w:val="single" w:sz="4" w:space="0" w:color="auto"/>
            </w:tcBorders>
          </w:tcPr>
          <w:p w14:paraId="4F7B6267" w14:textId="77777777" w:rsidR="004E0971" w:rsidRPr="00820339" w:rsidRDefault="004E0971" w:rsidP="009E37D1">
            <w:pPr>
              <w:jc w:val="center"/>
              <w:rPr>
                <w:rFonts w:ascii="Times New Roman" w:hAnsi="Times New Roman" w:cs="Times New Roman"/>
                <w:b/>
                <w:bCs/>
                <w:sz w:val="24"/>
                <w:szCs w:val="24"/>
              </w:rPr>
            </w:pPr>
            <w:r w:rsidRPr="00820339">
              <w:rPr>
                <w:rFonts w:ascii="Times New Roman" w:hAnsi="Times New Roman" w:cs="Times New Roman"/>
                <w:b/>
                <w:bCs/>
                <w:sz w:val="24"/>
                <w:szCs w:val="24"/>
              </w:rPr>
              <w:t>Produto</w:t>
            </w:r>
          </w:p>
        </w:tc>
        <w:tc>
          <w:tcPr>
            <w:tcW w:w="1433" w:type="dxa"/>
          </w:tcPr>
          <w:p w14:paraId="4B7AF278" w14:textId="77777777" w:rsidR="004E0971" w:rsidRPr="00820339" w:rsidRDefault="004E0971" w:rsidP="009E37D1">
            <w:pPr>
              <w:jc w:val="center"/>
              <w:rPr>
                <w:rFonts w:ascii="Times New Roman" w:hAnsi="Times New Roman" w:cs="Times New Roman"/>
                <w:b/>
                <w:bCs/>
                <w:sz w:val="24"/>
                <w:szCs w:val="24"/>
              </w:rPr>
            </w:pPr>
            <w:proofErr w:type="spellStart"/>
            <w:proofErr w:type="gramStart"/>
            <w:r w:rsidRPr="00820339">
              <w:rPr>
                <w:rFonts w:ascii="Times New Roman" w:hAnsi="Times New Roman" w:cs="Times New Roman"/>
                <w:b/>
                <w:bCs/>
                <w:sz w:val="24"/>
                <w:szCs w:val="24"/>
              </w:rPr>
              <w:t>m</w:t>
            </w:r>
            <w:r w:rsidRPr="00820339">
              <w:rPr>
                <w:rFonts w:ascii="Times New Roman" w:hAnsi="Times New Roman" w:cs="Times New Roman"/>
                <w:b/>
                <w:bCs/>
                <w:sz w:val="24"/>
                <w:szCs w:val="24"/>
                <w:vertAlign w:val="subscript"/>
              </w:rPr>
              <w:t>Lignina</w:t>
            </w:r>
            <w:proofErr w:type="spellEnd"/>
            <w:proofErr w:type="gramEnd"/>
            <w:r w:rsidRPr="00820339">
              <w:rPr>
                <w:rFonts w:ascii="Times New Roman" w:hAnsi="Times New Roman" w:cs="Times New Roman"/>
                <w:b/>
                <w:bCs/>
                <w:sz w:val="24"/>
                <w:szCs w:val="24"/>
                <w:vertAlign w:val="subscript"/>
              </w:rPr>
              <w:t xml:space="preserve"> </w:t>
            </w:r>
            <w:r w:rsidRPr="00820339">
              <w:rPr>
                <w:rFonts w:ascii="Times New Roman" w:hAnsi="Times New Roman" w:cs="Times New Roman"/>
                <w:b/>
                <w:bCs/>
                <w:sz w:val="24"/>
                <w:szCs w:val="24"/>
              </w:rPr>
              <w:t>(g)</w:t>
            </w:r>
          </w:p>
        </w:tc>
        <w:tc>
          <w:tcPr>
            <w:tcW w:w="2126" w:type="dxa"/>
          </w:tcPr>
          <w:p w14:paraId="46B4B265" w14:textId="77777777" w:rsidR="004E0971" w:rsidRPr="00820339" w:rsidRDefault="004E0971" w:rsidP="009E37D1">
            <w:pPr>
              <w:jc w:val="center"/>
              <w:rPr>
                <w:rFonts w:ascii="Times New Roman" w:hAnsi="Times New Roman" w:cs="Times New Roman"/>
                <w:b/>
                <w:bCs/>
                <w:sz w:val="24"/>
                <w:szCs w:val="24"/>
              </w:rPr>
            </w:pPr>
            <w:proofErr w:type="spellStart"/>
            <w:r w:rsidRPr="00820339">
              <w:rPr>
                <w:rFonts w:ascii="Times New Roman" w:hAnsi="Times New Roman" w:cs="Times New Roman"/>
                <w:b/>
                <w:bCs/>
                <w:sz w:val="24"/>
                <w:szCs w:val="24"/>
              </w:rPr>
              <w:t>V</w:t>
            </w:r>
            <w:r w:rsidRPr="00820339">
              <w:rPr>
                <w:rFonts w:ascii="Times New Roman" w:hAnsi="Times New Roman" w:cs="Times New Roman"/>
                <w:b/>
                <w:bCs/>
                <w:sz w:val="24"/>
                <w:szCs w:val="24"/>
                <w:vertAlign w:val="subscript"/>
              </w:rPr>
              <w:t>diclorometano</w:t>
            </w:r>
            <w:proofErr w:type="spellEnd"/>
            <w:r w:rsidRPr="00820339">
              <w:rPr>
                <w:rFonts w:ascii="Times New Roman" w:hAnsi="Times New Roman" w:cs="Times New Roman"/>
                <w:b/>
                <w:bCs/>
                <w:sz w:val="24"/>
                <w:szCs w:val="24"/>
              </w:rPr>
              <w:t xml:space="preserve"> (</w:t>
            </w:r>
            <w:proofErr w:type="spellStart"/>
            <w:r w:rsidRPr="00820339">
              <w:rPr>
                <w:rFonts w:ascii="Times New Roman" w:hAnsi="Times New Roman" w:cs="Times New Roman"/>
                <w:b/>
                <w:bCs/>
                <w:sz w:val="24"/>
                <w:szCs w:val="24"/>
              </w:rPr>
              <w:t>mL</w:t>
            </w:r>
            <w:proofErr w:type="spellEnd"/>
            <w:r w:rsidRPr="00820339">
              <w:rPr>
                <w:rFonts w:ascii="Times New Roman" w:hAnsi="Times New Roman" w:cs="Times New Roman"/>
                <w:b/>
                <w:bCs/>
                <w:sz w:val="24"/>
                <w:szCs w:val="24"/>
              </w:rPr>
              <w:t>)</w:t>
            </w:r>
          </w:p>
        </w:tc>
        <w:tc>
          <w:tcPr>
            <w:tcW w:w="2126" w:type="dxa"/>
          </w:tcPr>
          <w:p w14:paraId="1D2CAD80" w14:textId="77777777" w:rsidR="004E0971" w:rsidRPr="00820339" w:rsidRDefault="004E0971" w:rsidP="009E37D1">
            <w:pPr>
              <w:jc w:val="center"/>
              <w:rPr>
                <w:rFonts w:ascii="Times New Roman" w:hAnsi="Times New Roman" w:cs="Times New Roman"/>
                <w:b/>
                <w:bCs/>
                <w:sz w:val="24"/>
                <w:szCs w:val="24"/>
              </w:rPr>
            </w:pPr>
            <w:proofErr w:type="spellStart"/>
            <w:r w:rsidRPr="00820339">
              <w:rPr>
                <w:rFonts w:ascii="Times New Roman" w:hAnsi="Times New Roman" w:cs="Times New Roman"/>
                <w:b/>
                <w:bCs/>
                <w:sz w:val="24"/>
                <w:szCs w:val="24"/>
              </w:rPr>
              <w:t>V</w:t>
            </w:r>
            <w:r w:rsidRPr="00820339">
              <w:rPr>
                <w:rFonts w:ascii="Times New Roman" w:hAnsi="Times New Roman" w:cs="Times New Roman"/>
                <w:b/>
                <w:bCs/>
                <w:sz w:val="24"/>
                <w:szCs w:val="24"/>
                <w:vertAlign w:val="subscript"/>
              </w:rPr>
              <w:t>Anidrido</w:t>
            </w:r>
            <w:proofErr w:type="spellEnd"/>
            <w:r w:rsidRPr="00820339">
              <w:rPr>
                <w:rFonts w:ascii="Times New Roman" w:hAnsi="Times New Roman" w:cs="Times New Roman"/>
                <w:b/>
                <w:bCs/>
                <w:sz w:val="24"/>
                <w:szCs w:val="24"/>
                <w:vertAlign w:val="subscript"/>
              </w:rPr>
              <w:t xml:space="preserve"> Acético </w:t>
            </w:r>
            <w:r w:rsidRPr="00820339">
              <w:rPr>
                <w:rFonts w:ascii="Times New Roman" w:hAnsi="Times New Roman" w:cs="Times New Roman"/>
                <w:b/>
                <w:bCs/>
                <w:sz w:val="24"/>
                <w:szCs w:val="24"/>
              </w:rPr>
              <w:t>(</w:t>
            </w:r>
            <w:proofErr w:type="spellStart"/>
            <w:r w:rsidRPr="00820339">
              <w:rPr>
                <w:rFonts w:ascii="Times New Roman" w:hAnsi="Times New Roman" w:cs="Times New Roman"/>
                <w:b/>
                <w:bCs/>
                <w:sz w:val="24"/>
                <w:szCs w:val="24"/>
              </w:rPr>
              <w:t>mL</w:t>
            </w:r>
            <w:proofErr w:type="spellEnd"/>
            <w:r w:rsidRPr="00820339">
              <w:rPr>
                <w:rFonts w:ascii="Times New Roman" w:hAnsi="Times New Roman" w:cs="Times New Roman"/>
                <w:b/>
                <w:bCs/>
                <w:sz w:val="24"/>
                <w:szCs w:val="24"/>
              </w:rPr>
              <w:t>)</w:t>
            </w:r>
          </w:p>
        </w:tc>
        <w:tc>
          <w:tcPr>
            <w:tcW w:w="2233" w:type="dxa"/>
            <w:tcBorders>
              <w:right w:val="nil"/>
            </w:tcBorders>
          </w:tcPr>
          <w:p w14:paraId="5608D50D" w14:textId="77777777" w:rsidR="004E0971" w:rsidRPr="00820339" w:rsidRDefault="004E0971" w:rsidP="009E37D1">
            <w:pPr>
              <w:jc w:val="center"/>
              <w:rPr>
                <w:rFonts w:ascii="Times New Roman" w:hAnsi="Times New Roman" w:cs="Times New Roman"/>
                <w:b/>
                <w:bCs/>
                <w:sz w:val="24"/>
                <w:szCs w:val="24"/>
              </w:rPr>
            </w:pPr>
            <w:proofErr w:type="spellStart"/>
            <w:r w:rsidRPr="00820339">
              <w:rPr>
                <w:rFonts w:ascii="Times New Roman" w:hAnsi="Times New Roman" w:cs="Times New Roman"/>
                <w:b/>
                <w:bCs/>
                <w:sz w:val="24"/>
                <w:szCs w:val="24"/>
              </w:rPr>
              <w:t>V</w:t>
            </w:r>
            <w:r w:rsidRPr="00820339">
              <w:rPr>
                <w:rFonts w:ascii="Times New Roman" w:hAnsi="Times New Roman" w:cs="Times New Roman"/>
                <w:b/>
                <w:bCs/>
                <w:sz w:val="24"/>
                <w:szCs w:val="24"/>
                <w:vertAlign w:val="subscript"/>
              </w:rPr>
              <w:t>Ácido</w:t>
            </w:r>
            <w:proofErr w:type="spellEnd"/>
            <w:r w:rsidRPr="00820339">
              <w:rPr>
                <w:rFonts w:ascii="Times New Roman" w:hAnsi="Times New Roman" w:cs="Times New Roman"/>
                <w:b/>
                <w:bCs/>
                <w:sz w:val="24"/>
                <w:szCs w:val="24"/>
                <w:vertAlign w:val="subscript"/>
              </w:rPr>
              <w:t xml:space="preserve"> Sulfúrico </w:t>
            </w:r>
            <w:r w:rsidRPr="00820339">
              <w:rPr>
                <w:rFonts w:ascii="Times New Roman" w:hAnsi="Times New Roman" w:cs="Times New Roman"/>
                <w:b/>
                <w:bCs/>
                <w:sz w:val="24"/>
                <w:szCs w:val="24"/>
              </w:rPr>
              <w:t>(</w:t>
            </w:r>
            <w:proofErr w:type="spellStart"/>
            <w:r w:rsidRPr="00820339">
              <w:rPr>
                <w:rFonts w:ascii="Times New Roman" w:hAnsi="Times New Roman" w:cs="Times New Roman"/>
                <w:b/>
                <w:bCs/>
                <w:sz w:val="24"/>
                <w:szCs w:val="24"/>
              </w:rPr>
              <w:t>mL</w:t>
            </w:r>
            <w:proofErr w:type="spellEnd"/>
            <w:r w:rsidRPr="00820339">
              <w:rPr>
                <w:rFonts w:ascii="Times New Roman" w:hAnsi="Times New Roman" w:cs="Times New Roman"/>
                <w:b/>
                <w:bCs/>
                <w:sz w:val="24"/>
                <w:szCs w:val="24"/>
              </w:rPr>
              <w:t>)</w:t>
            </w:r>
          </w:p>
        </w:tc>
      </w:tr>
      <w:tr w:rsidR="004E0971" w:rsidRPr="00820339" w14:paraId="2AA9BB28" w14:textId="77777777" w:rsidTr="009E37D1">
        <w:trPr>
          <w:trHeight w:val="70"/>
        </w:trPr>
        <w:tc>
          <w:tcPr>
            <w:tcW w:w="1369" w:type="dxa"/>
            <w:tcBorders>
              <w:left w:val="nil"/>
            </w:tcBorders>
          </w:tcPr>
          <w:p w14:paraId="1EF7DF1E"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LS5</w:t>
            </w:r>
          </w:p>
        </w:tc>
        <w:tc>
          <w:tcPr>
            <w:tcW w:w="1433" w:type="dxa"/>
          </w:tcPr>
          <w:p w14:paraId="2637390C"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3,00</w:t>
            </w:r>
          </w:p>
        </w:tc>
        <w:tc>
          <w:tcPr>
            <w:tcW w:w="2126" w:type="dxa"/>
          </w:tcPr>
          <w:p w14:paraId="2F944F36"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50,00</w:t>
            </w:r>
          </w:p>
        </w:tc>
        <w:tc>
          <w:tcPr>
            <w:tcW w:w="2126" w:type="dxa"/>
          </w:tcPr>
          <w:p w14:paraId="67AF99E4"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6,50</w:t>
            </w:r>
          </w:p>
        </w:tc>
        <w:tc>
          <w:tcPr>
            <w:tcW w:w="2233" w:type="dxa"/>
            <w:tcBorders>
              <w:right w:val="nil"/>
            </w:tcBorders>
          </w:tcPr>
          <w:p w14:paraId="56AFA069"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5,00</w:t>
            </w:r>
          </w:p>
        </w:tc>
      </w:tr>
      <w:tr w:rsidR="004E0971" w:rsidRPr="00820339" w14:paraId="42C65883" w14:textId="77777777" w:rsidTr="009E37D1">
        <w:tc>
          <w:tcPr>
            <w:tcW w:w="1369" w:type="dxa"/>
            <w:tcBorders>
              <w:left w:val="nil"/>
            </w:tcBorders>
          </w:tcPr>
          <w:p w14:paraId="4C7DAD4B"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LS7,5</w:t>
            </w:r>
          </w:p>
        </w:tc>
        <w:tc>
          <w:tcPr>
            <w:tcW w:w="1433" w:type="dxa"/>
          </w:tcPr>
          <w:p w14:paraId="0C6E0631"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3,00</w:t>
            </w:r>
          </w:p>
        </w:tc>
        <w:tc>
          <w:tcPr>
            <w:tcW w:w="2126" w:type="dxa"/>
          </w:tcPr>
          <w:p w14:paraId="73F04783"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50,00</w:t>
            </w:r>
          </w:p>
        </w:tc>
        <w:tc>
          <w:tcPr>
            <w:tcW w:w="2126" w:type="dxa"/>
          </w:tcPr>
          <w:p w14:paraId="63F451E4"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9,75</w:t>
            </w:r>
          </w:p>
        </w:tc>
        <w:tc>
          <w:tcPr>
            <w:tcW w:w="2233" w:type="dxa"/>
            <w:tcBorders>
              <w:right w:val="nil"/>
            </w:tcBorders>
          </w:tcPr>
          <w:p w14:paraId="2EF687D9" w14:textId="77777777" w:rsidR="004E0971" w:rsidRPr="00820339" w:rsidRDefault="004E0971" w:rsidP="009E37D1">
            <w:pPr>
              <w:jc w:val="center"/>
              <w:rPr>
                <w:rFonts w:ascii="Times New Roman" w:hAnsi="Times New Roman" w:cs="Times New Roman"/>
                <w:bCs/>
                <w:sz w:val="24"/>
                <w:szCs w:val="24"/>
              </w:rPr>
            </w:pPr>
            <w:r w:rsidRPr="00820339">
              <w:rPr>
                <w:rFonts w:ascii="Times New Roman" w:hAnsi="Times New Roman" w:cs="Times New Roman"/>
                <w:bCs/>
                <w:sz w:val="24"/>
                <w:szCs w:val="24"/>
              </w:rPr>
              <w:t>7,50</w:t>
            </w:r>
          </w:p>
        </w:tc>
      </w:tr>
    </w:tbl>
    <w:p w14:paraId="2AB82381" w14:textId="77777777" w:rsidR="006D53A6" w:rsidRPr="006D53A6" w:rsidRDefault="006D53A6" w:rsidP="006D53A6">
      <w:pPr>
        <w:jc w:val="center"/>
        <w:rPr>
          <w:b/>
          <w:color w:val="000000"/>
          <w:sz w:val="24"/>
          <w:szCs w:val="24"/>
        </w:rPr>
      </w:pPr>
      <w:r w:rsidRPr="006D53A6">
        <w:rPr>
          <w:b/>
          <w:color w:val="000000"/>
          <w:sz w:val="24"/>
          <w:szCs w:val="24"/>
        </w:rPr>
        <w:t xml:space="preserve">Fonte: </w:t>
      </w:r>
      <w:r w:rsidRPr="006D53A6">
        <w:rPr>
          <w:color w:val="000000"/>
          <w:sz w:val="24"/>
          <w:szCs w:val="24"/>
        </w:rPr>
        <w:t>O autor.</w:t>
      </w:r>
    </w:p>
    <w:p w14:paraId="4E3E7AC5" w14:textId="77777777" w:rsidR="004E0971" w:rsidRDefault="004E0971" w:rsidP="004E0971">
      <w:pPr>
        <w:pBdr>
          <w:top w:val="nil"/>
          <w:left w:val="nil"/>
          <w:bottom w:val="nil"/>
          <w:right w:val="nil"/>
          <w:between w:val="nil"/>
        </w:pBdr>
        <w:ind w:left="357" w:hanging="360"/>
        <w:jc w:val="both"/>
        <w:rPr>
          <w:color w:val="000000"/>
        </w:rPr>
      </w:pPr>
    </w:p>
    <w:p w14:paraId="5C1BED86" w14:textId="77777777" w:rsidR="004E0971" w:rsidRDefault="004E0971" w:rsidP="004E0971">
      <w:pPr>
        <w:pBdr>
          <w:top w:val="nil"/>
          <w:left w:val="nil"/>
          <w:bottom w:val="nil"/>
          <w:right w:val="nil"/>
          <w:between w:val="nil"/>
        </w:pBdr>
        <w:ind w:left="357" w:hanging="360"/>
        <w:jc w:val="center"/>
        <w:rPr>
          <w:b/>
          <w:sz w:val="24"/>
          <w:szCs w:val="24"/>
        </w:rPr>
      </w:pPr>
      <w:r>
        <w:rPr>
          <w:noProof/>
          <w:color w:val="000000"/>
        </w:rPr>
        <w:drawing>
          <wp:inline distT="0" distB="0" distL="0" distR="0" wp14:anchorId="26FBDDF5" wp14:editId="2E0F33A9">
            <wp:extent cx="5257800" cy="2211225"/>
            <wp:effectExtent l="19050" t="19050" r="19050" b="177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025" cy="2218890"/>
                    </a:xfrm>
                    <a:prstGeom prst="rect">
                      <a:avLst/>
                    </a:prstGeom>
                    <a:noFill/>
                    <a:ln>
                      <a:solidFill>
                        <a:schemeClr val="tx1"/>
                      </a:solidFill>
                    </a:ln>
                  </pic:spPr>
                </pic:pic>
              </a:graphicData>
            </a:graphic>
          </wp:inline>
        </w:drawing>
      </w:r>
    </w:p>
    <w:p w14:paraId="25F11D16" w14:textId="77777777" w:rsidR="00694B8D" w:rsidRPr="00694B8D" w:rsidRDefault="00694B8D" w:rsidP="00694B8D">
      <w:pPr>
        <w:pStyle w:val="Legenda"/>
        <w:spacing w:line="240" w:lineRule="auto"/>
        <w:jc w:val="center"/>
        <w:rPr>
          <w:sz w:val="20"/>
        </w:rPr>
      </w:pPr>
      <w:r w:rsidRPr="00694B8D">
        <w:rPr>
          <w:rFonts w:ascii="Times New Roman" w:hAnsi="Times New Roman"/>
          <w:b/>
          <w:sz w:val="20"/>
          <w:szCs w:val="24"/>
        </w:rPr>
        <w:t xml:space="preserve">Figura 1. </w:t>
      </w:r>
      <w:r w:rsidRPr="00694B8D">
        <w:rPr>
          <w:rFonts w:ascii="Times New Roman" w:hAnsi="Times New Roman"/>
          <w:sz w:val="20"/>
          <w:szCs w:val="24"/>
        </w:rPr>
        <w:t>Difratogramas para (A) lignina pura e sulfonada; (B) CoFe</w:t>
      </w:r>
      <w:r w:rsidRPr="00694B8D">
        <w:rPr>
          <w:rFonts w:ascii="Times New Roman" w:hAnsi="Times New Roman"/>
          <w:sz w:val="20"/>
          <w:szCs w:val="24"/>
          <w:vertAlign w:val="subscript"/>
        </w:rPr>
        <w:t>2</w:t>
      </w:r>
      <w:r w:rsidRPr="00694B8D">
        <w:rPr>
          <w:rFonts w:ascii="Times New Roman" w:hAnsi="Times New Roman"/>
          <w:sz w:val="20"/>
          <w:szCs w:val="24"/>
        </w:rPr>
        <w:t>O</w:t>
      </w:r>
      <w:r w:rsidRPr="00694B8D">
        <w:rPr>
          <w:rFonts w:ascii="Times New Roman" w:hAnsi="Times New Roman"/>
          <w:sz w:val="20"/>
          <w:szCs w:val="24"/>
          <w:vertAlign w:val="subscript"/>
        </w:rPr>
        <w:t>4</w:t>
      </w:r>
      <w:r w:rsidRPr="00694B8D">
        <w:rPr>
          <w:rFonts w:ascii="Times New Roman" w:hAnsi="Times New Roman"/>
          <w:sz w:val="20"/>
          <w:szCs w:val="24"/>
        </w:rPr>
        <w:t xml:space="preserve"> pura e revestida com LS.</w:t>
      </w:r>
    </w:p>
    <w:p w14:paraId="2C9D0096" w14:textId="2DF59A74" w:rsidR="00694B8D" w:rsidRPr="00694B8D" w:rsidRDefault="00694B8D" w:rsidP="00694B8D">
      <w:pPr>
        <w:jc w:val="center"/>
        <w:rPr>
          <w:b/>
          <w:color w:val="000000"/>
          <w:szCs w:val="24"/>
        </w:rPr>
      </w:pPr>
      <w:r w:rsidRPr="00694B8D">
        <w:rPr>
          <w:b/>
          <w:color w:val="000000"/>
          <w:szCs w:val="24"/>
        </w:rPr>
        <w:t xml:space="preserve">Fonte: </w:t>
      </w:r>
      <w:r w:rsidRPr="00694B8D">
        <w:rPr>
          <w:color w:val="000000"/>
          <w:szCs w:val="24"/>
        </w:rPr>
        <w:t>O autor.</w:t>
      </w:r>
    </w:p>
    <w:p w14:paraId="332A1541" w14:textId="77777777" w:rsidR="004E0971" w:rsidRDefault="004E0971" w:rsidP="004E0971">
      <w:pPr>
        <w:pBdr>
          <w:top w:val="nil"/>
          <w:left w:val="nil"/>
          <w:bottom w:val="nil"/>
          <w:right w:val="nil"/>
          <w:between w:val="nil"/>
        </w:pBdr>
        <w:ind w:left="357" w:hanging="360"/>
        <w:jc w:val="center"/>
        <w:rPr>
          <w:b/>
          <w:sz w:val="24"/>
          <w:szCs w:val="24"/>
        </w:rPr>
      </w:pPr>
    </w:p>
    <w:p w14:paraId="43DB36AC" w14:textId="77777777" w:rsidR="004E0971" w:rsidRDefault="004E0971" w:rsidP="004E0971">
      <w:pPr>
        <w:pStyle w:val="Legenda"/>
        <w:spacing w:line="240" w:lineRule="auto"/>
        <w:jc w:val="center"/>
        <w:rPr>
          <w:rFonts w:ascii="Times New Roman" w:hAnsi="Times New Roman"/>
          <w:b/>
        </w:rPr>
      </w:pPr>
      <w:bookmarkStart w:id="0" w:name="_Toc498644401"/>
      <w:r>
        <w:rPr>
          <w:rFonts w:ascii="Times New Roman" w:hAnsi="Times New Roman"/>
          <w:b/>
          <w:noProof/>
          <w:lang w:val="pt-BR"/>
        </w:rPr>
        <w:drawing>
          <wp:inline distT="0" distB="0" distL="0" distR="0" wp14:anchorId="474A32B8" wp14:editId="1C9DCDE3">
            <wp:extent cx="4772025" cy="15644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7911" cy="1572957"/>
                    </a:xfrm>
                    <a:prstGeom prst="rect">
                      <a:avLst/>
                    </a:prstGeom>
                    <a:noFill/>
                    <a:ln>
                      <a:noFill/>
                    </a:ln>
                  </pic:spPr>
                </pic:pic>
              </a:graphicData>
            </a:graphic>
          </wp:inline>
        </w:drawing>
      </w:r>
    </w:p>
    <w:p w14:paraId="317AE93A" w14:textId="77777777" w:rsidR="00694B8D" w:rsidRPr="00694B8D" w:rsidRDefault="00694B8D" w:rsidP="00694B8D">
      <w:pPr>
        <w:pBdr>
          <w:top w:val="nil"/>
          <w:left w:val="nil"/>
          <w:bottom w:val="nil"/>
          <w:right w:val="nil"/>
          <w:between w:val="nil"/>
        </w:pBdr>
        <w:ind w:left="357" w:hanging="360"/>
        <w:jc w:val="center"/>
        <w:rPr>
          <w:color w:val="000000"/>
          <w:szCs w:val="24"/>
        </w:rPr>
      </w:pPr>
      <w:r w:rsidRPr="00694B8D">
        <w:rPr>
          <w:b/>
          <w:szCs w:val="24"/>
        </w:rPr>
        <w:t xml:space="preserve">Figura 2. </w:t>
      </w:r>
      <w:r w:rsidRPr="00694B8D">
        <w:rPr>
          <w:szCs w:val="24"/>
        </w:rPr>
        <w:t>Microscopias obtidas para CoFe</w:t>
      </w:r>
      <w:r w:rsidRPr="00694B8D">
        <w:rPr>
          <w:szCs w:val="24"/>
          <w:vertAlign w:val="subscript"/>
        </w:rPr>
        <w:t>2</w:t>
      </w:r>
      <w:r w:rsidRPr="00694B8D">
        <w:rPr>
          <w:szCs w:val="24"/>
        </w:rPr>
        <w:t>O</w:t>
      </w:r>
      <w:r w:rsidRPr="00694B8D">
        <w:rPr>
          <w:szCs w:val="24"/>
          <w:vertAlign w:val="subscript"/>
        </w:rPr>
        <w:t>4</w:t>
      </w:r>
      <w:r w:rsidRPr="00694B8D">
        <w:rPr>
          <w:szCs w:val="24"/>
        </w:rPr>
        <w:t xml:space="preserve"> (A), CoFe</w:t>
      </w:r>
      <w:r w:rsidRPr="00694B8D">
        <w:rPr>
          <w:szCs w:val="24"/>
          <w:vertAlign w:val="subscript"/>
        </w:rPr>
        <w:t>2</w:t>
      </w:r>
      <w:r w:rsidRPr="00694B8D">
        <w:rPr>
          <w:szCs w:val="24"/>
        </w:rPr>
        <w:t>O</w:t>
      </w:r>
      <w:r w:rsidRPr="00694B8D">
        <w:rPr>
          <w:szCs w:val="24"/>
          <w:vertAlign w:val="subscript"/>
        </w:rPr>
        <w:t>4</w:t>
      </w:r>
      <w:r w:rsidRPr="00694B8D">
        <w:rPr>
          <w:szCs w:val="24"/>
        </w:rPr>
        <w:t>-LS5 (B) e CoFe</w:t>
      </w:r>
      <w:r w:rsidRPr="00694B8D">
        <w:rPr>
          <w:szCs w:val="24"/>
          <w:vertAlign w:val="subscript"/>
        </w:rPr>
        <w:t>2</w:t>
      </w:r>
      <w:r w:rsidRPr="00694B8D">
        <w:rPr>
          <w:szCs w:val="24"/>
        </w:rPr>
        <w:t>O</w:t>
      </w:r>
      <w:r w:rsidRPr="00694B8D">
        <w:rPr>
          <w:szCs w:val="24"/>
          <w:vertAlign w:val="subscript"/>
        </w:rPr>
        <w:t>4</w:t>
      </w:r>
      <w:r w:rsidRPr="00694B8D">
        <w:rPr>
          <w:szCs w:val="24"/>
        </w:rPr>
        <w:t>-LS7,5 (C).</w:t>
      </w:r>
    </w:p>
    <w:p w14:paraId="3CE890DA" w14:textId="77777777" w:rsidR="00694B8D" w:rsidRPr="00694B8D" w:rsidRDefault="00694B8D" w:rsidP="00694B8D">
      <w:pPr>
        <w:jc w:val="center"/>
        <w:rPr>
          <w:b/>
          <w:color w:val="000000"/>
          <w:szCs w:val="24"/>
        </w:rPr>
      </w:pPr>
      <w:r w:rsidRPr="00694B8D">
        <w:rPr>
          <w:b/>
          <w:color w:val="000000"/>
          <w:szCs w:val="24"/>
        </w:rPr>
        <w:t xml:space="preserve">Fonte: </w:t>
      </w:r>
      <w:r w:rsidRPr="00694B8D">
        <w:rPr>
          <w:color w:val="000000"/>
          <w:szCs w:val="24"/>
        </w:rPr>
        <w:t>O autor.</w:t>
      </w:r>
    </w:p>
    <w:p w14:paraId="52965778" w14:textId="77777777" w:rsidR="00CE645B" w:rsidRDefault="00CE645B" w:rsidP="004E0971">
      <w:pPr>
        <w:pStyle w:val="Legenda"/>
        <w:spacing w:line="240" w:lineRule="auto"/>
        <w:jc w:val="center"/>
        <w:rPr>
          <w:rFonts w:ascii="Times New Roman" w:hAnsi="Times New Roman"/>
          <w:b/>
          <w:szCs w:val="24"/>
        </w:rPr>
      </w:pPr>
    </w:p>
    <w:p w14:paraId="4BCD3D20" w14:textId="77777777" w:rsidR="004E0971" w:rsidRPr="000A3D11" w:rsidRDefault="004E0971" w:rsidP="004E0971">
      <w:pPr>
        <w:pStyle w:val="Legenda"/>
        <w:spacing w:line="240" w:lineRule="auto"/>
        <w:jc w:val="center"/>
        <w:rPr>
          <w:rFonts w:ascii="Times New Roman" w:eastAsia="TimesNewRoman" w:hAnsi="Times New Roman"/>
          <w:b/>
          <w:szCs w:val="24"/>
        </w:rPr>
      </w:pPr>
      <w:r w:rsidRPr="000A3D11">
        <w:rPr>
          <w:rFonts w:ascii="Times New Roman" w:hAnsi="Times New Roman"/>
          <w:b/>
          <w:szCs w:val="24"/>
        </w:rPr>
        <w:t>Tabela 2.</w:t>
      </w:r>
      <w:r w:rsidRPr="000A3D11">
        <w:rPr>
          <w:rFonts w:ascii="Times New Roman" w:hAnsi="Times New Roman"/>
          <w:szCs w:val="24"/>
        </w:rPr>
        <w:t xml:space="preserve"> Área Superficial, Volume e Tamanho de Poros dos materiais analisados.</w:t>
      </w:r>
    </w:p>
    <w:tbl>
      <w:tblPr>
        <w:tblStyle w:val="Tabelacomgrade"/>
        <w:tblW w:w="0" w:type="auto"/>
        <w:tblLook w:val="04A0" w:firstRow="1" w:lastRow="0" w:firstColumn="1" w:lastColumn="0" w:noHBand="0" w:noVBand="1"/>
      </w:tblPr>
      <w:tblGrid>
        <w:gridCol w:w="1985"/>
        <w:gridCol w:w="1559"/>
        <w:gridCol w:w="3260"/>
        <w:gridCol w:w="2835"/>
      </w:tblGrid>
      <w:tr w:rsidR="004E0971" w:rsidRPr="000A3D11" w14:paraId="2D296D58" w14:textId="77777777" w:rsidTr="009E37D1">
        <w:trPr>
          <w:trHeight w:val="297"/>
        </w:trPr>
        <w:tc>
          <w:tcPr>
            <w:tcW w:w="1985" w:type="dxa"/>
            <w:tcBorders>
              <w:top w:val="single" w:sz="4" w:space="0" w:color="auto"/>
              <w:left w:val="nil"/>
              <w:bottom w:val="single" w:sz="4" w:space="0" w:color="auto"/>
            </w:tcBorders>
          </w:tcPr>
          <w:p w14:paraId="1BAEC9E5" w14:textId="77777777" w:rsidR="004E0971" w:rsidRPr="000A3D11" w:rsidRDefault="004E0971" w:rsidP="009E37D1">
            <w:pPr>
              <w:autoSpaceDE w:val="0"/>
              <w:autoSpaceDN w:val="0"/>
              <w:adjustRightInd w:val="0"/>
              <w:jc w:val="center"/>
              <w:rPr>
                <w:rFonts w:ascii="Times New Roman" w:eastAsia="TimesNewRoman" w:hAnsi="Times New Roman" w:cs="Times New Roman"/>
                <w:b/>
                <w:sz w:val="24"/>
                <w:szCs w:val="24"/>
              </w:rPr>
            </w:pPr>
            <w:r w:rsidRPr="000A3D11">
              <w:rPr>
                <w:rFonts w:ascii="Times New Roman" w:eastAsia="TimesNewRoman" w:hAnsi="Times New Roman" w:cs="Times New Roman"/>
                <w:b/>
                <w:sz w:val="24"/>
                <w:szCs w:val="24"/>
              </w:rPr>
              <w:t>Amostra</w:t>
            </w:r>
          </w:p>
        </w:tc>
        <w:tc>
          <w:tcPr>
            <w:tcW w:w="1559" w:type="dxa"/>
          </w:tcPr>
          <w:p w14:paraId="1B8424CB" w14:textId="77777777" w:rsidR="004E0971" w:rsidRPr="000A3D11" w:rsidRDefault="004E0971" w:rsidP="009E37D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w:t>
            </w:r>
            <w:r w:rsidRPr="000367DB">
              <w:rPr>
                <w:rFonts w:ascii="Times New Roman" w:hAnsi="Times New Roman" w:cs="Times New Roman"/>
                <w:b/>
                <w:sz w:val="24"/>
                <w:szCs w:val="24"/>
                <w:vertAlign w:val="subscript"/>
              </w:rPr>
              <w:t>BET</w:t>
            </w:r>
            <w:r w:rsidRPr="000A3D11">
              <w:rPr>
                <w:rFonts w:ascii="Times New Roman" w:hAnsi="Times New Roman" w:cs="Times New Roman"/>
                <w:b/>
                <w:sz w:val="24"/>
                <w:szCs w:val="24"/>
              </w:rPr>
              <w:t xml:space="preserve"> (m</w:t>
            </w:r>
            <w:r w:rsidRPr="000A3D11">
              <w:rPr>
                <w:rFonts w:ascii="Times New Roman" w:hAnsi="Times New Roman" w:cs="Times New Roman"/>
                <w:b/>
                <w:sz w:val="24"/>
                <w:szCs w:val="24"/>
                <w:vertAlign w:val="superscript"/>
              </w:rPr>
              <w:t>2</w:t>
            </w:r>
            <w:r w:rsidRPr="000A3D11">
              <w:rPr>
                <w:rFonts w:ascii="Times New Roman" w:hAnsi="Times New Roman" w:cs="Times New Roman"/>
                <w:b/>
                <w:sz w:val="24"/>
                <w:szCs w:val="24"/>
              </w:rPr>
              <w:t>g</w:t>
            </w:r>
            <w:r w:rsidRPr="000A3D11">
              <w:rPr>
                <w:rFonts w:ascii="Times New Roman" w:hAnsi="Times New Roman" w:cs="Times New Roman"/>
                <w:b/>
                <w:sz w:val="24"/>
                <w:szCs w:val="24"/>
                <w:vertAlign w:val="superscript"/>
              </w:rPr>
              <w:t>-1</w:t>
            </w:r>
            <w:r w:rsidRPr="000A3D11">
              <w:rPr>
                <w:rFonts w:ascii="Times New Roman" w:hAnsi="Times New Roman" w:cs="Times New Roman"/>
                <w:b/>
                <w:sz w:val="24"/>
                <w:szCs w:val="24"/>
              </w:rPr>
              <w:t>)</w:t>
            </w:r>
          </w:p>
        </w:tc>
        <w:tc>
          <w:tcPr>
            <w:tcW w:w="3260" w:type="dxa"/>
          </w:tcPr>
          <w:p w14:paraId="378447FA" w14:textId="77777777" w:rsidR="004E0971" w:rsidRPr="000A3D11" w:rsidRDefault="004E0971" w:rsidP="009E37D1">
            <w:pPr>
              <w:autoSpaceDE w:val="0"/>
              <w:autoSpaceDN w:val="0"/>
              <w:adjustRightInd w:val="0"/>
              <w:jc w:val="center"/>
              <w:rPr>
                <w:rFonts w:ascii="Times New Roman" w:hAnsi="Times New Roman" w:cs="Times New Roman"/>
                <w:b/>
                <w:sz w:val="24"/>
                <w:szCs w:val="24"/>
              </w:rPr>
            </w:pPr>
            <w:r w:rsidRPr="000A3D11">
              <w:rPr>
                <w:rFonts w:ascii="Times New Roman" w:hAnsi="Times New Roman" w:cs="Times New Roman"/>
                <w:b/>
                <w:sz w:val="24"/>
                <w:szCs w:val="24"/>
              </w:rPr>
              <w:t>Volume dos poros (cm</w:t>
            </w:r>
            <w:r w:rsidRPr="000A3D11">
              <w:rPr>
                <w:rFonts w:ascii="Times New Roman" w:hAnsi="Times New Roman" w:cs="Times New Roman"/>
                <w:b/>
                <w:sz w:val="24"/>
                <w:szCs w:val="24"/>
                <w:vertAlign w:val="superscript"/>
              </w:rPr>
              <w:t>3</w:t>
            </w:r>
            <w:r w:rsidRPr="000A3D11">
              <w:rPr>
                <w:rFonts w:ascii="Times New Roman" w:hAnsi="Times New Roman" w:cs="Times New Roman"/>
                <w:b/>
                <w:sz w:val="24"/>
                <w:szCs w:val="24"/>
              </w:rPr>
              <w:t>g</w:t>
            </w:r>
            <w:r w:rsidRPr="000A3D11">
              <w:rPr>
                <w:rFonts w:ascii="Times New Roman" w:hAnsi="Times New Roman" w:cs="Times New Roman"/>
                <w:b/>
                <w:sz w:val="24"/>
                <w:szCs w:val="24"/>
                <w:vertAlign w:val="superscript"/>
              </w:rPr>
              <w:t>-1</w:t>
            </w:r>
            <w:r w:rsidRPr="000A3D11">
              <w:rPr>
                <w:rFonts w:ascii="Times New Roman" w:hAnsi="Times New Roman" w:cs="Times New Roman"/>
                <w:b/>
                <w:sz w:val="24"/>
                <w:szCs w:val="24"/>
              </w:rPr>
              <w:t>)</w:t>
            </w:r>
          </w:p>
        </w:tc>
        <w:tc>
          <w:tcPr>
            <w:tcW w:w="2835" w:type="dxa"/>
            <w:tcBorders>
              <w:right w:val="nil"/>
            </w:tcBorders>
          </w:tcPr>
          <w:p w14:paraId="68CA1F8E" w14:textId="77777777" w:rsidR="004E0971" w:rsidRPr="000A3D11" w:rsidRDefault="004E0971" w:rsidP="009E37D1">
            <w:pPr>
              <w:autoSpaceDE w:val="0"/>
              <w:autoSpaceDN w:val="0"/>
              <w:adjustRightInd w:val="0"/>
              <w:jc w:val="center"/>
              <w:rPr>
                <w:rFonts w:ascii="Times New Roman" w:hAnsi="Times New Roman" w:cs="Times New Roman"/>
                <w:b/>
                <w:sz w:val="24"/>
                <w:szCs w:val="24"/>
              </w:rPr>
            </w:pPr>
            <w:r w:rsidRPr="000A3D11">
              <w:rPr>
                <w:rFonts w:ascii="Times New Roman" w:hAnsi="Times New Roman" w:cs="Times New Roman"/>
                <w:b/>
                <w:sz w:val="24"/>
                <w:szCs w:val="24"/>
              </w:rPr>
              <w:t>Tamanho dos poros (</w:t>
            </w:r>
            <w:proofErr w:type="spellStart"/>
            <w:r w:rsidRPr="000A3D11">
              <w:rPr>
                <w:rFonts w:ascii="Times New Roman" w:hAnsi="Times New Roman" w:cs="Times New Roman"/>
                <w:b/>
                <w:sz w:val="24"/>
                <w:szCs w:val="24"/>
              </w:rPr>
              <w:t>nm</w:t>
            </w:r>
            <w:proofErr w:type="spellEnd"/>
            <w:r w:rsidRPr="000A3D11">
              <w:rPr>
                <w:rFonts w:ascii="Times New Roman" w:hAnsi="Times New Roman" w:cs="Times New Roman"/>
                <w:b/>
                <w:sz w:val="24"/>
                <w:szCs w:val="24"/>
              </w:rPr>
              <w:t>)</w:t>
            </w:r>
          </w:p>
        </w:tc>
      </w:tr>
      <w:tr w:rsidR="004E0971" w:rsidRPr="000A3D11" w14:paraId="290D13EF" w14:textId="77777777" w:rsidTr="009E37D1">
        <w:trPr>
          <w:trHeight w:val="70"/>
        </w:trPr>
        <w:tc>
          <w:tcPr>
            <w:tcW w:w="1985" w:type="dxa"/>
            <w:tcBorders>
              <w:left w:val="nil"/>
            </w:tcBorders>
          </w:tcPr>
          <w:p w14:paraId="29548BE2" w14:textId="77777777" w:rsidR="004E0971" w:rsidRPr="000A3D11" w:rsidRDefault="004E0971" w:rsidP="009E37D1">
            <w:pPr>
              <w:autoSpaceDE w:val="0"/>
              <w:autoSpaceDN w:val="0"/>
              <w:adjustRightInd w:val="0"/>
              <w:jc w:val="center"/>
              <w:rPr>
                <w:rFonts w:ascii="Times New Roman" w:hAnsi="Times New Roman" w:cs="Times New Roman"/>
                <w:sz w:val="24"/>
                <w:szCs w:val="24"/>
                <w:vertAlign w:val="superscript"/>
              </w:rPr>
            </w:pPr>
            <w:r w:rsidRPr="000A3D11">
              <w:rPr>
                <w:rFonts w:ascii="Times New Roman" w:hAnsi="Times New Roman" w:cs="Times New Roman"/>
                <w:sz w:val="24"/>
                <w:szCs w:val="24"/>
              </w:rPr>
              <w:t>CoFe</w:t>
            </w:r>
            <w:r w:rsidRPr="000A3D11">
              <w:rPr>
                <w:rFonts w:ascii="Times New Roman" w:hAnsi="Times New Roman" w:cs="Times New Roman"/>
                <w:sz w:val="24"/>
                <w:szCs w:val="24"/>
                <w:vertAlign w:val="subscript"/>
              </w:rPr>
              <w:t>2</w:t>
            </w:r>
            <w:r w:rsidRPr="000A3D11">
              <w:rPr>
                <w:rFonts w:ascii="Times New Roman" w:hAnsi="Times New Roman" w:cs="Times New Roman"/>
                <w:sz w:val="24"/>
                <w:szCs w:val="24"/>
              </w:rPr>
              <w:t>O</w:t>
            </w:r>
            <w:r w:rsidRPr="000A3D11">
              <w:rPr>
                <w:rFonts w:ascii="Times New Roman" w:hAnsi="Times New Roman" w:cs="Times New Roman"/>
                <w:sz w:val="24"/>
                <w:szCs w:val="24"/>
                <w:vertAlign w:val="subscript"/>
              </w:rPr>
              <w:t>4</w:t>
            </w:r>
          </w:p>
        </w:tc>
        <w:tc>
          <w:tcPr>
            <w:tcW w:w="1559" w:type="dxa"/>
          </w:tcPr>
          <w:p w14:paraId="2B871872"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70,97</w:t>
            </w:r>
          </w:p>
        </w:tc>
        <w:tc>
          <w:tcPr>
            <w:tcW w:w="3260" w:type="dxa"/>
          </w:tcPr>
          <w:p w14:paraId="78C1A1DB"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0,2053</w:t>
            </w:r>
          </w:p>
        </w:tc>
        <w:tc>
          <w:tcPr>
            <w:tcW w:w="2835" w:type="dxa"/>
            <w:tcBorders>
              <w:right w:val="nil"/>
            </w:tcBorders>
          </w:tcPr>
          <w:p w14:paraId="376B4399"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8,90</w:t>
            </w:r>
          </w:p>
        </w:tc>
      </w:tr>
      <w:tr w:rsidR="004E0971" w:rsidRPr="000A3D11" w14:paraId="709A41FA" w14:textId="77777777" w:rsidTr="009E37D1">
        <w:trPr>
          <w:trHeight w:val="70"/>
        </w:trPr>
        <w:tc>
          <w:tcPr>
            <w:tcW w:w="1985" w:type="dxa"/>
            <w:tcBorders>
              <w:left w:val="nil"/>
            </w:tcBorders>
          </w:tcPr>
          <w:p w14:paraId="75C27902" w14:textId="77777777" w:rsidR="004E0971" w:rsidRPr="000A3D11" w:rsidRDefault="004E0971" w:rsidP="009E37D1">
            <w:pPr>
              <w:autoSpaceDE w:val="0"/>
              <w:autoSpaceDN w:val="0"/>
              <w:adjustRightInd w:val="0"/>
              <w:jc w:val="center"/>
              <w:rPr>
                <w:rFonts w:ascii="Times New Roman" w:hAnsi="Times New Roman" w:cs="Times New Roman"/>
                <w:sz w:val="24"/>
                <w:szCs w:val="24"/>
              </w:rPr>
            </w:pPr>
            <w:r w:rsidRPr="000A3D11">
              <w:rPr>
                <w:rFonts w:ascii="Times New Roman" w:hAnsi="Times New Roman" w:cs="Times New Roman"/>
                <w:sz w:val="24"/>
                <w:szCs w:val="24"/>
              </w:rPr>
              <w:t>CoFe</w:t>
            </w:r>
            <w:r w:rsidRPr="000A3D11">
              <w:rPr>
                <w:rFonts w:ascii="Times New Roman" w:hAnsi="Times New Roman" w:cs="Times New Roman"/>
                <w:sz w:val="24"/>
                <w:szCs w:val="24"/>
                <w:vertAlign w:val="subscript"/>
              </w:rPr>
              <w:t>2</w:t>
            </w:r>
            <w:r w:rsidRPr="000A3D11">
              <w:rPr>
                <w:rFonts w:ascii="Times New Roman" w:hAnsi="Times New Roman" w:cs="Times New Roman"/>
                <w:sz w:val="24"/>
                <w:szCs w:val="24"/>
              </w:rPr>
              <w:t>O</w:t>
            </w:r>
            <w:r w:rsidRPr="000A3D11">
              <w:rPr>
                <w:rFonts w:ascii="Times New Roman" w:hAnsi="Times New Roman" w:cs="Times New Roman"/>
                <w:sz w:val="24"/>
                <w:szCs w:val="24"/>
                <w:vertAlign w:val="subscript"/>
              </w:rPr>
              <w:t>4</w:t>
            </w:r>
            <w:r w:rsidRPr="000A3D11">
              <w:rPr>
                <w:rFonts w:ascii="Times New Roman" w:eastAsia="Times New Roman" w:hAnsi="Times New Roman" w:cs="Times New Roman"/>
                <w:sz w:val="24"/>
                <w:szCs w:val="24"/>
                <w:lang w:eastAsia="pt-BR"/>
              </w:rPr>
              <w:t>-</w:t>
            </w:r>
            <w:r w:rsidRPr="000A3D11">
              <w:rPr>
                <w:rFonts w:ascii="Times New Roman" w:hAnsi="Times New Roman" w:cs="Times New Roman"/>
                <w:sz w:val="24"/>
                <w:szCs w:val="24"/>
              </w:rPr>
              <w:t>LS5</w:t>
            </w:r>
          </w:p>
        </w:tc>
        <w:tc>
          <w:tcPr>
            <w:tcW w:w="1559" w:type="dxa"/>
          </w:tcPr>
          <w:p w14:paraId="40A942FA"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41,47</w:t>
            </w:r>
          </w:p>
        </w:tc>
        <w:tc>
          <w:tcPr>
            <w:tcW w:w="3260" w:type="dxa"/>
          </w:tcPr>
          <w:p w14:paraId="387B5766"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0,1219</w:t>
            </w:r>
          </w:p>
        </w:tc>
        <w:tc>
          <w:tcPr>
            <w:tcW w:w="2835" w:type="dxa"/>
            <w:tcBorders>
              <w:right w:val="nil"/>
            </w:tcBorders>
          </w:tcPr>
          <w:p w14:paraId="6ED4B114"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9,25</w:t>
            </w:r>
          </w:p>
        </w:tc>
      </w:tr>
      <w:tr w:rsidR="004E0971" w:rsidRPr="000A3D11" w14:paraId="4FED70C5" w14:textId="77777777" w:rsidTr="009E37D1">
        <w:trPr>
          <w:trHeight w:val="70"/>
        </w:trPr>
        <w:tc>
          <w:tcPr>
            <w:tcW w:w="1985" w:type="dxa"/>
            <w:tcBorders>
              <w:left w:val="nil"/>
            </w:tcBorders>
          </w:tcPr>
          <w:p w14:paraId="68E1FB72" w14:textId="77777777" w:rsidR="004E0971" w:rsidRPr="000A3D11" w:rsidRDefault="004E0971" w:rsidP="009E37D1">
            <w:pPr>
              <w:autoSpaceDE w:val="0"/>
              <w:autoSpaceDN w:val="0"/>
              <w:adjustRightInd w:val="0"/>
              <w:jc w:val="center"/>
              <w:rPr>
                <w:rFonts w:ascii="Times New Roman" w:hAnsi="Times New Roman" w:cs="Times New Roman"/>
                <w:sz w:val="24"/>
                <w:szCs w:val="24"/>
              </w:rPr>
            </w:pPr>
            <w:r w:rsidRPr="000A3D11">
              <w:rPr>
                <w:rFonts w:ascii="Times New Roman" w:hAnsi="Times New Roman" w:cs="Times New Roman"/>
                <w:sz w:val="24"/>
                <w:szCs w:val="24"/>
              </w:rPr>
              <w:t>CoFe</w:t>
            </w:r>
            <w:r w:rsidRPr="000A3D11">
              <w:rPr>
                <w:rFonts w:ascii="Times New Roman" w:hAnsi="Times New Roman" w:cs="Times New Roman"/>
                <w:sz w:val="24"/>
                <w:szCs w:val="24"/>
                <w:vertAlign w:val="subscript"/>
              </w:rPr>
              <w:t>2</w:t>
            </w:r>
            <w:r w:rsidRPr="000A3D11">
              <w:rPr>
                <w:rFonts w:ascii="Times New Roman" w:hAnsi="Times New Roman" w:cs="Times New Roman"/>
                <w:sz w:val="24"/>
                <w:szCs w:val="24"/>
              </w:rPr>
              <w:t>O</w:t>
            </w:r>
            <w:r w:rsidRPr="000A3D11">
              <w:rPr>
                <w:rFonts w:ascii="Times New Roman" w:hAnsi="Times New Roman" w:cs="Times New Roman"/>
                <w:sz w:val="24"/>
                <w:szCs w:val="24"/>
                <w:vertAlign w:val="subscript"/>
              </w:rPr>
              <w:t>4</w:t>
            </w:r>
            <w:r w:rsidRPr="000A3D11">
              <w:rPr>
                <w:rFonts w:ascii="Times New Roman" w:eastAsia="Times New Roman" w:hAnsi="Times New Roman" w:cs="Times New Roman"/>
                <w:sz w:val="24"/>
                <w:szCs w:val="24"/>
                <w:lang w:eastAsia="pt-BR"/>
              </w:rPr>
              <w:t>-</w:t>
            </w:r>
            <w:r w:rsidRPr="000A3D11">
              <w:rPr>
                <w:rFonts w:ascii="Times New Roman" w:hAnsi="Times New Roman" w:cs="Times New Roman"/>
                <w:sz w:val="24"/>
                <w:szCs w:val="24"/>
              </w:rPr>
              <w:t>LS7,5</w:t>
            </w:r>
          </w:p>
        </w:tc>
        <w:tc>
          <w:tcPr>
            <w:tcW w:w="1559" w:type="dxa"/>
          </w:tcPr>
          <w:p w14:paraId="40782658"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34,41</w:t>
            </w:r>
          </w:p>
        </w:tc>
        <w:tc>
          <w:tcPr>
            <w:tcW w:w="3260" w:type="dxa"/>
          </w:tcPr>
          <w:p w14:paraId="5C63E751"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0,1128</w:t>
            </w:r>
          </w:p>
        </w:tc>
        <w:tc>
          <w:tcPr>
            <w:tcW w:w="2835" w:type="dxa"/>
            <w:tcBorders>
              <w:right w:val="nil"/>
            </w:tcBorders>
          </w:tcPr>
          <w:p w14:paraId="7FADF719" w14:textId="77777777" w:rsidR="004E0971" w:rsidRPr="000A3D11" w:rsidRDefault="004E0971" w:rsidP="009E37D1">
            <w:pPr>
              <w:autoSpaceDE w:val="0"/>
              <w:autoSpaceDN w:val="0"/>
              <w:adjustRightInd w:val="0"/>
              <w:jc w:val="center"/>
              <w:rPr>
                <w:rFonts w:ascii="Times New Roman" w:eastAsia="TimesNewRoman" w:hAnsi="Times New Roman" w:cs="Times New Roman"/>
                <w:sz w:val="24"/>
                <w:szCs w:val="24"/>
              </w:rPr>
            </w:pPr>
            <w:r w:rsidRPr="000A3D11">
              <w:rPr>
                <w:rFonts w:ascii="Times New Roman" w:eastAsia="TimesNewRoman" w:hAnsi="Times New Roman" w:cs="Times New Roman"/>
                <w:sz w:val="24"/>
                <w:szCs w:val="24"/>
              </w:rPr>
              <w:t>9,39</w:t>
            </w:r>
          </w:p>
        </w:tc>
      </w:tr>
    </w:tbl>
    <w:p w14:paraId="1DBB04E9" w14:textId="77777777" w:rsidR="006D53A6" w:rsidRPr="006D53A6" w:rsidRDefault="006D53A6" w:rsidP="006D53A6">
      <w:pPr>
        <w:jc w:val="center"/>
        <w:rPr>
          <w:b/>
          <w:color w:val="000000"/>
          <w:sz w:val="24"/>
          <w:szCs w:val="24"/>
        </w:rPr>
      </w:pPr>
      <w:r w:rsidRPr="006D53A6">
        <w:rPr>
          <w:b/>
          <w:color w:val="000000"/>
          <w:sz w:val="24"/>
          <w:szCs w:val="24"/>
        </w:rPr>
        <w:t xml:space="preserve">Fonte: </w:t>
      </w:r>
      <w:r w:rsidRPr="006D53A6">
        <w:rPr>
          <w:color w:val="000000"/>
          <w:sz w:val="24"/>
          <w:szCs w:val="24"/>
        </w:rPr>
        <w:t>O autor.</w:t>
      </w:r>
    </w:p>
    <w:p w14:paraId="6CA66784" w14:textId="77777777" w:rsidR="00CE645B" w:rsidRDefault="00CE645B" w:rsidP="00CE645B">
      <w:pPr>
        <w:rPr>
          <w:lang w:val="it-IT"/>
        </w:rPr>
      </w:pPr>
    </w:p>
    <w:p w14:paraId="5F19ED13" w14:textId="77777777" w:rsidR="004E0971" w:rsidRPr="00F75F09" w:rsidRDefault="004E0971" w:rsidP="004E0971">
      <w:pPr>
        <w:pStyle w:val="Legenda"/>
        <w:spacing w:line="240" w:lineRule="auto"/>
        <w:jc w:val="center"/>
        <w:rPr>
          <w:rFonts w:ascii="Times New Roman" w:hAnsi="Times New Roman"/>
          <w:b/>
        </w:rPr>
      </w:pPr>
      <w:r w:rsidRPr="00F75F09">
        <w:rPr>
          <w:rFonts w:ascii="Times New Roman" w:hAnsi="Times New Roman"/>
          <w:b/>
        </w:rPr>
        <w:lastRenderedPageBreak/>
        <w:t xml:space="preserve">Tabela </w:t>
      </w:r>
      <w:r>
        <w:rPr>
          <w:rFonts w:ascii="Times New Roman" w:hAnsi="Times New Roman"/>
          <w:b/>
        </w:rPr>
        <w:t>3</w:t>
      </w:r>
      <w:r w:rsidRPr="00F75F09">
        <w:rPr>
          <w:rFonts w:ascii="Times New Roman" w:hAnsi="Times New Roman"/>
          <w:b/>
        </w:rPr>
        <w:t>.</w:t>
      </w:r>
      <w:r w:rsidRPr="00F75F09">
        <w:rPr>
          <w:rFonts w:ascii="Times New Roman" w:hAnsi="Times New Roman"/>
        </w:rPr>
        <w:t xml:space="preserve"> Composição elementar </w:t>
      </w:r>
      <w:bookmarkEnd w:id="0"/>
      <w:r w:rsidRPr="00F75F09">
        <w:rPr>
          <w:rFonts w:ascii="Times New Roman" w:hAnsi="Times New Roman"/>
        </w:rPr>
        <w:t>e teores de grupos –SO</w:t>
      </w:r>
      <w:r w:rsidRPr="00F75F09">
        <w:rPr>
          <w:rFonts w:ascii="Times New Roman" w:hAnsi="Times New Roman"/>
          <w:vertAlign w:val="subscript"/>
        </w:rPr>
        <w:t>3</w:t>
      </w:r>
      <w:r w:rsidRPr="00F75F09">
        <w:rPr>
          <w:rFonts w:ascii="Times New Roman" w:hAnsi="Times New Roman"/>
        </w:rPr>
        <w:t>H por grama de material seco para as ligninas sulfonadas e NPMs revestidas.</w:t>
      </w:r>
    </w:p>
    <w:tbl>
      <w:tblPr>
        <w:tblW w:w="9498" w:type="dxa"/>
        <w:jc w:val="center"/>
        <w:tblBorders>
          <w:top w:val="single" w:sz="4" w:space="0" w:color="auto"/>
          <w:bottom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43"/>
        <w:gridCol w:w="1418"/>
        <w:gridCol w:w="1417"/>
        <w:gridCol w:w="1276"/>
        <w:gridCol w:w="1417"/>
        <w:gridCol w:w="2127"/>
      </w:tblGrid>
      <w:tr w:rsidR="004E0971" w:rsidRPr="00A83125" w14:paraId="0B694ADC" w14:textId="77777777" w:rsidTr="009E37D1">
        <w:trPr>
          <w:trHeight w:val="214"/>
          <w:jc w:val="center"/>
        </w:trPr>
        <w:tc>
          <w:tcPr>
            <w:tcW w:w="1843" w:type="dxa"/>
            <w:shd w:val="clear" w:color="auto" w:fill="auto"/>
            <w:noWrap/>
            <w:vAlign w:val="center"/>
            <w:hideMark/>
          </w:tcPr>
          <w:p w14:paraId="00A8DD47" w14:textId="77777777" w:rsidR="004E0971" w:rsidRPr="00A83125" w:rsidRDefault="004E0971" w:rsidP="009E37D1">
            <w:pPr>
              <w:jc w:val="center"/>
              <w:rPr>
                <w:b/>
                <w:bCs/>
                <w:iCs/>
                <w:sz w:val="24"/>
                <w:szCs w:val="24"/>
              </w:rPr>
            </w:pPr>
            <w:r w:rsidRPr="00A83125">
              <w:rPr>
                <w:b/>
                <w:bCs/>
                <w:iCs/>
                <w:sz w:val="24"/>
                <w:szCs w:val="24"/>
              </w:rPr>
              <w:t xml:space="preserve">Amostra </w:t>
            </w:r>
          </w:p>
        </w:tc>
        <w:tc>
          <w:tcPr>
            <w:tcW w:w="1418" w:type="dxa"/>
            <w:shd w:val="clear" w:color="auto" w:fill="auto"/>
            <w:noWrap/>
            <w:vAlign w:val="center"/>
            <w:hideMark/>
          </w:tcPr>
          <w:p w14:paraId="693DAB6E" w14:textId="77777777" w:rsidR="004E0971" w:rsidRPr="00A83125" w:rsidRDefault="004E0971" w:rsidP="009E37D1">
            <w:pPr>
              <w:jc w:val="center"/>
              <w:rPr>
                <w:b/>
                <w:bCs/>
                <w:iCs/>
                <w:sz w:val="24"/>
                <w:szCs w:val="24"/>
              </w:rPr>
            </w:pPr>
            <w:r w:rsidRPr="00A83125">
              <w:rPr>
                <w:b/>
                <w:bCs/>
                <w:iCs/>
                <w:sz w:val="24"/>
                <w:szCs w:val="24"/>
              </w:rPr>
              <w:t>C (%)</w:t>
            </w:r>
          </w:p>
        </w:tc>
        <w:tc>
          <w:tcPr>
            <w:tcW w:w="1417" w:type="dxa"/>
            <w:shd w:val="clear" w:color="auto" w:fill="auto"/>
            <w:noWrap/>
            <w:vAlign w:val="center"/>
            <w:hideMark/>
          </w:tcPr>
          <w:p w14:paraId="7DE69577" w14:textId="77777777" w:rsidR="004E0971" w:rsidRPr="00A83125" w:rsidRDefault="004E0971" w:rsidP="009E37D1">
            <w:pPr>
              <w:jc w:val="center"/>
              <w:rPr>
                <w:b/>
                <w:bCs/>
                <w:iCs/>
                <w:sz w:val="24"/>
                <w:szCs w:val="24"/>
              </w:rPr>
            </w:pPr>
            <w:r w:rsidRPr="00A83125">
              <w:rPr>
                <w:b/>
                <w:bCs/>
                <w:iCs/>
                <w:sz w:val="24"/>
                <w:szCs w:val="24"/>
              </w:rPr>
              <w:t>H (%)</w:t>
            </w:r>
          </w:p>
        </w:tc>
        <w:tc>
          <w:tcPr>
            <w:tcW w:w="1276" w:type="dxa"/>
          </w:tcPr>
          <w:p w14:paraId="1201013A" w14:textId="77777777" w:rsidR="004E0971" w:rsidRPr="00A83125" w:rsidRDefault="004E0971" w:rsidP="009E37D1">
            <w:pPr>
              <w:jc w:val="center"/>
              <w:rPr>
                <w:b/>
                <w:bCs/>
                <w:iCs/>
                <w:sz w:val="24"/>
                <w:szCs w:val="24"/>
              </w:rPr>
            </w:pPr>
            <w:r w:rsidRPr="00A83125">
              <w:rPr>
                <w:b/>
                <w:bCs/>
                <w:iCs/>
                <w:sz w:val="24"/>
                <w:szCs w:val="24"/>
              </w:rPr>
              <w:t>O (%)</w:t>
            </w:r>
          </w:p>
        </w:tc>
        <w:tc>
          <w:tcPr>
            <w:tcW w:w="1417" w:type="dxa"/>
            <w:shd w:val="clear" w:color="auto" w:fill="auto"/>
            <w:noWrap/>
            <w:vAlign w:val="center"/>
            <w:hideMark/>
          </w:tcPr>
          <w:p w14:paraId="4B98BF73" w14:textId="77777777" w:rsidR="004E0971" w:rsidRPr="00A83125" w:rsidRDefault="004E0971" w:rsidP="009E37D1">
            <w:pPr>
              <w:jc w:val="center"/>
              <w:rPr>
                <w:b/>
                <w:bCs/>
                <w:iCs/>
                <w:sz w:val="24"/>
                <w:szCs w:val="24"/>
              </w:rPr>
            </w:pPr>
            <w:r w:rsidRPr="00A83125">
              <w:rPr>
                <w:b/>
                <w:bCs/>
                <w:iCs/>
                <w:sz w:val="24"/>
                <w:szCs w:val="24"/>
              </w:rPr>
              <w:t>S (%)</w:t>
            </w:r>
          </w:p>
        </w:tc>
        <w:tc>
          <w:tcPr>
            <w:tcW w:w="2127" w:type="dxa"/>
          </w:tcPr>
          <w:p w14:paraId="3DF56D27" w14:textId="77777777" w:rsidR="004E0971" w:rsidRPr="00A83125" w:rsidRDefault="004E0971" w:rsidP="009E37D1">
            <w:pPr>
              <w:jc w:val="center"/>
              <w:rPr>
                <w:b/>
                <w:bCs/>
                <w:iCs/>
                <w:sz w:val="24"/>
                <w:szCs w:val="24"/>
              </w:rPr>
            </w:pPr>
            <w:r w:rsidRPr="00A83125">
              <w:rPr>
                <w:b/>
                <w:sz w:val="24"/>
                <w:szCs w:val="24"/>
              </w:rPr>
              <w:t>–</w:t>
            </w:r>
            <w:r w:rsidRPr="00A83125">
              <w:rPr>
                <w:b/>
                <w:noProof/>
                <w:sz w:val="24"/>
                <w:szCs w:val="24"/>
              </w:rPr>
              <w:t>SO</w:t>
            </w:r>
            <w:r w:rsidRPr="00A83125">
              <w:rPr>
                <w:b/>
                <w:noProof/>
                <w:sz w:val="24"/>
                <w:szCs w:val="24"/>
                <w:vertAlign w:val="subscript"/>
              </w:rPr>
              <w:t>3</w:t>
            </w:r>
            <w:r w:rsidRPr="00A83125">
              <w:rPr>
                <w:b/>
                <w:noProof/>
                <w:sz w:val="24"/>
                <w:szCs w:val="24"/>
              </w:rPr>
              <w:t>H (mol.g</w:t>
            </w:r>
            <w:r w:rsidRPr="00A83125">
              <w:rPr>
                <w:b/>
                <w:noProof/>
                <w:sz w:val="24"/>
                <w:szCs w:val="24"/>
                <w:vertAlign w:val="superscript"/>
              </w:rPr>
              <w:t>-1</w:t>
            </w:r>
            <w:r w:rsidRPr="00A83125">
              <w:rPr>
                <w:b/>
                <w:noProof/>
                <w:sz w:val="24"/>
                <w:szCs w:val="24"/>
              </w:rPr>
              <w:t>)</w:t>
            </w:r>
          </w:p>
        </w:tc>
      </w:tr>
      <w:tr w:rsidR="004E0971" w:rsidRPr="00A83125" w14:paraId="049998BA" w14:textId="77777777" w:rsidTr="009E37D1">
        <w:trPr>
          <w:trHeight w:val="94"/>
          <w:jc w:val="center"/>
        </w:trPr>
        <w:tc>
          <w:tcPr>
            <w:tcW w:w="1843" w:type="dxa"/>
            <w:shd w:val="clear" w:color="auto" w:fill="auto"/>
            <w:noWrap/>
          </w:tcPr>
          <w:p w14:paraId="61699DA8" w14:textId="77777777" w:rsidR="004E0971" w:rsidRPr="00A83125" w:rsidRDefault="004E0971" w:rsidP="009E37D1">
            <w:pPr>
              <w:jc w:val="center"/>
              <w:rPr>
                <w:sz w:val="24"/>
                <w:szCs w:val="24"/>
              </w:rPr>
            </w:pPr>
            <w:r w:rsidRPr="00A83125">
              <w:rPr>
                <w:sz w:val="24"/>
                <w:szCs w:val="24"/>
              </w:rPr>
              <w:t>Lignina pura</w:t>
            </w:r>
          </w:p>
        </w:tc>
        <w:tc>
          <w:tcPr>
            <w:tcW w:w="1418" w:type="dxa"/>
            <w:shd w:val="clear" w:color="auto" w:fill="auto"/>
            <w:noWrap/>
          </w:tcPr>
          <w:p w14:paraId="2BD217AA" w14:textId="77777777" w:rsidR="004E0971" w:rsidRPr="00A83125" w:rsidRDefault="004E0971" w:rsidP="009E37D1">
            <w:pPr>
              <w:jc w:val="center"/>
              <w:rPr>
                <w:sz w:val="24"/>
                <w:szCs w:val="24"/>
              </w:rPr>
            </w:pPr>
            <w:r w:rsidRPr="00A83125">
              <w:rPr>
                <w:sz w:val="24"/>
                <w:szCs w:val="24"/>
              </w:rPr>
              <w:t>60,54</w:t>
            </w:r>
          </w:p>
        </w:tc>
        <w:tc>
          <w:tcPr>
            <w:tcW w:w="1417" w:type="dxa"/>
            <w:shd w:val="clear" w:color="auto" w:fill="auto"/>
            <w:noWrap/>
          </w:tcPr>
          <w:p w14:paraId="35E2A23C" w14:textId="77777777" w:rsidR="004E0971" w:rsidRPr="00A83125" w:rsidRDefault="004E0971" w:rsidP="009E37D1">
            <w:pPr>
              <w:jc w:val="center"/>
              <w:rPr>
                <w:sz w:val="24"/>
                <w:szCs w:val="24"/>
              </w:rPr>
            </w:pPr>
            <w:r w:rsidRPr="00A83125">
              <w:rPr>
                <w:sz w:val="24"/>
                <w:szCs w:val="24"/>
              </w:rPr>
              <w:t>5,83</w:t>
            </w:r>
          </w:p>
        </w:tc>
        <w:tc>
          <w:tcPr>
            <w:tcW w:w="1276" w:type="dxa"/>
          </w:tcPr>
          <w:p w14:paraId="5276AA98" w14:textId="77777777" w:rsidR="004E0971" w:rsidRPr="00A83125" w:rsidRDefault="004E0971" w:rsidP="009E37D1">
            <w:pPr>
              <w:jc w:val="center"/>
              <w:rPr>
                <w:sz w:val="24"/>
                <w:szCs w:val="24"/>
              </w:rPr>
            </w:pPr>
            <w:r w:rsidRPr="00A83125">
              <w:rPr>
                <w:sz w:val="24"/>
                <w:szCs w:val="24"/>
              </w:rPr>
              <w:t>32,86</w:t>
            </w:r>
          </w:p>
        </w:tc>
        <w:tc>
          <w:tcPr>
            <w:tcW w:w="1417" w:type="dxa"/>
            <w:shd w:val="clear" w:color="auto" w:fill="auto"/>
            <w:noWrap/>
          </w:tcPr>
          <w:p w14:paraId="2D7B580B" w14:textId="77777777" w:rsidR="004E0971" w:rsidRPr="00A83125" w:rsidRDefault="004E0971" w:rsidP="009E37D1">
            <w:pPr>
              <w:jc w:val="center"/>
              <w:rPr>
                <w:sz w:val="24"/>
                <w:szCs w:val="24"/>
              </w:rPr>
            </w:pPr>
            <w:r w:rsidRPr="00A83125">
              <w:rPr>
                <w:sz w:val="24"/>
                <w:szCs w:val="24"/>
              </w:rPr>
              <w:t>0,00</w:t>
            </w:r>
          </w:p>
        </w:tc>
        <w:tc>
          <w:tcPr>
            <w:tcW w:w="2127" w:type="dxa"/>
          </w:tcPr>
          <w:p w14:paraId="6FED7B21" w14:textId="77777777" w:rsidR="004E0971" w:rsidRPr="00A83125" w:rsidRDefault="004E0971" w:rsidP="009E37D1">
            <w:pPr>
              <w:jc w:val="center"/>
              <w:rPr>
                <w:sz w:val="24"/>
                <w:szCs w:val="24"/>
              </w:rPr>
            </w:pPr>
            <w:r>
              <w:rPr>
                <w:sz w:val="24"/>
                <w:szCs w:val="24"/>
              </w:rPr>
              <w:t>–</w:t>
            </w:r>
          </w:p>
        </w:tc>
      </w:tr>
      <w:tr w:rsidR="004E0971" w:rsidRPr="00A83125" w14:paraId="6C7929B8" w14:textId="77777777" w:rsidTr="009E37D1">
        <w:trPr>
          <w:trHeight w:val="53"/>
          <w:jc w:val="center"/>
        </w:trPr>
        <w:tc>
          <w:tcPr>
            <w:tcW w:w="1843" w:type="dxa"/>
            <w:shd w:val="clear" w:color="auto" w:fill="auto"/>
            <w:noWrap/>
          </w:tcPr>
          <w:p w14:paraId="1384D53D" w14:textId="77777777" w:rsidR="004E0971" w:rsidRPr="00A83125" w:rsidRDefault="004E0971" w:rsidP="009E37D1">
            <w:pPr>
              <w:jc w:val="center"/>
              <w:rPr>
                <w:sz w:val="24"/>
                <w:szCs w:val="24"/>
              </w:rPr>
            </w:pPr>
            <w:r w:rsidRPr="00A83125">
              <w:rPr>
                <w:sz w:val="24"/>
                <w:szCs w:val="24"/>
              </w:rPr>
              <w:t>LS5</w:t>
            </w:r>
          </w:p>
        </w:tc>
        <w:tc>
          <w:tcPr>
            <w:tcW w:w="1418" w:type="dxa"/>
            <w:shd w:val="clear" w:color="auto" w:fill="auto"/>
            <w:noWrap/>
          </w:tcPr>
          <w:p w14:paraId="69F54B71" w14:textId="77777777" w:rsidR="004E0971" w:rsidRPr="00A83125" w:rsidRDefault="004E0971" w:rsidP="009E37D1">
            <w:pPr>
              <w:jc w:val="center"/>
              <w:rPr>
                <w:sz w:val="24"/>
                <w:szCs w:val="24"/>
              </w:rPr>
            </w:pPr>
            <w:r w:rsidRPr="00A83125">
              <w:rPr>
                <w:sz w:val="24"/>
                <w:szCs w:val="24"/>
              </w:rPr>
              <w:t>50,41</w:t>
            </w:r>
          </w:p>
        </w:tc>
        <w:tc>
          <w:tcPr>
            <w:tcW w:w="1417" w:type="dxa"/>
            <w:shd w:val="clear" w:color="auto" w:fill="auto"/>
            <w:noWrap/>
          </w:tcPr>
          <w:p w14:paraId="025C166E" w14:textId="77777777" w:rsidR="004E0971" w:rsidRPr="00A83125" w:rsidRDefault="004E0971" w:rsidP="009E37D1">
            <w:pPr>
              <w:jc w:val="center"/>
              <w:rPr>
                <w:sz w:val="24"/>
                <w:szCs w:val="24"/>
              </w:rPr>
            </w:pPr>
            <w:r w:rsidRPr="00A83125">
              <w:rPr>
                <w:sz w:val="24"/>
                <w:szCs w:val="24"/>
              </w:rPr>
              <w:t>4,91</w:t>
            </w:r>
          </w:p>
        </w:tc>
        <w:tc>
          <w:tcPr>
            <w:tcW w:w="1276" w:type="dxa"/>
          </w:tcPr>
          <w:p w14:paraId="21D52E6A" w14:textId="77777777" w:rsidR="004E0971" w:rsidRPr="00A83125" w:rsidRDefault="004E0971" w:rsidP="009E37D1">
            <w:pPr>
              <w:jc w:val="center"/>
              <w:rPr>
                <w:sz w:val="24"/>
                <w:szCs w:val="24"/>
              </w:rPr>
            </w:pPr>
            <w:r w:rsidRPr="00A83125">
              <w:rPr>
                <w:sz w:val="24"/>
                <w:szCs w:val="24"/>
              </w:rPr>
              <w:t>41,21</w:t>
            </w:r>
          </w:p>
        </w:tc>
        <w:tc>
          <w:tcPr>
            <w:tcW w:w="1417" w:type="dxa"/>
            <w:shd w:val="clear" w:color="auto" w:fill="auto"/>
            <w:noWrap/>
          </w:tcPr>
          <w:p w14:paraId="0A6251AF" w14:textId="77777777" w:rsidR="004E0971" w:rsidRPr="00A83125" w:rsidRDefault="004E0971" w:rsidP="009E37D1">
            <w:pPr>
              <w:jc w:val="center"/>
              <w:rPr>
                <w:sz w:val="24"/>
                <w:szCs w:val="24"/>
              </w:rPr>
            </w:pPr>
            <w:r w:rsidRPr="00A83125">
              <w:rPr>
                <w:sz w:val="24"/>
                <w:szCs w:val="24"/>
              </w:rPr>
              <w:t>2,68</w:t>
            </w:r>
          </w:p>
        </w:tc>
        <w:tc>
          <w:tcPr>
            <w:tcW w:w="2127" w:type="dxa"/>
          </w:tcPr>
          <w:p w14:paraId="78E46164" w14:textId="77777777" w:rsidR="004E0971" w:rsidRPr="00A83125" w:rsidRDefault="004E0971" w:rsidP="009E37D1">
            <w:pPr>
              <w:jc w:val="center"/>
              <w:rPr>
                <w:sz w:val="24"/>
                <w:szCs w:val="24"/>
              </w:rPr>
            </w:pPr>
            <w:r>
              <w:rPr>
                <w:sz w:val="24"/>
                <w:szCs w:val="24"/>
              </w:rPr>
              <w:t>1,8</w:t>
            </w:r>
          </w:p>
        </w:tc>
      </w:tr>
      <w:tr w:rsidR="004E0971" w:rsidRPr="00A83125" w14:paraId="25BE7111" w14:textId="77777777" w:rsidTr="009E37D1">
        <w:trPr>
          <w:trHeight w:val="242"/>
          <w:jc w:val="center"/>
        </w:trPr>
        <w:tc>
          <w:tcPr>
            <w:tcW w:w="1843" w:type="dxa"/>
            <w:shd w:val="clear" w:color="auto" w:fill="auto"/>
            <w:noWrap/>
          </w:tcPr>
          <w:p w14:paraId="7F42635D" w14:textId="77777777" w:rsidR="004E0971" w:rsidRPr="00A83125" w:rsidRDefault="004E0971" w:rsidP="009E37D1">
            <w:pPr>
              <w:jc w:val="center"/>
              <w:rPr>
                <w:sz w:val="24"/>
                <w:szCs w:val="24"/>
              </w:rPr>
            </w:pPr>
            <w:r w:rsidRPr="00A83125">
              <w:rPr>
                <w:sz w:val="24"/>
                <w:szCs w:val="24"/>
              </w:rPr>
              <w:t xml:space="preserve">LS7,5 </w:t>
            </w:r>
          </w:p>
        </w:tc>
        <w:tc>
          <w:tcPr>
            <w:tcW w:w="1418" w:type="dxa"/>
            <w:shd w:val="clear" w:color="auto" w:fill="auto"/>
            <w:noWrap/>
          </w:tcPr>
          <w:p w14:paraId="30EAD9CD" w14:textId="77777777" w:rsidR="004E0971" w:rsidRPr="00A83125" w:rsidRDefault="004E0971" w:rsidP="009E37D1">
            <w:pPr>
              <w:jc w:val="center"/>
              <w:rPr>
                <w:sz w:val="24"/>
                <w:szCs w:val="24"/>
              </w:rPr>
            </w:pPr>
            <w:r w:rsidRPr="00A83125">
              <w:rPr>
                <w:sz w:val="24"/>
                <w:szCs w:val="24"/>
              </w:rPr>
              <w:t>53,99</w:t>
            </w:r>
          </w:p>
        </w:tc>
        <w:tc>
          <w:tcPr>
            <w:tcW w:w="1417" w:type="dxa"/>
            <w:shd w:val="clear" w:color="auto" w:fill="auto"/>
            <w:noWrap/>
          </w:tcPr>
          <w:p w14:paraId="3CB2606B" w14:textId="77777777" w:rsidR="004E0971" w:rsidRPr="00A83125" w:rsidRDefault="004E0971" w:rsidP="009E37D1">
            <w:pPr>
              <w:jc w:val="center"/>
              <w:rPr>
                <w:sz w:val="24"/>
                <w:szCs w:val="24"/>
              </w:rPr>
            </w:pPr>
            <w:r w:rsidRPr="00A83125">
              <w:rPr>
                <w:sz w:val="24"/>
                <w:szCs w:val="24"/>
              </w:rPr>
              <w:t>5,46</w:t>
            </w:r>
          </w:p>
        </w:tc>
        <w:tc>
          <w:tcPr>
            <w:tcW w:w="1276" w:type="dxa"/>
          </w:tcPr>
          <w:p w14:paraId="2229C5A2" w14:textId="77777777" w:rsidR="004E0971" w:rsidRPr="00A83125" w:rsidRDefault="004E0971" w:rsidP="009E37D1">
            <w:pPr>
              <w:jc w:val="center"/>
              <w:rPr>
                <w:sz w:val="24"/>
                <w:szCs w:val="24"/>
              </w:rPr>
            </w:pPr>
            <w:r w:rsidRPr="00A83125">
              <w:rPr>
                <w:sz w:val="24"/>
                <w:szCs w:val="24"/>
              </w:rPr>
              <w:t>36,98</w:t>
            </w:r>
          </w:p>
        </w:tc>
        <w:tc>
          <w:tcPr>
            <w:tcW w:w="1417" w:type="dxa"/>
            <w:shd w:val="clear" w:color="auto" w:fill="auto"/>
            <w:noWrap/>
          </w:tcPr>
          <w:p w14:paraId="378FACBF" w14:textId="77777777" w:rsidR="004E0971" w:rsidRPr="00A83125" w:rsidRDefault="004E0971" w:rsidP="009E37D1">
            <w:pPr>
              <w:jc w:val="center"/>
              <w:rPr>
                <w:sz w:val="24"/>
                <w:szCs w:val="24"/>
              </w:rPr>
            </w:pPr>
            <w:r w:rsidRPr="00A83125">
              <w:rPr>
                <w:sz w:val="24"/>
                <w:szCs w:val="24"/>
              </w:rPr>
              <w:t>2,68</w:t>
            </w:r>
          </w:p>
        </w:tc>
        <w:tc>
          <w:tcPr>
            <w:tcW w:w="2127" w:type="dxa"/>
          </w:tcPr>
          <w:p w14:paraId="1DE2ED83" w14:textId="77777777" w:rsidR="004E0971" w:rsidRPr="00A83125" w:rsidRDefault="004E0971" w:rsidP="009E37D1">
            <w:pPr>
              <w:jc w:val="center"/>
              <w:rPr>
                <w:sz w:val="24"/>
                <w:szCs w:val="24"/>
              </w:rPr>
            </w:pPr>
            <w:r>
              <w:rPr>
                <w:sz w:val="24"/>
                <w:szCs w:val="24"/>
              </w:rPr>
              <w:t>1,8</w:t>
            </w:r>
          </w:p>
        </w:tc>
      </w:tr>
      <w:tr w:rsidR="004E0971" w:rsidRPr="00A83125" w14:paraId="327F3878" w14:textId="77777777" w:rsidTr="009E37D1">
        <w:trPr>
          <w:trHeight w:val="60"/>
          <w:jc w:val="center"/>
        </w:trPr>
        <w:tc>
          <w:tcPr>
            <w:tcW w:w="1843" w:type="dxa"/>
            <w:shd w:val="clear" w:color="auto" w:fill="auto"/>
            <w:noWrap/>
          </w:tcPr>
          <w:p w14:paraId="16044EAD" w14:textId="77777777" w:rsidR="004E0971" w:rsidRPr="00A83125" w:rsidRDefault="004E0971" w:rsidP="009E37D1">
            <w:pPr>
              <w:autoSpaceDE w:val="0"/>
              <w:autoSpaceDN w:val="0"/>
              <w:adjustRightInd w:val="0"/>
              <w:jc w:val="center"/>
              <w:rPr>
                <w:sz w:val="24"/>
                <w:szCs w:val="24"/>
              </w:rPr>
            </w:pPr>
            <w:r w:rsidRPr="00A83125">
              <w:rPr>
                <w:sz w:val="24"/>
                <w:szCs w:val="24"/>
              </w:rPr>
              <w:t>CoFe</w:t>
            </w:r>
            <w:r w:rsidRPr="00A83125">
              <w:rPr>
                <w:sz w:val="24"/>
                <w:szCs w:val="24"/>
                <w:vertAlign w:val="subscript"/>
              </w:rPr>
              <w:t>2</w:t>
            </w:r>
            <w:r w:rsidRPr="00A83125">
              <w:rPr>
                <w:sz w:val="24"/>
                <w:szCs w:val="24"/>
              </w:rPr>
              <w:t>O</w:t>
            </w:r>
            <w:r w:rsidRPr="00A83125">
              <w:rPr>
                <w:sz w:val="24"/>
                <w:szCs w:val="24"/>
                <w:vertAlign w:val="subscript"/>
              </w:rPr>
              <w:t>4</w:t>
            </w:r>
            <w:r w:rsidRPr="00A83125">
              <w:rPr>
                <w:sz w:val="24"/>
                <w:szCs w:val="24"/>
              </w:rPr>
              <w:t>-LS5</w:t>
            </w:r>
          </w:p>
        </w:tc>
        <w:tc>
          <w:tcPr>
            <w:tcW w:w="1418" w:type="dxa"/>
            <w:shd w:val="clear" w:color="auto" w:fill="auto"/>
            <w:noWrap/>
          </w:tcPr>
          <w:p w14:paraId="3E4B10D9" w14:textId="77777777" w:rsidR="004E0971" w:rsidRDefault="004E0971" w:rsidP="009E37D1">
            <w:pPr>
              <w:jc w:val="center"/>
            </w:pPr>
            <w:r w:rsidRPr="00D2747D">
              <w:rPr>
                <w:sz w:val="24"/>
                <w:szCs w:val="24"/>
              </w:rPr>
              <w:t>–</w:t>
            </w:r>
          </w:p>
        </w:tc>
        <w:tc>
          <w:tcPr>
            <w:tcW w:w="1417" w:type="dxa"/>
            <w:shd w:val="clear" w:color="auto" w:fill="auto"/>
            <w:noWrap/>
          </w:tcPr>
          <w:p w14:paraId="60D2320B" w14:textId="77777777" w:rsidR="004E0971" w:rsidRDefault="004E0971" w:rsidP="009E37D1">
            <w:pPr>
              <w:jc w:val="center"/>
            </w:pPr>
            <w:r w:rsidRPr="00D2747D">
              <w:rPr>
                <w:sz w:val="24"/>
                <w:szCs w:val="24"/>
              </w:rPr>
              <w:t>–</w:t>
            </w:r>
          </w:p>
        </w:tc>
        <w:tc>
          <w:tcPr>
            <w:tcW w:w="1276" w:type="dxa"/>
          </w:tcPr>
          <w:p w14:paraId="7AD6A855" w14:textId="77777777" w:rsidR="004E0971" w:rsidRDefault="004E0971" w:rsidP="009E37D1">
            <w:pPr>
              <w:jc w:val="center"/>
            </w:pPr>
            <w:r w:rsidRPr="00D2747D">
              <w:rPr>
                <w:sz w:val="24"/>
                <w:szCs w:val="24"/>
              </w:rPr>
              <w:t>–</w:t>
            </w:r>
          </w:p>
        </w:tc>
        <w:tc>
          <w:tcPr>
            <w:tcW w:w="1417" w:type="dxa"/>
            <w:shd w:val="clear" w:color="auto" w:fill="auto"/>
            <w:noWrap/>
          </w:tcPr>
          <w:p w14:paraId="1804CB01" w14:textId="77777777" w:rsidR="004E0971" w:rsidRDefault="004E0971" w:rsidP="009E37D1">
            <w:pPr>
              <w:jc w:val="center"/>
            </w:pPr>
            <w:r w:rsidRPr="00D2747D">
              <w:rPr>
                <w:sz w:val="24"/>
                <w:szCs w:val="24"/>
              </w:rPr>
              <w:t>–</w:t>
            </w:r>
          </w:p>
        </w:tc>
        <w:tc>
          <w:tcPr>
            <w:tcW w:w="2127" w:type="dxa"/>
          </w:tcPr>
          <w:p w14:paraId="0AEC9E3D" w14:textId="77777777" w:rsidR="004E0971" w:rsidRPr="00A83125" w:rsidRDefault="004E0971" w:rsidP="009E37D1">
            <w:pPr>
              <w:jc w:val="center"/>
              <w:rPr>
                <w:sz w:val="24"/>
                <w:szCs w:val="24"/>
              </w:rPr>
            </w:pPr>
            <w:r>
              <w:rPr>
                <w:sz w:val="24"/>
                <w:szCs w:val="24"/>
              </w:rPr>
              <w:t>0,4</w:t>
            </w:r>
          </w:p>
        </w:tc>
      </w:tr>
      <w:tr w:rsidR="004E0971" w:rsidRPr="00A83125" w14:paraId="73ABED14" w14:textId="77777777" w:rsidTr="009E37D1">
        <w:trPr>
          <w:trHeight w:val="242"/>
          <w:jc w:val="center"/>
        </w:trPr>
        <w:tc>
          <w:tcPr>
            <w:tcW w:w="1843" w:type="dxa"/>
            <w:shd w:val="clear" w:color="auto" w:fill="auto"/>
            <w:noWrap/>
          </w:tcPr>
          <w:p w14:paraId="55A610CF" w14:textId="77777777" w:rsidR="004E0971" w:rsidRPr="00A83125" w:rsidRDefault="004E0971" w:rsidP="009E37D1">
            <w:pPr>
              <w:autoSpaceDE w:val="0"/>
              <w:autoSpaceDN w:val="0"/>
              <w:adjustRightInd w:val="0"/>
              <w:jc w:val="center"/>
              <w:rPr>
                <w:sz w:val="24"/>
                <w:szCs w:val="24"/>
              </w:rPr>
            </w:pPr>
            <w:r w:rsidRPr="00A83125">
              <w:rPr>
                <w:sz w:val="24"/>
                <w:szCs w:val="24"/>
              </w:rPr>
              <w:t>CoFe</w:t>
            </w:r>
            <w:r w:rsidRPr="00A83125">
              <w:rPr>
                <w:sz w:val="24"/>
                <w:szCs w:val="24"/>
                <w:vertAlign w:val="subscript"/>
              </w:rPr>
              <w:t>2</w:t>
            </w:r>
            <w:r w:rsidRPr="00A83125">
              <w:rPr>
                <w:sz w:val="24"/>
                <w:szCs w:val="24"/>
              </w:rPr>
              <w:t>O</w:t>
            </w:r>
            <w:r w:rsidRPr="00A83125">
              <w:rPr>
                <w:sz w:val="24"/>
                <w:szCs w:val="24"/>
                <w:vertAlign w:val="subscript"/>
              </w:rPr>
              <w:t>4</w:t>
            </w:r>
            <w:r w:rsidRPr="00A83125">
              <w:rPr>
                <w:sz w:val="24"/>
                <w:szCs w:val="24"/>
              </w:rPr>
              <w:t>-LS7,5</w:t>
            </w:r>
          </w:p>
        </w:tc>
        <w:tc>
          <w:tcPr>
            <w:tcW w:w="1418" w:type="dxa"/>
            <w:shd w:val="clear" w:color="auto" w:fill="auto"/>
            <w:noWrap/>
          </w:tcPr>
          <w:p w14:paraId="5EDFBE66" w14:textId="77777777" w:rsidR="004E0971" w:rsidRDefault="004E0971" w:rsidP="009E37D1">
            <w:pPr>
              <w:jc w:val="center"/>
            </w:pPr>
            <w:r w:rsidRPr="00D2747D">
              <w:rPr>
                <w:sz w:val="24"/>
                <w:szCs w:val="24"/>
              </w:rPr>
              <w:t>–</w:t>
            </w:r>
          </w:p>
        </w:tc>
        <w:tc>
          <w:tcPr>
            <w:tcW w:w="1417" w:type="dxa"/>
            <w:shd w:val="clear" w:color="auto" w:fill="auto"/>
            <w:noWrap/>
          </w:tcPr>
          <w:p w14:paraId="489829CB" w14:textId="77777777" w:rsidR="004E0971" w:rsidRDefault="004E0971" w:rsidP="009E37D1">
            <w:pPr>
              <w:jc w:val="center"/>
            </w:pPr>
            <w:r w:rsidRPr="00D2747D">
              <w:rPr>
                <w:sz w:val="24"/>
                <w:szCs w:val="24"/>
              </w:rPr>
              <w:t>–</w:t>
            </w:r>
          </w:p>
        </w:tc>
        <w:tc>
          <w:tcPr>
            <w:tcW w:w="1276" w:type="dxa"/>
          </w:tcPr>
          <w:p w14:paraId="10882951" w14:textId="77777777" w:rsidR="004E0971" w:rsidRDefault="004E0971" w:rsidP="009E37D1">
            <w:pPr>
              <w:jc w:val="center"/>
            </w:pPr>
            <w:r w:rsidRPr="00D2747D">
              <w:rPr>
                <w:sz w:val="24"/>
                <w:szCs w:val="24"/>
              </w:rPr>
              <w:t>–</w:t>
            </w:r>
          </w:p>
        </w:tc>
        <w:tc>
          <w:tcPr>
            <w:tcW w:w="1417" w:type="dxa"/>
            <w:shd w:val="clear" w:color="auto" w:fill="auto"/>
            <w:noWrap/>
          </w:tcPr>
          <w:p w14:paraId="52A5B05D" w14:textId="77777777" w:rsidR="004E0971" w:rsidRDefault="004E0971" w:rsidP="009E37D1">
            <w:pPr>
              <w:jc w:val="center"/>
            </w:pPr>
            <w:r w:rsidRPr="00D2747D">
              <w:rPr>
                <w:sz w:val="24"/>
                <w:szCs w:val="24"/>
              </w:rPr>
              <w:t>–</w:t>
            </w:r>
          </w:p>
        </w:tc>
        <w:tc>
          <w:tcPr>
            <w:tcW w:w="2127" w:type="dxa"/>
          </w:tcPr>
          <w:p w14:paraId="396BB282" w14:textId="77777777" w:rsidR="004E0971" w:rsidRPr="00A83125" w:rsidRDefault="004E0971" w:rsidP="009E37D1">
            <w:pPr>
              <w:jc w:val="center"/>
              <w:rPr>
                <w:sz w:val="24"/>
                <w:szCs w:val="24"/>
              </w:rPr>
            </w:pPr>
            <w:r>
              <w:rPr>
                <w:sz w:val="24"/>
                <w:szCs w:val="24"/>
              </w:rPr>
              <w:t>0,4</w:t>
            </w:r>
          </w:p>
        </w:tc>
      </w:tr>
    </w:tbl>
    <w:p w14:paraId="1FABD299" w14:textId="77777777" w:rsidR="006D53A6" w:rsidRPr="006D53A6" w:rsidRDefault="006D53A6" w:rsidP="006D53A6">
      <w:pPr>
        <w:jc w:val="center"/>
        <w:rPr>
          <w:b/>
          <w:color w:val="000000"/>
          <w:sz w:val="24"/>
          <w:szCs w:val="24"/>
        </w:rPr>
      </w:pPr>
      <w:r w:rsidRPr="006D53A6">
        <w:rPr>
          <w:b/>
          <w:color w:val="000000"/>
          <w:sz w:val="24"/>
          <w:szCs w:val="24"/>
        </w:rPr>
        <w:t xml:space="preserve">Fonte: </w:t>
      </w:r>
      <w:r w:rsidRPr="006D53A6">
        <w:rPr>
          <w:color w:val="000000"/>
          <w:sz w:val="24"/>
          <w:szCs w:val="24"/>
        </w:rPr>
        <w:t>O autor.</w:t>
      </w:r>
    </w:p>
    <w:p w14:paraId="25B31FE3" w14:textId="77777777" w:rsidR="004E0971" w:rsidRDefault="004E0971" w:rsidP="004E0971">
      <w:pPr>
        <w:pBdr>
          <w:top w:val="nil"/>
          <w:left w:val="nil"/>
          <w:bottom w:val="nil"/>
          <w:right w:val="nil"/>
          <w:between w:val="nil"/>
        </w:pBdr>
        <w:jc w:val="both"/>
        <w:rPr>
          <w:color w:val="000000"/>
          <w:sz w:val="24"/>
          <w:szCs w:val="24"/>
        </w:rPr>
      </w:pPr>
    </w:p>
    <w:p w14:paraId="674C0E02" w14:textId="77777777" w:rsidR="004E0971" w:rsidRDefault="004E0971" w:rsidP="004E0971">
      <w:pPr>
        <w:pBdr>
          <w:top w:val="nil"/>
          <w:left w:val="nil"/>
          <w:bottom w:val="nil"/>
          <w:right w:val="nil"/>
          <w:between w:val="nil"/>
        </w:pBdr>
        <w:jc w:val="both"/>
        <w:rPr>
          <w:color w:val="000000"/>
          <w:sz w:val="24"/>
          <w:szCs w:val="24"/>
        </w:rPr>
      </w:pPr>
      <w:r>
        <w:rPr>
          <w:noProof/>
          <w:color w:val="000000"/>
          <w:sz w:val="24"/>
          <w:szCs w:val="24"/>
        </w:rPr>
        <w:drawing>
          <wp:inline distT="0" distB="0" distL="0" distR="0" wp14:anchorId="08935788" wp14:editId="1791BA4D">
            <wp:extent cx="6076950" cy="2438400"/>
            <wp:effectExtent l="19050" t="19050" r="19050" b="190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623"/>
                    <a:stretch/>
                  </pic:blipFill>
                  <pic:spPr bwMode="auto">
                    <a:xfrm>
                      <a:off x="0" y="0"/>
                      <a:ext cx="6076950" cy="24384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16A475F" w14:textId="77777777" w:rsidR="00694B8D" w:rsidRPr="00694B8D" w:rsidRDefault="00694B8D" w:rsidP="00694B8D">
      <w:pPr>
        <w:pBdr>
          <w:top w:val="nil"/>
          <w:left w:val="nil"/>
          <w:bottom w:val="nil"/>
          <w:right w:val="nil"/>
          <w:between w:val="nil"/>
        </w:pBdr>
        <w:jc w:val="center"/>
        <w:rPr>
          <w:color w:val="000000"/>
          <w:szCs w:val="24"/>
        </w:rPr>
      </w:pPr>
      <w:bookmarkStart w:id="1" w:name="_Toc502847354"/>
      <w:r w:rsidRPr="00694B8D">
        <w:rPr>
          <w:b/>
          <w:color w:val="000000"/>
          <w:szCs w:val="24"/>
        </w:rPr>
        <w:t>Figura 3.</w:t>
      </w:r>
      <w:r w:rsidRPr="00694B8D">
        <w:rPr>
          <w:color w:val="000000"/>
          <w:szCs w:val="24"/>
        </w:rPr>
        <w:t xml:space="preserve"> </w:t>
      </w:r>
      <w:r w:rsidRPr="00694B8D">
        <w:t>Termogramas para (A) lignina pura e sulfonada; (B) CoFe</w:t>
      </w:r>
      <w:r w:rsidRPr="00694B8D">
        <w:rPr>
          <w:vertAlign w:val="subscript"/>
        </w:rPr>
        <w:t>2</w:t>
      </w:r>
      <w:r w:rsidRPr="00694B8D">
        <w:t>O</w:t>
      </w:r>
      <w:r w:rsidRPr="00694B8D">
        <w:rPr>
          <w:vertAlign w:val="subscript"/>
        </w:rPr>
        <w:t xml:space="preserve">4 </w:t>
      </w:r>
      <w:r w:rsidRPr="00694B8D">
        <w:t>pura e revestida com LS.</w:t>
      </w:r>
    </w:p>
    <w:p w14:paraId="117B010A" w14:textId="77777777" w:rsidR="00694B8D" w:rsidRPr="00694B8D" w:rsidRDefault="00694B8D" w:rsidP="00694B8D">
      <w:pPr>
        <w:jc w:val="center"/>
        <w:rPr>
          <w:b/>
          <w:color w:val="000000"/>
          <w:szCs w:val="24"/>
        </w:rPr>
      </w:pPr>
      <w:r w:rsidRPr="00694B8D">
        <w:rPr>
          <w:b/>
          <w:color w:val="000000"/>
          <w:szCs w:val="24"/>
        </w:rPr>
        <w:t xml:space="preserve">Fonte: </w:t>
      </w:r>
      <w:r w:rsidRPr="00694B8D">
        <w:rPr>
          <w:color w:val="000000"/>
          <w:szCs w:val="24"/>
        </w:rPr>
        <w:t>O autor.</w:t>
      </w:r>
    </w:p>
    <w:p w14:paraId="6BC24DCC" w14:textId="77777777" w:rsidR="004E0971" w:rsidRDefault="004E0971" w:rsidP="004E0971">
      <w:pPr>
        <w:pStyle w:val="Legenda"/>
        <w:spacing w:line="240" w:lineRule="auto"/>
        <w:jc w:val="center"/>
        <w:rPr>
          <w:rFonts w:ascii="Times New Roman" w:hAnsi="Times New Roman"/>
          <w:b/>
        </w:rPr>
      </w:pPr>
    </w:p>
    <w:p w14:paraId="182F7A9B" w14:textId="77777777" w:rsidR="004E0971" w:rsidRPr="00A83125" w:rsidRDefault="004E0971" w:rsidP="004E0971">
      <w:pPr>
        <w:pStyle w:val="Legenda"/>
        <w:spacing w:line="240" w:lineRule="auto"/>
        <w:jc w:val="center"/>
        <w:rPr>
          <w:rFonts w:ascii="Times New Roman" w:hAnsi="Times New Roman"/>
          <w:bCs/>
          <w:caps/>
          <w:szCs w:val="24"/>
        </w:rPr>
      </w:pPr>
      <w:r w:rsidRPr="00A83125">
        <w:rPr>
          <w:rFonts w:ascii="Times New Roman" w:hAnsi="Times New Roman"/>
          <w:b/>
        </w:rPr>
        <w:t xml:space="preserve">Tabela </w:t>
      </w:r>
      <w:r>
        <w:rPr>
          <w:rFonts w:ascii="Times New Roman" w:hAnsi="Times New Roman"/>
          <w:b/>
        </w:rPr>
        <w:t>4</w:t>
      </w:r>
      <w:r w:rsidRPr="00A83125">
        <w:rPr>
          <w:rFonts w:ascii="Times New Roman" w:hAnsi="Times New Roman"/>
          <w:b/>
        </w:rPr>
        <w:t>.</w:t>
      </w:r>
      <w:r w:rsidRPr="00A83125">
        <w:rPr>
          <w:rFonts w:ascii="Times New Roman" w:hAnsi="Times New Roman"/>
        </w:rPr>
        <w:t xml:space="preserve"> Percentual de LS incorporado às NPMs.</w:t>
      </w:r>
      <w:bookmarkEnd w:id="1"/>
    </w:p>
    <w:tbl>
      <w:tblPr>
        <w:tblStyle w:val="Tabelacomgrade"/>
        <w:tblW w:w="9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97"/>
        <w:gridCol w:w="4597"/>
      </w:tblGrid>
      <w:tr w:rsidR="004E0971" w:rsidRPr="00271E8B" w14:paraId="27679719" w14:textId="77777777" w:rsidTr="009E37D1">
        <w:trPr>
          <w:trHeight w:val="186"/>
        </w:trPr>
        <w:tc>
          <w:tcPr>
            <w:tcW w:w="4597" w:type="dxa"/>
            <w:tcBorders>
              <w:top w:val="single" w:sz="4" w:space="0" w:color="auto"/>
              <w:bottom w:val="single" w:sz="4" w:space="0" w:color="auto"/>
            </w:tcBorders>
            <w:hideMark/>
          </w:tcPr>
          <w:p w14:paraId="707F4A92" w14:textId="77777777" w:rsidR="004E0971" w:rsidRPr="00A83125" w:rsidRDefault="004E0971" w:rsidP="009E37D1">
            <w:pPr>
              <w:ind w:left="360"/>
              <w:jc w:val="center"/>
              <w:rPr>
                <w:rFonts w:ascii="Times New Roman" w:hAnsi="Times New Roman" w:cs="Times New Roman"/>
                <w:sz w:val="24"/>
                <w:szCs w:val="24"/>
              </w:rPr>
            </w:pPr>
            <w:r>
              <w:rPr>
                <w:rFonts w:ascii="Times New Roman" w:hAnsi="Times New Roman" w:cs="Times New Roman"/>
                <w:b/>
                <w:bCs/>
                <w:sz w:val="24"/>
                <w:szCs w:val="24"/>
              </w:rPr>
              <w:t>Amostra</w:t>
            </w:r>
          </w:p>
        </w:tc>
        <w:tc>
          <w:tcPr>
            <w:tcW w:w="4597" w:type="dxa"/>
            <w:tcBorders>
              <w:top w:val="single" w:sz="4" w:space="0" w:color="auto"/>
              <w:bottom w:val="single" w:sz="4" w:space="0" w:color="auto"/>
            </w:tcBorders>
            <w:hideMark/>
          </w:tcPr>
          <w:p w14:paraId="5E5CC111" w14:textId="77777777" w:rsidR="004E0971" w:rsidRPr="00271E8B" w:rsidRDefault="004E0971" w:rsidP="009E37D1">
            <w:pPr>
              <w:ind w:left="360"/>
              <w:jc w:val="center"/>
              <w:rPr>
                <w:rFonts w:ascii="Times New Roman" w:hAnsi="Times New Roman" w:cs="Times New Roman"/>
                <w:sz w:val="24"/>
                <w:szCs w:val="24"/>
              </w:rPr>
            </w:pPr>
            <w:r w:rsidRPr="00A83125">
              <w:rPr>
                <w:rFonts w:ascii="Times New Roman" w:hAnsi="Times New Roman" w:cs="Times New Roman"/>
                <w:b/>
                <w:bCs/>
                <w:sz w:val="24"/>
                <w:szCs w:val="24"/>
              </w:rPr>
              <w:t>LS incorporada (%)</w:t>
            </w:r>
          </w:p>
        </w:tc>
      </w:tr>
      <w:tr w:rsidR="004E0971" w:rsidRPr="00271E8B" w14:paraId="19BDE106" w14:textId="77777777" w:rsidTr="009E37D1">
        <w:trPr>
          <w:trHeight w:val="75"/>
        </w:trPr>
        <w:tc>
          <w:tcPr>
            <w:tcW w:w="4597" w:type="dxa"/>
            <w:tcBorders>
              <w:top w:val="single" w:sz="4" w:space="0" w:color="auto"/>
            </w:tcBorders>
            <w:hideMark/>
          </w:tcPr>
          <w:p w14:paraId="4C1C5F77" w14:textId="77777777" w:rsidR="004E0971" w:rsidRPr="00271E8B" w:rsidRDefault="004E0971" w:rsidP="009E37D1">
            <w:pPr>
              <w:ind w:left="360"/>
              <w:jc w:val="center"/>
              <w:rPr>
                <w:rFonts w:ascii="Times New Roman" w:hAnsi="Times New Roman" w:cs="Times New Roman"/>
                <w:sz w:val="24"/>
                <w:szCs w:val="24"/>
              </w:rPr>
            </w:pPr>
            <w:r w:rsidRPr="00271E8B">
              <w:rPr>
                <w:rFonts w:ascii="Times New Roman" w:hAnsi="Times New Roman" w:cs="Times New Roman"/>
                <w:sz w:val="24"/>
                <w:szCs w:val="24"/>
              </w:rPr>
              <w:t>CoFe</w:t>
            </w:r>
            <w:r w:rsidRPr="00271E8B">
              <w:rPr>
                <w:rFonts w:ascii="Times New Roman" w:hAnsi="Times New Roman" w:cs="Times New Roman"/>
                <w:sz w:val="24"/>
                <w:szCs w:val="24"/>
                <w:vertAlign w:val="subscript"/>
              </w:rPr>
              <w:t>2</w:t>
            </w:r>
            <w:r w:rsidRPr="00271E8B">
              <w:rPr>
                <w:rFonts w:ascii="Times New Roman" w:hAnsi="Times New Roman" w:cs="Times New Roman"/>
                <w:sz w:val="24"/>
                <w:szCs w:val="24"/>
              </w:rPr>
              <w:t>O</w:t>
            </w:r>
            <w:r w:rsidRPr="00271E8B">
              <w:rPr>
                <w:rFonts w:ascii="Times New Roman" w:hAnsi="Times New Roman" w:cs="Times New Roman"/>
                <w:sz w:val="24"/>
                <w:szCs w:val="24"/>
                <w:vertAlign w:val="subscript"/>
              </w:rPr>
              <w:t>4</w:t>
            </w:r>
            <w:r w:rsidRPr="00271E8B">
              <w:rPr>
                <w:rFonts w:ascii="Times New Roman" w:hAnsi="Times New Roman" w:cs="Times New Roman"/>
                <w:sz w:val="24"/>
                <w:szCs w:val="24"/>
              </w:rPr>
              <w:t>-LS5</w:t>
            </w:r>
          </w:p>
        </w:tc>
        <w:tc>
          <w:tcPr>
            <w:tcW w:w="4597" w:type="dxa"/>
            <w:tcBorders>
              <w:top w:val="single" w:sz="4" w:space="0" w:color="auto"/>
            </w:tcBorders>
            <w:hideMark/>
          </w:tcPr>
          <w:p w14:paraId="778739B6" w14:textId="77777777" w:rsidR="004E0971" w:rsidRPr="00271E8B" w:rsidRDefault="004E0971" w:rsidP="009E37D1">
            <w:pPr>
              <w:ind w:left="360"/>
              <w:jc w:val="center"/>
              <w:rPr>
                <w:rFonts w:ascii="Times New Roman" w:hAnsi="Times New Roman" w:cs="Times New Roman"/>
                <w:sz w:val="24"/>
                <w:szCs w:val="24"/>
              </w:rPr>
            </w:pPr>
            <w:r w:rsidRPr="00271E8B">
              <w:rPr>
                <w:rFonts w:ascii="Times New Roman" w:hAnsi="Times New Roman" w:cs="Times New Roman"/>
                <w:sz w:val="24"/>
                <w:szCs w:val="24"/>
              </w:rPr>
              <w:t>79,5</w:t>
            </w:r>
          </w:p>
        </w:tc>
      </w:tr>
      <w:tr w:rsidR="004E0971" w:rsidRPr="00271E8B" w14:paraId="3A2F3D08" w14:textId="77777777" w:rsidTr="009E37D1">
        <w:trPr>
          <w:trHeight w:val="80"/>
        </w:trPr>
        <w:tc>
          <w:tcPr>
            <w:tcW w:w="4597" w:type="dxa"/>
            <w:tcBorders>
              <w:bottom w:val="single" w:sz="4" w:space="0" w:color="auto"/>
            </w:tcBorders>
            <w:hideMark/>
          </w:tcPr>
          <w:p w14:paraId="246E57DB" w14:textId="77777777" w:rsidR="004E0971" w:rsidRPr="00271E8B" w:rsidRDefault="004E0971" w:rsidP="009E37D1">
            <w:pPr>
              <w:ind w:left="360"/>
              <w:jc w:val="center"/>
              <w:rPr>
                <w:rFonts w:ascii="Times New Roman" w:hAnsi="Times New Roman" w:cs="Times New Roman"/>
                <w:sz w:val="24"/>
                <w:szCs w:val="24"/>
              </w:rPr>
            </w:pPr>
            <w:r w:rsidRPr="00271E8B">
              <w:rPr>
                <w:rFonts w:ascii="Times New Roman" w:hAnsi="Times New Roman" w:cs="Times New Roman"/>
                <w:sz w:val="24"/>
                <w:szCs w:val="24"/>
              </w:rPr>
              <w:t>CoFe</w:t>
            </w:r>
            <w:r w:rsidRPr="00271E8B">
              <w:rPr>
                <w:rFonts w:ascii="Times New Roman" w:hAnsi="Times New Roman" w:cs="Times New Roman"/>
                <w:sz w:val="24"/>
                <w:szCs w:val="24"/>
                <w:vertAlign w:val="subscript"/>
              </w:rPr>
              <w:t>2</w:t>
            </w:r>
            <w:r w:rsidRPr="00271E8B">
              <w:rPr>
                <w:rFonts w:ascii="Times New Roman" w:hAnsi="Times New Roman" w:cs="Times New Roman"/>
                <w:sz w:val="24"/>
                <w:szCs w:val="24"/>
              </w:rPr>
              <w:t>O</w:t>
            </w:r>
            <w:r w:rsidRPr="00271E8B">
              <w:rPr>
                <w:rFonts w:ascii="Times New Roman" w:hAnsi="Times New Roman" w:cs="Times New Roman"/>
                <w:sz w:val="24"/>
                <w:szCs w:val="24"/>
                <w:vertAlign w:val="subscript"/>
              </w:rPr>
              <w:t>4</w:t>
            </w:r>
            <w:r w:rsidRPr="00271E8B">
              <w:rPr>
                <w:rFonts w:ascii="Times New Roman" w:hAnsi="Times New Roman" w:cs="Times New Roman"/>
                <w:sz w:val="24"/>
                <w:szCs w:val="24"/>
              </w:rPr>
              <w:t>-LS7,5</w:t>
            </w:r>
          </w:p>
        </w:tc>
        <w:tc>
          <w:tcPr>
            <w:tcW w:w="4597" w:type="dxa"/>
            <w:tcBorders>
              <w:bottom w:val="single" w:sz="4" w:space="0" w:color="auto"/>
            </w:tcBorders>
            <w:hideMark/>
          </w:tcPr>
          <w:p w14:paraId="382D3AA2" w14:textId="77777777" w:rsidR="004E0971" w:rsidRPr="00271E8B" w:rsidRDefault="004E0971" w:rsidP="009E37D1">
            <w:pPr>
              <w:ind w:left="360"/>
              <w:jc w:val="center"/>
              <w:rPr>
                <w:rFonts w:ascii="Times New Roman" w:hAnsi="Times New Roman" w:cs="Times New Roman"/>
                <w:sz w:val="24"/>
                <w:szCs w:val="24"/>
              </w:rPr>
            </w:pPr>
            <w:r w:rsidRPr="00271E8B">
              <w:rPr>
                <w:rFonts w:ascii="Times New Roman" w:hAnsi="Times New Roman" w:cs="Times New Roman"/>
                <w:sz w:val="24"/>
                <w:szCs w:val="24"/>
              </w:rPr>
              <w:t>78,5</w:t>
            </w:r>
          </w:p>
        </w:tc>
      </w:tr>
    </w:tbl>
    <w:p w14:paraId="233722E1" w14:textId="77777777" w:rsidR="006D53A6" w:rsidRPr="006D53A6" w:rsidRDefault="006D53A6" w:rsidP="006D53A6">
      <w:pPr>
        <w:jc w:val="center"/>
        <w:rPr>
          <w:b/>
          <w:color w:val="000000"/>
          <w:sz w:val="24"/>
          <w:szCs w:val="24"/>
        </w:rPr>
      </w:pPr>
      <w:r w:rsidRPr="006D53A6">
        <w:rPr>
          <w:b/>
          <w:color w:val="000000"/>
          <w:sz w:val="24"/>
          <w:szCs w:val="24"/>
        </w:rPr>
        <w:t xml:space="preserve">Fonte: </w:t>
      </w:r>
      <w:r w:rsidRPr="006D53A6">
        <w:rPr>
          <w:color w:val="000000"/>
          <w:sz w:val="24"/>
          <w:szCs w:val="24"/>
        </w:rPr>
        <w:t>O autor.</w:t>
      </w:r>
    </w:p>
    <w:p w14:paraId="41453020" w14:textId="77777777" w:rsidR="004E0971" w:rsidRDefault="004E0971" w:rsidP="004E0971">
      <w:pPr>
        <w:pBdr>
          <w:top w:val="nil"/>
          <w:left w:val="nil"/>
          <w:bottom w:val="nil"/>
          <w:right w:val="nil"/>
          <w:between w:val="nil"/>
        </w:pBdr>
        <w:jc w:val="both"/>
        <w:rPr>
          <w:color w:val="000000"/>
          <w:sz w:val="24"/>
          <w:szCs w:val="24"/>
        </w:rPr>
      </w:pPr>
    </w:p>
    <w:p w14:paraId="16541BC3" w14:textId="52550F4C" w:rsidR="004E0971" w:rsidRPr="00693693" w:rsidRDefault="004E0971" w:rsidP="004E0971">
      <w:pPr>
        <w:pStyle w:val="Legenda"/>
        <w:spacing w:line="240" w:lineRule="auto"/>
        <w:jc w:val="center"/>
        <w:rPr>
          <w:rFonts w:ascii="Times New Roman" w:hAnsi="Times New Roman"/>
        </w:rPr>
      </w:pPr>
      <w:r w:rsidRPr="00693693">
        <w:rPr>
          <w:rFonts w:ascii="Times New Roman" w:hAnsi="Times New Roman"/>
          <w:b/>
        </w:rPr>
        <w:t xml:space="preserve">Tabela </w:t>
      </w:r>
      <w:r w:rsidR="00CE645B">
        <w:rPr>
          <w:rFonts w:ascii="Times New Roman" w:hAnsi="Times New Roman"/>
          <w:b/>
        </w:rPr>
        <w:t>5</w:t>
      </w:r>
      <w:r w:rsidRPr="00693693">
        <w:rPr>
          <w:rFonts w:ascii="Times New Roman" w:hAnsi="Times New Roman"/>
          <w:b/>
        </w:rPr>
        <w:t>.</w:t>
      </w:r>
      <w:r w:rsidRPr="00693693">
        <w:rPr>
          <w:rFonts w:ascii="Times New Roman" w:hAnsi="Times New Roman"/>
        </w:rPr>
        <w:t xml:space="preserve"> </w:t>
      </w:r>
      <w:r w:rsidRPr="00693693">
        <w:rPr>
          <w:rFonts w:ascii="Times New Roman" w:hAnsi="Times New Roman"/>
          <w:szCs w:val="24"/>
        </w:rPr>
        <w:t>Análise quantitativa a partir dos espectros de FTIR dos produtos da esterificação</w:t>
      </w:r>
      <w:r w:rsidRPr="00693693">
        <w:rPr>
          <w:rFonts w:ascii="Times New Roman" w:hAnsi="Times New Roman"/>
        </w:rPr>
        <w:t xml:space="preserve"> e concentração de ácido oleico nos mesmos.</w:t>
      </w:r>
    </w:p>
    <w:tbl>
      <w:tblPr>
        <w:tblW w:w="969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126"/>
        <w:gridCol w:w="1276"/>
        <w:gridCol w:w="1276"/>
        <w:gridCol w:w="3034"/>
      </w:tblGrid>
      <w:tr w:rsidR="004E0971" w:rsidRPr="000367DB" w14:paraId="091BDDFF" w14:textId="77777777" w:rsidTr="009E37D1">
        <w:trPr>
          <w:trHeight w:val="70"/>
          <w:jc w:val="center"/>
        </w:trPr>
        <w:tc>
          <w:tcPr>
            <w:tcW w:w="1985" w:type="dxa"/>
            <w:tcBorders>
              <w:bottom w:val="single" w:sz="4" w:space="0" w:color="auto"/>
              <w:right w:val="nil"/>
            </w:tcBorders>
            <w:shd w:val="clear" w:color="auto" w:fill="auto"/>
            <w:noWrap/>
            <w:vAlign w:val="bottom"/>
            <w:hideMark/>
          </w:tcPr>
          <w:p w14:paraId="33B9BD0A" w14:textId="77777777" w:rsidR="004E0971" w:rsidRPr="00693693" w:rsidRDefault="004E0971" w:rsidP="009E37D1">
            <w:pPr>
              <w:jc w:val="center"/>
              <w:rPr>
                <w:b/>
                <w:bCs/>
                <w:sz w:val="24"/>
                <w:szCs w:val="24"/>
              </w:rPr>
            </w:pPr>
            <w:r w:rsidRPr="00693693">
              <w:rPr>
                <w:b/>
                <w:bCs/>
                <w:sz w:val="24"/>
                <w:szCs w:val="24"/>
              </w:rPr>
              <w:t>Catalisador</w:t>
            </w:r>
          </w:p>
        </w:tc>
        <w:tc>
          <w:tcPr>
            <w:tcW w:w="2126" w:type="dxa"/>
            <w:tcBorders>
              <w:left w:val="nil"/>
              <w:bottom w:val="single" w:sz="4" w:space="0" w:color="auto"/>
              <w:right w:val="nil"/>
            </w:tcBorders>
          </w:tcPr>
          <w:p w14:paraId="7796011F" w14:textId="77777777" w:rsidR="004E0971" w:rsidRPr="000367DB" w:rsidRDefault="004E0971" w:rsidP="009E37D1">
            <w:pPr>
              <w:rPr>
                <w:b/>
                <w:bCs/>
                <w:sz w:val="24"/>
                <w:szCs w:val="24"/>
              </w:rPr>
            </w:pPr>
            <w:r w:rsidRPr="000367DB">
              <w:rPr>
                <w:b/>
                <w:bCs/>
                <w:sz w:val="24"/>
                <w:szCs w:val="24"/>
              </w:rPr>
              <w:t>Temperatura (°C)</w:t>
            </w:r>
          </w:p>
        </w:tc>
        <w:tc>
          <w:tcPr>
            <w:tcW w:w="1276" w:type="dxa"/>
            <w:tcBorders>
              <w:left w:val="nil"/>
              <w:bottom w:val="single" w:sz="4" w:space="0" w:color="auto"/>
              <w:right w:val="nil"/>
            </w:tcBorders>
          </w:tcPr>
          <w:p w14:paraId="50B5EFF5" w14:textId="77777777" w:rsidR="004E0971" w:rsidRPr="000367DB" w:rsidRDefault="004E0971" w:rsidP="009E37D1">
            <w:pPr>
              <w:jc w:val="center"/>
              <w:rPr>
                <w:b/>
                <w:bCs/>
                <w:sz w:val="24"/>
                <w:szCs w:val="24"/>
              </w:rPr>
            </w:pPr>
            <w:r w:rsidRPr="000367DB">
              <w:rPr>
                <w:b/>
                <w:bCs/>
                <w:sz w:val="24"/>
                <w:szCs w:val="24"/>
              </w:rPr>
              <w:t>Tempo (h)</w:t>
            </w:r>
          </w:p>
        </w:tc>
        <w:tc>
          <w:tcPr>
            <w:tcW w:w="1276" w:type="dxa"/>
            <w:tcBorders>
              <w:left w:val="nil"/>
              <w:bottom w:val="single" w:sz="4" w:space="0" w:color="auto"/>
              <w:right w:val="nil"/>
            </w:tcBorders>
          </w:tcPr>
          <w:p w14:paraId="6EC360D8" w14:textId="77777777" w:rsidR="004E0971" w:rsidRPr="000367DB" w:rsidRDefault="004E0971" w:rsidP="009E37D1">
            <w:pPr>
              <w:jc w:val="center"/>
              <w:rPr>
                <w:b/>
                <w:bCs/>
                <w:sz w:val="24"/>
                <w:szCs w:val="24"/>
              </w:rPr>
            </w:pPr>
            <w:r w:rsidRPr="000367DB">
              <w:rPr>
                <w:b/>
                <w:sz w:val="24"/>
                <w:szCs w:val="24"/>
              </w:rPr>
              <w:t>Éster (%)</w:t>
            </w:r>
          </w:p>
        </w:tc>
        <w:tc>
          <w:tcPr>
            <w:tcW w:w="3034" w:type="dxa"/>
            <w:tcBorders>
              <w:left w:val="nil"/>
              <w:bottom w:val="single" w:sz="4" w:space="0" w:color="auto"/>
            </w:tcBorders>
            <w:shd w:val="clear" w:color="auto" w:fill="auto"/>
            <w:noWrap/>
            <w:vAlign w:val="bottom"/>
            <w:hideMark/>
          </w:tcPr>
          <w:p w14:paraId="58672C50" w14:textId="77777777" w:rsidR="004E0971" w:rsidRPr="000367DB" w:rsidRDefault="004E0971" w:rsidP="009E37D1">
            <w:pPr>
              <w:jc w:val="center"/>
              <w:rPr>
                <w:b/>
                <w:bCs/>
                <w:sz w:val="24"/>
                <w:szCs w:val="24"/>
              </w:rPr>
            </w:pPr>
            <w:r w:rsidRPr="000367DB">
              <w:rPr>
                <w:b/>
                <w:bCs/>
                <w:sz w:val="24"/>
                <w:szCs w:val="24"/>
              </w:rPr>
              <w:t>Concentração obtida (g.L</w:t>
            </w:r>
            <w:r w:rsidRPr="000367DB">
              <w:rPr>
                <w:b/>
                <w:bCs/>
                <w:sz w:val="24"/>
                <w:szCs w:val="24"/>
                <w:vertAlign w:val="superscript"/>
              </w:rPr>
              <w:t>-1</w:t>
            </w:r>
            <w:r w:rsidRPr="000367DB">
              <w:rPr>
                <w:b/>
                <w:bCs/>
                <w:sz w:val="24"/>
                <w:szCs w:val="24"/>
              </w:rPr>
              <w:t>)</w:t>
            </w:r>
          </w:p>
        </w:tc>
      </w:tr>
      <w:tr w:rsidR="004E0971" w:rsidRPr="000367DB" w14:paraId="78E867A9" w14:textId="77777777" w:rsidTr="009E37D1">
        <w:trPr>
          <w:trHeight w:val="240"/>
          <w:jc w:val="center"/>
        </w:trPr>
        <w:tc>
          <w:tcPr>
            <w:tcW w:w="1985" w:type="dxa"/>
            <w:tcBorders>
              <w:top w:val="single" w:sz="4" w:space="0" w:color="auto"/>
              <w:bottom w:val="nil"/>
              <w:right w:val="nil"/>
            </w:tcBorders>
            <w:shd w:val="clear" w:color="auto" w:fill="auto"/>
            <w:noWrap/>
            <w:vAlign w:val="bottom"/>
            <w:hideMark/>
          </w:tcPr>
          <w:p w14:paraId="0D202674" w14:textId="77777777" w:rsidR="004E0971" w:rsidRPr="00693693" w:rsidRDefault="004E0971" w:rsidP="009E37D1">
            <w:pPr>
              <w:jc w:val="center"/>
              <w:rPr>
                <w:b/>
                <w:bCs/>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-LS5</w:t>
            </w:r>
          </w:p>
        </w:tc>
        <w:tc>
          <w:tcPr>
            <w:tcW w:w="2126" w:type="dxa"/>
            <w:tcBorders>
              <w:top w:val="single" w:sz="4" w:space="0" w:color="auto"/>
              <w:left w:val="nil"/>
              <w:bottom w:val="nil"/>
              <w:right w:val="nil"/>
            </w:tcBorders>
          </w:tcPr>
          <w:p w14:paraId="256FE711" w14:textId="77777777" w:rsidR="004E0971" w:rsidRPr="000367DB" w:rsidRDefault="004E0971" w:rsidP="009E37D1">
            <w:pPr>
              <w:jc w:val="center"/>
              <w:rPr>
                <w:sz w:val="24"/>
                <w:szCs w:val="24"/>
              </w:rPr>
            </w:pPr>
            <w:r w:rsidRPr="000367DB">
              <w:rPr>
                <w:sz w:val="24"/>
                <w:szCs w:val="24"/>
              </w:rPr>
              <w:t>80°C</w:t>
            </w:r>
          </w:p>
        </w:tc>
        <w:tc>
          <w:tcPr>
            <w:tcW w:w="1276" w:type="dxa"/>
            <w:tcBorders>
              <w:top w:val="single" w:sz="4" w:space="0" w:color="auto"/>
              <w:left w:val="nil"/>
              <w:bottom w:val="nil"/>
              <w:right w:val="nil"/>
            </w:tcBorders>
          </w:tcPr>
          <w:p w14:paraId="5100301F" w14:textId="77777777" w:rsidR="004E0971" w:rsidRPr="000367DB" w:rsidRDefault="004E0971" w:rsidP="009E37D1">
            <w:pPr>
              <w:jc w:val="center"/>
              <w:rPr>
                <w:sz w:val="24"/>
                <w:szCs w:val="24"/>
              </w:rPr>
            </w:pPr>
            <w:r w:rsidRPr="000367DB">
              <w:rPr>
                <w:sz w:val="24"/>
                <w:szCs w:val="24"/>
              </w:rPr>
              <w:t>4h</w:t>
            </w:r>
          </w:p>
        </w:tc>
        <w:tc>
          <w:tcPr>
            <w:tcW w:w="1276" w:type="dxa"/>
            <w:tcBorders>
              <w:top w:val="single" w:sz="4" w:space="0" w:color="auto"/>
              <w:left w:val="nil"/>
              <w:bottom w:val="nil"/>
              <w:right w:val="nil"/>
            </w:tcBorders>
          </w:tcPr>
          <w:p w14:paraId="0F42F0E7" w14:textId="77777777" w:rsidR="004E0971" w:rsidRPr="000367DB" w:rsidRDefault="004E0971" w:rsidP="009E37D1">
            <w:pPr>
              <w:jc w:val="center"/>
              <w:rPr>
                <w:sz w:val="24"/>
                <w:szCs w:val="24"/>
              </w:rPr>
            </w:pPr>
            <w:r w:rsidRPr="000367DB">
              <w:rPr>
                <w:sz w:val="24"/>
                <w:szCs w:val="24"/>
              </w:rPr>
              <w:t>63,50</w:t>
            </w:r>
          </w:p>
        </w:tc>
        <w:tc>
          <w:tcPr>
            <w:tcW w:w="3034" w:type="dxa"/>
            <w:tcBorders>
              <w:top w:val="single" w:sz="4" w:space="0" w:color="auto"/>
              <w:left w:val="nil"/>
              <w:bottom w:val="nil"/>
            </w:tcBorders>
            <w:shd w:val="clear" w:color="auto" w:fill="auto"/>
            <w:noWrap/>
            <w:vAlign w:val="bottom"/>
            <w:hideMark/>
          </w:tcPr>
          <w:p w14:paraId="16208704" w14:textId="77777777" w:rsidR="004E0971" w:rsidRPr="000367DB" w:rsidRDefault="004E0971" w:rsidP="009E37D1">
            <w:pPr>
              <w:jc w:val="center"/>
              <w:rPr>
                <w:sz w:val="24"/>
                <w:szCs w:val="24"/>
              </w:rPr>
            </w:pPr>
            <w:r w:rsidRPr="000367DB">
              <w:rPr>
                <w:sz w:val="24"/>
                <w:szCs w:val="24"/>
              </w:rPr>
              <w:t>429,84</w:t>
            </w:r>
          </w:p>
        </w:tc>
      </w:tr>
      <w:tr w:rsidR="004E0971" w:rsidRPr="000367DB" w14:paraId="0FA09EED" w14:textId="77777777" w:rsidTr="009E37D1">
        <w:trPr>
          <w:trHeight w:val="240"/>
          <w:jc w:val="center"/>
        </w:trPr>
        <w:tc>
          <w:tcPr>
            <w:tcW w:w="1985" w:type="dxa"/>
            <w:tcBorders>
              <w:top w:val="nil"/>
              <w:bottom w:val="nil"/>
              <w:right w:val="nil"/>
            </w:tcBorders>
            <w:shd w:val="clear" w:color="auto" w:fill="auto"/>
            <w:noWrap/>
            <w:vAlign w:val="bottom"/>
            <w:hideMark/>
          </w:tcPr>
          <w:p w14:paraId="06DDBBFA" w14:textId="77777777" w:rsidR="004E0971" w:rsidRPr="00693693" w:rsidRDefault="004E0971" w:rsidP="009E37D1">
            <w:pPr>
              <w:jc w:val="center"/>
              <w:rPr>
                <w:b/>
                <w:bCs/>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-LS5</w:t>
            </w:r>
          </w:p>
        </w:tc>
        <w:tc>
          <w:tcPr>
            <w:tcW w:w="2126" w:type="dxa"/>
            <w:tcBorders>
              <w:top w:val="nil"/>
              <w:left w:val="nil"/>
              <w:bottom w:val="nil"/>
              <w:right w:val="nil"/>
            </w:tcBorders>
          </w:tcPr>
          <w:p w14:paraId="038129C9" w14:textId="77777777" w:rsidR="004E0971" w:rsidRPr="000367DB" w:rsidRDefault="004E0971" w:rsidP="009E37D1">
            <w:pPr>
              <w:jc w:val="center"/>
              <w:rPr>
                <w:sz w:val="24"/>
                <w:szCs w:val="24"/>
              </w:rPr>
            </w:pPr>
            <w:r w:rsidRPr="000367DB">
              <w:rPr>
                <w:sz w:val="24"/>
                <w:szCs w:val="24"/>
              </w:rPr>
              <w:t>80°C</w:t>
            </w:r>
          </w:p>
        </w:tc>
        <w:tc>
          <w:tcPr>
            <w:tcW w:w="1276" w:type="dxa"/>
            <w:tcBorders>
              <w:top w:val="nil"/>
              <w:left w:val="nil"/>
              <w:bottom w:val="nil"/>
              <w:right w:val="nil"/>
            </w:tcBorders>
          </w:tcPr>
          <w:p w14:paraId="0D2CADD5" w14:textId="77777777" w:rsidR="004E0971" w:rsidRPr="000367DB" w:rsidRDefault="004E0971" w:rsidP="009E37D1">
            <w:pPr>
              <w:jc w:val="center"/>
              <w:rPr>
                <w:sz w:val="24"/>
                <w:szCs w:val="24"/>
              </w:rPr>
            </w:pPr>
            <w:r w:rsidRPr="000367DB">
              <w:rPr>
                <w:sz w:val="24"/>
                <w:szCs w:val="24"/>
              </w:rPr>
              <w:t>6h</w:t>
            </w:r>
          </w:p>
        </w:tc>
        <w:tc>
          <w:tcPr>
            <w:tcW w:w="1276" w:type="dxa"/>
            <w:tcBorders>
              <w:top w:val="nil"/>
              <w:left w:val="nil"/>
              <w:bottom w:val="nil"/>
              <w:right w:val="nil"/>
            </w:tcBorders>
          </w:tcPr>
          <w:p w14:paraId="0615857F" w14:textId="77777777" w:rsidR="004E0971" w:rsidRPr="000367DB" w:rsidRDefault="004E0971" w:rsidP="009E37D1">
            <w:pPr>
              <w:jc w:val="center"/>
              <w:rPr>
                <w:sz w:val="24"/>
                <w:szCs w:val="24"/>
              </w:rPr>
            </w:pPr>
            <w:r w:rsidRPr="000367DB">
              <w:rPr>
                <w:sz w:val="24"/>
                <w:szCs w:val="24"/>
              </w:rPr>
              <w:t>64,90</w:t>
            </w:r>
          </w:p>
        </w:tc>
        <w:tc>
          <w:tcPr>
            <w:tcW w:w="3034" w:type="dxa"/>
            <w:tcBorders>
              <w:top w:val="nil"/>
              <w:left w:val="nil"/>
              <w:bottom w:val="nil"/>
            </w:tcBorders>
            <w:shd w:val="clear" w:color="auto" w:fill="auto"/>
            <w:noWrap/>
            <w:vAlign w:val="bottom"/>
            <w:hideMark/>
          </w:tcPr>
          <w:p w14:paraId="02AF06B2" w14:textId="77777777" w:rsidR="004E0971" w:rsidRPr="000367DB" w:rsidRDefault="004E0971" w:rsidP="009E37D1">
            <w:pPr>
              <w:jc w:val="center"/>
              <w:rPr>
                <w:sz w:val="24"/>
                <w:szCs w:val="24"/>
              </w:rPr>
            </w:pPr>
            <w:r w:rsidRPr="000367DB">
              <w:rPr>
                <w:sz w:val="24"/>
                <w:szCs w:val="24"/>
              </w:rPr>
              <w:t>218,40</w:t>
            </w:r>
          </w:p>
        </w:tc>
      </w:tr>
      <w:tr w:rsidR="004E0971" w:rsidRPr="000367DB" w14:paraId="53BC92A4" w14:textId="77777777" w:rsidTr="009E37D1">
        <w:trPr>
          <w:trHeight w:val="240"/>
          <w:jc w:val="center"/>
        </w:trPr>
        <w:tc>
          <w:tcPr>
            <w:tcW w:w="1985" w:type="dxa"/>
            <w:tcBorders>
              <w:top w:val="nil"/>
              <w:bottom w:val="nil"/>
              <w:right w:val="nil"/>
            </w:tcBorders>
            <w:shd w:val="clear" w:color="auto" w:fill="auto"/>
            <w:noWrap/>
            <w:vAlign w:val="bottom"/>
          </w:tcPr>
          <w:p w14:paraId="1FFDAFC9"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-LS5</w:t>
            </w:r>
          </w:p>
        </w:tc>
        <w:tc>
          <w:tcPr>
            <w:tcW w:w="2126" w:type="dxa"/>
            <w:tcBorders>
              <w:top w:val="nil"/>
              <w:left w:val="nil"/>
              <w:bottom w:val="nil"/>
              <w:right w:val="nil"/>
            </w:tcBorders>
          </w:tcPr>
          <w:p w14:paraId="624D79A6" w14:textId="77777777" w:rsidR="004E0971" w:rsidRPr="000367DB" w:rsidRDefault="004E0971" w:rsidP="009E37D1">
            <w:pPr>
              <w:jc w:val="center"/>
              <w:rPr>
                <w:sz w:val="24"/>
                <w:szCs w:val="24"/>
              </w:rPr>
            </w:pPr>
            <w:r w:rsidRPr="000367DB">
              <w:rPr>
                <w:sz w:val="24"/>
                <w:szCs w:val="24"/>
              </w:rPr>
              <w:t>100°C</w:t>
            </w:r>
          </w:p>
        </w:tc>
        <w:tc>
          <w:tcPr>
            <w:tcW w:w="1276" w:type="dxa"/>
            <w:tcBorders>
              <w:top w:val="nil"/>
              <w:left w:val="nil"/>
              <w:bottom w:val="nil"/>
              <w:right w:val="nil"/>
            </w:tcBorders>
          </w:tcPr>
          <w:p w14:paraId="5140C805" w14:textId="77777777" w:rsidR="004E0971" w:rsidRPr="000367DB" w:rsidRDefault="004E0971" w:rsidP="009E37D1">
            <w:pPr>
              <w:jc w:val="center"/>
              <w:rPr>
                <w:sz w:val="24"/>
                <w:szCs w:val="24"/>
              </w:rPr>
            </w:pPr>
            <w:r w:rsidRPr="000367DB">
              <w:rPr>
                <w:sz w:val="24"/>
                <w:szCs w:val="24"/>
              </w:rPr>
              <w:t>4h</w:t>
            </w:r>
          </w:p>
        </w:tc>
        <w:tc>
          <w:tcPr>
            <w:tcW w:w="1276" w:type="dxa"/>
            <w:tcBorders>
              <w:top w:val="nil"/>
              <w:left w:val="nil"/>
              <w:bottom w:val="nil"/>
              <w:right w:val="nil"/>
            </w:tcBorders>
          </w:tcPr>
          <w:p w14:paraId="3D46452D" w14:textId="77777777" w:rsidR="004E0971" w:rsidRPr="000367DB" w:rsidRDefault="004E0971" w:rsidP="009E37D1">
            <w:pPr>
              <w:jc w:val="center"/>
              <w:rPr>
                <w:sz w:val="24"/>
                <w:szCs w:val="24"/>
              </w:rPr>
            </w:pPr>
            <w:r w:rsidRPr="000367DB">
              <w:rPr>
                <w:sz w:val="24"/>
                <w:szCs w:val="24"/>
              </w:rPr>
              <w:t>75,60</w:t>
            </w:r>
          </w:p>
        </w:tc>
        <w:tc>
          <w:tcPr>
            <w:tcW w:w="3034" w:type="dxa"/>
            <w:tcBorders>
              <w:top w:val="nil"/>
              <w:left w:val="nil"/>
              <w:bottom w:val="nil"/>
            </w:tcBorders>
            <w:shd w:val="clear" w:color="auto" w:fill="auto"/>
            <w:noWrap/>
            <w:vAlign w:val="bottom"/>
          </w:tcPr>
          <w:p w14:paraId="4BD8B5A0" w14:textId="77777777" w:rsidR="004E0971" w:rsidRPr="000367DB" w:rsidRDefault="004E0971" w:rsidP="009E37D1">
            <w:pPr>
              <w:jc w:val="center"/>
              <w:rPr>
                <w:sz w:val="24"/>
                <w:szCs w:val="24"/>
              </w:rPr>
            </w:pPr>
            <w:r w:rsidRPr="000367DB">
              <w:rPr>
                <w:sz w:val="24"/>
                <w:szCs w:val="24"/>
              </w:rPr>
              <w:t>126,45</w:t>
            </w:r>
          </w:p>
        </w:tc>
      </w:tr>
      <w:tr w:rsidR="004E0971" w:rsidRPr="000367DB" w14:paraId="515C6978" w14:textId="77777777" w:rsidTr="009E37D1">
        <w:trPr>
          <w:trHeight w:val="240"/>
          <w:jc w:val="center"/>
        </w:trPr>
        <w:tc>
          <w:tcPr>
            <w:tcW w:w="1985" w:type="dxa"/>
            <w:tcBorders>
              <w:top w:val="nil"/>
              <w:bottom w:val="nil"/>
              <w:right w:val="nil"/>
            </w:tcBorders>
            <w:shd w:val="clear" w:color="auto" w:fill="auto"/>
            <w:noWrap/>
            <w:vAlign w:val="bottom"/>
          </w:tcPr>
          <w:p w14:paraId="04527D6A"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-LS5</w:t>
            </w:r>
          </w:p>
        </w:tc>
        <w:tc>
          <w:tcPr>
            <w:tcW w:w="2126" w:type="dxa"/>
            <w:tcBorders>
              <w:top w:val="nil"/>
              <w:left w:val="nil"/>
              <w:bottom w:val="nil"/>
              <w:right w:val="nil"/>
            </w:tcBorders>
          </w:tcPr>
          <w:p w14:paraId="6BA20B32" w14:textId="77777777" w:rsidR="004E0971" w:rsidRPr="000367DB" w:rsidRDefault="004E0971" w:rsidP="009E37D1">
            <w:pPr>
              <w:jc w:val="center"/>
              <w:rPr>
                <w:sz w:val="24"/>
                <w:szCs w:val="24"/>
              </w:rPr>
            </w:pPr>
            <w:r w:rsidRPr="000367DB">
              <w:rPr>
                <w:sz w:val="24"/>
                <w:szCs w:val="24"/>
              </w:rPr>
              <w:t>100°C</w:t>
            </w:r>
          </w:p>
        </w:tc>
        <w:tc>
          <w:tcPr>
            <w:tcW w:w="1276" w:type="dxa"/>
            <w:tcBorders>
              <w:top w:val="nil"/>
              <w:left w:val="nil"/>
              <w:bottom w:val="nil"/>
              <w:right w:val="nil"/>
            </w:tcBorders>
          </w:tcPr>
          <w:p w14:paraId="42946624" w14:textId="77777777" w:rsidR="004E0971" w:rsidRPr="000367DB" w:rsidRDefault="004E0971" w:rsidP="009E37D1">
            <w:pPr>
              <w:jc w:val="center"/>
              <w:rPr>
                <w:sz w:val="24"/>
                <w:szCs w:val="24"/>
              </w:rPr>
            </w:pPr>
            <w:r w:rsidRPr="000367DB">
              <w:rPr>
                <w:sz w:val="24"/>
                <w:szCs w:val="24"/>
              </w:rPr>
              <w:t>6h</w:t>
            </w:r>
          </w:p>
        </w:tc>
        <w:tc>
          <w:tcPr>
            <w:tcW w:w="1276" w:type="dxa"/>
            <w:tcBorders>
              <w:top w:val="nil"/>
              <w:left w:val="nil"/>
              <w:bottom w:val="nil"/>
              <w:right w:val="nil"/>
            </w:tcBorders>
          </w:tcPr>
          <w:p w14:paraId="521F38FC" w14:textId="77777777" w:rsidR="004E0971" w:rsidRPr="000367DB" w:rsidRDefault="004E0971" w:rsidP="009E37D1">
            <w:pPr>
              <w:jc w:val="center"/>
              <w:rPr>
                <w:sz w:val="24"/>
                <w:szCs w:val="24"/>
              </w:rPr>
            </w:pPr>
            <w:r w:rsidRPr="000367DB">
              <w:rPr>
                <w:sz w:val="24"/>
                <w:szCs w:val="24"/>
              </w:rPr>
              <w:t>79,20</w:t>
            </w:r>
          </w:p>
        </w:tc>
        <w:tc>
          <w:tcPr>
            <w:tcW w:w="3034" w:type="dxa"/>
            <w:tcBorders>
              <w:top w:val="nil"/>
              <w:left w:val="nil"/>
              <w:bottom w:val="nil"/>
            </w:tcBorders>
            <w:shd w:val="clear" w:color="auto" w:fill="auto"/>
            <w:noWrap/>
            <w:vAlign w:val="bottom"/>
          </w:tcPr>
          <w:p w14:paraId="12DA0772" w14:textId="77777777" w:rsidR="004E0971" w:rsidRPr="000367DB" w:rsidRDefault="004E0971" w:rsidP="009E37D1">
            <w:pPr>
              <w:jc w:val="center"/>
              <w:rPr>
                <w:sz w:val="24"/>
                <w:szCs w:val="24"/>
              </w:rPr>
            </w:pPr>
            <w:r w:rsidRPr="000367DB">
              <w:rPr>
                <w:sz w:val="24"/>
                <w:szCs w:val="24"/>
              </w:rPr>
              <w:t>122,64</w:t>
            </w:r>
          </w:p>
        </w:tc>
      </w:tr>
      <w:tr w:rsidR="004E0971" w:rsidRPr="000367DB" w14:paraId="5ECCA625" w14:textId="77777777" w:rsidTr="009E37D1">
        <w:trPr>
          <w:trHeight w:val="240"/>
          <w:jc w:val="center"/>
        </w:trPr>
        <w:tc>
          <w:tcPr>
            <w:tcW w:w="1985" w:type="dxa"/>
            <w:tcBorders>
              <w:top w:val="nil"/>
              <w:bottom w:val="nil"/>
              <w:right w:val="nil"/>
            </w:tcBorders>
            <w:shd w:val="clear" w:color="auto" w:fill="auto"/>
            <w:noWrap/>
            <w:vAlign w:val="bottom"/>
          </w:tcPr>
          <w:p w14:paraId="6146FE41"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-LS7,5</w:t>
            </w:r>
          </w:p>
        </w:tc>
        <w:tc>
          <w:tcPr>
            <w:tcW w:w="2126" w:type="dxa"/>
            <w:tcBorders>
              <w:top w:val="nil"/>
              <w:left w:val="nil"/>
              <w:bottom w:val="nil"/>
              <w:right w:val="nil"/>
            </w:tcBorders>
          </w:tcPr>
          <w:p w14:paraId="7B94DF66" w14:textId="77777777" w:rsidR="004E0971" w:rsidRPr="000367DB" w:rsidRDefault="004E0971" w:rsidP="009E37D1">
            <w:pPr>
              <w:jc w:val="center"/>
              <w:rPr>
                <w:sz w:val="24"/>
                <w:szCs w:val="24"/>
              </w:rPr>
            </w:pPr>
            <w:r w:rsidRPr="000367DB">
              <w:rPr>
                <w:sz w:val="24"/>
                <w:szCs w:val="24"/>
              </w:rPr>
              <w:t>80°C</w:t>
            </w:r>
          </w:p>
        </w:tc>
        <w:tc>
          <w:tcPr>
            <w:tcW w:w="1276" w:type="dxa"/>
            <w:tcBorders>
              <w:top w:val="nil"/>
              <w:left w:val="nil"/>
              <w:bottom w:val="nil"/>
              <w:right w:val="nil"/>
            </w:tcBorders>
          </w:tcPr>
          <w:p w14:paraId="194B3974" w14:textId="77777777" w:rsidR="004E0971" w:rsidRPr="000367DB" w:rsidRDefault="004E0971" w:rsidP="009E37D1">
            <w:pPr>
              <w:jc w:val="center"/>
              <w:rPr>
                <w:sz w:val="24"/>
                <w:szCs w:val="24"/>
              </w:rPr>
            </w:pPr>
            <w:r w:rsidRPr="000367DB">
              <w:rPr>
                <w:sz w:val="24"/>
                <w:szCs w:val="24"/>
              </w:rPr>
              <w:t>4h</w:t>
            </w:r>
          </w:p>
        </w:tc>
        <w:tc>
          <w:tcPr>
            <w:tcW w:w="1276" w:type="dxa"/>
            <w:tcBorders>
              <w:top w:val="nil"/>
              <w:left w:val="nil"/>
              <w:bottom w:val="nil"/>
              <w:right w:val="nil"/>
            </w:tcBorders>
          </w:tcPr>
          <w:p w14:paraId="75E7D21B" w14:textId="77777777" w:rsidR="004E0971" w:rsidRPr="000367DB" w:rsidRDefault="004E0971" w:rsidP="009E37D1">
            <w:pPr>
              <w:jc w:val="center"/>
              <w:rPr>
                <w:sz w:val="24"/>
                <w:szCs w:val="24"/>
              </w:rPr>
            </w:pPr>
            <w:r w:rsidRPr="000367DB">
              <w:rPr>
                <w:sz w:val="24"/>
                <w:szCs w:val="24"/>
              </w:rPr>
              <w:t>40,60</w:t>
            </w:r>
          </w:p>
        </w:tc>
        <w:tc>
          <w:tcPr>
            <w:tcW w:w="3034" w:type="dxa"/>
            <w:tcBorders>
              <w:top w:val="nil"/>
              <w:left w:val="nil"/>
              <w:bottom w:val="nil"/>
            </w:tcBorders>
            <w:shd w:val="clear" w:color="auto" w:fill="auto"/>
            <w:noWrap/>
            <w:vAlign w:val="bottom"/>
          </w:tcPr>
          <w:p w14:paraId="59745423" w14:textId="77777777" w:rsidR="004E0971" w:rsidRPr="000367DB" w:rsidRDefault="004E0971" w:rsidP="009E37D1">
            <w:pPr>
              <w:jc w:val="center"/>
              <w:rPr>
                <w:sz w:val="24"/>
                <w:szCs w:val="24"/>
              </w:rPr>
            </w:pPr>
            <w:r w:rsidRPr="000367DB">
              <w:rPr>
                <w:sz w:val="24"/>
                <w:szCs w:val="24"/>
              </w:rPr>
              <w:t>1026,97</w:t>
            </w:r>
          </w:p>
        </w:tc>
      </w:tr>
      <w:tr w:rsidR="004E0971" w:rsidRPr="000367DB" w14:paraId="38741616" w14:textId="77777777" w:rsidTr="009E37D1">
        <w:trPr>
          <w:trHeight w:val="240"/>
          <w:jc w:val="center"/>
        </w:trPr>
        <w:tc>
          <w:tcPr>
            <w:tcW w:w="1985" w:type="dxa"/>
            <w:tcBorders>
              <w:top w:val="nil"/>
              <w:bottom w:val="nil"/>
              <w:right w:val="nil"/>
            </w:tcBorders>
            <w:shd w:val="clear" w:color="auto" w:fill="auto"/>
            <w:noWrap/>
            <w:vAlign w:val="bottom"/>
          </w:tcPr>
          <w:p w14:paraId="6C0EB4B4"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-LS7,5</w:t>
            </w:r>
          </w:p>
        </w:tc>
        <w:tc>
          <w:tcPr>
            <w:tcW w:w="2126" w:type="dxa"/>
            <w:tcBorders>
              <w:top w:val="nil"/>
              <w:left w:val="nil"/>
              <w:bottom w:val="nil"/>
              <w:right w:val="nil"/>
            </w:tcBorders>
          </w:tcPr>
          <w:p w14:paraId="0B374060" w14:textId="77777777" w:rsidR="004E0971" w:rsidRPr="000367DB" w:rsidRDefault="004E0971" w:rsidP="009E37D1">
            <w:pPr>
              <w:jc w:val="center"/>
              <w:rPr>
                <w:sz w:val="24"/>
                <w:szCs w:val="24"/>
              </w:rPr>
            </w:pPr>
            <w:r w:rsidRPr="000367DB">
              <w:rPr>
                <w:sz w:val="24"/>
                <w:szCs w:val="24"/>
              </w:rPr>
              <w:t>80°C</w:t>
            </w:r>
          </w:p>
        </w:tc>
        <w:tc>
          <w:tcPr>
            <w:tcW w:w="1276" w:type="dxa"/>
            <w:tcBorders>
              <w:top w:val="nil"/>
              <w:left w:val="nil"/>
              <w:bottom w:val="nil"/>
              <w:right w:val="nil"/>
            </w:tcBorders>
          </w:tcPr>
          <w:p w14:paraId="61AD5467" w14:textId="77777777" w:rsidR="004E0971" w:rsidRPr="000367DB" w:rsidRDefault="004E0971" w:rsidP="009E37D1">
            <w:pPr>
              <w:jc w:val="center"/>
              <w:rPr>
                <w:sz w:val="24"/>
                <w:szCs w:val="24"/>
              </w:rPr>
            </w:pPr>
            <w:r w:rsidRPr="000367DB">
              <w:rPr>
                <w:sz w:val="24"/>
                <w:szCs w:val="24"/>
              </w:rPr>
              <w:t>6h</w:t>
            </w:r>
          </w:p>
        </w:tc>
        <w:tc>
          <w:tcPr>
            <w:tcW w:w="1276" w:type="dxa"/>
            <w:tcBorders>
              <w:top w:val="nil"/>
              <w:left w:val="nil"/>
              <w:bottom w:val="nil"/>
              <w:right w:val="nil"/>
            </w:tcBorders>
          </w:tcPr>
          <w:p w14:paraId="518BCFBB" w14:textId="77777777" w:rsidR="004E0971" w:rsidRPr="000367DB" w:rsidRDefault="004E0971" w:rsidP="009E37D1">
            <w:pPr>
              <w:jc w:val="center"/>
              <w:rPr>
                <w:sz w:val="24"/>
                <w:szCs w:val="24"/>
              </w:rPr>
            </w:pPr>
            <w:r w:rsidRPr="000367DB">
              <w:rPr>
                <w:sz w:val="24"/>
                <w:szCs w:val="24"/>
              </w:rPr>
              <w:t>80,90</w:t>
            </w:r>
          </w:p>
        </w:tc>
        <w:tc>
          <w:tcPr>
            <w:tcW w:w="3034" w:type="dxa"/>
            <w:tcBorders>
              <w:top w:val="nil"/>
              <w:left w:val="nil"/>
              <w:bottom w:val="nil"/>
            </w:tcBorders>
            <w:shd w:val="clear" w:color="auto" w:fill="auto"/>
            <w:noWrap/>
            <w:vAlign w:val="bottom"/>
          </w:tcPr>
          <w:p w14:paraId="7BAD0A61" w14:textId="77777777" w:rsidR="004E0971" w:rsidRPr="000367DB" w:rsidRDefault="004E0971" w:rsidP="009E37D1">
            <w:pPr>
              <w:jc w:val="center"/>
              <w:rPr>
                <w:sz w:val="24"/>
                <w:szCs w:val="24"/>
              </w:rPr>
            </w:pPr>
            <w:r w:rsidRPr="000367DB">
              <w:rPr>
                <w:sz w:val="24"/>
                <w:szCs w:val="24"/>
              </w:rPr>
              <w:t>66,50</w:t>
            </w:r>
          </w:p>
        </w:tc>
      </w:tr>
      <w:tr w:rsidR="004E0971" w:rsidRPr="000367DB" w14:paraId="3ADEB013" w14:textId="77777777" w:rsidTr="009E37D1">
        <w:trPr>
          <w:trHeight w:val="240"/>
          <w:jc w:val="center"/>
        </w:trPr>
        <w:tc>
          <w:tcPr>
            <w:tcW w:w="1985" w:type="dxa"/>
            <w:tcBorders>
              <w:top w:val="nil"/>
              <w:bottom w:val="nil"/>
              <w:right w:val="nil"/>
            </w:tcBorders>
            <w:shd w:val="clear" w:color="auto" w:fill="auto"/>
            <w:noWrap/>
            <w:vAlign w:val="bottom"/>
          </w:tcPr>
          <w:p w14:paraId="588024BB"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-LS7,5</w:t>
            </w:r>
          </w:p>
        </w:tc>
        <w:tc>
          <w:tcPr>
            <w:tcW w:w="2126" w:type="dxa"/>
            <w:tcBorders>
              <w:top w:val="nil"/>
              <w:left w:val="nil"/>
              <w:bottom w:val="nil"/>
              <w:right w:val="nil"/>
            </w:tcBorders>
          </w:tcPr>
          <w:p w14:paraId="470DF280" w14:textId="77777777" w:rsidR="004E0971" w:rsidRPr="000367DB" w:rsidRDefault="004E0971" w:rsidP="009E37D1">
            <w:pPr>
              <w:jc w:val="center"/>
              <w:rPr>
                <w:sz w:val="24"/>
                <w:szCs w:val="24"/>
              </w:rPr>
            </w:pPr>
            <w:r w:rsidRPr="000367DB">
              <w:rPr>
                <w:sz w:val="24"/>
                <w:szCs w:val="24"/>
              </w:rPr>
              <w:t>100°C</w:t>
            </w:r>
          </w:p>
        </w:tc>
        <w:tc>
          <w:tcPr>
            <w:tcW w:w="1276" w:type="dxa"/>
            <w:tcBorders>
              <w:top w:val="nil"/>
              <w:left w:val="nil"/>
              <w:bottom w:val="nil"/>
              <w:right w:val="nil"/>
            </w:tcBorders>
          </w:tcPr>
          <w:p w14:paraId="7D1CE6CC" w14:textId="77777777" w:rsidR="004E0971" w:rsidRPr="000367DB" w:rsidRDefault="004E0971" w:rsidP="009E37D1">
            <w:pPr>
              <w:jc w:val="center"/>
              <w:rPr>
                <w:sz w:val="24"/>
                <w:szCs w:val="24"/>
              </w:rPr>
            </w:pPr>
            <w:r w:rsidRPr="000367DB">
              <w:rPr>
                <w:sz w:val="24"/>
                <w:szCs w:val="24"/>
              </w:rPr>
              <w:t>4h</w:t>
            </w:r>
          </w:p>
        </w:tc>
        <w:tc>
          <w:tcPr>
            <w:tcW w:w="1276" w:type="dxa"/>
            <w:tcBorders>
              <w:top w:val="nil"/>
              <w:left w:val="nil"/>
              <w:bottom w:val="nil"/>
              <w:right w:val="nil"/>
            </w:tcBorders>
          </w:tcPr>
          <w:p w14:paraId="58CF1931" w14:textId="77777777" w:rsidR="004E0971" w:rsidRPr="000367DB" w:rsidRDefault="004E0971" w:rsidP="009E37D1">
            <w:pPr>
              <w:jc w:val="center"/>
              <w:rPr>
                <w:sz w:val="24"/>
                <w:szCs w:val="24"/>
              </w:rPr>
            </w:pPr>
            <w:r w:rsidRPr="000367DB">
              <w:rPr>
                <w:sz w:val="24"/>
                <w:szCs w:val="24"/>
              </w:rPr>
              <w:t>38,70</w:t>
            </w:r>
          </w:p>
        </w:tc>
        <w:tc>
          <w:tcPr>
            <w:tcW w:w="3034" w:type="dxa"/>
            <w:tcBorders>
              <w:top w:val="nil"/>
              <w:left w:val="nil"/>
              <w:bottom w:val="nil"/>
            </w:tcBorders>
            <w:shd w:val="clear" w:color="auto" w:fill="auto"/>
            <w:noWrap/>
            <w:vAlign w:val="bottom"/>
          </w:tcPr>
          <w:p w14:paraId="1C065B06" w14:textId="77777777" w:rsidR="004E0971" w:rsidRPr="000367DB" w:rsidRDefault="004E0971" w:rsidP="009E37D1">
            <w:pPr>
              <w:jc w:val="center"/>
              <w:rPr>
                <w:sz w:val="24"/>
                <w:szCs w:val="24"/>
              </w:rPr>
            </w:pPr>
            <w:r w:rsidRPr="000367DB">
              <w:rPr>
                <w:sz w:val="24"/>
                <w:szCs w:val="24"/>
              </w:rPr>
              <w:t>866,28</w:t>
            </w:r>
          </w:p>
        </w:tc>
      </w:tr>
      <w:tr w:rsidR="004E0971" w:rsidRPr="000367DB" w14:paraId="6CE85004" w14:textId="77777777" w:rsidTr="009E37D1">
        <w:trPr>
          <w:trHeight w:val="240"/>
          <w:jc w:val="center"/>
        </w:trPr>
        <w:tc>
          <w:tcPr>
            <w:tcW w:w="1985" w:type="dxa"/>
            <w:tcBorders>
              <w:top w:val="nil"/>
              <w:bottom w:val="single" w:sz="4" w:space="0" w:color="auto"/>
              <w:right w:val="nil"/>
            </w:tcBorders>
            <w:shd w:val="clear" w:color="auto" w:fill="auto"/>
            <w:noWrap/>
            <w:vAlign w:val="bottom"/>
          </w:tcPr>
          <w:p w14:paraId="0C1599E7" w14:textId="77777777" w:rsidR="004E0971" w:rsidRPr="00693693" w:rsidRDefault="004E0971" w:rsidP="009E37D1">
            <w:pPr>
              <w:jc w:val="center"/>
              <w:rPr>
                <w:sz w:val="24"/>
                <w:szCs w:val="24"/>
              </w:rPr>
            </w:pPr>
            <w:r w:rsidRPr="00693693">
              <w:rPr>
                <w:sz w:val="24"/>
                <w:szCs w:val="24"/>
              </w:rPr>
              <w:t>CoFe</w:t>
            </w:r>
            <w:r w:rsidRPr="00693693">
              <w:rPr>
                <w:sz w:val="24"/>
                <w:szCs w:val="24"/>
                <w:vertAlign w:val="subscript"/>
              </w:rPr>
              <w:t>2</w:t>
            </w:r>
            <w:r w:rsidRPr="00693693">
              <w:rPr>
                <w:sz w:val="24"/>
                <w:szCs w:val="24"/>
              </w:rPr>
              <w:t>O</w:t>
            </w:r>
            <w:r w:rsidRPr="00693693">
              <w:rPr>
                <w:sz w:val="24"/>
                <w:szCs w:val="24"/>
                <w:vertAlign w:val="subscript"/>
              </w:rPr>
              <w:t>4</w:t>
            </w:r>
            <w:r w:rsidRPr="00693693">
              <w:rPr>
                <w:sz w:val="24"/>
                <w:szCs w:val="24"/>
              </w:rPr>
              <w:t>-LS7,5</w:t>
            </w:r>
          </w:p>
        </w:tc>
        <w:tc>
          <w:tcPr>
            <w:tcW w:w="2126" w:type="dxa"/>
            <w:tcBorders>
              <w:top w:val="nil"/>
              <w:left w:val="nil"/>
              <w:bottom w:val="single" w:sz="4" w:space="0" w:color="auto"/>
              <w:right w:val="nil"/>
            </w:tcBorders>
          </w:tcPr>
          <w:p w14:paraId="33BDF3F5" w14:textId="77777777" w:rsidR="004E0971" w:rsidRPr="000367DB" w:rsidRDefault="004E0971" w:rsidP="009E37D1">
            <w:pPr>
              <w:jc w:val="center"/>
              <w:rPr>
                <w:sz w:val="24"/>
                <w:szCs w:val="24"/>
              </w:rPr>
            </w:pPr>
            <w:r w:rsidRPr="000367DB">
              <w:rPr>
                <w:sz w:val="24"/>
                <w:szCs w:val="24"/>
              </w:rPr>
              <w:t>100°C</w:t>
            </w:r>
          </w:p>
        </w:tc>
        <w:tc>
          <w:tcPr>
            <w:tcW w:w="1276" w:type="dxa"/>
            <w:tcBorders>
              <w:top w:val="nil"/>
              <w:left w:val="nil"/>
              <w:bottom w:val="single" w:sz="4" w:space="0" w:color="auto"/>
              <w:right w:val="nil"/>
            </w:tcBorders>
          </w:tcPr>
          <w:p w14:paraId="1944CAF5" w14:textId="77777777" w:rsidR="004E0971" w:rsidRPr="000367DB" w:rsidRDefault="004E0971" w:rsidP="009E37D1">
            <w:pPr>
              <w:jc w:val="center"/>
              <w:rPr>
                <w:sz w:val="24"/>
                <w:szCs w:val="24"/>
              </w:rPr>
            </w:pPr>
            <w:r w:rsidRPr="000367DB">
              <w:rPr>
                <w:sz w:val="24"/>
                <w:szCs w:val="24"/>
              </w:rPr>
              <w:t>6h</w:t>
            </w:r>
          </w:p>
        </w:tc>
        <w:tc>
          <w:tcPr>
            <w:tcW w:w="1276" w:type="dxa"/>
            <w:tcBorders>
              <w:top w:val="nil"/>
              <w:left w:val="nil"/>
              <w:bottom w:val="single" w:sz="4" w:space="0" w:color="auto"/>
              <w:right w:val="nil"/>
            </w:tcBorders>
          </w:tcPr>
          <w:p w14:paraId="7F2AE162" w14:textId="77777777" w:rsidR="004E0971" w:rsidRPr="000367DB" w:rsidRDefault="004E0971" w:rsidP="009E37D1">
            <w:pPr>
              <w:jc w:val="center"/>
              <w:rPr>
                <w:sz w:val="24"/>
                <w:szCs w:val="24"/>
              </w:rPr>
            </w:pPr>
            <w:r w:rsidRPr="000367DB">
              <w:rPr>
                <w:sz w:val="24"/>
                <w:szCs w:val="24"/>
              </w:rPr>
              <w:t>46,40</w:t>
            </w:r>
          </w:p>
        </w:tc>
        <w:tc>
          <w:tcPr>
            <w:tcW w:w="3034" w:type="dxa"/>
            <w:tcBorders>
              <w:top w:val="nil"/>
              <w:left w:val="nil"/>
              <w:bottom w:val="single" w:sz="4" w:space="0" w:color="auto"/>
            </w:tcBorders>
            <w:shd w:val="clear" w:color="auto" w:fill="auto"/>
            <w:noWrap/>
            <w:vAlign w:val="bottom"/>
          </w:tcPr>
          <w:p w14:paraId="2B155846" w14:textId="77777777" w:rsidR="004E0971" w:rsidRPr="000367DB" w:rsidRDefault="004E0971" w:rsidP="009E37D1">
            <w:pPr>
              <w:jc w:val="center"/>
              <w:rPr>
                <w:sz w:val="24"/>
                <w:szCs w:val="24"/>
              </w:rPr>
            </w:pPr>
            <w:r w:rsidRPr="000367DB">
              <w:rPr>
                <w:sz w:val="24"/>
                <w:szCs w:val="24"/>
              </w:rPr>
              <w:t>696,91</w:t>
            </w:r>
          </w:p>
        </w:tc>
      </w:tr>
    </w:tbl>
    <w:p w14:paraId="04D278CB" w14:textId="0902663D" w:rsidR="00CE645B" w:rsidRDefault="006D53A6" w:rsidP="006D53A6">
      <w:pPr>
        <w:jc w:val="center"/>
        <w:rPr>
          <w:color w:val="000000"/>
        </w:rPr>
        <w:sectPr w:rsidR="00CE645B" w:rsidSect="004E0971">
          <w:type w:val="continuous"/>
          <w:pgSz w:w="11907" w:h="16840"/>
          <w:pgMar w:top="408" w:right="1134" w:bottom="1134" w:left="1134" w:header="431" w:footer="184" w:gutter="0"/>
          <w:cols w:space="397"/>
        </w:sectPr>
      </w:pPr>
      <w:r w:rsidRPr="006D53A6">
        <w:rPr>
          <w:b/>
          <w:color w:val="000000"/>
          <w:sz w:val="24"/>
          <w:szCs w:val="24"/>
        </w:rPr>
        <w:t xml:space="preserve">Fonte: </w:t>
      </w:r>
      <w:r w:rsidRPr="006D53A6">
        <w:rPr>
          <w:color w:val="000000"/>
          <w:sz w:val="24"/>
          <w:szCs w:val="24"/>
        </w:rPr>
        <w:t>O autor.</w:t>
      </w:r>
    </w:p>
    <w:p w14:paraId="52CDC7FE" w14:textId="560B3FF3" w:rsidR="00F33759" w:rsidRDefault="00F33759">
      <w:pPr>
        <w:pBdr>
          <w:top w:val="nil"/>
          <w:left w:val="nil"/>
          <w:bottom w:val="nil"/>
          <w:right w:val="nil"/>
          <w:between w:val="nil"/>
        </w:pBdr>
        <w:spacing w:after="120"/>
        <w:ind w:left="357" w:hanging="360"/>
        <w:jc w:val="both"/>
        <w:rPr>
          <w:color w:val="000000"/>
        </w:rPr>
      </w:pPr>
    </w:p>
    <w:p w14:paraId="3B7E4CDE" w14:textId="77777777" w:rsidR="00F33759" w:rsidRDefault="00F33759">
      <w:pPr>
        <w:pBdr>
          <w:top w:val="nil"/>
          <w:left w:val="nil"/>
          <w:bottom w:val="nil"/>
          <w:right w:val="nil"/>
          <w:between w:val="nil"/>
        </w:pBdr>
        <w:spacing w:after="120"/>
        <w:ind w:left="357" w:hanging="360"/>
        <w:jc w:val="both"/>
        <w:rPr>
          <w:color w:val="000000"/>
        </w:rPr>
      </w:pPr>
      <w:bookmarkStart w:id="2" w:name="_GoBack"/>
      <w:bookmarkEnd w:id="2"/>
    </w:p>
    <w:p w14:paraId="7757A235" w14:textId="77777777" w:rsidR="00F33759" w:rsidRDefault="00F33759">
      <w:pPr>
        <w:pBdr>
          <w:top w:val="nil"/>
          <w:left w:val="nil"/>
          <w:bottom w:val="nil"/>
          <w:right w:val="nil"/>
          <w:between w:val="nil"/>
        </w:pBdr>
        <w:spacing w:after="120"/>
        <w:ind w:left="357" w:hanging="360"/>
        <w:jc w:val="both"/>
        <w:rPr>
          <w:color w:val="000000"/>
        </w:rPr>
      </w:pPr>
    </w:p>
    <w:p w14:paraId="5E382498" w14:textId="77777777" w:rsidR="000F1B54" w:rsidRDefault="000F1B54">
      <w:pPr>
        <w:pBdr>
          <w:top w:val="nil"/>
          <w:left w:val="nil"/>
          <w:bottom w:val="nil"/>
          <w:right w:val="nil"/>
          <w:between w:val="nil"/>
        </w:pBdr>
        <w:spacing w:after="120"/>
        <w:ind w:left="357" w:hanging="360"/>
        <w:jc w:val="both"/>
        <w:rPr>
          <w:color w:val="000000"/>
        </w:rPr>
      </w:pPr>
    </w:p>
    <w:p w14:paraId="77F6C8FB" w14:textId="77777777" w:rsidR="00F33759" w:rsidRDefault="00F33759">
      <w:pPr>
        <w:pBdr>
          <w:top w:val="nil"/>
          <w:left w:val="nil"/>
          <w:bottom w:val="nil"/>
          <w:right w:val="nil"/>
          <w:between w:val="nil"/>
        </w:pBdr>
        <w:spacing w:after="120"/>
        <w:ind w:left="357" w:hanging="360"/>
        <w:jc w:val="both"/>
        <w:rPr>
          <w:color w:val="000000"/>
        </w:rPr>
      </w:pPr>
    </w:p>
    <w:p w14:paraId="11C58EC2" w14:textId="77777777" w:rsidR="00F33759" w:rsidRDefault="00F33759">
      <w:pPr>
        <w:pBdr>
          <w:top w:val="nil"/>
          <w:left w:val="nil"/>
          <w:bottom w:val="nil"/>
          <w:right w:val="nil"/>
          <w:between w:val="nil"/>
        </w:pBdr>
        <w:jc w:val="both"/>
        <w:rPr>
          <w:color w:val="000000"/>
          <w:sz w:val="24"/>
          <w:szCs w:val="24"/>
        </w:rPr>
      </w:pPr>
    </w:p>
    <w:sectPr w:rsidR="00F33759">
      <w:headerReference w:type="default" r:id="rId15"/>
      <w:pgSz w:w="11907" w:h="16840"/>
      <w:pgMar w:top="1134" w:right="1134" w:bottom="1134" w:left="1134"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13531" w14:textId="77777777" w:rsidR="00A126ED" w:rsidRDefault="00A126ED">
      <w:r>
        <w:separator/>
      </w:r>
    </w:p>
  </w:endnote>
  <w:endnote w:type="continuationSeparator" w:id="0">
    <w:p w14:paraId="25CC33E4" w14:textId="77777777" w:rsidR="00A126ED" w:rsidRDefault="00A1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AdvGulliv-R">
    <w:altName w:val="MS Gothic"/>
    <w:panose1 w:val="00000000000000000000"/>
    <w:charset w:val="00"/>
    <w:family w:val="roman"/>
    <w:notTrueType/>
    <w:pitch w:val="default"/>
    <w:sig w:usb0="00000001"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01E7" w14:textId="77777777" w:rsidR="00CE645B" w:rsidRDefault="00CE64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C374E" w14:textId="77777777" w:rsidR="00A126ED" w:rsidRDefault="00A126ED">
      <w:r>
        <w:separator/>
      </w:r>
    </w:p>
  </w:footnote>
  <w:footnote w:type="continuationSeparator" w:id="0">
    <w:p w14:paraId="2F1583DE" w14:textId="77777777" w:rsidR="00A126ED" w:rsidRDefault="00A126ED">
      <w:r>
        <w:continuationSeparator/>
      </w:r>
    </w:p>
  </w:footnote>
  <w:footnote w:id="1">
    <w:p w14:paraId="5533284E" w14:textId="77777777" w:rsidR="003F6036" w:rsidRPr="003C4908" w:rsidRDefault="003F6036" w:rsidP="003F6036">
      <w:pPr>
        <w:pStyle w:val="Textodenotaderodap"/>
        <w:rPr>
          <w:rFonts w:ascii="Times New Roman" w:hAnsi="Times New Roman" w:cs="Times New Roman"/>
          <w:i/>
        </w:rPr>
      </w:pPr>
      <w:r>
        <w:rPr>
          <w:rStyle w:val="Refdenotaderodap"/>
        </w:rPr>
        <w:footnoteRef/>
      </w:r>
      <w:r w:rsidRPr="00F85ECC">
        <w:rPr>
          <w:vertAlign w:val="superscript"/>
        </w:rPr>
        <w:t>,2,4</w:t>
      </w:r>
      <w:r>
        <w:t xml:space="preserve"> </w:t>
      </w:r>
      <w:r w:rsidRPr="00A4375F">
        <w:rPr>
          <w:rFonts w:ascii="Times New Roman" w:hAnsi="Times New Roman" w:cs="Times New Roman"/>
          <w:i/>
          <w:sz w:val="18"/>
        </w:rPr>
        <w:t>Universidade Federal de Uberlândia, Instituto de Química, Uberlândia</w:t>
      </w:r>
      <w:r>
        <w:rPr>
          <w:rFonts w:ascii="Times New Roman" w:hAnsi="Times New Roman" w:cs="Times New Roman"/>
          <w:i/>
          <w:sz w:val="18"/>
        </w:rPr>
        <w:t xml:space="preserve">, </w:t>
      </w:r>
      <w:r w:rsidRPr="00A4375F">
        <w:rPr>
          <w:rFonts w:ascii="Times New Roman" w:hAnsi="Times New Roman" w:cs="Times New Roman"/>
          <w:i/>
          <w:sz w:val="18"/>
        </w:rPr>
        <w:t>M</w:t>
      </w:r>
      <w:r>
        <w:rPr>
          <w:rFonts w:ascii="Times New Roman" w:hAnsi="Times New Roman" w:cs="Times New Roman"/>
          <w:i/>
          <w:sz w:val="18"/>
        </w:rPr>
        <w:t xml:space="preserve">inas </w:t>
      </w:r>
      <w:r w:rsidRPr="00A4375F">
        <w:rPr>
          <w:rFonts w:ascii="Times New Roman" w:hAnsi="Times New Roman" w:cs="Times New Roman"/>
          <w:i/>
          <w:sz w:val="18"/>
        </w:rPr>
        <w:t>G</w:t>
      </w:r>
      <w:r>
        <w:rPr>
          <w:rFonts w:ascii="Times New Roman" w:hAnsi="Times New Roman" w:cs="Times New Roman"/>
          <w:i/>
          <w:sz w:val="18"/>
        </w:rPr>
        <w:t xml:space="preserve">erais. </w:t>
      </w:r>
      <w:r w:rsidRPr="003C4908">
        <w:rPr>
          <w:rFonts w:ascii="Times New Roman" w:hAnsi="Times New Roman" w:cs="Times New Roman"/>
          <w:i/>
          <w:sz w:val="18"/>
        </w:rPr>
        <w:t>*</w:t>
      </w:r>
      <w:r w:rsidRPr="003C4908">
        <w:rPr>
          <w:rFonts w:ascii="Times New Roman" w:hAnsi="Times New Roman" w:cs="Times New Roman"/>
          <w:b/>
          <w:i/>
          <w:sz w:val="18"/>
        </w:rPr>
        <w:t>franzleandro_16@yahoo.com.br</w:t>
      </w:r>
    </w:p>
    <w:p w14:paraId="269E1B78" w14:textId="77777777" w:rsidR="003F6036" w:rsidRDefault="003F6036" w:rsidP="003F6036">
      <w:pPr>
        <w:pStyle w:val="Textodenotaderodap"/>
      </w:pPr>
      <w:r>
        <w:rPr>
          <w:rStyle w:val="Refdenotaderodap"/>
        </w:rPr>
        <w:t>3</w:t>
      </w:r>
      <w:r w:rsidRPr="00A4375F">
        <w:rPr>
          <w:rFonts w:ascii="Times New Roman" w:hAnsi="Times New Roman" w:cs="Times New Roman"/>
          <w:i/>
          <w:sz w:val="18"/>
        </w:rPr>
        <w:t>Universidade</w:t>
      </w:r>
      <w:r>
        <w:rPr>
          <w:rFonts w:ascii="Times New Roman" w:hAnsi="Times New Roman" w:cs="Times New Roman"/>
          <w:i/>
          <w:sz w:val="18"/>
        </w:rPr>
        <w:t xml:space="preserve"> Estadual Paulista, Rio Claro, São Paulo, </w:t>
      </w:r>
    </w:p>
    <w:p w14:paraId="1A9089FC" w14:textId="77777777" w:rsidR="003F6036" w:rsidRPr="00F85ECC" w:rsidRDefault="003F6036" w:rsidP="003F6036">
      <w:pPr>
        <w:pStyle w:val="Textodenotaderodap"/>
      </w:pPr>
      <w:r w:rsidRPr="00F85ECC">
        <w:rPr>
          <w:vertAlign w:val="superscript"/>
        </w:rPr>
        <w:t>5</w:t>
      </w:r>
      <w:r w:rsidRPr="002F2E9B">
        <w:rPr>
          <w:rFonts w:ascii="Times New Roman" w:hAnsi="Times New Roman" w:cs="Times New Roman"/>
          <w:i/>
          <w:iCs/>
          <w:sz w:val="18"/>
        </w:rPr>
        <w:t>Universidade Federal do Triângulo Mineiro, Instituto de Ciências Exatas, Naturais e Educação</w:t>
      </w:r>
      <w:r>
        <w:rPr>
          <w:rFonts w:ascii="Times New Roman" w:hAnsi="Times New Roman" w:cs="Times New Roman"/>
          <w:i/>
          <w:iCs/>
          <w:sz w:val="18"/>
        </w:rPr>
        <w:t>, Uberaba</w:t>
      </w:r>
      <w:r>
        <w:rPr>
          <w:rFonts w:ascii="Times New Roman" w:hAnsi="Times New Roman" w:cs="Times New Roman"/>
          <w:i/>
          <w:sz w:val="18"/>
        </w:rPr>
        <w:t xml:space="preserve">, </w:t>
      </w:r>
      <w:r w:rsidRPr="00A4375F">
        <w:rPr>
          <w:rFonts w:ascii="Times New Roman" w:hAnsi="Times New Roman" w:cs="Times New Roman"/>
          <w:i/>
          <w:sz w:val="18"/>
        </w:rPr>
        <w:t>M</w:t>
      </w:r>
      <w:r>
        <w:rPr>
          <w:rFonts w:ascii="Times New Roman" w:hAnsi="Times New Roman" w:cs="Times New Roman"/>
          <w:i/>
          <w:sz w:val="18"/>
        </w:rPr>
        <w:t xml:space="preserve">inas </w:t>
      </w:r>
      <w:r w:rsidRPr="00A4375F">
        <w:rPr>
          <w:rFonts w:ascii="Times New Roman" w:hAnsi="Times New Roman" w:cs="Times New Roman"/>
          <w:i/>
          <w:sz w:val="18"/>
        </w:rPr>
        <w:t>G</w:t>
      </w:r>
      <w:r>
        <w:rPr>
          <w:rFonts w:ascii="Times New Roman" w:hAnsi="Times New Roman" w:cs="Times New Roman"/>
          <w:i/>
          <w:sz w:val="18"/>
        </w:rPr>
        <w:t xml:space="preserve">erais. </w:t>
      </w:r>
    </w:p>
  </w:footnote>
  <w:footnote w:id="2">
    <w:p w14:paraId="23BB8018" w14:textId="5217F34C" w:rsidR="00F33759" w:rsidRDefault="00F33759">
      <w:pPr>
        <w:pBdr>
          <w:top w:val="nil"/>
          <w:left w:val="nil"/>
          <w:bottom w:val="nil"/>
          <w:right w:val="nil"/>
          <w:between w:val="nil"/>
        </w:pBdr>
        <w:jc w:val="both"/>
        <w:rPr>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B74D" w14:textId="77777777" w:rsidR="00F33759" w:rsidRDefault="001D6ACC">
    <w:pPr>
      <w:keepNext/>
      <w:pBdr>
        <w:top w:val="nil"/>
        <w:left w:val="nil"/>
        <w:bottom w:val="nil"/>
        <w:right w:val="nil"/>
        <w:between w:val="nil"/>
      </w:pBdr>
      <w:rPr>
        <w:smallCaps/>
        <w:color w:val="000000"/>
        <w:sz w:val="24"/>
        <w:szCs w:val="24"/>
      </w:rPr>
    </w:pP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t xml:space="preserve"> </w:t>
    </w:r>
  </w:p>
  <w:p w14:paraId="36C2D320" w14:textId="77777777" w:rsidR="00F33759" w:rsidRDefault="001D6ACC">
    <w:pPr>
      <w:keepNext/>
      <w:pBdr>
        <w:top w:val="nil"/>
        <w:left w:val="nil"/>
        <w:bottom w:val="nil"/>
        <w:right w:val="nil"/>
        <w:between w:val="nil"/>
      </w:pBdr>
      <w:jc w:val="center"/>
      <w:rPr>
        <w:smallCaps/>
        <w:color w:val="000000"/>
        <w:sz w:val="28"/>
        <w:szCs w:val="28"/>
      </w:rPr>
    </w:pPr>
    <w:r>
      <w:rPr>
        <w:smallCaps/>
        <w:noProof/>
        <w:color w:val="000000"/>
        <w:sz w:val="28"/>
        <w:szCs w:val="28"/>
      </w:rPr>
      <w:drawing>
        <wp:inline distT="0" distB="0" distL="114300" distR="114300" wp14:anchorId="73A283DD" wp14:editId="3CA998A4">
          <wp:extent cx="2847975" cy="1412240"/>
          <wp:effectExtent l="0" t="0" r="0" b="0"/>
          <wp:docPr id="1" name="image2.png" descr="http://www.congressobiomassa.com/2018/img/logo-white.png"/>
          <wp:cNvGraphicFramePr/>
          <a:graphic xmlns:a="http://schemas.openxmlformats.org/drawingml/2006/main">
            <a:graphicData uri="http://schemas.openxmlformats.org/drawingml/2006/picture">
              <pic:pic xmlns:pic="http://schemas.openxmlformats.org/drawingml/2006/picture">
                <pic:nvPicPr>
                  <pic:cNvPr id="0" name="image2.png" descr="http://www.congressobiomassa.com/2018/img/logo-white.png"/>
                  <pic:cNvPicPr preferRelativeResize="0"/>
                </pic:nvPicPr>
                <pic:blipFill>
                  <a:blip r:embed="rId1"/>
                  <a:srcRect b="-7338"/>
                  <a:stretch>
                    <a:fillRect/>
                  </a:stretch>
                </pic:blipFill>
                <pic:spPr>
                  <a:xfrm>
                    <a:off x="0" y="0"/>
                    <a:ext cx="2847975" cy="1412240"/>
                  </a:xfrm>
                  <a:prstGeom prst="rect">
                    <a:avLst/>
                  </a:prstGeom>
                  <a:ln/>
                </pic:spPr>
              </pic:pic>
            </a:graphicData>
          </a:graphic>
        </wp:inline>
      </w:drawing>
    </w:r>
    <w:r>
      <w:rPr>
        <w:smallCaps/>
        <w:noProof/>
        <w:sz w:val="28"/>
        <w:szCs w:val="28"/>
      </w:rPr>
      <w:drawing>
        <wp:inline distT="0" distB="0" distL="114300" distR="114300" wp14:anchorId="5151A006" wp14:editId="4374D4DB">
          <wp:extent cx="2720813" cy="4534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033" t="-6815" r="-3033" b="-6815"/>
                  <a:stretch>
                    <a:fillRect/>
                  </a:stretch>
                </pic:blipFill>
                <pic:spPr>
                  <a:xfrm>
                    <a:off x="0" y="0"/>
                    <a:ext cx="2720813" cy="453469"/>
                  </a:xfrm>
                  <a:prstGeom prst="rect">
                    <a:avLst/>
                  </a:prstGeom>
                  <a:ln/>
                </pic:spPr>
              </pic:pic>
            </a:graphicData>
          </a:graphic>
        </wp:inline>
      </w:drawing>
    </w:r>
  </w:p>
  <w:p w14:paraId="6B2A3768" w14:textId="77777777" w:rsidR="00F33759" w:rsidRDefault="001D6ACC">
    <w:r>
      <w:t xml:space="preserve">  </w:t>
    </w:r>
    <w:r>
      <w:tab/>
    </w:r>
    <w:r>
      <w:tab/>
    </w:r>
    <w:r>
      <w:tab/>
    </w:r>
    <w:r>
      <w:tab/>
    </w:r>
    <w:r>
      <w:tab/>
    </w:r>
    <w:r>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FBB3" w14:textId="77777777" w:rsidR="00F33759" w:rsidRDefault="00F33759">
    <w:pPr>
      <w:jc w:val="right"/>
    </w:pPr>
  </w:p>
  <w:p w14:paraId="4EF90992" w14:textId="77777777" w:rsidR="00F33759" w:rsidRDefault="001D6ACC">
    <w:pPr>
      <w:pBdr>
        <w:top w:val="nil"/>
        <w:left w:val="nil"/>
        <w:bottom w:val="nil"/>
        <w:right w:val="nil"/>
        <w:between w:val="nil"/>
      </w:pBdr>
      <w:tabs>
        <w:tab w:val="center" w:pos="4320"/>
        <w:tab w:val="right" w:pos="8640"/>
      </w:tabs>
      <w:jc w:val="center"/>
      <w:rPr>
        <w:color w:val="000000"/>
      </w:rPr>
    </w:pPr>
    <w:r>
      <w:rPr>
        <w:color w:val="000000"/>
      </w:rPr>
      <w:t>Insira o número do seu trabalho aqui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5730" w14:textId="77777777" w:rsidR="003F6036" w:rsidRDefault="003F6036">
    <w:pPr>
      <w:keepNext/>
      <w:pBdr>
        <w:top w:val="nil"/>
        <w:left w:val="nil"/>
        <w:bottom w:val="nil"/>
        <w:right w:val="nil"/>
        <w:between w:val="nil"/>
      </w:pBdr>
      <w:rPr>
        <w:smallCaps/>
        <w:color w:val="000000"/>
        <w:sz w:val="24"/>
        <w:szCs w:val="24"/>
      </w:rPr>
    </w:pP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r>
    <w:r>
      <w:rPr>
        <w:b/>
        <w:smallCaps/>
        <w:color w:val="000000"/>
        <w:sz w:val="28"/>
        <w:szCs w:val="28"/>
      </w:rPr>
      <w:tab/>
      <w:t xml:space="preserve"> </w:t>
    </w:r>
  </w:p>
  <w:p w14:paraId="38AD8935" w14:textId="2EED90E1" w:rsidR="003F6036" w:rsidRDefault="003F6036">
    <w:pPr>
      <w:keepNext/>
      <w:pBdr>
        <w:top w:val="nil"/>
        <w:left w:val="nil"/>
        <w:bottom w:val="nil"/>
        <w:right w:val="nil"/>
        <w:between w:val="nil"/>
      </w:pBdr>
      <w:jc w:val="center"/>
      <w:rPr>
        <w:smallCaps/>
        <w:color w:val="000000"/>
        <w:sz w:val="28"/>
        <w:szCs w:val="28"/>
      </w:rPr>
    </w:pPr>
  </w:p>
  <w:p w14:paraId="747575A4" w14:textId="77777777" w:rsidR="003F6036" w:rsidRDefault="003F6036">
    <w:r>
      <w:t xml:space="preserve">  </w:t>
    </w:r>
    <w:r>
      <w:tab/>
    </w:r>
    <w:r>
      <w:tab/>
    </w:r>
    <w:r>
      <w:tab/>
    </w:r>
    <w:r>
      <w:tab/>
    </w:r>
    <w:r>
      <w:tab/>
    </w:r>
    <w:r>
      <w:tab/>
    </w:r>
    <w:r>
      <w:tab/>
    </w:r>
    <w:r>
      <w:tab/>
    </w:r>
    <w:r>
      <w:tab/>
    </w:r>
    <w:r>
      <w:tab/>
    </w:r>
    <w:r>
      <w:tab/>
    </w:r>
    <w:r>
      <w:tab/>
    </w:r>
    <w:r>
      <w:tab/>
    </w: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A03B" w14:textId="77777777" w:rsidR="00F33759" w:rsidRDefault="00F337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21406"/>
    <w:multiLevelType w:val="multilevel"/>
    <w:tmpl w:val="57B66D8A"/>
    <w:lvl w:ilvl="0">
      <w:start w:val="1"/>
      <w:numFmt w:val="decimal"/>
      <w:lvlText w:val="[%1]"/>
      <w:lvlJc w:val="left"/>
      <w:pPr>
        <w:ind w:left="360"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59"/>
    <w:rsid w:val="000601EA"/>
    <w:rsid w:val="000F1B54"/>
    <w:rsid w:val="001D6ACC"/>
    <w:rsid w:val="003F6036"/>
    <w:rsid w:val="00496333"/>
    <w:rsid w:val="004E0971"/>
    <w:rsid w:val="0065190B"/>
    <w:rsid w:val="00694B8D"/>
    <w:rsid w:val="006D53A6"/>
    <w:rsid w:val="009404C1"/>
    <w:rsid w:val="009818A2"/>
    <w:rsid w:val="00A126ED"/>
    <w:rsid w:val="00A6700B"/>
    <w:rsid w:val="00C56669"/>
    <w:rsid w:val="00CE645B"/>
    <w:rsid w:val="00F33759"/>
    <w:rsid w:val="00FB3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14BA"/>
  <w15:docId w15:val="{2D3526E6-07CE-4379-A061-64D542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Cabealho">
    <w:name w:val="header"/>
    <w:basedOn w:val="Normal"/>
    <w:link w:val="CabealhoChar"/>
    <w:uiPriority w:val="99"/>
    <w:unhideWhenUsed/>
    <w:rsid w:val="009404C1"/>
    <w:pPr>
      <w:tabs>
        <w:tab w:val="center" w:pos="4252"/>
        <w:tab w:val="right" w:pos="8504"/>
      </w:tabs>
    </w:pPr>
  </w:style>
  <w:style w:type="character" w:customStyle="1" w:styleId="CabealhoChar">
    <w:name w:val="Cabeçalho Char"/>
    <w:basedOn w:val="Fontepargpadro"/>
    <w:link w:val="Cabealho"/>
    <w:uiPriority w:val="99"/>
    <w:rsid w:val="009404C1"/>
  </w:style>
  <w:style w:type="paragraph" w:styleId="Rodap">
    <w:name w:val="footer"/>
    <w:basedOn w:val="Normal"/>
    <w:link w:val="RodapChar"/>
    <w:uiPriority w:val="99"/>
    <w:unhideWhenUsed/>
    <w:rsid w:val="009404C1"/>
    <w:pPr>
      <w:tabs>
        <w:tab w:val="center" w:pos="4252"/>
        <w:tab w:val="right" w:pos="8504"/>
      </w:tabs>
    </w:pPr>
  </w:style>
  <w:style w:type="character" w:customStyle="1" w:styleId="RodapChar">
    <w:name w:val="Rodapé Char"/>
    <w:basedOn w:val="Fontepargpadro"/>
    <w:link w:val="Rodap"/>
    <w:uiPriority w:val="99"/>
    <w:rsid w:val="009404C1"/>
  </w:style>
  <w:style w:type="character" w:customStyle="1" w:styleId="normaltextrun">
    <w:name w:val="normaltextrun"/>
    <w:basedOn w:val="Fontepargpadro"/>
    <w:rsid w:val="003F6036"/>
  </w:style>
  <w:style w:type="paragraph" w:styleId="Textodenotaderodap">
    <w:name w:val="footnote text"/>
    <w:basedOn w:val="Normal"/>
    <w:link w:val="TextodenotaderodapChar"/>
    <w:uiPriority w:val="99"/>
    <w:semiHidden/>
    <w:unhideWhenUsed/>
    <w:rsid w:val="003F6036"/>
    <w:rPr>
      <w:rFonts w:asciiTheme="minorHAnsi" w:eastAsiaTheme="minorEastAsia"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3F6036"/>
    <w:rPr>
      <w:rFonts w:asciiTheme="minorHAnsi" w:eastAsiaTheme="minorEastAsia" w:hAnsiTheme="minorHAnsi" w:cstheme="minorBidi"/>
      <w:lang w:eastAsia="en-US"/>
    </w:rPr>
  </w:style>
  <w:style w:type="character" w:styleId="Refdenotaderodap">
    <w:name w:val="footnote reference"/>
    <w:basedOn w:val="Fontepargpadro"/>
    <w:uiPriority w:val="99"/>
    <w:semiHidden/>
    <w:unhideWhenUsed/>
    <w:rsid w:val="003F6036"/>
    <w:rPr>
      <w:vertAlign w:val="superscript"/>
    </w:rPr>
  </w:style>
  <w:style w:type="paragraph" w:styleId="Textodecomentrio">
    <w:name w:val="annotation text"/>
    <w:basedOn w:val="Normal"/>
    <w:link w:val="TextodecomentrioChar"/>
    <w:uiPriority w:val="99"/>
    <w:unhideWhenUsed/>
    <w:rsid w:val="003F6036"/>
    <w:rPr>
      <w:rFonts w:asciiTheme="minorHAnsi" w:eastAsiaTheme="minorEastAsia" w:hAnsiTheme="minorHAnsi" w:cstheme="minorBidi"/>
      <w:lang w:eastAsia="en-US"/>
    </w:rPr>
  </w:style>
  <w:style w:type="character" w:customStyle="1" w:styleId="TextodecomentrioChar">
    <w:name w:val="Texto de comentário Char"/>
    <w:basedOn w:val="Fontepargpadro"/>
    <w:link w:val="Textodecomentrio"/>
    <w:uiPriority w:val="99"/>
    <w:rsid w:val="003F6036"/>
    <w:rPr>
      <w:rFonts w:asciiTheme="minorHAnsi" w:eastAsiaTheme="minorEastAsia" w:hAnsiTheme="minorHAnsi" w:cstheme="minorBidi"/>
      <w:lang w:eastAsia="en-US"/>
    </w:rPr>
  </w:style>
  <w:style w:type="character" w:customStyle="1" w:styleId="fsa">
    <w:name w:val="fsa"/>
    <w:basedOn w:val="Fontepargpadro"/>
    <w:rsid w:val="003F6036"/>
  </w:style>
  <w:style w:type="character" w:customStyle="1" w:styleId="apple-converted-space">
    <w:name w:val="apple-converted-space"/>
    <w:basedOn w:val="Fontepargpadro"/>
    <w:rsid w:val="003F6036"/>
  </w:style>
  <w:style w:type="character" w:customStyle="1" w:styleId="citationvolume">
    <w:name w:val="citation_volume"/>
    <w:basedOn w:val="Fontepargpadro"/>
    <w:rsid w:val="003F6036"/>
  </w:style>
  <w:style w:type="character" w:styleId="nfase">
    <w:name w:val="Emphasis"/>
    <w:basedOn w:val="Fontepargpadro"/>
    <w:uiPriority w:val="20"/>
    <w:qFormat/>
    <w:rsid w:val="003F6036"/>
    <w:rPr>
      <w:i/>
      <w:iCs/>
    </w:rPr>
  </w:style>
  <w:style w:type="character" w:styleId="Hyperlink">
    <w:name w:val="Hyperlink"/>
    <w:basedOn w:val="Fontepargpadro"/>
    <w:uiPriority w:val="99"/>
    <w:unhideWhenUsed/>
    <w:rsid w:val="003F6036"/>
    <w:rPr>
      <w:color w:val="0000FF"/>
      <w:u w:val="single"/>
    </w:rPr>
  </w:style>
  <w:style w:type="character" w:styleId="CitaoHTML">
    <w:name w:val="HTML Cite"/>
    <w:basedOn w:val="Fontepargpadro"/>
    <w:uiPriority w:val="99"/>
    <w:semiHidden/>
    <w:unhideWhenUsed/>
    <w:rsid w:val="003F6036"/>
    <w:rPr>
      <w:i/>
      <w:iCs/>
    </w:rPr>
  </w:style>
  <w:style w:type="paragraph" w:styleId="PargrafodaLista">
    <w:name w:val="List Paragraph"/>
    <w:basedOn w:val="Normal"/>
    <w:uiPriority w:val="34"/>
    <w:qFormat/>
    <w:rsid w:val="003F60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lfld-contribauthor">
    <w:name w:val="hlfld-contribauthor"/>
    <w:basedOn w:val="Fontepargpadro"/>
    <w:rsid w:val="003F6036"/>
  </w:style>
  <w:style w:type="character" w:customStyle="1" w:styleId="title-text">
    <w:name w:val="title-text"/>
    <w:basedOn w:val="Fontepargpadro"/>
    <w:rsid w:val="003F6036"/>
  </w:style>
  <w:style w:type="character" w:customStyle="1" w:styleId="bold">
    <w:name w:val="bold"/>
    <w:basedOn w:val="Fontepargpadro"/>
    <w:rsid w:val="003F6036"/>
  </w:style>
  <w:style w:type="character" w:customStyle="1" w:styleId="titleheading">
    <w:name w:val="title_heading"/>
    <w:basedOn w:val="Fontepargpadro"/>
    <w:rsid w:val="003F6036"/>
  </w:style>
  <w:style w:type="table" w:styleId="Tabelacomgrade">
    <w:name w:val="Table Grid"/>
    <w:basedOn w:val="Tabelanormal"/>
    <w:uiPriority w:val="59"/>
    <w:rsid w:val="004E0971"/>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qFormat/>
    <w:rsid w:val="004E0971"/>
    <w:pPr>
      <w:spacing w:line="360" w:lineRule="auto"/>
      <w:jc w:val="both"/>
    </w:pPr>
    <w:rPr>
      <w:rFonts w:ascii="Arial" w:hAnsi="Arial"/>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doi.org/10.1021/acs.energyfuels.5b0211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2825</Words>
  <Characters>15258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10</cp:revision>
  <dcterms:created xsi:type="dcterms:W3CDTF">2020-10-21T12:39:00Z</dcterms:created>
  <dcterms:modified xsi:type="dcterms:W3CDTF">2020-11-05T21:46:00Z</dcterms:modified>
</cp:coreProperties>
</file>