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B16084">
      <w:pPr>
        <w:jc w:val="center"/>
        <w:rPr>
          <w:rFonts w:ascii="Times New Roman" w:hAnsi="Times New Roman" w:eastAsia="Segoe UI" w:cs="Times New Roman"/>
          <w:color w:val="0D0D0D"/>
          <w:szCs w:val="24"/>
          <w:shd w:val="clear" w:color="auto" w:fill="FFFFFF"/>
        </w:rPr>
      </w:pPr>
    </w:p>
    <w:p w14:paraId="1AC1FB62">
      <w:pPr>
        <w:ind w:left="0" w:leftChars="0" w:firstLine="0" w:firstLineChars="0"/>
        <w:rPr>
          <w:rFonts w:cs="Times New Roman"/>
          <w:sz w:val="36"/>
          <w:szCs w:val="36"/>
        </w:rPr>
      </w:pPr>
      <w:r>
        <w:rPr>
          <w:rFonts w:eastAsia="Segoe UI" w:cs="Times New Roman"/>
          <w:b/>
          <w:bCs/>
          <w:color w:val="0D0D0D"/>
          <w:sz w:val="36"/>
          <w:szCs w:val="36"/>
          <w:shd w:val="clear" w:color="auto" w:fill="FFFFFF"/>
        </w:rPr>
        <w:t>APLICABILIDADE DA ABORDAGEM DE NEXUS NA INTEGRAÇÃO COM OS OBJETIVOS DO DESENVOLVIMENTO SUSTENTÁVEL (ODS) - REVISÃO SISTEMÁTICA DE LITERATURA INTERNACIONAL</w:t>
      </w:r>
    </w:p>
    <w:p w14:paraId="30A06CC1">
      <w:pPr>
        <w:jc w:val="center"/>
        <w:rPr>
          <w:rFonts w:ascii="Times New Roman" w:hAnsi="Times New Roman" w:cs="Times New Roman"/>
          <w:szCs w:val="24"/>
        </w:rPr>
      </w:pPr>
    </w:p>
    <w:p w14:paraId="013EBE43">
      <w:pPr>
        <w:jc w:val="center"/>
        <w:rPr>
          <w:rFonts w:ascii="Times New Roman" w:hAnsi="Times New Roman" w:cs="Times New Roman"/>
          <w:szCs w:val="24"/>
        </w:rPr>
      </w:pPr>
    </w:p>
    <w:p w14:paraId="5ADA4704">
      <w:pPr>
        <w:spacing w:after="0"/>
        <w:jc w:val="right"/>
        <w:rPr>
          <w:rFonts w:ascii="Times New Roman" w:hAnsi="Times New Roman" w:cs="Times New Roman"/>
          <w:sz w:val="22"/>
        </w:rPr>
      </w:pPr>
      <w:r>
        <w:rPr>
          <w:rFonts w:ascii="Times New Roman" w:hAnsi="Times New Roman" w:cs="Times New Roman"/>
          <w:sz w:val="22"/>
        </w:rPr>
        <w:t xml:space="preserve"> Waldecy Rodrigues</w:t>
      </w:r>
      <w:r>
        <w:rPr>
          <w:rStyle w:val="5"/>
          <w:rFonts w:ascii="Times New Roman" w:hAnsi="Times New Roman" w:cs="Times New Roman"/>
          <w:sz w:val="22"/>
        </w:rPr>
        <w:footnoteReference w:id="0"/>
      </w:r>
    </w:p>
    <w:p w14:paraId="74A428A0">
      <w:pPr>
        <w:spacing w:after="0"/>
        <w:jc w:val="right"/>
        <w:rPr>
          <w:rFonts w:ascii="Times New Roman" w:hAnsi="Times New Roman" w:cs="Times New Roman"/>
          <w:sz w:val="22"/>
        </w:rPr>
      </w:pPr>
      <w:r>
        <w:rPr>
          <w:rFonts w:ascii="Times New Roman" w:hAnsi="Times New Roman" w:cs="Times New Roman"/>
          <w:sz w:val="22"/>
        </w:rPr>
        <w:t>Elizamar Gomes da Silva Pupio</w:t>
      </w:r>
      <w:r>
        <w:rPr>
          <w:rStyle w:val="5"/>
          <w:rFonts w:ascii="Times New Roman" w:hAnsi="Times New Roman" w:cs="Times New Roman"/>
          <w:sz w:val="22"/>
        </w:rPr>
        <w:footnoteReference w:id="1"/>
      </w:r>
    </w:p>
    <w:p w14:paraId="153A061F">
      <w:pPr>
        <w:spacing w:after="0"/>
        <w:jc w:val="right"/>
        <w:rPr>
          <w:rFonts w:ascii="Times New Roman" w:hAnsi="Times New Roman" w:cs="Times New Roman"/>
          <w:szCs w:val="24"/>
        </w:rPr>
      </w:pPr>
      <w:bookmarkStart w:id="0" w:name="_GoBack"/>
      <w:bookmarkEnd w:id="0"/>
      <w:r>
        <w:rPr>
          <w:rFonts w:ascii="Times New Roman" w:hAnsi="Times New Roman" w:cs="Times New Roman"/>
          <w:sz w:val="22"/>
        </w:rPr>
        <w:t>Nayara Silva dos Santos</w:t>
      </w:r>
      <w:r>
        <w:rPr>
          <w:rStyle w:val="5"/>
          <w:rFonts w:ascii="Times New Roman" w:hAnsi="Times New Roman" w:cs="Times New Roman"/>
        </w:rPr>
        <w:footnoteReference w:id="2"/>
      </w:r>
    </w:p>
    <w:p w14:paraId="240EC19B">
      <w:pPr>
        <w:ind w:firstLine="0"/>
        <w:rPr>
          <w:rFonts w:ascii="Times New Roman" w:hAnsi="Times New Roman" w:cs="Times New Roman"/>
          <w:b/>
          <w:bCs/>
          <w:szCs w:val="24"/>
        </w:rPr>
      </w:pPr>
    </w:p>
    <w:p w14:paraId="611CF990">
      <w:pPr>
        <w:ind w:firstLine="0"/>
        <w:rPr>
          <w:rFonts w:ascii="Times New Roman" w:hAnsi="Times New Roman" w:cs="Times New Roman"/>
          <w:b/>
          <w:bCs/>
          <w:szCs w:val="24"/>
        </w:rPr>
      </w:pPr>
    </w:p>
    <w:p w14:paraId="4C74B15A">
      <w:pPr>
        <w:ind w:firstLine="0"/>
        <w:rPr>
          <w:rFonts w:ascii="Times New Roman" w:hAnsi="Times New Roman" w:cs="Times New Roman"/>
          <w:b/>
          <w:bCs/>
          <w:szCs w:val="24"/>
        </w:rPr>
      </w:pPr>
    </w:p>
    <w:p w14:paraId="186F5FB4">
      <w:pPr>
        <w:ind w:firstLine="0"/>
        <w:rPr>
          <w:rFonts w:ascii="Times New Roman" w:hAnsi="Times New Roman" w:cs="Times New Roman"/>
          <w:b/>
          <w:bCs/>
          <w:szCs w:val="24"/>
        </w:rPr>
      </w:pPr>
    </w:p>
    <w:p w14:paraId="4270DAFD">
      <w:pPr>
        <w:ind w:firstLine="0"/>
        <w:rPr>
          <w:rFonts w:ascii="Times New Roman" w:hAnsi="Times New Roman" w:cs="Times New Roman"/>
          <w:b/>
          <w:bCs/>
          <w:szCs w:val="24"/>
        </w:rPr>
      </w:pPr>
      <w:r>
        <w:rPr>
          <w:rFonts w:ascii="Times New Roman" w:hAnsi="Times New Roman" w:cs="Times New Roman"/>
          <w:b/>
          <w:bCs/>
          <w:szCs w:val="24"/>
        </w:rPr>
        <w:t>RESUMO</w:t>
      </w:r>
    </w:p>
    <w:p w14:paraId="312183BD">
      <w:pPr>
        <w:pStyle w:val="8"/>
      </w:pPr>
    </w:p>
    <w:p w14:paraId="08A7F227">
      <w:pPr>
        <w:pStyle w:val="8"/>
      </w:pPr>
      <w:r>
        <w:t xml:space="preserve">Este estudo opta pela revisão sistemática de literatura internacional para analisar publicações sobre a abordagem Nexus em análise dos Objetivos do desenvolvimento sustentável (ODS) da agenda 2030 da Organização das Nações Unidas. A perspectiva metodológica objetiva identificar o interesse da comunidade acadêmica internacional sobre essa abordagem, analisando os elementos água, energia e alimento e sua interação com a sustentabilidade. Na análise, recorreu-se à busca de periódicos com publicações científicas internacionais nas plataformas Google acadêmico e CAPES, na base de dados Scopus. A busca foi direcionada pelo critério de palavras indutoras, “Nexus and wef ODS”, cujas amostras de 10 e 26 publicações respectivamente, publicadas entre 2015 e 2022, apontam como resultado um interesse global em torno dessa temática, tendo como foco principal os elementos água, energia e alimento, mas explorando outros fatores como a governança institucional como fundamental ao atingimento dos ODS. </w:t>
      </w:r>
    </w:p>
    <w:p w14:paraId="258FCA24">
      <w:pPr>
        <w:pStyle w:val="8"/>
      </w:pPr>
      <w:r>
        <w:rPr>
          <w:b/>
          <w:sz w:val="22"/>
        </w:rPr>
        <w:t>Palavras-chave</w:t>
      </w:r>
      <w:r>
        <w:rPr>
          <w:sz w:val="22"/>
        </w:rPr>
        <w:t xml:space="preserve">: Abordagem </w:t>
      </w:r>
      <w:r>
        <w:rPr>
          <w:i/>
          <w:sz w:val="22"/>
        </w:rPr>
        <w:t>Nexus</w:t>
      </w:r>
      <w:r>
        <w:rPr>
          <w:sz w:val="22"/>
        </w:rPr>
        <w:t>; ODS; elementos integradores; sustentabilidade.</w:t>
      </w:r>
      <w:r>
        <w:t xml:space="preserve">   </w:t>
      </w:r>
    </w:p>
    <w:p w14:paraId="184A95AE">
      <w:pPr>
        <w:pStyle w:val="2"/>
      </w:pPr>
      <w:r>
        <w:t>1 INTRODUÇÃO</w:t>
      </w:r>
    </w:p>
    <w:p w14:paraId="7894311D">
      <w:r>
        <w:rPr>
          <w:rFonts w:ascii="Times New Roman" w:hAnsi="Times New Roman"/>
          <w:szCs w:val="24"/>
        </w:rPr>
        <w:t xml:space="preserve"> </w:t>
      </w:r>
      <w:r>
        <w:t xml:space="preserve">O conceito sobre Abordagens de Nexus se baseia na importância de compreensão sobre as conexões existentes entre as diversas demandas da humanidade por água-alimento e energia que se impõem como um desafio global na medida em que a população mundial avança, aumentando também a pressão sobre os recursos naturais. A palavra "nexo" (do latim néctar, conectar) tem sido usada há muito tempo em filosofia, biologia celular e economia, para se referir a abordagens que tratam das ligações entre várias entidades distintas (LIU et al, 2018). </w:t>
      </w:r>
    </w:p>
    <w:p w14:paraId="682D1DF1">
      <w:r>
        <w:t>Segundo esses autores, a terminologia Nexus foi usada pela primeira vez, no domínio dos recursos naturais, em 1983 no Programa Food-Energy Nexus, que buscava soluções integradas para a escassez de alimentos e energia. A partir daí sua aplicabilidade no contexto do desenvolvimento sustentável como ferramenta de análise sinérgica foi cada vez mais crescente no ritmo de abordar pincipalmente a compensação entre setores, ganhando força com a agenda 2030 da ONU.</w:t>
      </w:r>
    </w:p>
    <w:p w14:paraId="25E2A2DC">
      <w:r>
        <w:t>A agenda 2030 foi lançada no ano de 2015, em continuidade à Agenda 2000/2015, da Organização das nações Unidas (ONU), resultante de um processo participativo global durante a realização da Assembleia Geral das Nações Unidas (AGNU). Sendo signatária por 193 Estados-membros da ONU, dentre eles o Brasil, a agenda se compromete com 17 objetivos do desenvolvimento sustentável, contendo 169 metas associadas, além de indicativos de monitoramento e avaliação da proposta (NAÇÕES UNIDAS, 2016).</w:t>
      </w:r>
    </w:p>
    <w:p w14:paraId="028E9284">
      <w:r>
        <w:t>A inclusão dos elementos Nexus água-alimento-energia, como recursos interdependentes nos ecossistemas produtivos alimentares para promoção da conservação ambiental e do bem-estar humano, foi abordada antecipadamente durante a Conferência de Bonn na Alemanha em 2011, como forma de buscar respostas à Segurança alimentar do planeta, antecipando a discussão ocorrida na Conferência das Nações Unidas sobre Desenvolvimento Sustentável (Rio + 20), realizada em 2012, na cidade do Rio de Janeiro (BATISTA et al, 2021 apud, MORAES-SANTOS). Tal abordagem reconhece a impossibilidade irrefutável de dissociação dos recursos hídricos, alimentares e energéticos para a sustentabilidade dos sistemas agroalimentares e do planeta.</w:t>
      </w:r>
    </w:p>
    <w:p w14:paraId="32977518">
      <w:r>
        <w:t>As motivações do ponto de vista científico para a aplicabilidade da abordagem Nexus estão no maior reconhecimento sobre a conexão existente entre atividades de desenvolvimento econômico e recursos naturais; na crise global no fornecimento de recursos; na intensificação dos riscos de escassez e nas falhas de gestão e governança setorial (AL-SAID &amp; ELAGIB. 2017).</w:t>
      </w:r>
    </w:p>
    <w:p w14:paraId="7773FAD3">
      <w:r>
        <w:t xml:space="preserve">Por ser relativamente novo o conceito de Nexus é analisado sob diferentes interpretações, por autores diversos, e devido à singularidade do termo, permite amplas possibilidades de dissertação e análise. Sendo apresentado como um modelo, uma estratégia, uma diretriz de gerenciamento intersetorial e até um paradigma da gestão dos recursos naturais (TORRES, 2020). </w:t>
      </w:r>
    </w:p>
    <w:p w14:paraId="376A7115">
      <w:r>
        <w:t>Condicionadas às inúmeras possibilidades de interação surgem os questionamentos, como integrar a abordagem de Nexus aos objetivos do desenvolvimento sustentável? Há do ponto de vista científico elementos que conversem com a diversidade de fatores que abrangem os ODS? Na integração macro água-alimento e energia quais outros elementos podem ser explorados? Liu et al (2018) argumenta que existem inúmeras lacunas no campo político acerca de como implementar de maneira conjunta e integrada as metas dos ODS sem que os elementos conversem entre si. No campo científico o tema tem sido palco do centro de debate entre diversos atores (academia, setores público e privado e entidades interessadas) com vista à harmonização de políticas intersetoriais.</w:t>
      </w:r>
    </w:p>
    <w:p w14:paraId="2A96C7B4">
      <w:pPr>
        <w:rPr>
          <w:rFonts w:ascii="Times New Roman" w:hAnsi="Times New Roman" w:cs="Times New Roman"/>
          <w:sz w:val="20"/>
          <w:szCs w:val="20"/>
        </w:rPr>
      </w:pPr>
      <w:r>
        <w:t>Importante salientar que embora haja interpretações e abordagens diferenciadas acerca do termo, há convergência em afirmar que a abordagem de Nexus pode solucionar o desafio dos setores responsáveis pela formulação de políticas integradas em vista ao atingimento das metas da agenda 2030 em todo o mundo, sugerindo-se a melhora na tomada de decisão, na governança e a gestão das ações.</w:t>
      </w:r>
      <w:r>
        <w:rPr>
          <w:rFonts w:ascii="Times New Roman" w:hAnsi="Times New Roman" w:cs="Times New Roman"/>
          <w:sz w:val="20"/>
          <w:szCs w:val="20"/>
        </w:rPr>
        <w:t xml:space="preserve"> </w:t>
      </w:r>
    </w:p>
    <w:p w14:paraId="39290350">
      <w:pPr>
        <w:pStyle w:val="2"/>
      </w:pPr>
      <w:r>
        <w:t xml:space="preserve">2 A teoria </w:t>
      </w:r>
      <w:r>
        <w:rPr>
          <w:i/>
        </w:rPr>
        <w:t>Nexus</w:t>
      </w:r>
      <w:r>
        <w:t xml:space="preserve"> em expansão nos ODS</w:t>
      </w:r>
    </w:p>
    <w:p w14:paraId="19839149">
      <w:r>
        <w:rPr>
          <w:rFonts w:ascii="Times New Roman" w:hAnsi="Times New Roman" w:cs="Times New Roman"/>
        </w:rPr>
        <w:t xml:space="preserve"> </w:t>
      </w:r>
      <w:r>
        <w:t xml:space="preserve">A expansão do método </w:t>
      </w:r>
      <w:r>
        <w:rPr>
          <w:i/>
        </w:rPr>
        <w:t>Nexus</w:t>
      </w:r>
      <w:r>
        <w:t xml:space="preserve"> na análise sobre a relação entre fatores, segundo Liu </w:t>
      </w:r>
      <w:r>
        <w:rPr>
          <w:i/>
        </w:rPr>
        <w:t>et.al</w:t>
      </w:r>
      <w:r>
        <w:t>, (2018) é determinante ao alcance dos objetivos de desenvolvimento sustentável. Referência que os ODS, aprovados pela ONU em setembro de 2015, deram mais impulso a uma abordagem de nexo entre água (Objetivo 6), energia (Objetivo 7) e alimentos (Objetivo 2), que, respectivamente, contêm metas de alimentação segurança para todos, água limpa para todos e energia para todos; e porque as interligações são cruciais, uma abordagem de nexo bem coordenada pode ser o primeiro passo para atingir esses objetivos. Porém, a inter-relação não se resume somente a esses objetivos, discorrem:</w:t>
      </w:r>
    </w:p>
    <w:p w14:paraId="2C2F991F">
      <w:pPr>
        <w:pStyle w:val="21"/>
      </w:pPr>
    </w:p>
    <w:p w14:paraId="5124D9AD">
      <w:pPr>
        <w:pStyle w:val="21"/>
      </w:pPr>
      <w:r>
        <w:t>Seria útil aplicar abordagens de nexo à implementação dos ODS. As abordagens Nexus podem ajudar a alcançar os ODS porque os objetivos dos ODS estão interconectados e ligados aos setores de um determinado nexo. Por exemplo, o nexo alimento-energia-água está diretamente ligado aos ODS 2 (fome zero), 6 (água limpa e saneamento) e 7 (energia limpa e acessível). Esse nexo também afeta direta ou indiretamente todos os outros ODS como melhorar a saúde e o bem-estar humano (ODS 3), melhorando a qualidade e a quantidade da água, reforçando a segurança alimentar e nutricional e a segurança energética; promover o desenvolvimento econômico (ODS 8) por meio do uso de resíduos do sistema alimentar para gerar bioenergia, tratamento de água poluída usando bioenergia e uso de água tratada para cultivar alimentos; e mitigação das mudanças climáticas (ODS 13) por meio do aumento da eficiência de recursos e redução de emissões de CO2. Como as estruturas Nexus podem tornar claras as relações diretas ou indiretas com e entre os ODS, elas podem permitir a implementação integrada dos ODS conforme solicitado na Agenda 2030. Consequentemente, as abordagens Nexus também podem monitorar o progresso em direção à implementação integrada dos ODS. (Liu et al, 2018, pag. 09, tradução livre).</w:t>
      </w:r>
    </w:p>
    <w:p w14:paraId="3CEB6C8A">
      <w:pPr>
        <w:pStyle w:val="21"/>
      </w:pPr>
    </w:p>
    <w:p w14:paraId="39152AF7">
      <w:r>
        <w:t>Corroborando a tese, o método Nexus oferece clareza, incorporando elementos de coordenação intersetorial, direcionando planejamentos e abordando conhecimentos transversais e sinergias existentes entre os ODS podendo ser adequado tanto na implementação quanto no monitoramento das políticas de alcance da sustentabilidade.</w:t>
      </w:r>
    </w:p>
    <w:p w14:paraId="7C1E12FA">
      <w:r>
        <w:t>Ao propor o estudo, toma-se com padrão a existência dessas relações e possibilidades de investigação. Batista et al (2021), em publicação recente, faz uma revisão sistemática da teoria Nexus, água-alimento-energia propondo a investigação de literaturas abordando o “trilema da sustentabilidade”, mencionando sobre o aumento do interesse pela pesquisa em função da agenda 2030, sem, no entanto, mencionar a relação direta com os ODS.</w:t>
      </w:r>
    </w:p>
    <w:p w14:paraId="73F54B42">
      <w:r>
        <w:t>Este estudo se diferencia da citada pesquisa porque faz um recorte somente de publicações internacionais correlacionando aos ODS da Agenda 2030 na abordagem Nexus. Tendo, portanto, como objetivo investigar de que forma a comunidade acadêmica internacional tem abordado o tema, utilizando-se da abordagem de Nexus para interagir sobre a diversidade de fatores que abrangem o atingimento dos ODS? Desta fora, este artigo apresenta um panorama global, baseado em publicações abertas, com dados quantitativos que permitem uma visão da amplitude do interesse sobre o tema, assim como o avanço sobre as discussões em torno de temas que compõem a agenda 2030.</w:t>
      </w:r>
    </w:p>
    <w:p w14:paraId="72C23093">
      <w:pPr>
        <w:pStyle w:val="2"/>
      </w:pPr>
      <w:r>
        <w:t xml:space="preserve">3 METODOLOGIA </w:t>
      </w:r>
    </w:p>
    <w:p w14:paraId="7B0BB3F2">
      <w:r>
        <w:t>Esta pesquisa se apoia na revisão sistemática da literatura internacional sobre avaliação da aplicabilidade da abordagem de Nexus em relação aos ODS. Baseia-se nos procedimentos propostos por Galvão e Pereira (2014) que de forma resumida aqui, apontam os seguintes procedimentos: Elaboração da pergunta de pesquisa; busca e seleção das publicações; Extração e síntese dos dados; avaliação dos dados; redação e publicação dos resultados em forma de artigo.</w:t>
      </w:r>
    </w:p>
    <w:p w14:paraId="0B035277">
      <w:r>
        <w:t>A revisão sistemática de literatura é um método científico cuja finalidade é agrupar o maior número de publicações possíveis sobre um determinado tema a ser analisado (IDEM, 2014). A relevância teórica do método permite trazer ao campo da ciência maior clareza e ordem na identificação e interpretação sobre o que dispõe a literatura acerca do tema pesquisado, identificando sua evolução, possíveis lacunas, além de mapear a intensidade do tema no meio científico.</w:t>
      </w:r>
    </w:p>
    <w:p w14:paraId="197F42F9">
      <w:r>
        <w:t xml:space="preserve">No procedimento para identificar e selecionar os estudos de acordo com Galvão e Pereira (2014), como melhor estratégia de busca, podem-se adotar limites para o campo em que se deseja localizar o termo, como título, resumo e palavras-chave. Desta forma, as pesquisas foram realizadas nas plataformas Google acadêmico e Scopus através do portal de periódico da CAPES, pelo canal de acesso da Comunidade acadêmica federada (CAFe). </w:t>
      </w:r>
    </w:p>
    <w:p w14:paraId="42391696">
      <w:r>
        <w:t xml:space="preserve">O critério estabelecido previamente foi o de busca por palavras indutoras Nexus and wef (água, energia e alimento), e Nexus approach and ods. No primeiro critério obteve-se inicialmente 545 publicações, e no segundo, somente 07 publicações, levando à exclusão da pesquisa pela segunda opção de palavra indutora, por restringir demais a busca. Optando-se pela junção das palavras indutoras, Nexus approach and wef ODS, após a identificação de trabalhos com data anterior à elaboração da agenda 2030. </w:t>
      </w:r>
    </w:p>
    <w:p w14:paraId="232440F3">
      <w:r>
        <w:t xml:space="preserve">Na sequência refinou-se a busca somente para artigos revisados por pares, obtendo-se um quantitativo de 309 publicações.  Depois de eliminados os publicados em revistas de biomedicina e de origem brasileira, e ainda a escolha por publicações abertas em língua inglesa, obteve-se um quantitativo de 26 publicações. </w:t>
      </w:r>
    </w:p>
    <w:p w14:paraId="40DC768E">
      <w:r>
        <w:t>Dando continuidade, havia o interesse de identificar a expansão de citações e recorrências ao tema, para essa busca optou-se pelo portal Google acadêmico selecionando as 10 publicações mais citadas no recorte 2015-2022. Nesta etapa, no critério de exclusão, foram absorvidos somente artigos no idioma inglês, nas áreas de pesquisa das disciplinas Ciências sociais e ambientais; dos quais foram extraídos, lidos e analisados os dados da pesquisa.</w:t>
      </w:r>
    </w:p>
    <w:p w14:paraId="4F606210">
      <w:r>
        <w:t>Durante a seleção e sistematização dos dados foi utilizado o aplicativo Excel da Microsoft, que possibilitou a organização das informações em tabelas para melhor visualização e análise quantitativa. Assim, foi possível a análise dos dados identificando estudos mais citados, maior incidência de pesquisa na localização geográfica global, evolução do interesse pelo tema e o volume de citações sobre a abordagem.</w:t>
      </w:r>
    </w:p>
    <w:p w14:paraId="1BD949BD">
      <w:pPr>
        <w:pStyle w:val="2"/>
      </w:pPr>
      <w:r>
        <w:t>4 RESULTADOS E DISCUSSÃO</w:t>
      </w:r>
    </w:p>
    <w:p w14:paraId="55F8F14B">
      <w:r>
        <w:t>A interpretação dos dados obtidos, por meio das plataformas escolhidas, é apoiada nos recortes dado às pesquisas. Das amostras finais obtidas, foram identificadas na plataforma Scopus, 26 publicações, e na plataforma Google acadêmico, 10 publicações pela quantidade de citações. Cujos dados são analisados e discutidos nesta etapa do estudo.</w:t>
      </w:r>
    </w:p>
    <w:p w14:paraId="4A4DBADD">
      <w:r>
        <w:t xml:space="preserve">Na tabela 01 estão reunidas as publicações que identificam a abordagem Nexus em diversos campos que abrangem os ODS. É possível identificar um crescente interesse de investigação pela interconexão entre os elementos água, energia e alimento (YAZDANDOOST et al, 2019; AHMADI et al, 2020; FALING; MARIJN, 2020; MELLONI et al., 2020; OFORI et al., 2021; PONCE et al., 2021; AVELLÁN et al., 2022) que surgem como elementos fundamentais no cumprimento da agenda 2030. Nota-se que esses elementos emergem como setores fundamentais a serem evidenciados e de crescente interesse de pesquisa, dada a correlação existente com os demais ODS. É possível indicar ainda pelas leituras realizadas, que embora analisados de forma independente por alguns autores, os termos estão sempre relacionados à sustentabilidade de recursos naturais e sistemas agroalimentares. Definidos como o tripé da sustentabilidade, pela importância da conexão entre esses e desses com outros setores do desenvolvimento sustentável. </w:t>
      </w:r>
    </w:p>
    <w:p w14:paraId="09F4D3E6">
      <w:r>
        <w:t>Contudo, a amostra revela ainda que a estrutura Nexus não ficou apenas na análise dos elementos WEF, espraia-se e agrega elementos de outros setores como a interação Economia e ODS (SHNEIDER et al, 2019; VAN ZANTEN et al, 2021); Floresta, clima e Mudanças climáticas (LEIVAS et al, 2020; Ofori et al, 2021; Pereira et al. 2022) e Bioeconomia (KLEIN et al, 2022). Tais setores têm sido estudados na interação com outros fatores na perspectiva de harmonização do meio ambiente e a sustentabilidade socioeconômica e ambiental.</w:t>
      </w:r>
    </w:p>
    <w:p w14:paraId="0771FE17">
      <w:pPr>
        <w:pStyle w:val="13"/>
        <w:keepNext/>
        <w:ind w:firstLine="0"/>
        <w:jc w:val="center"/>
        <w:rPr>
          <w:i w:val="0"/>
          <w:iCs w:val="0"/>
        </w:rPr>
      </w:pPr>
      <w:r>
        <w:rPr>
          <w:i w:val="0"/>
          <w:iCs w:val="0"/>
        </w:rPr>
        <w:t xml:space="preserve">Tabela </w:t>
      </w:r>
      <w:r>
        <w:rPr>
          <w:i w:val="0"/>
          <w:iCs w:val="0"/>
        </w:rPr>
        <w:fldChar w:fldCharType="begin"/>
      </w:r>
      <w:r>
        <w:rPr>
          <w:i w:val="0"/>
          <w:iCs w:val="0"/>
        </w:rPr>
        <w:instrText xml:space="preserve"> SEQ Tabela \* ARABIC </w:instrText>
      </w:r>
      <w:r>
        <w:rPr>
          <w:i w:val="0"/>
          <w:iCs w:val="0"/>
        </w:rPr>
        <w:fldChar w:fldCharType="separate"/>
      </w:r>
      <w:r>
        <w:rPr>
          <w:i w:val="0"/>
          <w:iCs w:val="0"/>
        </w:rPr>
        <w:t>1</w:t>
      </w:r>
      <w:r>
        <w:rPr>
          <w:i w:val="0"/>
          <w:iCs w:val="0"/>
        </w:rPr>
        <w:fldChar w:fldCharType="end"/>
      </w:r>
      <w:r>
        <w:rPr>
          <w:i w:val="0"/>
          <w:iCs w:val="0"/>
        </w:rPr>
        <w:t xml:space="preserve">. </w:t>
      </w:r>
      <w:r>
        <w:rPr>
          <w:rFonts w:ascii="Arial" w:hAnsi="Arial" w:eastAsia="Arial" w:cs="Arial"/>
          <w:i w:val="0"/>
          <w:iCs w:val="0"/>
          <w:sz w:val="20"/>
          <w:szCs w:val="20"/>
        </w:rPr>
        <w:t>Publicações da amostra por tema abordado e ano de publicação (Base Scopus)</w:t>
      </w:r>
    </w:p>
    <w:tbl>
      <w:tblPr>
        <w:tblStyle w:val="23"/>
        <w:tblW w:w="9279" w:type="dxa"/>
        <w:tblInd w:w="-103" w:type="dxa"/>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07"/>
        <w:gridCol w:w="3326"/>
        <w:gridCol w:w="752"/>
        <w:gridCol w:w="1494"/>
      </w:tblGrid>
      <w:tr w14:paraId="0AC94B83">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8" w:hRule="atLeast"/>
        </w:trPr>
        <w:tc>
          <w:tcPr>
            <w:tcW w:w="3707" w:type="dxa"/>
            <w:tcBorders>
              <w:top w:val="single" w:color="000000" w:sz="8" w:space="0"/>
              <w:left w:val="nil"/>
              <w:bottom w:val="single" w:color="000000" w:sz="8" w:space="0"/>
              <w:right w:val="nil"/>
              <w:insideH w:val="single" w:sz="8" w:space="0"/>
              <w:insideV w:val="nil"/>
            </w:tcBorders>
          </w:tcPr>
          <w:p w14:paraId="44E221A5">
            <w:pPr>
              <w:spacing w:before="0" w:beforeLines="0" w:beforeAutospacing="0" w:afterLines="0" w:afterAutospacing="0" w:line="240" w:lineRule="auto"/>
              <w:ind w:firstLine="0"/>
              <w:jc w:val="center"/>
              <w:rPr>
                <w:rFonts w:ascii="Arial" w:hAnsi="Arial" w:eastAsia="Arial" w:cs="Arial"/>
                <w:b/>
                <w:color w:val="000000"/>
                <w:sz w:val="20"/>
                <w:szCs w:val="20"/>
                <w:lang w:eastAsia="zh-TW"/>
              </w:rPr>
            </w:pPr>
            <w:r>
              <w:rPr>
                <w:rFonts w:ascii="Arial" w:hAnsi="Arial" w:eastAsia="Arial" w:cs="Arial"/>
                <w:b/>
                <w:color w:val="000000"/>
                <w:sz w:val="20"/>
                <w:szCs w:val="20"/>
                <w:lang w:eastAsia="zh-TW"/>
              </w:rPr>
              <w:t>Autor</w:t>
            </w:r>
          </w:p>
        </w:tc>
        <w:tc>
          <w:tcPr>
            <w:tcW w:w="3326" w:type="dxa"/>
            <w:tcBorders>
              <w:top w:val="single" w:color="000000" w:sz="8" w:space="0"/>
              <w:bottom w:val="single" w:color="000000" w:sz="8" w:space="0"/>
              <w:right w:val="nil"/>
              <w:insideH w:val="single" w:sz="8" w:space="0"/>
              <w:insideV w:val="nil"/>
            </w:tcBorders>
          </w:tcPr>
          <w:p w14:paraId="3231A10B">
            <w:pPr>
              <w:spacing w:before="0" w:beforeLines="0" w:beforeAutospacing="0" w:afterLines="0" w:afterAutospacing="0" w:line="240" w:lineRule="auto"/>
              <w:ind w:firstLine="0"/>
              <w:jc w:val="center"/>
              <w:rPr>
                <w:rFonts w:ascii="Arial" w:hAnsi="Arial" w:eastAsia="Arial" w:cs="Arial"/>
                <w:b/>
                <w:color w:val="000000"/>
                <w:sz w:val="20"/>
                <w:szCs w:val="20"/>
                <w:lang w:eastAsia="zh-TW"/>
              </w:rPr>
            </w:pPr>
            <w:r>
              <w:rPr>
                <w:rFonts w:ascii="Arial" w:hAnsi="Arial" w:eastAsia="Arial" w:cs="Arial"/>
                <w:b/>
                <w:color w:val="000000"/>
                <w:sz w:val="20"/>
                <w:szCs w:val="20"/>
                <w:lang w:eastAsia="zh-TW"/>
              </w:rPr>
              <w:t>Tema abordado</w:t>
            </w:r>
          </w:p>
        </w:tc>
        <w:tc>
          <w:tcPr>
            <w:tcW w:w="752" w:type="dxa"/>
            <w:tcBorders>
              <w:top w:val="single" w:color="000000" w:sz="8" w:space="0"/>
              <w:bottom w:val="single" w:color="000000" w:sz="8" w:space="0"/>
              <w:right w:val="nil"/>
              <w:insideH w:val="single" w:sz="8" w:space="0"/>
              <w:insideV w:val="nil"/>
            </w:tcBorders>
          </w:tcPr>
          <w:p w14:paraId="34FBDE44">
            <w:pPr>
              <w:spacing w:before="0" w:beforeLines="0" w:beforeAutospacing="0" w:afterLines="0" w:afterAutospacing="0" w:line="240" w:lineRule="auto"/>
              <w:ind w:firstLine="0"/>
              <w:jc w:val="center"/>
              <w:rPr>
                <w:rFonts w:ascii="Arial" w:hAnsi="Arial" w:eastAsia="Arial" w:cs="Arial"/>
                <w:b/>
                <w:color w:val="000000"/>
                <w:sz w:val="20"/>
                <w:szCs w:val="20"/>
                <w:lang w:eastAsia="zh-TW"/>
              </w:rPr>
            </w:pPr>
            <w:r>
              <w:rPr>
                <w:rFonts w:ascii="Arial" w:hAnsi="Arial" w:eastAsia="Arial" w:cs="Arial"/>
                <w:b/>
                <w:color w:val="000000"/>
                <w:sz w:val="20"/>
                <w:szCs w:val="20"/>
                <w:lang w:eastAsia="zh-TW"/>
              </w:rPr>
              <w:t>Ano</w:t>
            </w:r>
          </w:p>
        </w:tc>
        <w:tc>
          <w:tcPr>
            <w:tcW w:w="1494" w:type="dxa"/>
            <w:tcBorders>
              <w:top w:val="single" w:color="000000" w:sz="8" w:space="0"/>
              <w:bottom w:val="single" w:color="000000" w:sz="8" w:space="0"/>
              <w:right w:val="nil"/>
              <w:insideH w:val="single" w:sz="8" w:space="0"/>
              <w:insideV w:val="nil"/>
            </w:tcBorders>
          </w:tcPr>
          <w:p w14:paraId="3D8AA42E">
            <w:pPr>
              <w:spacing w:before="0" w:beforeLines="0" w:beforeAutospacing="0" w:afterLines="0" w:afterAutospacing="0" w:line="240" w:lineRule="auto"/>
              <w:ind w:firstLine="0"/>
              <w:jc w:val="center"/>
              <w:rPr>
                <w:rFonts w:ascii="Arial" w:hAnsi="Arial" w:eastAsia="Arial" w:cs="Arial"/>
                <w:b/>
                <w:color w:val="000000"/>
                <w:sz w:val="20"/>
                <w:szCs w:val="20"/>
                <w:lang w:eastAsia="zh-TW"/>
              </w:rPr>
            </w:pPr>
            <w:r>
              <w:rPr>
                <w:rFonts w:ascii="Arial" w:hAnsi="Arial" w:eastAsia="Arial" w:cs="Arial"/>
                <w:b/>
                <w:color w:val="000000"/>
                <w:sz w:val="20"/>
                <w:szCs w:val="20"/>
                <w:lang w:eastAsia="zh-TW"/>
              </w:rPr>
              <w:t>País</w:t>
            </w:r>
          </w:p>
        </w:tc>
      </w:tr>
      <w:tr w14:paraId="05A65C57">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3707" w:type="dxa"/>
            <w:tcBorders>
              <w:top w:val="single" w:color="000000" w:sz="4" w:space="0"/>
              <w:left w:val="single" w:color="000000" w:sz="4" w:space="0"/>
              <w:bottom w:val="single" w:color="000000" w:sz="4" w:space="0"/>
              <w:right w:val="single" w:color="000000" w:sz="4" w:space="0"/>
            </w:tcBorders>
          </w:tcPr>
          <w:p w14:paraId="6762890D">
            <w:pPr>
              <w:ind w:firstLine="0"/>
              <w:rPr>
                <w:rFonts w:ascii="Arial" w:hAnsi="Arial" w:eastAsia="Arial" w:cs="Arial"/>
                <w:b/>
                <w:color w:val="000000"/>
                <w:sz w:val="20"/>
                <w:szCs w:val="20"/>
                <w:lang w:eastAsia="zh-TW"/>
              </w:rPr>
            </w:pPr>
            <w:r>
              <w:rPr>
                <w:rFonts w:ascii="Arial" w:hAnsi="Arial" w:eastAsia="Arial" w:cs="Arial"/>
                <w:b/>
                <w:color w:val="000000"/>
                <w:sz w:val="20"/>
                <w:szCs w:val="20"/>
                <w:lang w:eastAsia="zh-TW"/>
              </w:rPr>
              <w:t>White, Dave, J. Jones, Ross Maciejewski, Rimjhim Aggarwal, and Giuseppe Mascaro</w:t>
            </w:r>
          </w:p>
        </w:tc>
        <w:tc>
          <w:tcPr>
            <w:tcW w:w="3326" w:type="dxa"/>
            <w:tcBorders>
              <w:top w:val="single" w:color="000000" w:sz="4" w:space="0"/>
              <w:left w:val="single" w:color="000000" w:sz="4" w:space="0"/>
              <w:bottom w:val="single" w:color="000000" w:sz="4" w:space="0"/>
              <w:right w:val="single" w:color="000000" w:sz="4" w:space="0"/>
            </w:tcBorders>
          </w:tcPr>
          <w:p w14:paraId="4A3094DC">
            <w:pPr>
              <w:ind w:firstLine="0"/>
              <w:jc w:val="left"/>
              <w:rPr>
                <w:rFonts w:ascii="Arial" w:hAnsi="Arial" w:eastAsia="Arial" w:cs="Arial"/>
                <w:color w:val="000000"/>
                <w:sz w:val="20"/>
                <w:szCs w:val="20"/>
                <w:lang w:eastAsia="zh-TW"/>
              </w:rPr>
            </w:pPr>
            <w:r>
              <w:rPr>
                <w:rFonts w:ascii="Arial" w:hAnsi="Arial" w:eastAsia="Arial" w:cs="Arial"/>
                <w:color w:val="000000"/>
                <w:sz w:val="20"/>
                <w:szCs w:val="20"/>
                <w:lang w:eastAsia="zh-TW"/>
              </w:rPr>
              <w:t>Governança ambiental e sustentabilidade</w:t>
            </w:r>
          </w:p>
        </w:tc>
        <w:tc>
          <w:tcPr>
            <w:tcW w:w="752" w:type="dxa"/>
            <w:tcBorders>
              <w:top w:val="single" w:color="000000" w:sz="4" w:space="0"/>
              <w:left w:val="single" w:color="000000" w:sz="4" w:space="0"/>
              <w:bottom w:val="single" w:color="000000" w:sz="4" w:space="0"/>
              <w:right w:val="single" w:color="000000" w:sz="4" w:space="0"/>
            </w:tcBorders>
          </w:tcPr>
          <w:p w14:paraId="44CB8D4B">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2017</w:t>
            </w:r>
          </w:p>
        </w:tc>
        <w:tc>
          <w:tcPr>
            <w:tcW w:w="1494" w:type="dxa"/>
            <w:tcBorders>
              <w:top w:val="single" w:color="000000" w:sz="4" w:space="0"/>
              <w:left w:val="single" w:color="000000" w:sz="4" w:space="0"/>
              <w:bottom w:val="single" w:color="000000" w:sz="4" w:space="0"/>
              <w:right w:val="single" w:color="000000" w:sz="4" w:space="0"/>
            </w:tcBorders>
          </w:tcPr>
          <w:p w14:paraId="4FF85A20">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EUA</w:t>
            </w:r>
          </w:p>
        </w:tc>
      </w:tr>
      <w:tr w14:paraId="4C6F4F17">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trPr>
        <w:tc>
          <w:tcPr>
            <w:tcW w:w="3707" w:type="dxa"/>
            <w:tcBorders>
              <w:top w:val="single" w:color="000000" w:sz="4" w:space="0"/>
              <w:left w:val="single" w:color="000000" w:sz="4" w:space="0"/>
              <w:bottom w:val="single" w:color="000000" w:sz="4" w:space="0"/>
              <w:right w:val="single" w:color="000000" w:sz="4" w:space="0"/>
            </w:tcBorders>
          </w:tcPr>
          <w:p w14:paraId="5A31197F">
            <w:pPr>
              <w:ind w:firstLine="0"/>
              <w:rPr>
                <w:rFonts w:ascii="Arial" w:hAnsi="Arial" w:eastAsia="Arial" w:cs="Arial"/>
                <w:b/>
                <w:color w:val="000000"/>
                <w:sz w:val="20"/>
                <w:szCs w:val="20"/>
                <w:lang w:eastAsia="zh-TW"/>
              </w:rPr>
            </w:pPr>
            <w:r>
              <w:rPr>
                <w:rFonts w:ascii="Arial" w:hAnsi="Arial" w:eastAsia="Arial" w:cs="Arial"/>
                <w:b/>
                <w:color w:val="000000"/>
                <w:sz w:val="20"/>
                <w:szCs w:val="20"/>
                <w:lang w:eastAsia="zh-TW"/>
              </w:rPr>
              <w:t xml:space="preserve">Sallwey, Jana, et al. </w:t>
            </w:r>
          </w:p>
        </w:tc>
        <w:tc>
          <w:tcPr>
            <w:tcW w:w="3326" w:type="dxa"/>
            <w:tcBorders>
              <w:top w:val="single" w:color="000000" w:sz="4" w:space="0"/>
              <w:left w:val="single" w:color="000000" w:sz="4" w:space="0"/>
              <w:bottom w:val="single" w:color="000000" w:sz="4" w:space="0"/>
              <w:right w:val="single" w:color="000000" w:sz="4" w:space="0"/>
            </w:tcBorders>
          </w:tcPr>
          <w:p w14:paraId="28ABF734">
            <w:pPr>
              <w:ind w:firstLine="0"/>
              <w:jc w:val="left"/>
              <w:rPr>
                <w:rFonts w:ascii="Arial" w:hAnsi="Arial" w:eastAsia="Arial" w:cs="Arial"/>
                <w:color w:val="000000"/>
                <w:sz w:val="20"/>
                <w:szCs w:val="20"/>
                <w:lang w:eastAsia="zh-TW"/>
              </w:rPr>
            </w:pPr>
            <w:r>
              <w:rPr>
                <w:rFonts w:ascii="Arial" w:hAnsi="Arial" w:eastAsia="Arial" w:cs="Arial"/>
                <w:color w:val="000000"/>
                <w:sz w:val="20"/>
                <w:szCs w:val="20"/>
                <w:lang w:eastAsia="zh-TW"/>
              </w:rPr>
              <w:t>Gestão de resíduos sólidos</w:t>
            </w:r>
          </w:p>
        </w:tc>
        <w:tc>
          <w:tcPr>
            <w:tcW w:w="752" w:type="dxa"/>
            <w:tcBorders>
              <w:top w:val="single" w:color="000000" w:sz="4" w:space="0"/>
              <w:left w:val="single" w:color="000000" w:sz="4" w:space="0"/>
              <w:bottom w:val="single" w:color="000000" w:sz="4" w:space="0"/>
              <w:right w:val="single" w:color="000000" w:sz="4" w:space="0"/>
            </w:tcBorders>
          </w:tcPr>
          <w:p w14:paraId="6837461A">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2017</w:t>
            </w:r>
          </w:p>
        </w:tc>
        <w:tc>
          <w:tcPr>
            <w:tcW w:w="1494" w:type="dxa"/>
            <w:tcBorders>
              <w:top w:val="single" w:color="000000" w:sz="4" w:space="0"/>
              <w:left w:val="single" w:color="000000" w:sz="4" w:space="0"/>
              <w:bottom w:val="single" w:color="000000" w:sz="4" w:space="0"/>
              <w:right w:val="single" w:color="000000" w:sz="4" w:space="0"/>
            </w:tcBorders>
          </w:tcPr>
          <w:p w14:paraId="2B8946D6">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Moçambique</w:t>
            </w:r>
          </w:p>
        </w:tc>
      </w:tr>
      <w:tr w14:paraId="0694B90C">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trPr>
        <w:tc>
          <w:tcPr>
            <w:tcW w:w="3707" w:type="dxa"/>
            <w:tcBorders>
              <w:top w:val="single" w:color="000000" w:sz="4" w:space="0"/>
              <w:left w:val="single" w:color="000000" w:sz="4" w:space="0"/>
              <w:bottom w:val="single" w:color="000000" w:sz="4" w:space="0"/>
              <w:right w:val="single" w:color="000000" w:sz="4" w:space="0"/>
            </w:tcBorders>
          </w:tcPr>
          <w:p w14:paraId="653A0CE8">
            <w:pPr>
              <w:ind w:firstLine="0"/>
              <w:rPr>
                <w:rFonts w:ascii="Arial" w:hAnsi="Arial" w:eastAsia="Arial" w:cs="Arial"/>
                <w:b/>
                <w:color w:val="000000"/>
                <w:sz w:val="20"/>
                <w:szCs w:val="20"/>
                <w:lang w:eastAsia="zh-TW"/>
              </w:rPr>
            </w:pPr>
            <w:r>
              <w:rPr>
                <w:rFonts w:ascii="Arial" w:hAnsi="Arial" w:eastAsia="Arial" w:cs="Arial"/>
                <w:b/>
                <w:color w:val="000000"/>
                <w:sz w:val="20"/>
                <w:szCs w:val="20"/>
                <w:lang w:eastAsia="zh-TW"/>
              </w:rPr>
              <w:t>Visseren-Hamakers, Ingrid J.</w:t>
            </w:r>
          </w:p>
        </w:tc>
        <w:tc>
          <w:tcPr>
            <w:tcW w:w="3326" w:type="dxa"/>
            <w:tcBorders>
              <w:top w:val="single" w:color="000000" w:sz="4" w:space="0"/>
              <w:left w:val="single" w:color="000000" w:sz="4" w:space="0"/>
              <w:bottom w:val="single" w:color="000000" w:sz="4" w:space="0"/>
              <w:right w:val="single" w:color="000000" w:sz="4" w:space="0"/>
            </w:tcBorders>
          </w:tcPr>
          <w:p w14:paraId="7F0DFB2A">
            <w:pPr>
              <w:ind w:firstLine="0"/>
              <w:jc w:val="left"/>
              <w:rPr>
                <w:rFonts w:ascii="Arial" w:hAnsi="Arial" w:eastAsia="Arial" w:cs="Arial"/>
                <w:color w:val="000000"/>
                <w:sz w:val="20"/>
                <w:szCs w:val="20"/>
                <w:lang w:eastAsia="zh-TW"/>
              </w:rPr>
            </w:pPr>
            <w:r>
              <w:rPr>
                <w:rFonts w:ascii="Arial" w:hAnsi="Arial" w:eastAsia="Arial" w:cs="Arial"/>
                <w:color w:val="000000"/>
                <w:sz w:val="20"/>
                <w:szCs w:val="20"/>
                <w:lang w:eastAsia="zh-TW"/>
              </w:rPr>
              <w:t>Governança integrativa</w:t>
            </w:r>
          </w:p>
        </w:tc>
        <w:tc>
          <w:tcPr>
            <w:tcW w:w="752" w:type="dxa"/>
            <w:tcBorders>
              <w:top w:val="single" w:color="000000" w:sz="4" w:space="0"/>
              <w:left w:val="single" w:color="000000" w:sz="4" w:space="0"/>
              <w:bottom w:val="single" w:color="000000" w:sz="4" w:space="0"/>
              <w:right w:val="single" w:color="000000" w:sz="4" w:space="0"/>
            </w:tcBorders>
          </w:tcPr>
          <w:p w14:paraId="5669871F">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2018</w:t>
            </w:r>
          </w:p>
        </w:tc>
        <w:tc>
          <w:tcPr>
            <w:tcW w:w="1494" w:type="dxa"/>
            <w:tcBorders>
              <w:top w:val="single" w:color="000000" w:sz="4" w:space="0"/>
              <w:left w:val="single" w:color="000000" w:sz="4" w:space="0"/>
              <w:bottom w:val="single" w:color="000000" w:sz="4" w:space="0"/>
              <w:right w:val="single" w:color="000000" w:sz="4" w:space="0"/>
            </w:tcBorders>
          </w:tcPr>
          <w:p w14:paraId="29719CAF">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Israel</w:t>
            </w:r>
          </w:p>
        </w:tc>
      </w:tr>
      <w:tr w14:paraId="2BBACB17">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trPr>
        <w:tc>
          <w:tcPr>
            <w:tcW w:w="3707" w:type="dxa"/>
            <w:tcBorders>
              <w:top w:val="single" w:color="000000" w:sz="4" w:space="0"/>
              <w:left w:val="single" w:color="000000" w:sz="4" w:space="0"/>
              <w:bottom w:val="single" w:color="000000" w:sz="4" w:space="0"/>
              <w:right w:val="single" w:color="000000" w:sz="4" w:space="0"/>
            </w:tcBorders>
          </w:tcPr>
          <w:p w14:paraId="128BC22D">
            <w:pPr>
              <w:ind w:firstLine="0"/>
              <w:rPr>
                <w:rFonts w:ascii="Arial" w:hAnsi="Arial" w:eastAsia="Arial" w:cs="Arial"/>
                <w:b/>
                <w:color w:val="000000"/>
                <w:sz w:val="20"/>
                <w:szCs w:val="20"/>
                <w:lang w:val="en-US" w:eastAsia="zh-TW"/>
              </w:rPr>
            </w:pPr>
            <w:r>
              <w:rPr>
                <w:rFonts w:ascii="Arial" w:hAnsi="Arial" w:eastAsia="Arial" w:cs="Arial"/>
                <w:b/>
                <w:color w:val="000000"/>
                <w:sz w:val="20"/>
                <w:szCs w:val="20"/>
                <w:lang w:val="en-US" w:eastAsia="zh-TW"/>
              </w:rPr>
              <w:t>Yazdandoost, Farhad, and Seyyed Ali Yazdani.</w:t>
            </w:r>
          </w:p>
        </w:tc>
        <w:tc>
          <w:tcPr>
            <w:tcW w:w="3326" w:type="dxa"/>
            <w:tcBorders>
              <w:top w:val="single" w:color="000000" w:sz="4" w:space="0"/>
              <w:left w:val="single" w:color="000000" w:sz="4" w:space="0"/>
              <w:bottom w:val="single" w:color="000000" w:sz="4" w:space="0"/>
              <w:right w:val="single" w:color="000000" w:sz="4" w:space="0"/>
            </w:tcBorders>
          </w:tcPr>
          <w:p w14:paraId="16A4F066">
            <w:pPr>
              <w:ind w:firstLine="0"/>
              <w:jc w:val="left"/>
              <w:rPr>
                <w:rFonts w:ascii="Arial" w:hAnsi="Arial" w:eastAsia="Arial" w:cs="Arial"/>
                <w:color w:val="000000"/>
                <w:sz w:val="20"/>
                <w:szCs w:val="20"/>
                <w:lang w:eastAsia="zh-TW"/>
              </w:rPr>
            </w:pPr>
            <w:r>
              <w:rPr>
                <w:rFonts w:ascii="Arial" w:hAnsi="Arial" w:eastAsia="Arial" w:cs="Arial"/>
                <w:color w:val="000000"/>
                <w:sz w:val="20"/>
                <w:szCs w:val="20"/>
                <w:lang w:eastAsia="zh-TW"/>
              </w:rPr>
              <w:t>Água, energia, ambiente e bacias hidrográficas</w:t>
            </w:r>
          </w:p>
        </w:tc>
        <w:tc>
          <w:tcPr>
            <w:tcW w:w="752" w:type="dxa"/>
            <w:tcBorders>
              <w:top w:val="single" w:color="000000" w:sz="4" w:space="0"/>
              <w:left w:val="single" w:color="000000" w:sz="4" w:space="0"/>
              <w:bottom w:val="single" w:color="000000" w:sz="4" w:space="0"/>
              <w:right w:val="single" w:color="000000" w:sz="4" w:space="0"/>
            </w:tcBorders>
          </w:tcPr>
          <w:p w14:paraId="50A7276F">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2019</w:t>
            </w:r>
          </w:p>
        </w:tc>
        <w:tc>
          <w:tcPr>
            <w:tcW w:w="1494" w:type="dxa"/>
            <w:tcBorders>
              <w:top w:val="single" w:color="000000" w:sz="4" w:space="0"/>
              <w:left w:val="single" w:color="000000" w:sz="4" w:space="0"/>
              <w:bottom w:val="single" w:color="000000" w:sz="4" w:space="0"/>
              <w:right w:val="single" w:color="000000" w:sz="4" w:space="0"/>
            </w:tcBorders>
          </w:tcPr>
          <w:p w14:paraId="37A0B7E0">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Espanha</w:t>
            </w:r>
          </w:p>
        </w:tc>
      </w:tr>
      <w:tr w14:paraId="2A3ADDCB">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trPr>
        <w:tc>
          <w:tcPr>
            <w:tcW w:w="3707" w:type="dxa"/>
            <w:tcBorders>
              <w:top w:val="single" w:color="000000" w:sz="4" w:space="0"/>
              <w:left w:val="single" w:color="000000" w:sz="4" w:space="0"/>
              <w:bottom w:val="single" w:color="000000" w:sz="4" w:space="0"/>
              <w:right w:val="single" w:color="000000" w:sz="4" w:space="0"/>
            </w:tcBorders>
          </w:tcPr>
          <w:p w14:paraId="380E0C78">
            <w:pPr>
              <w:ind w:firstLine="0"/>
              <w:rPr>
                <w:rFonts w:ascii="Arial" w:hAnsi="Arial" w:eastAsia="Arial" w:cs="Arial"/>
                <w:b/>
                <w:color w:val="000000"/>
                <w:sz w:val="20"/>
                <w:szCs w:val="20"/>
                <w:lang w:eastAsia="zh-TW"/>
              </w:rPr>
            </w:pPr>
            <w:r>
              <w:rPr>
                <w:rFonts w:ascii="Arial" w:hAnsi="Arial" w:eastAsia="Arial" w:cs="Arial"/>
                <w:b/>
                <w:color w:val="000000"/>
                <w:sz w:val="20"/>
                <w:szCs w:val="20"/>
                <w:lang w:eastAsia="zh-TW"/>
              </w:rPr>
              <w:t>Schneider, Petra, et al.</w:t>
            </w:r>
          </w:p>
        </w:tc>
        <w:tc>
          <w:tcPr>
            <w:tcW w:w="3326" w:type="dxa"/>
            <w:tcBorders>
              <w:top w:val="single" w:color="000000" w:sz="4" w:space="0"/>
              <w:left w:val="single" w:color="000000" w:sz="4" w:space="0"/>
              <w:bottom w:val="single" w:color="000000" w:sz="4" w:space="0"/>
              <w:right w:val="single" w:color="000000" w:sz="4" w:space="0"/>
            </w:tcBorders>
          </w:tcPr>
          <w:p w14:paraId="0E012CA4">
            <w:pPr>
              <w:ind w:firstLine="0"/>
              <w:jc w:val="left"/>
              <w:rPr>
                <w:rFonts w:ascii="Arial" w:hAnsi="Arial" w:eastAsia="Arial" w:cs="Arial"/>
                <w:color w:val="000000"/>
                <w:sz w:val="20"/>
                <w:szCs w:val="20"/>
                <w:lang w:eastAsia="zh-TW"/>
              </w:rPr>
            </w:pPr>
            <w:r>
              <w:rPr>
                <w:rFonts w:ascii="Arial" w:hAnsi="Arial" w:eastAsia="Arial" w:cs="Arial"/>
                <w:color w:val="000000"/>
                <w:sz w:val="20"/>
                <w:szCs w:val="20"/>
                <w:lang w:eastAsia="zh-TW"/>
              </w:rPr>
              <w:t>Economia e sustentabilidade</w:t>
            </w:r>
          </w:p>
        </w:tc>
        <w:tc>
          <w:tcPr>
            <w:tcW w:w="752" w:type="dxa"/>
            <w:tcBorders>
              <w:top w:val="single" w:color="000000" w:sz="4" w:space="0"/>
              <w:left w:val="single" w:color="000000" w:sz="4" w:space="0"/>
              <w:bottom w:val="single" w:color="000000" w:sz="4" w:space="0"/>
              <w:right w:val="single" w:color="000000" w:sz="4" w:space="0"/>
            </w:tcBorders>
          </w:tcPr>
          <w:p w14:paraId="5E1A4945">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2019</w:t>
            </w:r>
          </w:p>
        </w:tc>
        <w:tc>
          <w:tcPr>
            <w:tcW w:w="1494" w:type="dxa"/>
            <w:tcBorders>
              <w:top w:val="single" w:color="000000" w:sz="4" w:space="0"/>
              <w:left w:val="single" w:color="000000" w:sz="4" w:space="0"/>
              <w:bottom w:val="single" w:color="000000" w:sz="4" w:space="0"/>
              <w:right w:val="single" w:color="000000" w:sz="4" w:space="0"/>
            </w:tcBorders>
          </w:tcPr>
          <w:p w14:paraId="3179D706">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Alemanha</w:t>
            </w:r>
          </w:p>
        </w:tc>
      </w:tr>
      <w:tr w14:paraId="47DE102C">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trPr>
        <w:tc>
          <w:tcPr>
            <w:tcW w:w="3707" w:type="dxa"/>
            <w:tcBorders>
              <w:top w:val="single" w:color="000000" w:sz="4" w:space="0"/>
              <w:left w:val="single" w:color="000000" w:sz="4" w:space="0"/>
              <w:bottom w:val="single" w:color="000000" w:sz="4" w:space="0"/>
              <w:right w:val="single" w:color="000000" w:sz="4" w:space="0"/>
            </w:tcBorders>
          </w:tcPr>
          <w:p w14:paraId="2F5B7BB4">
            <w:pPr>
              <w:ind w:firstLine="0"/>
              <w:rPr>
                <w:rFonts w:ascii="Arial" w:hAnsi="Arial" w:eastAsia="Arial" w:cs="Arial"/>
                <w:b/>
                <w:color w:val="000000"/>
                <w:sz w:val="20"/>
                <w:szCs w:val="20"/>
                <w:lang w:eastAsia="zh-TW"/>
              </w:rPr>
            </w:pPr>
            <w:r>
              <w:rPr>
                <w:rFonts w:ascii="Arial" w:hAnsi="Arial" w:eastAsia="Arial" w:cs="Arial"/>
                <w:b/>
                <w:color w:val="000000"/>
                <w:sz w:val="20"/>
                <w:szCs w:val="20"/>
                <w:lang w:eastAsia="zh-TW"/>
              </w:rPr>
              <w:t>Ahmadi, Esmaeil et al.</w:t>
            </w:r>
          </w:p>
        </w:tc>
        <w:tc>
          <w:tcPr>
            <w:tcW w:w="3326" w:type="dxa"/>
            <w:tcBorders>
              <w:top w:val="single" w:color="000000" w:sz="4" w:space="0"/>
              <w:left w:val="single" w:color="000000" w:sz="4" w:space="0"/>
              <w:bottom w:val="single" w:color="000000" w:sz="4" w:space="0"/>
              <w:right w:val="single" w:color="000000" w:sz="4" w:space="0"/>
            </w:tcBorders>
          </w:tcPr>
          <w:p w14:paraId="63A582C1">
            <w:pPr>
              <w:ind w:firstLine="0"/>
              <w:jc w:val="left"/>
              <w:rPr>
                <w:rFonts w:ascii="Arial" w:hAnsi="Arial" w:eastAsia="Arial" w:cs="Arial"/>
                <w:color w:val="000000"/>
                <w:sz w:val="20"/>
                <w:szCs w:val="20"/>
                <w:lang w:eastAsia="zh-TW"/>
              </w:rPr>
            </w:pPr>
            <w:r>
              <w:rPr>
                <w:rFonts w:ascii="Arial" w:hAnsi="Arial" w:eastAsia="Arial" w:cs="Arial"/>
                <w:color w:val="000000"/>
                <w:sz w:val="20"/>
                <w:szCs w:val="20"/>
                <w:lang w:eastAsia="zh-TW"/>
              </w:rPr>
              <w:t>Energias renováveis</w:t>
            </w:r>
          </w:p>
        </w:tc>
        <w:tc>
          <w:tcPr>
            <w:tcW w:w="752" w:type="dxa"/>
            <w:tcBorders>
              <w:top w:val="single" w:color="000000" w:sz="4" w:space="0"/>
              <w:left w:val="single" w:color="000000" w:sz="4" w:space="0"/>
              <w:bottom w:val="single" w:color="000000" w:sz="4" w:space="0"/>
              <w:right w:val="single" w:color="000000" w:sz="4" w:space="0"/>
            </w:tcBorders>
          </w:tcPr>
          <w:p w14:paraId="5F960233">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2020</w:t>
            </w:r>
          </w:p>
        </w:tc>
        <w:tc>
          <w:tcPr>
            <w:tcW w:w="1494" w:type="dxa"/>
            <w:tcBorders>
              <w:top w:val="single" w:color="000000" w:sz="4" w:space="0"/>
              <w:left w:val="single" w:color="000000" w:sz="4" w:space="0"/>
              <w:bottom w:val="single" w:color="000000" w:sz="4" w:space="0"/>
              <w:right w:val="single" w:color="000000" w:sz="4" w:space="0"/>
            </w:tcBorders>
          </w:tcPr>
          <w:p w14:paraId="18DF416F">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Japão</w:t>
            </w:r>
          </w:p>
        </w:tc>
      </w:tr>
      <w:tr w14:paraId="5510BC30">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trPr>
        <w:tc>
          <w:tcPr>
            <w:tcW w:w="3707" w:type="dxa"/>
            <w:tcBorders>
              <w:top w:val="single" w:color="000000" w:sz="4" w:space="0"/>
              <w:left w:val="single" w:color="000000" w:sz="4" w:space="0"/>
              <w:bottom w:val="single" w:color="000000" w:sz="4" w:space="0"/>
              <w:right w:val="single" w:color="000000" w:sz="4" w:space="0"/>
            </w:tcBorders>
          </w:tcPr>
          <w:p w14:paraId="2D1F4173">
            <w:pPr>
              <w:ind w:firstLine="0"/>
              <w:rPr>
                <w:rFonts w:ascii="Arial" w:hAnsi="Arial" w:eastAsia="Arial" w:cs="Arial"/>
                <w:b/>
                <w:color w:val="000000"/>
                <w:sz w:val="20"/>
                <w:szCs w:val="20"/>
                <w:lang w:val="fr-FR" w:eastAsia="zh-TW"/>
              </w:rPr>
            </w:pPr>
            <w:r>
              <w:rPr>
                <w:rFonts w:ascii="Arial" w:hAnsi="Arial" w:eastAsia="Arial" w:cs="Arial"/>
                <w:b/>
                <w:color w:val="000000"/>
                <w:sz w:val="20"/>
                <w:szCs w:val="20"/>
                <w:lang w:val="fr-FR" w:eastAsia="zh-TW"/>
              </w:rPr>
              <w:t xml:space="preserve">van den Heuvel, Lotte et al. </w:t>
            </w:r>
          </w:p>
        </w:tc>
        <w:tc>
          <w:tcPr>
            <w:tcW w:w="3326" w:type="dxa"/>
            <w:tcBorders>
              <w:top w:val="single" w:color="000000" w:sz="4" w:space="0"/>
              <w:left w:val="single" w:color="000000" w:sz="4" w:space="0"/>
              <w:bottom w:val="single" w:color="000000" w:sz="4" w:space="0"/>
              <w:right w:val="single" w:color="000000" w:sz="4" w:space="0"/>
            </w:tcBorders>
          </w:tcPr>
          <w:p w14:paraId="231EADF9">
            <w:pPr>
              <w:ind w:firstLine="0"/>
              <w:jc w:val="left"/>
              <w:rPr>
                <w:rFonts w:ascii="Arial" w:hAnsi="Arial" w:eastAsia="Arial" w:cs="Arial"/>
                <w:color w:val="000000"/>
                <w:sz w:val="20"/>
                <w:szCs w:val="20"/>
                <w:lang w:eastAsia="zh-TW"/>
              </w:rPr>
            </w:pPr>
            <w:r>
              <w:rPr>
                <w:rFonts w:ascii="Arial" w:hAnsi="Arial" w:eastAsia="Arial" w:cs="Arial"/>
                <w:color w:val="000000"/>
                <w:sz w:val="20"/>
                <w:szCs w:val="20"/>
                <w:lang w:eastAsia="zh-TW"/>
              </w:rPr>
              <w:t xml:space="preserve">Serviços ecossistêmicos e </w:t>
            </w:r>
          </w:p>
        </w:tc>
        <w:tc>
          <w:tcPr>
            <w:tcW w:w="752" w:type="dxa"/>
            <w:tcBorders>
              <w:top w:val="single" w:color="000000" w:sz="4" w:space="0"/>
              <w:left w:val="single" w:color="000000" w:sz="4" w:space="0"/>
              <w:bottom w:val="single" w:color="000000" w:sz="4" w:space="0"/>
              <w:right w:val="single" w:color="000000" w:sz="4" w:space="0"/>
            </w:tcBorders>
          </w:tcPr>
          <w:p w14:paraId="6B04F116">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2020</w:t>
            </w:r>
          </w:p>
        </w:tc>
        <w:tc>
          <w:tcPr>
            <w:tcW w:w="1494" w:type="dxa"/>
            <w:tcBorders>
              <w:top w:val="single" w:color="000000" w:sz="4" w:space="0"/>
              <w:left w:val="single" w:color="000000" w:sz="4" w:space="0"/>
              <w:bottom w:val="single" w:color="000000" w:sz="4" w:space="0"/>
              <w:right w:val="single" w:color="000000" w:sz="4" w:space="0"/>
            </w:tcBorders>
          </w:tcPr>
          <w:p w14:paraId="37A1CBB5">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EUA</w:t>
            </w:r>
          </w:p>
        </w:tc>
      </w:tr>
      <w:tr w14:paraId="76296F1F">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trPr>
        <w:tc>
          <w:tcPr>
            <w:tcW w:w="3707" w:type="dxa"/>
            <w:tcBorders>
              <w:top w:val="single" w:color="000000" w:sz="4" w:space="0"/>
              <w:left w:val="single" w:color="000000" w:sz="4" w:space="0"/>
              <w:bottom w:val="single" w:color="000000" w:sz="4" w:space="0"/>
              <w:right w:val="single" w:color="000000" w:sz="4" w:space="0"/>
            </w:tcBorders>
          </w:tcPr>
          <w:p w14:paraId="7E106AAE">
            <w:pPr>
              <w:ind w:firstLine="0"/>
              <w:rPr>
                <w:rFonts w:ascii="Arial" w:hAnsi="Arial" w:eastAsia="Arial" w:cs="Arial"/>
                <w:b/>
                <w:color w:val="000000"/>
                <w:sz w:val="20"/>
                <w:szCs w:val="20"/>
                <w:lang w:val="de-DE" w:eastAsia="zh-TW"/>
              </w:rPr>
            </w:pPr>
            <w:r>
              <w:rPr>
                <w:rFonts w:ascii="Arial" w:hAnsi="Arial" w:eastAsia="Arial" w:cs="Arial"/>
                <w:b/>
                <w:color w:val="000000"/>
                <w:sz w:val="20"/>
                <w:szCs w:val="20"/>
                <w:lang w:val="de-DE" w:eastAsia="zh-TW"/>
              </w:rPr>
              <w:t>Urbinatti, Alberto Matenhauer et al.</w:t>
            </w:r>
          </w:p>
        </w:tc>
        <w:tc>
          <w:tcPr>
            <w:tcW w:w="3326" w:type="dxa"/>
            <w:tcBorders>
              <w:top w:val="single" w:color="000000" w:sz="4" w:space="0"/>
              <w:left w:val="single" w:color="000000" w:sz="4" w:space="0"/>
              <w:bottom w:val="single" w:color="000000" w:sz="4" w:space="0"/>
              <w:right w:val="single" w:color="000000" w:sz="4" w:space="0"/>
            </w:tcBorders>
          </w:tcPr>
          <w:p w14:paraId="56D98EF8">
            <w:pPr>
              <w:ind w:firstLine="0"/>
              <w:jc w:val="left"/>
              <w:rPr>
                <w:rFonts w:ascii="Arial" w:hAnsi="Arial" w:eastAsia="Arial" w:cs="Arial"/>
                <w:color w:val="000000"/>
                <w:sz w:val="20"/>
                <w:szCs w:val="20"/>
                <w:lang w:eastAsia="zh-TW"/>
              </w:rPr>
            </w:pPr>
            <w:r>
              <w:rPr>
                <w:rFonts w:ascii="Arial" w:hAnsi="Arial" w:eastAsia="Arial" w:cs="Arial"/>
                <w:color w:val="000000"/>
                <w:sz w:val="20"/>
                <w:szCs w:val="20"/>
                <w:lang w:eastAsia="zh-TW"/>
              </w:rPr>
              <w:t>Governança e sustentabilidade</w:t>
            </w:r>
          </w:p>
        </w:tc>
        <w:tc>
          <w:tcPr>
            <w:tcW w:w="752" w:type="dxa"/>
            <w:tcBorders>
              <w:top w:val="single" w:color="000000" w:sz="4" w:space="0"/>
              <w:left w:val="single" w:color="000000" w:sz="4" w:space="0"/>
              <w:bottom w:val="single" w:color="000000" w:sz="4" w:space="0"/>
              <w:right w:val="single" w:color="000000" w:sz="4" w:space="0"/>
            </w:tcBorders>
          </w:tcPr>
          <w:p w14:paraId="734EA060">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2020</w:t>
            </w:r>
          </w:p>
        </w:tc>
        <w:tc>
          <w:tcPr>
            <w:tcW w:w="1494" w:type="dxa"/>
            <w:tcBorders>
              <w:top w:val="single" w:color="000000" w:sz="4" w:space="0"/>
              <w:left w:val="single" w:color="000000" w:sz="4" w:space="0"/>
              <w:bottom w:val="single" w:color="000000" w:sz="4" w:space="0"/>
              <w:right w:val="single" w:color="000000" w:sz="4" w:space="0"/>
            </w:tcBorders>
          </w:tcPr>
          <w:p w14:paraId="2A6B6C60">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EUA</w:t>
            </w:r>
          </w:p>
        </w:tc>
      </w:tr>
      <w:tr w14:paraId="0D4046E2">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trPr>
        <w:tc>
          <w:tcPr>
            <w:tcW w:w="3707" w:type="dxa"/>
            <w:tcBorders>
              <w:top w:val="single" w:color="000000" w:sz="4" w:space="0"/>
              <w:left w:val="single" w:color="000000" w:sz="4" w:space="0"/>
              <w:bottom w:val="single" w:color="000000" w:sz="4" w:space="0"/>
              <w:right w:val="single" w:color="000000" w:sz="4" w:space="0"/>
            </w:tcBorders>
          </w:tcPr>
          <w:p w14:paraId="2E98E6B5">
            <w:pPr>
              <w:ind w:firstLine="0"/>
              <w:rPr>
                <w:rFonts w:ascii="Arial" w:hAnsi="Arial" w:eastAsia="Arial" w:cs="Arial"/>
                <w:b/>
                <w:color w:val="000000"/>
                <w:sz w:val="20"/>
                <w:szCs w:val="20"/>
                <w:lang w:val="es-ES" w:eastAsia="zh-TW"/>
              </w:rPr>
            </w:pPr>
            <w:r>
              <w:rPr>
                <w:rFonts w:ascii="Arial" w:hAnsi="Arial" w:eastAsia="Arial" w:cs="Arial"/>
                <w:b/>
                <w:color w:val="000000"/>
                <w:sz w:val="20"/>
                <w:szCs w:val="20"/>
                <w:lang w:val="es-ES" w:eastAsia="zh-TW"/>
              </w:rPr>
              <w:t>Leivas, R., J. Laso, R. Abejón, M. Margallo, and R. Aldaco.</w:t>
            </w:r>
          </w:p>
        </w:tc>
        <w:tc>
          <w:tcPr>
            <w:tcW w:w="3326" w:type="dxa"/>
            <w:tcBorders>
              <w:top w:val="single" w:color="000000" w:sz="4" w:space="0"/>
              <w:left w:val="single" w:color="000000" w:sz="4" w:space="0"/>
              <w:bottom w:val="single" w:color="000000" w:sz="4" w:space="0"/>
              <w:right w:val="single" w:color="000000" w:sz="4" w:space="0"/>
            </w:tcBorders>
          </w:tcPr>
          <w:p w14:paraId="3AD77DB4">
            <w:pPr>
              <w:ind w:firstLine="0"/>
              <w:jc w:val="left"/>
              <w:rPr>
                <w:rFonts w:ascii="Arial" w:hAnsi="Arial" w:eastAsia="Arial" w:cs="Arial"/>
                <w:color w:val="000000"/>
                <w:sz w:val="20"/>
                <w:szCs w:val="20"/>
                <w:lang w:eastAsia="zh-TW"/>
              </w:rPr>
            </w:pPr>
            <w:r>
              <w:rPr>
                <w:rFonts w:ascii="Arial" w:hAnsi="Arial" w:eastAsia="Arial" w:cs="Arial"/>
                <w:color w:val="000000"/>
                <w:sz w:val="20"/>
                <w:szCs w:val="20"/>
                <w:lang w:eastAsia="zh-TW"/>
              </w:rPr>
              <w:t>Mudanças climática e produção de alimentos</w:t>
            </w:r>
          </w:p>
        </w:tc>
        <w:tc>
          <w:tcPr>
            <w:tcW w:w="752" w:type="dxa"/>
            <w:tcBorders>
              <w:top w:val="single" w:color="000000" w:sz="4" w:space="0"/>
              <w:left w:val="single" w:color="000000" w:sz="4" w:space="0"/>
              <w:bottom w:val="single" w:color="000000" w:sz="4" w:space="0"/>
              <w:right w:val="single" w:color="000000" w:sz="4" w:space="0"/>
            </w:tcBorders>
          </w:tcPr>
          <w:p w14:paraId="77FE34F5">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2020</w:t>
            </w:r>
          </w:p>
        </w:tc>
        <w:tc>
          <w:tcPr>
            <w:tcW w:w="1494" w:type="dxa"/>
            <w:tcBorders>
              <w:top w:val="single" w:color="000000" w:sz="4" w:space="0"/>
              <w:left w:val="single" w:color="000000" w:sz="4" w:space="0"/>
              <w:bottom w:val="single" w:color="000000" w:sz="4" w:space="0"/>
              <w:right w:val="single" w:color="000000" w:sz="4" w:space="0"/>
            </w:tcBorders>
          </w:tcPr>
          <w:p w14:paraId="6E42A1A6">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EUA</w:t>
            </w:r>
          </w:p>
        </w:tc>
      </w:tr>
      <w:tr w14:paraId="14FAC7DB">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trPr>
        <w:tc>
          <w:tcPr>
            <w:tcW w:w="3707" w:type="dxa"/>
            <w:tcBorders>
              <w:top w:val="single" w:color="000000" w:sz="4" w:space="0"/>
              <w:left w:val="single" w:color="000000" w:sz="4" w:space="0"/>
              <w:bottom w:val="single" w:color="000000" w:sz="4" w:space="0"/>
              <w:right w:val="single" w:color="000000" w:sz="4" w:space="0"/>
            </w:tcBorders>
          </w:tcPr>
          <w:p w14:paraId="75EBFD07">
            <w:pPr>
              <w:ind w:firstLine="0"/>
              <w:rPr>
                <w:rFonts w:ascii="Arial" w:hAnsi="Arial" w:eastAsia="Arial" w:cs="Arial"/>
                <w:b/>
                <w:color w:val="000000"/>
                <w:sz w:val="20"/>
                <w:szCs w:val="20"/>
                <w:lang w:eastAsia="zh-TW"/>
              </w:rPr>
            </w:pPr>
            <w:r>
              <w:rPr>
                <w:rFonts w:ascii="Arial" w:hAnsi="Arial" w:eastAsia="Arial" w:cs="Arial"/>
                <w:b/>
                <w:color w:val="000000"/>
                <w:sz w:val="20"/>
                <w:szCs w:val="20"/>
                <w:lang w:eastAsia="zh-TW"/>
              </w:rPr>
              <w:t>Ahmadi, Esmaeil, Benjamin McLellan, and Tetsuo Tezuka</w:t>
            </w:r>
          </w:p>
        </w:tc>
        <w:tc>
          <w:tcPr>
            <w:tcW w:w="3326" w:type="dxa"/>
            <w:tcBorders>
              <w:top w:val="single" w:color="000000" w:sz="4" w:space="0"/>
              <w:left w:val="single" w:color="000000" w:sz="4" w:space="0"/>
              <w:bottom w:val="single" w:color="000000" w:sz="4" w:space="0"/>
              <w:right w:val="single" w:color="000000" w:sz="4" w:space="0"/>
            </w:tcBorders>
          </w:tcPr>
          <w:p w14:paraId="7956E6D5">
            <w:pPr>
              <w:ind w:firstLine="0"/>
              <w:jc w:val="left"/>
              <w:rPr>
                <w:rFonts w:ascii="Arial" w:hAnsi="Arial" w:eastAsia="Arial" w:cs="Arial"/>
                <w:color w:val="000000"/>
                <w:sz w:val="20"/>
                <w:szCs w:val="20"/>
                <w:lang w:eastAsia="zh-TW"/>
              </w:rPr>
            </w:pPr>
            <w:r>
              <w:rPr>
                <w:rFonts w:ascii="Arial" w:hAnsi="Arial" w:eastAsia="Arial" w:cs="Arial"/>
                <w:color w:val="000000"/>
                <w:sz w:val="20"/>
                <w:szCs w:val="20"/>
                <w:lang w:eastAsia="zh-TW"/>
              </w:rPr>
              <w:t>Energias renováveis e sustentabilidade</w:t>
            </w:r>
          </w:p>
        </w:tc>
        <w:tc>
          <w:tcPr>
            <w:tcW w:w="752" w:type="dxa"/>
            <w:tcBorders>
              <w:top w:val="single" w:color="000000" w:sz="4" w:space="0"/>
              <w:left w:val="single" w:color="000000" w:sz="4" w:space="0"/>
              <w:bottom w:val="single" w:color="000000" w:sz="4" w:space="0"/>
              <w:right w:val="single" w:color="000000" w:sz="4" w:space="0"/>
            </w:tcBorders>
          </w:tcPr>
          <w:p w14:paraId="15E26BCC">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2020</w:t>
            </w:r>
          </w:p>
        </w:tc>
        <w:tc>
          <w:tcPr>
            <w:tcW w:w="1494" w:type="dxa"/>
            <w:tcBorders>
              <w:top w:val="single" w:color="000000" w:sz="4" w:space="0"/>
              <w:left w:val="single" w:color="000000" w:sz="4" w:space="0"/>
              <w:bottom w:val="single" w:color="000000" w:sz="4" w:space="0"/>
              <w:right w:val="single" w:color="000000" w:sz="4" w:space="0"/>
            </w:tcBorders>
          </w:tcPr>
          <w:p w14:paraId="2A4E32AC">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Japão</w:t>
            </w:r>
          </w:p>
        </w:tc>
      </w:tr>
      <w:tr w14:paraId="385997EF">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trPr>
        <w:tc>
          <w:tcPr>
            <w:tcW w:w="3707" w:type="dxa"/>
            <w:tcBorders>
              <w:top w:val="single" w:color="000000" w:sz="4" w:space="0"/>
              <w:left w:val="single" w:color="000000" w:sz="4" w:space="0"/>
              <w:bottom w:val="single" w:color="000000" w:sz="4" w:space="0"/>
              <w:right w:val="single" w:color="000000" w:sz="4" w:space="0"/>
            </w:tcBorders>
          </w:tcPr>
          <w:p w14:paraId="73D1C817">
            <w:pPr>
              <w:ind w:firstLine="0"/>
              <w:rPr>
                <w:rFonts w:ascii="Arial" w:hAnsi="Arial" w:eastAsia="Arial" w:cs="Arial"/>
                <w:b/>
                <w:color w:val="000000"/>
                <w:sz w:val="20"/>
                <w:szCs w:val="20"/>
                <w:lang w:eastAsia="zh-TW"/>
              </w:rPr>
            </w:pPr>
            <w:r>
              <w:rPr>
                <w:rFonts w:ascii="Arial" w:hAnsi="Arial" w:eastAsia="Arial" w:cs="Arial"/>
                <w:b/>
                <w:color w:val="000000"/>
                <w:sz w:val="20"/>
                <w:szCs w:val="20"/>
                <w:lang w:eastAsia="zh-TW"/>
              </w:rPr>
              <w:t>Faling, Marijn.</w:t>
            </w:r>
          </w:p>
        </w:tc>
        <w:tc>
          <w:tcPr>
            <w:tcW w:w="3326" w:type="dxa"/>
            <w:tcBorders>
              <w:top w:val="single" w:color="000000" w:sz="4" w:space="0"/>
              <w:left w:val="single" w:color="000000" w:sz="4" w:space="0"/>
              <w:bottom w:val="single" w:color="000000" w:sz="4" w:space="0"/>
              <w:right w:val="single" w:color="000000" w:sz="4" w:space="0"/>
            </w:tcBorders>
          </w:tcPr>
          <w:p w14:paraId="51F608A6">
            <w:pPr>
              <w:ind w:firstLine="0"/>
              <w:jc w:val="left"/>
              <w:rPr>
                <w:rFonts w:ascii="Arial" w:hAnsi="Arial" w:eastAsia="Arial" w:cs="Arial"/>
                <w:color w:val="000000"/>
                <w:sz w:val="20"/>
                <w:szCs w:val="20"/>
                <w:lang w:eastAsia="zh-TW"/>
              </w:rPr>
            </w:pPr>
            <w:r>
              <w:rPr>
                <w:rFonts w:ascii="Arial" w:hAnsi="Arial" w:eastAsia="Arial" w:cs="Arial"/>
                <w:color w:val="000000"/>
                <w:sz w:val="20"/>
                <w:szCs w:val="20"/>
                <w:lang w:eastAsia="zh-TW"/>
              </w:rPr>
              <w:t>Agricultura e clima</w:t>
            </w:r>
          </w:p>
        </w:tc>
        <w:tc>
          <w:tcPr>
            <w:tcW w:w="752" w:type="dxa"/>
            <w:tcBorders>
              <w:top w:val="single" w:color="000000" w:sz="4" w:space="0"/>
              <w:left w:val="single" w:color="000000" w:sz="4" w:space="0"/>
              <w:bottom w:val="single" w:color="000000" w:sz="4" w:space="0"/>
              <w:right w:val="single" w:color="000000" w:sz="4" w:space="0"/>
            </w:tcBorders>
          </w:tcPr>
          <w:p w14:paraId="66B6B087">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2020</w:t>
            </w:r>
          </w:p>
        </w:tc>
        <w:tc>
          <w:tcPr>
            <w:tcW w:w="1494" w:type="dxa"/>
            <w:tcBorders>
              <w:top w:val="single" w:color="000000" w:sz="4" w:space="0"/>
              <w:left w:val="single" w:color="000000" w:sz="4" w:space="0"/>
              <w:bottom w:val="single" w:color="000000" w:sz="4" w:space="0"/>
              <w:right w:val="single" w:color="000000" w:sz="4" w:space="0"/>
            </w:tcBorders>
          </w:tcPr>
          <w:p w14:paraId="099F1E49">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EUA</w:t>
            </w:r>
          </w:p>
        </w:tc>
      </w:tr>
      <w:tr w14:paraId="6E3696C0">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trPr>
        <w:tc>
          <w:tcPr>
            <w:tcW w:w="3707" w:type="dxa"/>
            <w:tcBorders>
              <w:top w:val="single" w:color="000000" w:sz="4" w:space="0"/>
              <w:left w:val="single" w:color="000000" w:sz="4" w:space="0"/>
              <w:bottom w:val="single" w:color="000000" w:sz="4" w:space="0"/>
              <w:right w:val="single" w:color="000000" w:sz="4" w:space="0"/>
            </w:tcBorders>
          </w:tcPr>
          <w:p w14:paraId="60267541">
            <w:pPr>
              <w:ind w:firstLine="0"/>
              <w:rPr>
                <w:rFonts w:ascii="Arial" w:hAnsi="Arial" w:eastAsia="Arial" w:cs="Arial"/>
                <w:b/>
                <w:color w:val="000000"/>
                <w:sz w:val="20"/>
                <w:szCs w:val="20"/>
                <w:lang w:val="fr-FR" w:eastAsia="zh-TW"/>
              </w:rPr>
            </w:pPr>
            <w:r>
              <w:rPr>
                <w:rFonts w:ascii="Arial" w:hAnsi="Arial" w:eastAsia="Arial" w:cs="Arial"/>
                <w:b/>
                <w:color w:val="000000"/>
                <w:sz w:val="20"/>
                <w:szCs w:val="20"/>
                <w:lang w:val="fr-FR" w:eastAsia="zh-TW"/>
              </w:rPr>
              <w:t xml:space="preserve">Bahers, Jean-Baptiste, et al. </w:t>
            </w:r>
          </w:p>
        </w:tc>
        <w:tc>
          <w:tcPr>
            <w:tcW w:w="3326" w:type="dxa"/>
            <w:tcBorders>
              <w:top w:val="single" w:color="000000" w:sz="4" w:space="0"/>
              <w:left w:val="single" w:color="000000" w:sz="4" w:space="0"/>
              <w:bottom w:val="single" w:color="000000" w:sz="4" w:space="0"/>
              <w:right w:val="single" w:color="000000" w:sz="4" w:space="0"/>
            </w:tcBorders>
          </w:tcPr>
          <w:p w14:paraId="3E6D18C1">
            <w:pPr>
              <w:ind w:firstLine="0"/>
              <w:jc w:val="left"/>
              <w:rPr>
                <w:rFonts w:ascii="Arial" w:hAnsi="Arial" w:eastAsia="Arial" w:cs="Arial"/>
                <w:color w:val="000000"/>
                <w:sz w:val="20"/>
                <w:szCs w:val="20"/>
                <w:lang w:eastAsia="zh-TW"/>
              </w:rPr>
            </w:pPr>
            <w:r>
              <w:rPr>
                <w:rFonts w:ascii="Arial" w:hAnsi="Arial" w:eastAsia="Arial" w:cs="Arial"/>
                <w:color w:val="000000"/>
                <w:sz w:val="20"/>
                <w:szCs w:val="20"/>
                <w:lang w:eastAsia="zh-TW"/>
              </w:rPr>
              <w:t>Metabolismo insular e energia</w:t>
            </w:r>
          </w:p>
        </w:tc>
        <w:tc>
          <w:tcPr>
            <w:tcW w:w="752" w:type="dxa"/>
            <w:tcBorders>
              <w:top w:val="single" w:color="000000" w:sz="4" w:space="0"/>
              <w:left w:val="single" w:color="000000" w:sz="4" w:space="0"/>
              <w:bottom w:val="single" w:color="000000" w:sz="4" w:space="0"/>
              <w:right w:val="single" w:color="000000" w:sz="4" w:space="0"/>
            </w:tcBorders>
          </w:tcPr>
          <w:p w14:paraId="7A5B6B4B">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2020</w:t>
            </w:r>
          </w:p>
        </w:tc>
        <w:tc>
          <w:tcPr>
            <w:tcW w:w="1494" w:type="dxa"/>
            <w:tcBorders>
              <w:top w:val="single" w:color="000000" w:sz="4" w:space="0"/>
              <w:left w:val="single" w:color="000000" w:sz="4" w:space="0"/>
              <w:bottom w:val="single" w:color="000000" w:sz="4" w:space="0"/>
              <w:right w:val="single" w:color="000000" w:sz="4" w:space="0"/>
            </w:tcBorders>
          </w:tcPr>
          <w:p w14:paraId="20300B84">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N. Caledônia</w:t>
            </w:r>
          </w:p>
        </w:tc>
      </w:tr>
      <w:tr w14:paraId="7376DF8C">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trPr>
        <w:tc>
          <w:tcPr>
            <w:tcW w:w="3707" w:type="dxa"/>
            <w:tcBorders>
              <w:top w:val="single" w:color="000000" w:sz="4" w:space="0"/>
              <w:left w:val="single" w:color="000000" w:sz="4" w:space="0"/>
              <w:bottom w:val="single" w:color="000000" w:sz="4" w:space="0"/>
              <w:right w:val="single" w:color="000000" w:sz="4" w:space="0"/>
            </w:tcBorders>
          </w:tcPr>
          <w:p w14:paraId="3F422EBF">
            <w:pPr>
              <w:ind w:firstLine="0"/>
              <w:rPr>
                <w:rFonts w:ascii="Arial" w:hAnsi="Arial" w:eastAsia="Arial" w:cs="Arial"/>
                <w:b/>
                <w:color w:val="000000"/>
                <w:sz w:val="20"/>
                <w:szCs w:val="20"/>
                <w:lang w:eastAsia="zh-TW"/>
              </w:rPr>
            </w:pPr>
            <w:r>
              <w:rPr>
                <w:rFonts w:ascii="Arial" w:hAnsi="Arial" w:eastAsia="Arial" w:cs="Arial"/>
                <w:b/>
                <w:color w:val="000000"/>
                <w:sz w:val="20"/>
                <w:szCs w:val="20"/>
                <w:lang w:eastAsia="zh-TW"/>
              </w:rPr>
              <w:t>Ibrik, Imad.</w:t>
            </w:r>
          </w:p>
        </w:tc>
        <w:tc>
          <w:tcPr>
            <w:tcW w:w="3326" w:type="dxa"/>
            <w:tcBorders>
              <w:top w:val="single" w:color="000000" w:sz="4" w:space="0"/>
              <w:left w:val="single" w:color="000000" w:sz="4" w:space="0"/>
              <w:bottom w:val="single" w:color="000000" w:sz="4" w:space="0"/>
              <w:right w:val="single" w:color="000000" w:sz="4" w:space="0"/>
            </w:tcBorders>
          </w:tcPr>
          <w:p w14:paraId="69083DE9">
            <w:pPr>
              <w:ind w:firstLine="0"/>
              <w:jc w:val="left"/>
              <w:rPr>
                <w:rFonts w:ascii="Arial" w:hAnsi="Arial" w:eastAsia="Arial" w:cs="Arial"/>
                <w:color w:val="000000"/>
                <w:sz w:val="20"/>
                <w:szCs w:val="20"/>
                <w:lang w:eastAsia="zh-TW"/>
              </w:rPr>
            </w:pPr>
            <w:r>
              <w:rPr>
                <w:rFonts w:ascii="Arial" w:hAnsi="Arial" w:eastAsia="Arial" w:cs="Arial"/>
                <w:color w:val="000000"/>
                <w:sz w:val="20"/>
                <w:szCs w:val="20"/>
                <w:lang w:eastAsia="zh-TW"/>
              </w:rPr>
              <w:t>Sistema energia fotovoltaica e sustentabilidade</w:t>
            </w:r>
          </w:p>
        </w:tc>
        <w:tc>
          <w:tcPr>
            <w:tcW w:w="752" w:type="dxa"/>
            <w:tcBorders>
              <w:top w:val="single" w:color="000000" w:sz="4" w:space="0"/>
              <w:left w:val="single" w:color="000000" w:sz="4" w:space="0"/>
              <w:bottom w:val="single" w:color="000000" w:sz="4" w:space="0"/>
              <w:right w:val="single" w:color="000000" w:sz="4" w:space="0"/>
            </w:tcBorders>
          </w:tcPr>
          <w:p w14:paraId="7C3BFC64">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2020</w:t>
            </w:r>
          </w:p>
        </w:tc>
        <w:tc>
          <w:tcPr>
            <w:tcW w:w="1494" w:type="dxa"/>
            <w:tcBorders>
              <w:top w:val="single" w:color="000000" w:sz="4" w:space="0"/>
              <w:left w:val="single" w:color="000000" w:sz="4" w:space="0"/>
              <w:bottom w:val="single" w:color="000000" w:sz="4" w:space="0"/>
              <w:right w:val="single" w:color="000000" w:sz="4" w:space="0"/>
            </w:tcBorders>
          </w:tcPr>
          <w:p w14:paraId="244E85FC">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Palestina</w:t>
            </w:r>
          </w:p>
        </w:tc>
      </w:tr>
      <w:tr w14:paraId="44B99B2F">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trPr>
        <w:tc>
          <w:tcPr>
            <w:tcW w:w="3707" w:type="dxa"/>
            <w:tcBorders>
              <w:top w:val="single" w:color="000000" w:sz="4" w:space="0"/>
              <w:left w:val="single" w:color="000000" w:sz="4" w:space="0"/>
              <w:bottom w:val="single" w:color="000000" w:sz="4" w:space="0"/>
              <w:right w:val="single" w:color="000000" w:sz="4" w:space="0"/>
            </w:tcBorders>
          </w:tcPr>
          <w:p w14:paraId="326AF73F">
            <w:pPr>
              <w:ind w:firstLine="0"/>
              <w:rPr>
                <w:rFonts w:ascii="Arial" w:hAnsi="Arial" w:eastAsia="Arial" w:cs="Arial"/>
                <w:b/>
                <w:color w:val="000000"/>
                <w:sz w:val="20"/>
                <w:szCs w:val="20"/>
                <w:lang w:eastAsia="zh-TW"/>
              </w:rPr>
            </w:pPr>
            <w:r>
              <w:rPr>
                <w:rFonts w:ascii="Arial" w:hAnsi="Arial" w:eastAsia="Arial" w:cs="Arial"/>
                <w:b/>
                <w:color w:val="000000"/>
                <w:sz w:val="20"/>
                <w:szCs w:val="20"/>
                <w:lang w:eastAsia="zh-TW"/>
              </w:rPr>
              <w:t xml:space="preserve">Melloni, Giacomo, et al. </w:t>
            </w:r>
          </w:p>
        </w:tc>
        <w:tc>
          <w:tcPr>
            <w:tcW w:w="3326" w:type="dxa"/>
            <w:tcBorders>
              <w:top w:val="single" w:color="000000" w:sz="4" w:space="0"/>
              <w:left w:val="single" w:color="000000" w:sz="4" w:space="0"/>
              <w:bottom w:val="single" w:color="000000" w:sz="4" w:space="0"/>
              <w:right w:val="single" w:color="000000" w:sz="4" w:space="0"/>
            </w:tcBorders>
          </w:tcPr>
          <w:p w14:paraId="4C9BE941">
            <w:pPr>
              <w:ind w:firstLine="0"/>
              <w:jc w:val="left"/>
              <w:rPr>
                <w:rFonts w:ascii="Arial" w:hAnsi="Arial" w:eastAsia="Arial" w:cs="Arial"/>
                <w:color w:val="000000"/>
                <w:sz w:val="20"/>
                <w:szCs w:val="20"/>
                <w:lang w:eastAsia="zh-TW"/>
              </w:rPr>
            </w:pPr>
            <w:r>
              <w:rPr>
                <w:rFonts w:ascii="Arial" w:hAnsi="Arial" w:eastAsia="Arial" w:cs="Arial"/>
                <w:color w:val="000000"/>
                <w:sz w:val="20"/>
                <w:szCs w:val="20"/>
                <w:lang w:eastAsia="zh-TW"/>
              </w:rPr>
              <w:t>Água, energia e alimento/ mata atlântica</w:t>
            </w:r>
          </w:p>
        </w:tc>
        <w:tc>
          <w:tcPr>
            <w:tcW w:w="752" w:type="dxa"/>
            <w:tcBorders>
              <w:top w:val="single" w:color="000000" w:sz="4" w:space="0"/>
              <w:left w:val="single" w:color="000000" w:sz="4" w:space="0"/>
              <w:bottom w:val="single" w:color="000000" w:sz="4" w:space="0"/>
              <w:right w:val="single" w:color="000000" w:sz="4" w:space="0"/>
            </w:tcBorders>
          </w:tcPr>
          <w:p w14:paraId="14503364">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2020</w:t>
            </w:r>
          </w:p>
        </w:tc>
        <w:tc>
          <w:tcPr>
            <w:tcW w:w="1494" w:type="dxa"/>
            <w:tcBorders>
              <w:top w:val="single" w:color="000000" w:sz="4" w:space="0"/>
              <w:left w:val="single" w:color="000000" w:sz="4" w:space="0"/>
              <w:bottom w:val="single" w:color="000000" w:sz="4" w:space="0"/>
              <w:right w:val="single" w:color="000000" w:sz="4" w:space="0"/>
            </w:tcBorders>
          </w:tcPr>
          <w:p w14:paraId="63D02F76">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Itália</w:t>
            </w:r>
          </w:p>
        </w:tc>
      </w:tr>
      <w:tr w14:paraId="1AC4333B">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trPr>
        <w:tc>
          <w:tcPr>
            <w:tcW w:w="3707" w:type="dxa"/>
            <w:tcBorders>
              <w:top w:val="single" w:color="000000" w:sz="4" w:space="0"/>
              <w:left w:val="single" w:color="000000" w:sz="4" w:space="0"/>
              <w:bottom w:val="single" w:color="000000" w:sz="4" w:space="0"/>
              <w:right w:val="single" w:color="000000" w:sz="4" w:space="0"/>
            </w:tcBorders>
          </w:tcPr>
          <w:p w14:paraId="1F832155">
            <w:pPr>
              <w:ind w:firstLine="0"/>
              <w:rPr>
                <w:rFonts w:ascii="Arial" w:hAnsi="Arial" w:eastAsia="Arial" w:cs="Arial"/>
                <w:b/>
                <w:color w:val="000000"/>
                <w:sz w:val="20"/>
                <w:szCs w:val="20"/>
                <w:lang w:val="en-US" w:eastAsia="zh-TW"/>
              </w:rPr>
            </w:pPr>
            <w:r>
              <w:rPr>
                <w:rFonts w:ascii="Arial" w:hAnsi="Arial" w:eastAsia="Arial" w:cs="Arial"/>
                <w:b/>
                <w:color w:val="000000"/>
                <w:sz w:val="20"/>
                <w:szCs w:val="20"/>
                <w:lang w:val="en-US" w:eastAsia="zh-TW"/>
              </w:rPr>
              <w:t xml:space="preserve">Zanten, Jan Anton, and Rob Tulder. </w:t>
            </w:r>
          </w:p>
        </w:tc>
        <w:tc>
          <w:tcPr>
            <w:tcW w:w="3326" w:type="dxa"/>
            <w:tcBorders>
              <w:top w:val="single" w:color="000000" w:sz="4" w:space="0"/>
              <w:left w:val="single" w:color="000000" w:sz="4" w:space="0"/>
              <w:bottom w:val="single" w:color="000000" w:sz="4" w:space="0"/>
              <w:right w:val="single" w:color="000000" w:sz="4" w:space="0"/>
            </w:tcBorders>
          </w:tcPr>
          <w:p w14:paraId="04A289C2">
            <w:pPr>
              <w:ind w:firstLine="0"/>
              <w:jc w:val="left"/>
              <w:rPr>
                <w:rFonts w:ascii="Arial" w:hAnsi="Arial" w:eastAsia="Arial" w:cs="Arial"/>
                <w:color w:val="000000"/>
                <w:sz w:val="20"/>
                <w:szCs w:val="20"/>
                <w:lang w:eastAsia="zh-TW"/>
              </w:rPr>
            </w:pPr>
            <w:r>
              <w:rPr>
                <w:rFonts w:ascii="Arial" w:hAnsi="Arial" w:eastAsia="Arial" w:cs="Arial"/>
                <w:color w:val="000000"/>
                <w:sz w:val="20"/>
                <w:szCs w:val="20"/>
                <w:lang w:eastAsia="zh-TW"/>
              </w:rPr>
              <w:t>Desenvolvimento sustentável e empresas</w:t>
            </w:r>
          </w:p>
        </w:tc>
        <w:tc>
          <w:tcPr>
            <w:tcW w:w="752" w:type="dxa"/>
            <w:tcBorders>
              <w:top w:val="single" w:color="000000" w:sz="4" w:space="0"/>
              <w:left w:val="single" w:color="000000" w:sz="4" w:space="0"/>
              <w:bottom w:val="single" w:color="000000" w:sz="4" w:space="0"/>
              <w:right w:val="single" w:color="000000" w:sz="4" w:space="0"/>
            </w:tcBorders>
          </w:tcPr>
          <w:p w14:paraId="6A8B7CB7">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2021</w:t>
            </w:r>
          </w:p>
        </w:tc>
        <w:tc>
          <w:tcPr>
            <w:tcW w:w="1494" w:type="dxa"/>
            <w:tcBorders>
              <w:top w:val="single" w:color="000000" w:sz="4" w:space="0"/>
              <w:left w:val="single" w:color="000000" w:sz="4" w:space="0"/>
              <w:bottom w:val="single" w:color="000000" w:sz="4" w:space="0"/>
              <w:right w:val="single" w:color="000000" w:sz="4" w:space="0"/>
            </w:tcBorders>
          </w:tcPr>
          <w:p w14:paraId="043C5CE3">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EUA</w:t>
            </w:r>
          </w:p>
        </w:tc>
      </w:tr>
      <w:tr w14:paraId="6DE7F1EC">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trPr>
        <w:tc>
          <w:tcPr>
            <w:tcW w:w="3707" w:type="dxa"/>
            <w:tcBorders>
              <w:top w:val="single" w:color="000000" w:sz="4" w:space="0"/>
              <w:left w:val="single" w:color="000000" w:sz="4" w:space="0"/>
              <w:bottom w:val="single" w:color="000000" w:sz="4" w:space="0"/>
              <w:right w:val="single" w:color="000000" w:sz="4" w:space="0"/>
            </w:tcBorders>
          </w:tcPr>
          <w:p w14:paraId="73EE0BD6">
            <w:pPr>
              <w:ind w:firstLine="0"/>
              <w:rPr>
                <w:rFonts w:ascii="Arial" w:hAnsi="Arial" w:eastAsia="Arial" w:cs="Arial"/>
                <w:b/>
                <w:color w:val="000000"/>
                <w:sz w:val="20"/>
                <w:szCs w:val="20"/>
                <w:lang w:eastAsia="zh-TW"/>
              </w:rPr>
            </w:pPr>
            <w:r>
              <w:rPr>
                <w:rFonts w:ascii="Arial" w:hAnsi="Arial" w:eastAsia="Arial" w:cs="Arial"/>
                <w:b/>
                <w:color w:val="000000"/>
                <w:sz w:val="20"/>
                <w:szCs w:val="20"/>
                <w:lang w:eastAsia="zh-TW"/>
              </w:rPr>
              <w:t>Van Zanten, Jan Anton, and Rob van Tulder</w:t>
            </w:r>
          </w:p>
        </w:tc>
        <w:tc>
          <w:tcPr>
            <w:tcW w:w="3326" w:type="dxa"/>
            <w:tcBorders>
              <w:top w:val="single" w:color="000000" w:sz="4" w:space="0"/>
              <w:left w:val="single" w:color="000000" w:sz="4" w:space="0"/>
              <w:bottom w:val="single" w:color="000000" w:sz="4" w:space="0"/>
              <w:right w:val="single" w:color="000000" w:sz="4" w:space="0"/>
            </w:tcBorders>
          </w:tcPr>
          <w:p w14:paraId="0E4913CC">
            <w:pPr>
              <w:ind w:firstLine="0"/>
              <w:jc w:val="left"/>
              <w:rPr>
                <w:rFonts w:ascii="Arial" w:hAnsi="Arial" w:eastAsia="Arial" w:cs="Arial"/>
                <w:color w:val="000000"/>
                <w:sz w:val="20"/>
                <w:szCs w:val="20"/>
                <w:lang w:eastAsia="zh-TW"/>
              </w:rPr>
            </w:pPr>
            <w:r>
              <w:rPr>
                <w:rFonts w:ascii="Arial" w:hAnsi="Arial" w:eastAsia="Arial" w:cs="Arial"/>
                <w:color w:val="000000"/>
                <w:sz w:val="20"/>
                <w:szCs w:val="20"/>
                <w:lang w:eastAsia="zh-TW"/>
              </w:rPr>
              <w:t>Interação economia e ODS</w:t>
            </w:r>
          </w:p>
        </w:tc>
        <w:tc>
          <w:tcPr>
            <w:tcW w:w="752" w:type="dxa"/>
            <w:tcBorders>
              <w:top w:val="single" w:color="000000" w:sz="4" w:space="0"/>
              <w:left w:val="single" w:color="000000" w:sz="4" w:space="0"/>
              <w:bottom w:val="single" w:color="000000" w:sz="4" w:space="0"/>
              <w:right w:val="single" w:color="000000" w:sz="4" w:space="0"/>
            </w:tcBorders>
          </w:tcPr>
          <w:p w14:paraId="248920C0">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2021</w:t>
            </w:r>
          </w:p>
        </w:tc>
        <w:tc>
          <w:tcPr>
            <w:tcW w:w="1494" w:type="dxa"/>
            <w:tcBorders>
              <w:top w:val="single" w:color="000000" w:sz="4" w:space="0"/>
              <w:left w:val="single" w:color="000000" w:sz="4" w:space="0"/>
              <w:bottom w:val="single" w:color="000000" w:sz="4" w:space="0"/>
              <w:right w:val="single" w:color="000000" w:sz="4" w:space="0"/>
            </w:tcBorders>
          </w:tcPr>
          <w:p w14:paraId="3BBA1C99">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EUA</w:t>
            </w:r>
          </w:p>
        </w:tc>
      </w:tr>
      <w:tr w14:paraId="20285008">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trPr>
        <w:tc>
          <w:tcPr>
            <w:tcW w:w="3707" w:type="dxa"/>
            <w:tcBorders>
              <w:top w:val="single" w:color="000000" w:sz="4" w:space="0"/>
              <w:left w:val="single" w:color="000000" w:sz="4" w:space="0"/>
              <w:bottom w:val="single" w:color="000000" w:sz="4" w:space="0"/>
              <w:right w:val="single" w:color="000000" w:sz="4" w:space="0"/>
            </w:tcBorders>
          </w:tcPr>
          <w:p w14:paraId="7638CA7D">
            <w:pPr>
              <w:ind w:firstLine="0"/>
              <w:rPr>
                <w:rFonts w:ascii="Arial" w:hAnsi="Arial" w:eastAsia="Arial" w:cs="Arial"/>
                <w:b/>
                <w:color w:val="000000"/>
                <w:sz w:val="20"/>
                <w:szCs w:val="20"/>
                <w:lang w:val="en-US" w:eastAsia="zh-TW"/>
              </w:rPr>
            </w:pPr>
            <w:r>
              <w:rPr>
                <w:rFonts w:ascii="Arial" w:hAnsi="Arial" w:eastAsia="Arial" w:cs="Arial"/>
                <w:b/>
                <w:color w:val="000000"/>
                <w:sz w:val="20"/>
                <w:szCs w:val="20"/>
                <w:lang w:val="en-US" w:eastAsia="zh-TW"/>
              </w:rPr>
              <w:t>Ofori, Samuel Appiah, Samuel Jerry Cobbina, and Samuel Obiri</w:t>
            </w:r>
          </w:p>
        </w:tc>
        <w:tc>
          <w:tcPr>
            <w:tcW w:w="3326" w:type="dxa"/>
            <w:tcBorders>
              <w:top w:val="single" w:color="000000" w:sz="4" w:space="0"/>
              <w:left w:val="single" w:color="000000" w:sz="4" w:space="0"/>
              <w:bottom w:val="single" w:color="000000" w:sz="4" w:space="0"/>
              <w:right w:val="single" w:color="000000" w:sz="4" w:space="0"/>
            </w:tcBorders>
          </w:tcPr>
          <w:p w14:paraId="7BBD2301">
            <w:pPr>
              <w:ind w:firstLine="0"/>
              <w:jc w:val="left"/>
              <w:rPr>
                <w:rFonts w:ascii="Arial" w:hAnsi="Arial" w:eastAsia="Arial" w:cs="Arial"/>
                <w:color w:val="000000"/>
                <w:sz w:val="20"/>
                <w:szCs w:val="20"/>
                <w:lang w:eastAsia="zh-TW"/>
              </w:rPr>
            </w:pPr>
            <w:r>
              <w:rPr>
                <w:rFonts w:ascii="Arial" w:hAnsi="Arial" w:eastAsia="Arial" w:cs="Arial"/>
                <w:color w:val="000000"/>
                <w:sz w:val="20"/>
                <w:szCs w:val="20"/>
                <w:lang w:eastAsia="zh-TW"/>
              </w:rPr>
              <w:t>Mudanças Climáticas, Terra, Água e Segurança Alimentar</w:t>
            </w:r>
          </w:p>
        </w:tc>
        <w:tc>
          <w:tcPr>
            <w:tcW w:w="752" w:type="dxa"/>
            <w:tcBorders>
              <w:top w:val="single" w:color="000000" w:sz="4" w:space="0"/>
              <w:left w:val="single" w:color="000000" w:sz="4" w:space="0"/>
              <w:bottom w:val="single" w:color="000000" w:sz="4" w:space="0"/>
              <w:right w:val="single" w:color="000000" w:sz="4" w:space="0"/>
            </w:tcBorders>
          </w:tcPr>
          <w:p w14:paraId="21F4D879">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2021</w:t>
            </w:r>
          </w:p>
        </w:tc>
        <w:tc>
          <w:tcPr>
            <w:tcW w:w="1494" w:type="dxa"/>
            <w:tcBorders>
              <w:top w:val="single" w:color="000000" w:sz="4" w:space="0"/>
              <w:left w:val="single" w:color="000000" w:sz="4" w:space="0"/>
              <w:bottom w:val="single" w:color="000000" w:sz="4" w:space="0"/>
              <w:right w:val="single" w:color="000000" w:sz="4" w:space="0"/>
            </w:tcBorders>
          </w:tcPr>
          <w:p w14:paraId="49215E37">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África</w:t>
            </w:r>
          </w:p>
        </w:tc>
      </w:tr>
      <w:tr w14:paraId="3FD0EAAF">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5" w:hRule="atLeast"/>
        </w:trPr>
        <w:tc>
          <w:tcPr>
            <w:tcW w:w="3707" w:type="dxa"/>
            <w:tcBorders>
              <w:top w:val="single" w:color="000000" w:sz="4" w:space="0"/>
              <w:left w:val="single" w:color="000000" w:sz="4" w:space="0"/>
              <w:bottom w:val="single" w:color="000000" w:sz="4" w:space="0"/>
              <w:right w:val="single" w:color="000000" w:sz="4" w:space="0"/>
            </w:tcBorders>
          </w:tcPr>
          <w:p w14:paraId="4592F389">
            <w:pPr>
              <w:ind w:firstLine="0"/>
              <w:rPr>
                <w:rFonts w:ascii="Arial" w:hAnsi="Arial" w:eastAsia="Arial" w:cs="Arial"/>
                <w:b/>
                <w:color w:val="000000"/>
                <w:sz w:val="20"/>
                <w:szCs w:val="20"/>
                <w:lang w:eastAsia="zh-TW"/>
              </w:rPr>
            </w:pPr>
            <w:r>
              <w:rPr>
                <w:rFonts w:ascii="Arial" w:hAnsi="Arial" w:eastAsia="Arial" w:cs="Arial"/>
                <w:b/>
                <w:color w:val="000000"/>
                <w:sz w:val="20"/>
                <w:szCs w:val="20"/>
                <w:lang w:eastAsia="zh-TW"/>
              </w:rPr>
              <w:t>Farjalla, Vinicius F., Aliny P. F. Pires, Angelo A. Agostinho, André M. Amado, Reinaldo L. Bozelli, Braulio F. S. Dias, Viviane Dib, et al</w:t>
            </w:r>
          </w:p>
        </w:tc>
        <w:tc>
          <w:tcPr>
            <w:tcW w:w="3326" w:type="dxa"/>
            <w:tcBorders>
              <w:top w:val="single" w:color="000000" w:sz="4" w:space="0"/>
              <w:left w:val="single" w:color="000000" w:sz="4" w:space="0"/>
              <w:bottom w:val="single" w:color="000000" w:sz="4" w:space="0"/>
              <w:right w:val="single" w:color="000000" w:sz="4" w:space="0"/>
            </w:tcBorders>
          </w:tcPr>
          <w:p w14:paraId="3195A430">
            <w:pPr>
              <w:ind w:firstLine="0"/>
              <w:jc w:val="left"/>
              <w:rPr>
                <w:rFonts w:ascii="Arial" w:hAnsi="Arial" w:eastAsia="Arial" w:cs="Arial"/>
                <w:color w:val="000000"/>
                <w:sz w:val="20"/>
                <w:szCs w:val="20"/>
                <w:lang w:eastAsia="zh-TW"/>
              </w:rPr>
            </w:pPr>
            <w:r>
              <w:rPr>
                <w:rFonts w:ascii="Arial" w:hAnsi="Arial" w:eastAsia="Arial" w:cs="Arial"/>
                <w:color w:val="000000"/>
                <w:sz w:val="20"/>
                <w:szCs w:val="20"/>
                <w:lang w:eastAsia="zh-TW"/>
              </w:rPr>
              <w:t>Água e sustentabilidade</w:t>
            </w:r>
          </w:p>
        </w:tc>
        <w:tc>
          <w:tcPr>
            <w:tcW w:w="752" w:type="dxa"/>
            <w:tcBorders>
              <w:top w:val="single" w:color="000000" w:sz="4" w:space="0"/>
              <w:left w:val="single" w:color="000000" w:sz="4" w:space="0"/>
              <w:bottom w:val="single" w:color="000000" w:sz="4" w:space="0"/>
              <w:right w:val="single" w:color="000000" w:sz="4" w:space="0"/>
            </w:tcBorders>
          </w:tcPr>
          <w:p w14:paraId="54C8A1F9">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2021</w:t>
            </w:r>
          </w:p>
        </w:tc>
        <w:tc>
          <w:tcPr>
            <w:tcW w:w="1494" w:type="dxa"/>
            <w:tcBorders>
              <w:top w:val="single" w:color="000000" w:sz="4" w:space="0"/>
              <w:left w:val="single" w:color="000000" w:sz="4" w:space="0"/>
              <w:bottom w:val="single" w:color="000000" w:sz="4" w:space="0"/>
              <w:right w:val="single" w:color="000000" w:sz="4" w:space="0"/>
            </w:tcBorders>
          </w:tcPr>
          <w:p w14:paraId="2FFAB3CF">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China</w:t>
            </w:r>
          </w:p>
        </w:tc>
      </w:tr>
      <w:tr w14:paraId="48407876">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trPr>
        <w:tc>
          <w:tcPr>
            <w:tcW w:w="3707" w:type="dxa"/>
            <w:tcBorders>
              <w:top w:val="single" w:color="000000" w:sz="4" w:space="0"/>
              <w:left w:val="single" w:color="000000" w:sz="4" w:space="0"/>
              <w:bottom w:val="single" w:color="000000" w:sz="4" w:space="0"/>
              <w:right w:val="single" w:color="000000" w:sz="4" w:space="0"/>
            </w:tcBorders>
          </w:tcPr>
          <w:p w14:paraId="4CC81749">
            <w:pPr>
              <w:ind w:firstLine="0"/>
              <w:rPr>
                <w:rFonts w:ascii="Arial" w:hAnsi="Arial" w:eastAsia="Arial" w:cs="Arial"/>
                <w:b/>
                <w:color w:val="000000"/>
                <w:sz w:val="20"/>
                <w:szCs w:val="20"/>
                <w:lang w:eastAsia="zh-TW"/>
              </w:rPr>
            </w:pPr>
            <w:r>
              <w:rPr>
                <w:rFonts w:ascii="Arial" w:hAnsi="Arial" w:eastAsia="Arial" w:cs="Arial"/>
                <w:b/>
                <w:color w:val="000000"/>
                <w:sz w:val="20"/>
                <w:szCs w:val="20"/>
                <w:lang w:eastAsia="zh-TW"/>
              </w:rPr>
              <w:t>Ponce Oliva, Roberto D., et al.</w:t>
            </w:r>
          </w:p>
        </w:tc>
        <w:tc>
          <w:tcPr>
            <w:tcW w:w="3326" w:type="dxa"/>
            <w:tcBorders>
              <w:top w:val="single" w:color="000000" w:sz="4" w:space="0"/>
              <w:left w:val="single" w:color="000000" w:sz="4" w:space="0"/>
              <w:bottom w:val="single" w:color="000000" w:sz="4" w:space="0"/>
              <w:right w:val="single" w:color="000000" w:sz="4" w:space="0"/>
            </w:tcBorders>
          </w:tcPr>
          <w:p w14:paraId="333231F3">
            <w:pPr>
              <w:ind w:firstLine="0"/>
              <w:jc w:val="left"/>
              <w:rPr>
                <w:rFonts w:ascii="Arial" w:hAnsi="Arial" w:eastAsia="Arial" w:cs="Arial"/>
                <w:color w:val="000000"/>
                <w:sz w:val="20"/>
                <w:szCs w:val="20"/>
                <w:lang w:eastAsia="zh-TW"/>
              </w:rPr>
            </w:pPr>
            <w:r>
              <w:rPr>
                <w:rFonts w:ascii="Arial" w:hAnsi="Arial" w:eastAsia="Arial" w:cs="Arial"/>
                <w:color w:val="000000"/>
                <w:sz w:val="20"/>
                <w:szCs w:val="20"/>
                <w:lang w:eastAsia="zh-TW"/>
              </w:rPr>
              <w:t>Bacia Hidrográfica, água e alimento</w:t>
            </w:r>
          </w:p>
        </w:tc>
        <w:tc>
          <w:tcPr>
            <w:tcW w:w="752" w:type="dxa"/>
            <w:tcBorders>
              <w:top w:val="single" w:color="000000" w:sz="4" w:space="0"/>
              <w:left w:val="single" w:color="000000" w:sz="4" w:space="0"/>
              <w:bottom w:val="single" w:color="000000" w:sz="4" w:space="0"/>
              <w:right w:val="single" w:color="000000" w:sz="4" w:space="0"/>
            </w:tcBorders>
          </w:tcPr>
          <w:p w14:paraId="27B2F65E">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2021</w:t>
            </w:r>
          </w:p>
        </w:tc>
        <w:tc>
          <w:tcPr>
            <w:tcW w:w="1494" w:type="dxa"/>
            <w:tcBorders>
              <w:top w:val="single" w:color="000000" w:sz="4" w:space="0"/>
              <w:left w:val="single" w:color="000000" w:sz="4" w:space="0"/>
              <w:bottom w:val="single" w:color="000000" w:sz="4" w:space="0"/>
              <w:right w:val="single" w:color="000000" w:sz="4" w:space="0"/>
            </w:tcBorders>
          </w:tcPr>
          <w:p w14:paraId="17A24BBE">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Japão</w:t>
            </w:r>
          </w:p>
        </w:tc>
      </w:tr>
      <w:tr w14:paraId="6A998519">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trPr>
        <w:tc>
          <w:tcPr>
            <w:tcW w:w="3707" w:type="dxa"/>
            <w:tcBorders>
              <w:top w:val="single" w:color="000000" w:sz="4" w:space="0"/>
              <w:left w:val="single" w:color="000000" w:sz="4" w:space="0"/>
              <w:bottom w:val="single" w:color="000000" w:sz="4" w:space="0"/>
              <w:right w:val="single" w:color="000000" w:sz="4" w:space="0"/>
            </w:tcBorders>
          </w:tcPr>
          <w:p w14:paraId="6C5A28CC">
            <w:pPr>
              <w:ind w:firstLine="0"/>
              <w:rPr>
                <w:rFonts w:ascii="Arial" w:hAnsi="Arial" w:eastAsia="Arial" w:cs="Arial"/>
                <w:b/>
                <w:color w:val="000000"/>
                <w:sz w:val="20"/>
                <w:szCs w:val="20"/>
                <w:lang w:eastAsia="zh-TW"/>
              </w:rPr>
            </w:pPr>
            <w:r>
              <w:rPr>
                <w:rFonts w:ascii="Arial" w:hAnsi="Arial" w:eastAsia="Arial" w:cs="Arial"/>
                <w:b/>
                <w:color w:val="000000"/>
                <w:sz w:val="20"/>
                <w:szCs w:val="20"/>
                <w:lang w:eastAsia="zh-TW"/>
              </w:rPr>
              <w:t>Ramos, Eunice Pereira et al.</w:t>
            </w:r>
          </w:p>
        </w:tc>
        <w:tc>
          <w:tcPr>
            <w:tcW w:w="3326" w:type="dxa"/>
            <w:tcBorders>
              <w:top w:val="single" w:color="000000" w:sz="4" w:space="0"/>
              <w:left w:val="single" w:color="000000" w:sz="4" w:space="0"/>
              <w:bottom w:val="single" w:color="000000" w:sz="4" w:space="0"/>
              <w:right w:val="single" w:color="000000" w:sz="4" w:space="0"/>
            </w:tcBorders>
          </w:tcPr>
          <w:p w14:paraId="59DC0375">
            <w:pPr>
              <w:ind w:firstLine="0"/>
              <w:jc w:val="left"/>
              <w:rPr>
                <w:rFonts w:ascii="Arial" w:hAnsi="Arial" w:eastAsia="Arial" w:cs="Arial"/>
                <w:color w:val="000000"/>
                <w:sz w:val="20"/>
                <w:szCs w:val="20"/>
                <w:lang w:eastAsia="zh-TW"/>
              </w:rPr>
            </w:pPr>
            <w:r>
              <w:rPr>
                <w:rFonts w:ascii="Arial" w:hAnsi="Arial" w:eastAsia="Arial" w:cs="Arial"/>
                <w:color w:val="000000"/>
                <w:sz w:val="20"/>
                <w:szCs w:val="20"/>
                <w:lang w:eastAsia="zh-TW"/>
              </w:rPr>
              <w:t>Floresta e clima</w:t>
            </w:r>
          </w:p>
        </w:tc>
        <w:tc>
          <w:tcPr>
            <w:tcW w:w="752" w:type="dxa"/>
            <w:tcBorders>
              <w:top w:val="single" w:color="000000" w:sz="4" w:space="0"/>
              <w:left w:val="single" w:color="000000" w:sz="4" w:space="0"/>
              <w:bottom w:val="single" w:color="000000" w:sz="4" w:space="0"/>
              <w:right w:val="single" w:color="000000" w:sz="4" w:space="0"/>
            </w:tcBorders>
          </w:tcPr>
          <w:p w14:paraId="687D8854">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2022</w:t>
            </w:r>
          </w:p>
        </w:tc>
        <w:tc>
          <w:tcPr>
            <w:tcW w:w="1494" w:type="dxa"/>
            <w:tcBorders>
              <w:top w:val="single" w:color="000000" w:sz="4" w:space="0"/>
              <w:left w:val="single" w:color="000000" w:sz="4" w:space="0"/>
              <w:bottom w:val="single" w:color="000000" w:sz="4" w:space="0"/>
              <w:right w:val="single" w:color="000000" w:sz="4" w:space="0"/>
            </w:tcBorders>
          </w:tcPr>
          <w:p w14:paraId="32E3DCC7">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EUA</w:t>
            </w:r>
          </w:p>
        </w:tc>
      </w:tr>
      <w:tr w14:paraId="0CEC6240">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3707" w:type="dxa"/>
            <w:tcBorders>
              <w:top w:val="single" w:color="000000" w:sz="4" w:space="0"/>
              <w:left w:val="single" w:color="000000" w:sz="4" w:space="0"/>
              <w:bottom w:val="single" w:color="000000" w:sz="4" w:space="0"/>
              <w:right w:val="single" w:color="000000" w:sz="4" w:space="0"/>
            </w:tcBorders>
          </w:tcPr>
          <w:p w14:paraId="1E9402E0">
            <w:pPr>
              <w:ind w:firstLine="0"/>
              <w:rPr>
                <w:rFonts w:ascii="Arial" w:hAnsi="Arial" w:eastAsia="Arial" w:cs="Arial"/>
                <w:b/>
                <w:color w:val="000000"/>
                <w:sz w:val="20"/>
                <w:szCs w:val="20"/>
                <w:lang w:val="fr-FR" w:eastAsia="zh-TW"/>
              </w:rPr>
            </w:pPr>
            <w:r>
              <w:rPr>
                <w:rFonts w:ascii="Arial" w:hAnsi="Arial" w:eastAsia="Arial" w:cs="Arial"/>
                <w:b/>
                <w:color w:val="000000"/>
                <w:sz w:val="20"/>
                <w:szCs w:val="20"/>
                <w:lang w:val="fr-FR" w:eastAsia="zh-TW"/>
              </w:rPr>
              <w:t>Ramifehiarivo, Nandrianina, Tiphaine Chevallier, Dimitri Defrance, Michel Brossard, and Jean-Luc Chotte.</w:t>
            </w:r>
          </w:p>
        </w:tc>
        <w:tc>
          <w:tcPr>
            <w:tcW w:w="3326" w:type="dxa"/>
            <w:tcBorders>
              <w:top w:val="single" w:color="000000" w:sz="4" w:space="0"/>
              <w:left w:val="single" w:color="000000" w:sz="4" w:space="0"/>
              <w:bottom w:val="single" w:color="000000" w:sz="4" w:space="0"/>
              <w:right w:val="single" w:color="000000" w:sz="4" w:space="0"/>
            </w:tcBorders>
          </w:tcPr>
          <w:p w14:paraId="2F3F0958">
            <w:pPr>
              <w:ind w:firstLine="0"/>
              <w:jc w:val="left"/>
              <w:rPr>
                <w:rFonts w:ascii="Arial" w:hAnsi="Arial" w:eastAsia="Arial" w:cs="Arial"/>
                <w:color w:val="000000"/>
                <w:sz w:val="20"/>
                <w:szCs w:val="20"/>
                <w:lang w:eastAsia="zh-TW"/>
              </w:rPr>
            </w:pPr>
            <w:r>
              <w:rPr>
                <w:rFonts w:ascii="Arial" w:hAnsi="Arial" w:eastAsia="Arial" w:cs="Arial"/>
                <w:color w:val="000000"/>
                <w:sz w:val="20"/>
                <w:szCs w:val="20"/>
                <w:lang w:eastAsia="zh-TW"/>
              </w:rPr>
              <w:t>Agricultura</w:t>
            </w:r>
          </w:p>
        </w:tc>
        <w:tc>
          <w:tcPr>
            <w:tcW w:w="752" w:type="dxa"/>
            <w:tcBorders>
              <w:top w:val="single" w:color="000000" w:sz="4" w:space="0"/>
              <w:left w:val="single" w:color="000000" w:sz="4" w:space="0"/>
              <w:bottom w:val="single" w:color="000000" w:sz="4" w:space="0"/>
              <w:right w:val="single" w:color="000000" w:sz="4" w:space="0"/>
            </w:tcBorders>
          </w:tcPr>
          <w:p w14:paraId="205630C4">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2022</w:t>
            </w:r>
          </w:p>
        </w:tc>
        <w:tc>
          <w:tcPr>
            <w:tcW w:w="1494" w:type="dxa"/>
            <w:tcBorders>
              <w:top w:val="single" w:color="000000" w:sz="4" w:space="0"/>
              <w:left w:val="single" w:color="000000" w:sz="4" w:space="0"/>
              <w:bottom w:val="single" w:color="000000" w:sz="4" w:space="0"/>
              <w:right w:val="single" w:color="000000" w:sz="4" w:space="0"/>
            </w:tcBorders>
          </w:tcPr>
          <w:p w14:paraId="259980BC">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França</w:t>
            </w:r>
          </w:p>
        </w:tc>
      </w:tr>
      <w:tr w14:paraId="1E48A739">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3707" w:type="dxa"/>
            <w:tcBorders>
              <w:top w:val="single" w:color="000000" w:sz="4" w:space="0"/>
              <w:left w:val="single" w:color="000000" w:sz="4" w:space="0"/>
              <w:bottom w:val="single" w:color="000000" w:sz="4" w:space="0"/>
              <w:right w:val="single" w:color="000000" w:sz="4" w:space="0"/>
            </w:tcBorders>
          </w:tcPr>
          <w:p w14:paraId="6381DC55">
            <w:pPr>
              <w:ind w:firstLine="0"/>
              <w:rPr>
                <w:rFonts w:ascii="Arial" w:hAnsi="Arial" w:eastAsia="Arial" w:cs="Arial"/>
                <w:b/>
                <w:color w:val="000000"/>
                <w:sz w:val="20"/>
                <w:szCs w:val="20"/>
                <w:lang w:eastAsia="zh-TW"/>
              </w:rPr>
            </w:pPr>
            <w:r>
              <w:rPr>
                <w:rFonts w:ascii="Arial" w:hAnsi="Arial" w:eastAsia="Arial" w:cs="Arial"/>
                <w:b/>
                <w:color w:val="000000"/>
                <w:sz w:val="20"/>
                <w:szCs w:val="20"/>
                <w:lang w:eastAsia="zh-TW"/>
              </w:rPr>
              <w:t>Ramos, Eunice Pereira, Dimitris Kofinas, Caroline Sundin, Floor Brouwer, and Chrysi Laspidou.</w:t>
            </w:r>
          </w:p>
        </w:tc>
        <w:tc>
          <w:tcPr>
            <w:tcW w:w="3326" w:type="dxa"/>
            <w:tcBorders>
              <w:top w:val="single" w:color="000000" w:sz="4" w:space="0"/>
              <w:left w:val="single" w:color="000000" w:sz="4" w:space="0"/>
              <w:bottom w:val="single" w:color="000000" w:sz="4" w:space="0"/>
              <w:right w:val="single" w:color="000000" w:sz="4" w:space="0"/>
            </w:tcBorders>
          </w:tcPr>
          <w:p w14:paraId="07EE93BB">
            <w:pPr>
              <w:ind w:firstLine="0"/>
              <w:jc w:val="left"/>
              <w:rPr>
                <w:rFonts w:ascii="Arial" w:hAnsi="Arial" w:eastAsia="Arial" w:cs="Arial"/>
                <w:color w:val="000000"/>
                <w:sz w:val="20"/>
                <w:szCs w:val="20"/>
                <w:lang w:eastAsia="zh-TW"/>
              </w:rPr>
            </w:pPr>
            <w:r>
              <w:rPr>
                <w:rFonts w:ascii="Arial" w:hAnsi="Arial" w:eastAsia="Arial" w:cs="Arial"/>
                <w:color w:val="000000"/>
                <w:sz w:val="20"/>
                <w:szCs w:val="20"/>
                <w:lang w:eastAsia="zh-TW"/>
              </w:rPr>
              <w:t xml:space="preserve">Abordagem </w:t>
            </w:r>
            <w:r>
              <w:rPr>
                <w:rFonts w:ascii="Arial" w:hAnsi="Arial" w:eastAsia="Arial" w:cs="Arial"/>
                <w:i/>
                <w:color w:val="000000"/>
                <w:sz w:val="20"/>
                <w:szCs w:val="20"/>
                <w:lang w:eastAsia="zh-TW"/>
              </w:rPr>
              <w:t>Nexus</w:t>
            </w:r>
          </w:p>
        </w:tc>
        <w:tc>
          <w:tcPr>
            <w:tcW w:w="752" w:type="dxa"/>
            <w:tcBorders>
              <w:top w:val="single" w:color="000000" w:sz="4" w:space="0"/>
              <w:left w:val="single" w:color="000000" w:sz="4" w:space="0"/>
              <w:bottom w:val="single" w:color="000000" w:sz="4" w:space="0"/>
              <w:right w:val="single" w:color="000000" w:sz="4" w:space="0"/>
            </w:tcBorders>
          </w:tcPr>
          <w:p w14:paraId="66A62128">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2022</w:t>
            </w:r>
          </w:p>
        </w:tc>
        <w:tc>
          <w:tcPr>
            <w:tcW w:w="1494" w:type="dxa"/>
            <w:tcBorders>
              <w:top w:val="single" w:color="000000" w:sz="4" w:space="0"/>
              <w:left w:val="single" w:color="000000" w:sz="4" w:space="0"/>
              <w:bottom w:val="single" w:color="000000" w:sz="4" w:space="0"/>
              <w:right w:val="single" w:color="000000" w:sz="4" w:space="0"/>
            </w:tcBorders>
          </w:tcPr>
          <w:p w14:paraId="0E52EC87">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China</w:t>
            </w:r>
          </w:p>
        </w:tc>
      </w:tr>
      <w:tr w14:paraId="7DADFE3F">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trPr>
        <w:tc>
          <w:tcPr>
            <w:tcW w:w="3707" w:type="dxa"/>
            <w:tcBorders>
              <w:top w:val="single" w:color="000000" w:sz="4" w:space="0"/>
              <w:left w:val="single" w:color="000000" w:sz="4" w:space="0"/>
              <w:bottom w:val="single" w:color="000000" w:sz="4" w:space="0"/>
              <w:right w:val="single" w:color="000000" w:sz="4" w:space="0"/>
            </w:tcBorders>
          </w:tcPr>
          <w:p w14:paraId="644407AD">
            <w:pPr>
              <w:ind w:firstLine="0"/>
              <w:rPr>
                <w:rFonts w:ascii="Arial" w:hAnsi="Arial" w:eastAsia="Arial" w:cs="Arial"/>
                <w:b/>
                <w:color w:val="000000"/>
                <w:sz w:val="20"/>
                <w:szCs w:val="20"/>
                <w:lang w:eastAsia="zh-TW"/>
              </w:rPr>
            </w:pPr>
            <w:r>
              <w:rPr>
                <w:rFonts w:ascii="Arial" w:hAnsi="Arial" w:eastAsia="Arial" w:cs="Arial"/>
                <w:b/>
                <w:color w:val="000000"/>
                <w:sz w:val="20"/>
                <w:szCs w:val="20"/>
                <w:lang w:eastAsia="zh-TW"/>
              </w:rPr>
              <w:t>Klein, Oliver, Stefan Nier, and Christine Tamásy</w:t>
            </w:r>
          </w:p>
        </w:tc>
        <w:tc>
          <w:tcPr>
            <w:tcW w:w="3326" w:type="dxa"/>
            <w:tcBorders>
              <w:top w:val="single" w:color="000000" w:sz="4" w:space="0"/>
              <w:left w:val="single" w:color="000000" w:sz="4" w:space="0"/>
              <w:bottom w:val="single" w:color="000000" w:sz="4" w:space="0"/>
              <w:right w:val="single" w:color="000000" w:sz="4" w:space="0"/>
            </w:tcBorders>
          </w:tcPr>
          <w:p w14:paraId="20E76D1D">
            <w:pPr>
              <w:ind w:firstLine="0"/>
              <w:jc w:val="left"/>
              <w:rPr>
                <w:rFonts w:ascii="Arial" w:hAnsi="Arial" w:eastAsia="Arial" w:cs="Arial"/>
                <w:color w:val="000000"/>
                <w:sz w:val="20"/>
                <w:szCs w:val="20"/>
                <w:lang w:eastAsia="zh-TW"/>
              </w:rPr>
            </w:pPr>
            <w:r>
              <w:rPr>
                <w:rFonts w:ascii="Arial" w:hAnsi="Arial" w:eastAsia="Arial" w:cs="Arial"/>
                <w:color w:val="000000"/>
                <w:sz w:val="20"/>
                <w:szCs w:val="20"/>
                <w:lang w:eastAsia="zh-TW"/>
              </w:rPr>
              <w:t>Bioeconomia e resíduos alimentares</w:t>
            </w:r>
          </w:p>
        </w:tc>
        <w:tc>
          <w:tcPr>
            <w:tcW w:w="752" w:type="dxa"/>
            <w:tcBorders>
              <w:top w:val="single" w:color="000000" w:sz="4" w:space="0"/>
              <w:left w:val="single" w:color="000000" w:sz="4" w:space="0"/>
              <w:bottom w:val="single" w:color="000000" w:sz="4" w:space="0"/>
              <w:right w:val="single" w:color="000000" w:sz="4" w:space="0"/>
            </w:tcBorders>
          </w:tcPr>
          <w:p w14:paraId="6951AF46">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2022</w:t>
            </w:r>
          </w:p>
        </w:tc>
        <w:tc>
          <w:tcPr>
            <w:tcW w:w="1494" w:type="dxa"/>
            <w:tcBorders>
              <w:top w:val="single" w:color="000000" w:sz="4" w:space="0"/>
              <w:left w:val="single" w:color="000000" w:sz="4" w:space="0"/>
              <w:bottom w:val="single" w:color="000000" w:sz="4" w:space="0"/>
              <w:right w:val="single" w:color="000000" w:sz="4" w:space="0"/>
            </w:tcBorders>
          </w:tcPr>
          <w:p w14:paraId="7DBE040A">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França</w:t>
            </w:r>
          </w:p>
        </w:tc>
      </w:tr>
      <w:tr w14:paraId="6805ECCC">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3" w:hRule="atLeast"/>
        </w:trPr>
        <w:tc>
          <w:tcPr>
            <w:tcW w:w="3707" w:type="dxa"/>
            <w:tcBorders>
              <w:top w:val="single" w:color="000000" w:sz="4" w:space="0"/>
              <w:left w:val="single" w:color="000000" w:sz="4" w:space="0"/>
              <w:bottom w:val="single" w:color="000000" w:sz="4" w:space="0"/>
              <w:right w:val="single" w:color="000000" w:sz="4" w:space="0"/>
            </w:tcBorders>
          </w:tcPr>
          <w:p w14:paraId="16FFB897">
            <w:pPr>
              <w:ind w:firstLine="0"/>
              <w:rPr>
                <w:rFonts w:ascii="Arial" w:hAnsi="Arial" w:eastAsia="Arial" w:cs="Arial"/>
                <w:b/>
                <w:color w:val="000000"/>
                <w:sz w:val="20"/>
                <w:szCs w:val="20"/>
                <w:lang w:eastAsia="zh-TW"/>
              </w:rPr>
            </w:pPr>
            <w:r>
              <w:rPr>
                <w:rFonts w:ascii="Arial" w:hAnsi="Arial" w:eastAsia="Arial" w:cs="Arial"/>
                <w:b/>
                <w:color w:val="000000"/>
                <w:sz w:val="20"/>
                <w:szCs w:val="20"/>
                <w:lang w:eastAsia="zh-TW"/>
              </w:rPr>
              <w:t>Kimengsi, Jude Ndzifon, Raphael Owusu, and Roland Azibo Balgah</w:t>
            </w:r>
          </w:p>
        </w:tc>
        <w:tc>
          <w:tcPr>
            <w:tcW w:w="3326" w:type="dxa"/>
            <w:tcBorders>
              <w:top w:val="single" w:color="000000" w:sz="4" w:space="0"/>
              <w:left w:val="single" w:color="000000" w:sz="4" w:space="0"/>
              <w:bottom w:val="single" w:color="000000" w:sz="4" w:space="0"/>
              <w:right w:val="single" w:color="000000" w:sz="4" w:space="0"/>
            </w:tcBorders>
          </w:tcPr>
          <w:p w14:paraId="6B593C83">
            <w:pPr>
              <w:ind w:firstLine="0"/>
              <w:jc w:val="left"/>
              <w:rPr>
                <w:rFonts w:ascii="Arial" w:hAnsi="Arial" w:eastAsia="Arial" w:cs="Arial"/>
                <w:color w:val="000000"/>
                <w:sz w:val="20"/>
                <w:szCs w:val="20"/>
                <w:lang w:eastAsia="zh-TW"/>
              </w:rPr>
            </w:pPr>
            <w:r>
              <w:rPr>
                <w:rFonts w:ascii="Arial" w:hAnsi="Arial" w:eastAsia="Arial" w:cs="Arial"/>
                <w:color w:val="000000"/>
                <w:sz w:val="20"/>
                <w:szCs w:val="20"/>
                <w:lang w:eastAsia="zh-TW"/>
              </w:rPr>
              <w:t>Governança recursos ambientais</w:t>
            </w:r>
          </w:p>
        </w:tc>
        <w:tc>
          <w:tcPr>
            <w:tcW w:w="752" w:type="dxa"/>
            <w:tcBorders>
              <w:top w:val="single" w:color="000000" w:sz="4" w:space="0"/>
              <w:left w:val="single" w:color="000000" w:sz="4" w:space="0"/>
              <w:bottom w:val="single" w:color="000000" w:sz="4" w:space="0"/>
              <w:right w:val="single" w:color="000000" w:sz="4" w:space="0"/>
            </w:tcBorders>
          </w:tcPr>
          <w:p w14:paraId="59736E9D">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2022</w:t>
            </w:r>
          </w:p>
        </w:tc>
        <w:tc>
          <w:tcPr>
            <w:tcW w:w="1494" w:type="dxa"/>
            <w:tcBorders>
              <w:top w:val="single" w:color="000000" w:sz="4" w:space="0"/>
              <w:left w:val="single" w:color="000000" w:sz="4" w:space="0"/>
              <w:bottom w:val="single" w:color="000000" w:sz="4" w:space="0"/>
              <w:right w:val="single" w:color="000000" w:sz="4" w:space="0"/>
            </w:tcBorders>
          </w:tcPr>
          <w:p w14:paraId="3C677525">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África</w:t>
            </w:r>
          </w:p>
        </w:tc>
      </w:tr>
      <w:tr w14:paraId="679FC285">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trPr>
        <w:tc>
          <w:tcPr>
            <w:tcW w:w="3707" w:type="dxa"/>
            <w:tcBorders>
              <w:top w:val="single" w:color="000000" w:sz="4" w:space="0"/>
              <w:left w:val="single" w:color="000000" w:sz="4" w:space="0"/>
              <w:bottom w:val="single" w:color="000000" w:sz="4" w:space="0"/>
              <w:right w:val="single" w:color="000000" w:sz="4" w:space="0"/>
            </w:tcBorders>
          </w:tcPr>
          <w:p w14:paraId="465A3E94">
            <w:pPr>
              <w:ind w:firstLine="0"/>
              <w:rPr>
                <w:rFonts w:ascii="Arial" w:hAnsi="Arial" w:eastAsia="Arial" w:cs="Arial"/>
                <w:b/>
                <w:color w:val="000000"/>
                <w:sz w:val="20"/>
                <w:szCs w:val="20"/>
                <w:lang w:eastAsia="zh-TW"/>
              </w:rPr>
            </w:pPr>
            <w:r>
              <w:rPr>
                <w:rFonts w:ascii="Arial" w:hAnsi="Arial" w:eastAsia="Arial" w:cs="Arial"/>
                <w:b/>
                <w:color w:val="000000"/>
                <w:sz w:val="20"/>
                <w:szCs w:val="20"/>
                <w:lang w:eastAsia="zh-TW"/>
              </w:rPr>
              <w:t>Avellán, Tamara et al.</w:t>
            </w:r>
          </w:p>
        </w:tc>
        <w:tc>
          <w:tcPr>
            <w:tcW w:w="3326" w:type="dxa"/>
            <w:tcBorders>
              <w:top w:val="single" w:color="000000" w:sz="4" w:space="0"/>
              <w:left w:val="single" w:color="000000" w:sz="4" w:space="0"/>
              <w:bottom w:val="single" w:color="000000" w:sz="4" w:space="0"/>
              <w:right w:val="single" w:color="000000" w:sz="4" w:space="0"/>
            </w:tcBorders>
          </w:tcPr>
          <w:p w14:paraId="0F1F7FE5">
            <w:pPr>
              <w:ind w:firstLine="0"/>
              <w:jc w:val="left"/>
              <w:rPr>
                <w:rFonts w:ascii="Arial" w:hAnsi="Arial" w:eastAsia="Arial" w:cs="Arial"/>
                <w:color w:val="000000"/>
                <w:sz w:val="20"/>
                <w:szCs w:val="20"/>
                <w:lang w:eastAsia="zh-TW"/>
              </w:rPr>
            </w:pPr>
            <w:r>
              <w:rPr>
                <w:rFonts w:ascii="Arial" w:hAnsi="Arial" w:eastAsia="Arial" w:cs="Arial"/>
                <w:color w:val="000000"/>
                <w:sz w:val="20"/>
                <w:szCs w:val="20"/>
                <w:lang w:eastAsia="zh-TW"/>
              </w:rPr>
              <w:t>Tratamento de água, sustentabilidade</w:t>
            </w:r>
          </w:p>
        </w:tc>
        <w:tc>
          <w:tcPr>
            <w:tcW w:w="752" w:type="dxa"/>
            <w:tcBorders>
              <w:top w:val="single" w:color="000000" w:sz="4" w:space="0"/>
              <w:left w:val="single" w:color="000000" w:sz="4" w:space="0"/>
              <w:bottom w:val="single" w:color="000000" w:sz="4" w:space="0"/>
              <w:right w:val="single" w:color="000000" w:sz="4" w:space="0"/>
            </w:tcBorders>
          </w:tcPr>
          <w:p w14:paraId="467A3CA6">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2022</w:t>
            </w:r>
          </w:p>
        </w:tc>
        <w:tc>
          <w:tcPr>
            <w:tcW w:w="1494" w:type="dxa"/>
            <w:tcBorders>
              <w:top w:val="single" w:color="000000" w:sz="4" w:space="0"/>
              <w:left w:val="single" w:color="000000" w:sz="4" w:space="0"/>
              <w:bottom w:val="single" w:color="000000" w:sz="4" w:space="0"/>
              <w:right w:val="single" w:color="000000" w:sz="4" w:space="0"/>
            </w:tcBorders>
          </w:tcPr>
          <w:p w14:paraId="5A757895">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Espanha</w:t>
            </w:r>
          </w:p>
        </w:tc>
      </w:tr>
      <w:tr w14:paraId="141EBFCC">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 w:hRule="atLeast"/>
        </w:trPr>
        <w:tc>
          <w:tcPr>
            <w:tcW w:w="3707" w:type="dxa"/>
            <w:tcBorders>
              <w:top w:val="single" w:color="000000" w:sz="4" w:space="0"/>
              <w:left w:val="single" w:color="000000" w:sz="4" w:space="0"/>
              <w:bottom w:val="single" w:color="000000" w:sz="8" w:space="0"/>
              <w:right w:val="single" w:color="000000" w:sz="4" w:space="0"/>
            </w:tcBorders>
          </w:tcPr>
          <w:p w14:paraId="76F652B6">
            <w:pPr>
              <w:ind w:firstLine="0"/>
              <w:rPr>
                <w:rFonts w:ascii="Arial" w:hAnsi="Arial" w:eastAsia="Arial" w:cs="Arial"/>
                <w:b/>
                <w:color w:val="000000"/>
                <w:sz w:val="20"/>
                <w:szCs w:val="20"/>
                <w:lang w:val="en-US" w:eastAsia="zh-TW"/>
              </w:rPr>
            </w:pPr>
            <w:r>
              <w:rPr>
                <w:rFonts w:ascii="Arial" w:hAnsi="Arial" w:eastAsia="Arial" w:cs="Arial"/>
                <w:b/>
                <w:color w:val="000000"/>
                <w:sz w:val="20"/>
                <w:szCs w:val="20"/>
                <w:lang w:val="en-US" w:eastAsia="zh-TW"/>
              </w:rPr>
              <w:t xml:space="preserve">Abouaiana, Ahmed, and Alessandra Battisti. </w:t>
            </w:r>
          </w:p>
        </w:tc>
        <w:tc>
          <w:tcPr>
            <w:tcW w:w="3326" w:type="dxa"/>
            <w:tcBorders>
              <w:top w:val="single" w:color="000000" w:sz="4" w:space="0"/>
              <w:left w:val="single" w:color="000000" w:sz="4" w:space="0"/>
              <w:bottom w:val="single" w:color="000000" w:sz="8" w:space="0"/>
              <w:right w:val="single" w:color="000000" w:sz="4" w:space="0"/>
            </w:tcBorders>
          </w:tcPr>
          <w:p w14:paraId="62D00D9F">
            <w:pPr>
              <w:ind w:firstLine="0"/>
              <w:jc w:val="left"/>
              <w:rPr>
                <w:rFonts w:ascii="Arial" w:hAnsi="Arial" w:eastAsia="Arial" w:cs="Arial"/>
                <w:color w:val="000000"/>
                <w:sz w:val="20"/>
                <w:szCs w:val="20"/>
                <w:lang w:eastAsia="zh-TW"/>
              </w:rPr>
            </w:pPr>
            <w:r>
              <w:rPr>
                <w:rFonts w:ascii="Arial" w:hAnsi="Arial" w:eastAsia="Arial" w:cs="Arial"/>
                <w:color w:val="000000"/>
                <w:sz w:val="20"/>
                <w:szCs w:val="20"/>
                <w:lang w:eastAsia="zh-TW"/>
              </w:rPr>
              <w:t>Uso do solo</w:t>
            </w:r>
          </w:p>
        </w:tc>
        <w:tc>
          <w:tcPr>
            <w:tcW w:w="752" w:type="dxa"/>
            <w:tcBorders>
              <w:top w:val="single" w:color="000000" w:sz="4" w:space="0"/>
              <w:left w:val="single" w:color="000000" w:sz="4" w:space="0"/>
              <w:bottom w:val="single" w:color="000000" w:sz="8" w:space="0"/>
              <w:right w:val="single" w:color="000000" w:sz="4" w:space="0"/>
            </w:tcBorders>
          </w:tcPr>
          <w:p w14:paraId="62A77031">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2022</w:t>
            </w:r>
          </w:p>
        </w:tc>
        <w:tc>
          <w:tcPr>
            <w:tcW w:w="1494" w:type="dxa"/>
            <w:tcBorders>
              <w:top w:val="single" w:color="000000" w:sz="4" w:space="0"/>
              <w:left w:val="single" w:color="000000" w:sz="4" w:space="0"/>
              <w:bottom w:val="single" w:color="000000" w:sz="8" w:space="0"/>
              <w:right w:val="single" w:color="000000" w:sz="4" w:space="0"/>
            </w:tcBorders>
          </w:tcPr>
          <w:p w14:paraId="4C87E310">
            <w:pPr>
              <w:ind w:firstLine="0"/>
              <w:rPr>
                <w:rFonts w:ascii="Arial" w:hAnsi="Arial" w:eastAsia="Arial" w:cs="Arial"/>
                <w:color w:val="000000"/>
                <w:sz w:val="20"/>
                <w:szCs w:val="20"/>
                <w:lang w:eastAsia="zh-TW"/>
              </w:rPr>
            </w:pPr>
            <w:r>
              <w:rPr>
                <w:rFonts w:ascii="Arial" w:hAnsi="Arial" w:eastAsia="Arial" w:cs="Arial"/>
                <w:color w:val="000000"/>
                <w:sz w:val="20"/>
                <w:szCs w:val="20"/>
                <w:lang w:eastAsia="zh-TW"/>
              </w:rPr>
              <w:t>Itália</w:t>
            </w:r>
          </w:p>
        </w:tc>
      </w:tr>
    </w:tbl>
    <w:p w14:paraId="54191980">
      <w:pPr>
        <w:spacing w:line="360" w:lineRule="auto"/>
        <w:ind w:firstLine="0"/>
        <w:rPr>
          <w:rFonts w:ascii="Arial" w:hAnsi="Arial" w:eastAsia="Arial" w:cs="Arial"/>
          <w:sz w:val="20"/>
          <w:szCs w:val="20"/>
        </w:rPr>
      </w:pPr>
      <w:r>
        <w:rPr>
          <w:rFonts w:ascii="Arial" w:hAnsi="Arial" w:eastAsia="Arial" w:cs="Arial"/>
          <w:sz w:val="20"/>
          <w:szCs w:val="20"/>
        </w:rPr>
        <w:t>Fonte: Elaborado pelos autores (2023)</w:t>
      </w:r>
    </w:p>
    <w:p w14:paraId="10791E65">
      <w:r>
        <w:t>A governança é outro elemento explorado nas pesquisas, aparecendo de forma significativa na amostra. O interesse foca na abordagem do Nexus na Governança dos sistemas públicos e privados como consequência para o atingimento dos ODS no contexto da sustentabilidade do planeta (WHITE et al, 2017; VISSEREN et al, 2018; URBINATTI, 2020; KIMENGSI, 2022). Conforme indicativo na tabela 01, esse elemento integra a outros como meio ambiente, sustentabilidade nas políticas públicas; governança nos elementos água, energia e alimento e ainda no planejamento de políticas integrativas.</w:t>
      </w:r>
    </w:p>
    <w:p w14:paraId="39C7DE9C">
      <w:r>
        <w:t>A partir da tabela 01 analisa-se ainda a informação sobre os países de origem das publicações, que foram transformadas em gráfico (01) representativo para melhor visualização da relação país/quantidade de publicações. A informação geográfica foi possível somente com a leitura dos artigos, e conforme Gráfico 01, apresentado a seguir, indica que os Estados Unidos da América (EUA) possuem o maior número de publicações (8) no quesito analisado, seguido do Japão com 03 publicações e as demais publicações distribuídas nos países Moçambique, Israel, Espanha, Alemanha, Nova Caledônia, Palestina, Itália, África, China e França. Indicando que o interesse pela abordagem tem sido em nível global.</w:t>
      </w:r>
    </w:p>
    <w:p w14:paraId="3B0B7E22">
      <w:pPr>
        <w:spacing w:line="360" w:lineRule="auto"/>
        <w:ind w:firstLine="0"/>
        <w:jc w:val="center"/>
        <w:rPr>
          <w:rFonts w:ascii="Arial" w:hAnsi="Arial" w:eastAsia="Arial" w:cs="Arial"/>
          <w:sz w:val="22"/>
        </w:rPr>
      </w:pPr>
      <w:r>
        <w:rPr>
          <w:sz w:val="22"/>
        </w:rPr>
        <w:t xml:space="preserve">Gráfico </w:t>
      </w:r>
      <w:r>
        <w:rPr>
          <w:sz w:val="22"/>
        </w:rPr>
        <w:fldChar w:fldCharType="begin"/>
      </w:r>
      <w:r>
        <w:rPr>
          <w:sz w:val="22"/>
        </w:rPr>
        <w:instrText xml:space="preserve"> SEQ Gráfico \* ARABIC </w:instrText>
      </w:r>
      <w:r>
        <w:rPr>
          <w:sz w:val="22"/>
        </w:rPr>
        <w:fldChar w:fldCharType="separate"/>
      </w:r>
      <w:r>
        <w:rPr>
          <w:sz w:val="22"/>
        </w:rPr>
        <w:t>1</w:t>
      </w:r>
      <w:r>
        <w:rPr>
          <w:sz w:val="22"/>
        </w:rPr>
        <w:fldChar w:fldCharType="end"/>
      </w:r>
      <w:r>
        <w:rPr>
          <w:sz w:val="22"/>
        </w:rPr>
        <w:t xml:space="preserve">. </w:t>
      </w:r>
      <w:r>
        <w:rPr>
          <w:rFonts w:ascii="Arial" w:hAnsi="Arial" w:eastAsia="Arial" w:cs="Arial"/>
          <w:sz w:val="22"/>
        </w:rPr>
        <w:t xml:space="preserve">Países de origem das publicações abertas sobre o tema </w:t>
      </w:r>
      <w:r>
        <w:rPr>
          <w:rFonts w:ascii="Arial" w:hAnsi="Arial" w:eastAsia="Arial" w:cs="Arial"/>
          <w:i/>
          <w:sz w:val="22"/>
        </w:rPr>
        <w:t>Nexus</w:t>
      </w:r>
      <w:r>
        <w:rPr>
          <w:rFonts w:ascii="Arial" w:hAnsi="Arial" w:eastAsia="Arial" w:cs="Arial"/>
          <w:sz w:val="22"/>
        </w:rPr>
        <w:t xml:space="preserve"> and wef and ODS.</w:t>
      </w:r>
    </w:p>
    <w:p w14:paraId="665717A8">
      <w:pPr>
        <w:ind w:firstLine="0"/>
      </w:pPr>
      <w:r>
        <w:drawing>
          <wp:inline distT="0" distB="0" distL="0" distR="0">
            <wp:extent cx="6115050" cy="3279775"/>
            <wp:effectExtent l="0" t="0" r="0" b="1587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5C8EE6E">
      <w:pPr>
        <w:spacing w:after="0"/>
        <w:ind w:firstLine="0"/>
        <w:rPr>
          <w:sz w:val="20"/>
          <w:szCs w:val="20"/>
        </w:rPr>
      </w:pPr>
      <w:r>
        <w:rPr>
          <w:sz w:val="20"/>
          <w:szCs w:val="20"/>
        </w:rPr>
        <w:t>Fonte: Elaborado pelos autores (2023)</w:t>
      </w:r>
    </w:p>
    <w:p w14:paraId="394111A3">
      <w:r>
        <w:t>Em relação ao recorte temporal da amostra, o gráfico 02 aponta que, embora a busca tenha se antecipado há quatro anos antes do lançamento da agenda 2030, o registro identifica de 2017 a 2022. O gráfico 02 indica que os anos de 2020 (9) e 2022 (7) tiveram o maior número de publicações, seguidos dos anos de 2021 (5). Indicando uma concentração maior nos três últimos anos. O crescente interesse pode estar relacionado ao aprimoramento da abordagem de Nexus vinculado aos ODS e a pressão global por soluções integrativas e inovadoras para o cumprimento da agenda 2030. Cabendo aqui inserir a dinamicidade da abordagem de Nexus como uma ferramenta em aprimoramento.</w:t>
      </w:r>
    </w:p>
    <w:p w14:paraId="4E5D2EEA"/>
    <w:p w14:paraId="149A2475">
      <w:pPr>
        <w:pStyle w:val="13"/>
        <w:keepNext/>
        <w:ind w:firstLine="0"/>
        <w:jc w:val="center"/>
        <w:rPr>
          <w:sz w:val="22"/>
          <w:szCs w:val="22"/>
        </w:rPr>
      </w:pPr>
    </w:p>
    <w:p w14:paraId="4C06BFAB">
      <w:pPr>
        <w:pStyle w:val="13"/>
        <w:keepNext/>
        <w:ind w:firstLine="0"/>
        <w:jc w:val="center"/>
        <w:rPr>
          <w:sz w:val="22"/>
          <w:szCs w:val="22"/>
        </w:rPr>
      </w:pPr>
      <w:r>
        <w:rPr>
          <w:sz w:val="22"/>
          <w:szCs w:val="22"/>
        </w:rPr>
        <w:t xml:space="preserve">Gráfico </w:t>
      </w:r>
      <w:r>
        <w:rPr>
          <w:sz w:val="22"/>
          <w:szCs w:val="22"/>
        </w:rPr>
        <w:fldChar w:fldCharType="begin"/>
      </w:r>
      <w:r>
        <w:rPr>
          <w:sz w:val="22"/>
          <w:szCs w:val="22"/>
        </w:rPr>
        <w:instrText xml:space="preserve"> SEQ Gráfico \* ARABIC </w:instrText>
      </w:r>
      <w:r>
        <w:rPr>
          <w:sz w:val="22"/>
          <w:szCs w:val="22"/>
        </w:rPr>
        <w:fldChar w:fldCharType="separate"/>
      </w:r>
      <w:r>
        <w:rPr>
          <w:sz w:val="22"/>
          <w:szCs w:val="22"/>
        </w:rPr>
        <w:t>2</w:t>
      </w:r>
      <w:r>
        <w:rPr>
          <w:sz w:val="22"/>
          <w:szCs w:val="22"/>
        </w:rPr>
        <w:fldChar w:fldCharType="end"/>
      </w:r>
      <w:r>
        <w:rPr>
          <w:sz w:val="22"/>
          <w:szCs w:val="22"/>
        </w:rPr>
        <w:t>. Quantitativo de publicações abertas sobre o tema Nexus e ODS no recorte temporal 2011/2022.</w:t>
      </w:r>
    </w:p>
    <w:p w14:paraId="636BF301">
      <w:pPr>
        <w:ind w:firstLine="0"/>
      </w:pPr>
      <w:r>
        <w:drawing>
          <wp:inline distT="0" distB="0" distL="0" distR="0">
            <wp:extent cx="6104890" cy="3307080"/>
            <wp:effectExtent l="0" t="0" r="10160" b="762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260B187">
      <w:pPr>
        <w:spacing w:line="360" w:lineRule="auto"/>
        <w:ind w:firstLine="0"/>
        <w:rPr>
          <w:rFonts w:ascii="Arial" w:hAnsi="Arial" w:eastAsia="Arial" w:cs="Arial"/>
          <w:sz w:val="20"/>
          <w:szCs w:val="20"/>
        </w:rPr>
      </w:pPr>
      <w:r>
        <w:rPr>
          <w:rFonts w:ascii="Arial" w:hAnsi="Arial" w:eastAsia="Arial" w:cs="Arial"/>
          <w:sz w:val="20"/>
          <w:szCs w:val="20"/>
        </w:rPr>
        <w:t>Fonte: Elaborado pelos autores (2023).</w:t>
      </w:r>
    </w:p>
    <w:p w14:paraId="65BCE2DC">
      <w:r>
        <w:t>E finalmente, em relação à análise sobre os artigos mais citados, os dados extraídos da plataforma Google acadêmico, com os mesmos critérios de busca, retirando o filtro de periódicos abertos. O objetivo foi de observar o interesse pelo tema, atraindo para a busca os artigos mais citados. Tal critério trouxe para a pesquisa dados não obtidos na plataforma Scopus como, por exemplo, ano de publicação que tem um alargamento à 2015 e alargamento da localização geográfica para países não identificados na base Scopus, sem no entanto, comprometer a informação, uma vez que o interesse neste quesito da análise é demonstrar o interesse pelo tema. A tabela 02 traz os dados sobre os artigos mais citados em outros trabalhos acadêmicos por ordem decrescente de interesse.</w:t>
      </w:r>
    </w:p>
    <w:p w14:paraId="78321F39"/>
    <w:p w14:paraId="233B3228"/>
    <w:p w14:paraId="68146BEF">
      <w:pPr>
        <w:ind w:firstLine="0"/>
        <w:jc w:val="center"/>
      </w:pPr>
    </w:p>
    <w:p w14:paraId="112FD7A1">
      <w:pPr>
        <w:ind w:firstLine="0"/>
        <w:jc w:val="center"/>
        <w:rPr>
          <w:rFonts w:ascii="Arial" w:hAnsi="Arial" w:eastAsia="Arial" w:cs="Arial"/>
          <w:sz w:val="20"/>
          <w:szCs w:val="20"/>
        </w:rPr>
      </w:pPr>
      <w:r>
        <w:t xml:space="preserve">Tabela </w:t>
      </w:r>
      <w:r>
        <w:fldChar w:fldCharType="begin"/>
      </w:r>
      <w:r>
        <w:instrText xml:space="preserve"> SEQ Tabela \* ARABIC </w:instrText>
      </w:r>
      <w:r>
        <w:fldChar w:fldCharType="separate"/>
      </w:r>
      <w:r>
        <w:t>2</w:t>
      </w:r>
      <w:r>
        <w:fldChar w:fldCharType="end"/>
      </w:r>
      <w:r>
        <w:t xml:space="preserve">. </w:t>
      </w:r>
      <w:r>
        <w:rPr>
          <w:rFonts w:ascii="Arial" w:hAnsi="Arial" w:eastAsia="Arial" w:cs="Arial"/>
          <w:sz w:val="20"/>
          <w:szCs w:val="20"/>
        </w:rPr>
        <w:t xml:space="preserve">Os 10 artigos sobre a abordagem </w:t>
      </w:r>
      <w:r>
        <w:rPr>
          <w:rFonts w:ascii="Arial" w:hAnsi="Arial" w:eastAsia="Arial" w:cs="Arial"/>
          <w:i/>
          <w:sz w:val="20"/>
          <w:szCs w:val="20"/>
        </w:rPr>
        <w:t xml:space="preserve">Nexus and wef ODS </w:t>
      </w:r>
      <w:r>
        <w:rPr>
          <w:rFonts w:ascii="Arial" w:hAnsi="Arial" w:eastAsia="Arial" w:cs="Arial"/>
          <w:sz w:val="20"/>
          <w:szCs w:val="20"/>
        </w:rPr>
        <w:t>mais citados por ordem decrescente de citação da publicação. (Google acadêmico/ publicações abertas e fechadas)</w:t>
      </w:r>
    </w:p>
    <w:tbl>
      <w:tblPr>
        <w:tblStyle w:val="24"/>
        <w:tblW w:w="9652" w:type="dxa"/>
        <w:tblInd w:w="-103" w:type="dxa"/>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22"/>
        <w:gridCol w:w="745"/>
        <w:gridCol w:w="1192"/>
        <w:gridCol w:w="893"/>
      </w:tblGrid>
      <w:tr w14:paraId="57FEE13A">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trPr>
        <w:tc>
          <w:tcPr>
            <w:tcW w:w="6822" w:type="dxa"/>
            <w:tcBorders>
              <w:top w:val="single" w:color="000000" w:sz="8" w:space="0"/>
              <w:left w:val="nil"/>
              <w:bottom w:val="single" w:color="000000" w:sz="8" w:space="0"/>
              <w:right w:val="nil"/>
              <w:insideH w:val="single" w:sz="8" w:space="0"/>
              <w:insideV w:val="nil"/>
            </w:tcBorders>
          </w:tcPr>
          <w:p w14:paraId="75EB044D">
            <w:pPr>
              <w:spacing w:before="0" w:line="240" w:lineRule="auto"/>
              <w:ind w:firstLine="0"/>
              <w:jc w:val="left"/>
              <w:rPr>
                <w:rFonts w:ascii="Calibri" w:hAnsi="Calibri" w:eastAsia="Calibri" w:cs="Calibri"/>
                <w:b/>
                <w:color w:val="000000"/>
                <w:sz w:val="22"/>
                <w:lang w:eastAsia="zh-TW"/>
              </w:rPr>
            </w:pPr>
            <w:r>
              <w:rPr>
                <w:rFonts w:ascii="Calibri" w:hAnsi="Calibri" w:eastAsia="Calibri" w:cs="Calibri"/>
                <w:b/>
                <w:color w:val="000000"/>
                <w:sz w:val="22"/>
                <w:lang w:eastAsia="zh-TW"/>
              </w:rPr>
              <w:t>Título</w:t>
            </w:r>
          </w:p>
        </w:tc>
        <w:tc>
          <w:tcPr>
            <w:tcW w:w="745" w:type="dxa"/>
            <w:tcBorders>
              <w:top w:val="single" w:color="000000" w:sz="8" w:space="0"/>
              <w:bottom w:val="single" w:color="000000" w:sz="8" w:space="0"/>
              <w:right w:val="nil"/>
              <w:insideH w:val="single" w:sz="8" w:space="0"/>
              <w:insideV w:val="nil"/>
            </w:tcBorders>
          </w:tcPr>
          <w:p w14:paraId="5410E79F">
            <w:pPr>
              <w:spacing w:before="0" w:line="240" w:lineRule="auto"/>
              <w:ind w:firstLine="0"/>
              <w:jc w:val="left"/>
              <w:rPr>
                <w:rFonts w:ascii="Calibri" w:hAnsi="Calibri" w:eastAsia="Calibri" w:cs="Calibri"/>
                <w:b/>
                <w:color w:val="000000"/>
                <w:sz w:val="22"/>
                <w:lang w:eastAsia="zh-TW"/>
              </w:rPr>
            </w:pPr>
            <w:r>
              <w:rPr>
                <w:rFonts w:ascii="Calibri" w:hAnsi="Calibri" w:eastAsia="Calibri" w:cs="Calibri"/>
                <w:b/>
                <w:color w:val="000000"/>
                <w:sz w:val="22"/>
                <w:lang w:eastAsia="zh-TW"/>
              </w:rPr>
              <w:t>Ano</w:t>
            </w:r>
          </w:p>
        </w:tc>
        <w:tc>
          <w:tcPr>
            <w:tcW w:w="1192" w:type="dxa"/>
            <w:tcBorders>
              <w:top w:val="single" w:color="000000" w:sz="8" w:space="0"/>
              <w:bottom w:val="single" w:color="000000" w:sz="8" w:space="0"/>
              <w:right w:val="nil"/>
              <w:insideH w:val="single" w:sz="8" w:space="0"/>
              <w:insideV w:val="nil"/>
            </w:tcBorders>
          </w:tcPr>
          <w:p w14:paraId="27929D19">
            <w:pPr>
              <w:spacing w:before="0" w:line="240" w:lineRule="auto"/>
              <w:ind w:firstLine="0"/>
              <w:jc w:val="left"/>
              <w:rPr>
                <w:rFonts w:ascii="Calibri" w:hAnsi="Calibri" w:eastAsia="Calibri" w:cs="Calibri"/>
                <w:b/>
                <w:color w:val="000000"/>
                <w:sz w:val="22"/>
                <w:lang w:eastAsia="zh-TW"/>
              </w:rPr>
            </w:pPr>
            <w:r>
              <w:rPr>
                <w:rFonts w:ascii="Calibri" w:hAnsi="Calibri" w:eastAsia="Calibri" w:cs="Calibri"/>
                <w:b/>
                <w:color w:val="000000"/>
                <w:sz w:val="22"/>
                <w:lang w:eastAsia="zh-TW"/>
              </w:rPr>
              <w:t>País</w:t>
            </w:r>
          </w:p>
        </w:tc>
        <w:tc>
          <w:tcPr>
            <w:tcW w:w="893" w:type="dxa"/>
            <w:tcBorders>
              <w:top w:val="single" w:color="000000" w:sz="8" w:space="0"/>
              <w:bottom w:val="single" w:color="000000" w:sz="8" w:space="0"/>
              <w:right w:val="nil"/>
              <w:insideH w:val="single" w:sz="8" w:space="0"/>
              <w:insideV w:val="nil"/>
            </w:tcBorders>
          </w:tcPr>
          <w:p w14:paraId="3EA195DC">
            <w:pPr>
              <w:spacing w:before="0" w:line="240" w:lineRule="auto"/>
              <w:ind w:firstLine="0"/>
              <w:jc w:val="center"/>
              <w:rPr>
                <w:rFonts w:ascii="Calibri" w:hAnsi="Calibri" w:eastAsia="Calibri" w:cs="Calibri"/>
                <w:b/>
                <w:color w:val="000000"/>
                <w:sz w:val="22"/>
                <w:lang w:eastAsia="zh-TW"/>
              </w:rPr>
            </w:pPr>
            <w:r>
              <w:rPr>
                <w:rFonts w:ascii="Calibri" w:hAnsi="Calibri" w:eastAsia="Calibri" w:cs="Calibri"/>
                <w:b/>
                <w:color w:val="000000"/>
                <w:sz w:val="22"/>
                <w:lang w:eastAsia="zh-TW"/>
              </w:rPr>
              <w:t>Citado por</w:t>
            </w:r>
          </w:p>
        </w:tc>
      </w:tr>
      <w:tr w14:paraId="64BABF7F">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trPr>
        <w:tc>
          <w:tcPr>
            <w:tcW w:w="6822" w:type="dxa"/>
          </w:tcPr>
          <w:p w14:paraId="681352C6">
            <w:pPr>
              <w:ind w:firstLine="0"/>
              <w:jc w:val="left"/>
              <w:rPr>
                <w:rFonts w:ascii="Calibri" w:hAnsi="Calibri" w:eastAsia="Calibri" w:cs="Calibri"/>
                <w:b/>
                <w:color w:val="000000"/>
                <w:sz w:val="22"/>
                <w:lang w:val="en-US" w:eastAsia="zh-TW"/>
              </w:rPr>
            </w:pPr>
            <w:r>
              <w:rPr>
                <w:rFonts w:ascii="Calibri" w:hAnsi="Calibri" w:eastAsia="Calibri" w:cs="Calibri"/>
                <w:b/>
                <w:color w:val="000000"/>
                <w:sz w:val="22"/>
                <w:lang w:val="en-US" w:eastAsia="zh-TW"/>
              </w:rPr>
              <w:t xml:space="preserve">Sustainable development and the water–energy–food </w:t>
            </w:r>
            <w:r>
              <w:rPr>
                <w:rFonts w:ascii="Calibri" w:hAnsi="Calibri" w:eastAsia="Calibri" w:cs="Calibri"/>
                <w:b/>
                <w:i/>
                <w:color w:val="000000"/>
                <w:sz w:val="22"/>
                <w:lang w:val="en-US" w:eastAsia="zh-TW"/>
              </w:rPr>
              <w:t>Nexus</w:t>
            </w:r>
            <w:r>
              <w:rPr>
                <w:rFonts w:ascii="Calibri" w:hAnsi="Calibri" w:eastAsia="Calibri" w:cs="Calibri"/>
                <w:b/>
                <w:color w:val="000000"/>
                <w:sz w:val="22"/>
                <w:lang w:val="en-US" w:eastAsia="zh-TW"/>
              </w:rPr>
              <w:t>: A perspective on livelihoods</w:t>
            </w:r>
          </w:p>
        </w:tc>
        <w:tc>
          <w:tcPr>
            <w:tcW w:w="745" w:type="dxa"/>
          </w:tcPr>
          <w:p w14:paraId="485B5490">
            <w:pPr>
              <w:ind w:firstLine="0"/>
              <w:jc w:val="left"/>
              <w:rPr>
                <w:rFonts w:ascii="Calibri" w:hAnsi="Calibri" w:eastAsia="Calibri" w:cs="Calibri"/>
                <w:color w:val="000000"/>
                <w:sz w:val="22"/>
                <w:lang w:eastAsia="zh-TW"/>
              </w:rPr>
            </w:pPr>
            <w:r>
              <w:rPr>
                <w:rFonts w:ascii="Calibri" w:hAnsi="Calibri" w:eastAsia="Calibri" w:cs="Calibri"/>
                <w:color w:val="000000"/>
                <w:sz w:val="22"/>
                <w:lang w:eastAsia="zh-TW"/>
              </w:rPr>
              <w:t>2015</w:t>
            </w:r>
          </w:p>
        </w:tc>
        <w:tc>
          <w:tcPr>
            <w:tcW w:w="1192" w:type="dxa"/>
          </w:tcPr>
          <w:p w14:paraId="72C801F5">
            <w:pPr>
              <w:ind w:firstLine="0"/>
              <w:jc w:val="left"/>
              <w:rPr>
                <w:rFonts w:ascii="Calibri" w:hAnsi="Calibri" w:eastAsia="Calibri" w:cs="Calibri"/>
                <w:color w:val="000000"/>
                <w:sz w:val="22"/>
                <w:lang w:eastAsia="zh-TW"/>
              </w:rPr>
            </w:pPr>
            <w:r>
              <w:rPr>
                <w:rFonts w:ascii="Calibri" w:hAnsi="Calibri" w:eastAsia="Calibri" w:cs="Calibri"/>
                <w:color w:val="000000"/>
                <w:sz w:val="22"/>
                <w:lang w:eastAsia="zh-TW"/>
              </w:rPr>
              <w:t>Austrália</w:t>
            </w:r>
          </w:p>
        </w:tc>
        <w:tc>
          <w:tcPr>
            <w:tcW w:w="893" w:type="dxa"/>
          </w:tcPr>
          <w:p w14:paraId="7E00188C">
            <w:pPr>
              <w:ind w:firstLine="0"/>
              <w:jc w:val="left"/>
              <w:rPr>
                <w:rFonts w:ascii="Calibri" w:hAnsi="Calibri" w:eastAsia="Calibri" w:cs="Calibri"/>
                <w:color w:val="000000"/>
                <w:sz w:val="22"/>
                <w:lang w:eastAsia="zh-TW"/>
              </w:rPr>
            </w:pPr>
            <w:r>
              <w:rPr>
                <w:rFonts w:ascii="Calibri" w:hAnsi="Calibri" w:eastAsia="Calibri" w:cs="Calibri"/>
                <w:color w:val="000000"/>
                <w:sz w:val="22"/>
                <w:lang w:eastAsia="zh-TW"/>
              </w:rPr>
              <w:t>748</w:t>
            </w:r>
          </w:p>
        </w:tc>
      </w:tr>
      <w:tr w14:paraId="7783B4A7">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trPr>
        <w:tc>
          <w:tcPr>
            <w:tcW w:w="6822" w:type="dxa"/>
          </w:tcPr>
          <w:p w14:paraId="6B516917">
            <w:pPr>
              <w:ind w:firstLine="0"/>
              <w:jc w:val="left"/>
              <w:rPr>
                <w:rFonts w:ascii="Calibri" w:hAnsi="Calibri" w:eastAsia="Calibri" w:cs="Calibri"/>
                <w:b/>
                <w:color w:val="000000"/>
                <w:sz w:val="22"/>
                <w:lang w:val="en-US" w:eastAsia="zh-TW"/>
              </w:rPr>
            </w:pPr>
            <w:r>
              <w:rPr>
                <w:rFonts w:ascii="Calibri" w:hAnsi="Calibri" w:eastAsia="Calibri" w:cs="Calibri"/>
                <w:b/>
                <w:color w:val="000000"/>
                <w:sz w:val="22"/>
                <w:lang w:val="en-US" w:eastAsia="zh-TW"/>
              </w:rPr>
              <w:t xml:space="preserve">The Water-Energy-Food </w:t>
            </w:r>
            <w:r>
              <w:rPr>
                <w:rFonts w:ascii="Calibri" w:hAnsi="Calibri" w:eastAsia="Calibri" w:cs="Calibri"/>
                <w:b/>
                <w:i/>
                <w:color w:val="000000"/>
                <w:sz w:val="22"/>
                <w:lang w:val="en-US" w:eastAsia="zh-TW"/>
              </w:rPr>
              <w:t>Nexus</w:t>
            </w:r>
            <w:r>
              <w:rPr>
                <w:rFonts w:ascii="Calibri" w:hAnsi="Calibri" w:eastAsia="Calibri" w:cs="Calibri"/>
                <w:b/>
                <w:color w:val="000000"/>
                <w:sz w:val="22"/>
                <w:lang w:val="en-US" w:eastAsia="zh-TW"/>
              </w:rPr>
              <w:t xml:space="preserve">: A systematic review of methods for </w:t>
            </w:r>
            <w:r>
              <w:rPr>
                <w:rFonts w:ascii="Calibri" w:hAnsi="Calibri" w:eastAsia="Calibri" w:cs="Calibri"/>
                <w:b/>
                <w:i/>
                <w:color w:val="000000"/>
                <w:sz w:val="22"/>
                <w:lang w:val="en-US" w:eastAsia="zh-TW"/>
              </w:rPr>
              <w:t>Nexus</w:t>
            </w:r>
            <w:r>
              <w:rPr>
                <w:rFonts w:ascii="Calibri" w:hAnsi="Calibri" w:eastAsia="Calibri" w:cs="Calibri"/>
                <w:b/>
                <w:color w:val="000000"/>
                <w:sz w:val="22"/>
                <w:lang w:val="en-US" w:eastAsia="zh-TW"/>
              </w:rPr>
              <w:t xml:space="preserve"> assessment</w:t>
            </w:r>
          </w:p>
        </w:tc>
        <w:tc>
          <w:tcPr>
            <w:tcW w:w="745" w:type="dxa"/>
          </w:tcPr>
          <w:p w14:paraId="2D397E29">
            <w:pPr>
              <w:ind w:firstLine="0"/>
              <w:jc w:val="left"/>
              <w:rPr>
                <w:rFonts w:ascii="Calibri" w:hAnsi="Calibri" w:eastAsia="Calibri" w:cs="Calibri"/>
                <w:color w:val="000000"/>
                <w:sz w:val="22"/>
                <w:lang w:eastAsia="zh-TW"/>
              </w:rPr>
            </w:pPr>
            <w:r>
              <w:rPr>
                <w:rFonts w:ascii="Calibri" w:hAnsi="Calibri" w:eastAsia="Calibri" w:cs="Calibri"/>
                <w:color w:val="000000"/>
                <w:sz w:val="22"/>
                <w:lang w:eastAsia="zh-TW"/>
              </w:rPr>
              <w:t>2018</w:t>
            </w:r>
          </w:p>
        </w:tc>
        <w:tc>
          <w:tcPr>
            <w:tcW w:w="1192" w:type="dxa"/>
          </w:tcPr>
          <w:p w14:paraId="11A9A677">
            <w:pPr>
              <w:ind w:firstLine="0"/>
              <w:jc w:val="left"/>
              <w:rPr>
                <w:rFonts w:ascii="Calibri" w:hAnsi="Calibri" w:eastAsia="Calibri" w:cs="Calibri"/>
                <w:color w:val="000000"/>
                <w:sz w:val="22"/>
                <w:lang w:eastAsia="zh-TW"/>
              </w:rPr>
            </w:pPr>
            <w:r>
              <w:rPr>
                <w:rFonts w:ascii="Calibri" w:hAnsi="Calibri" w:eastAsia="Calibri" w:cs="Calibri"/>
                <w:color w:val="000000"/>
                <w:sz w:val="22"/>
                <w:lang w:eastAsia="zh-TW"/>
              </w:rPr>
              <w:t>EUA</w:t>
            </w:r>
          </w:p>
        </w:tc>
        <w:tc>
          <w:tcPr>
            <w:tcW w:w="893" w:type="dxa"/>
          </w:tcPr>
          <w:p w14:paraId="3463E638">
            <w:pPr>
              <w:ind w:firstLine="0"/>
              <w:jc w:val="left"/>
              <w:rPr>
                <w:rFonts w:ascii="Calibri" w:hAnsi="Calibri" w:eastAsia="Calibri" w:cs="Calibri"/>
                <w:color w:val="000000"/>
                <w:sz w:val="22"/>
                <w:lang w:eastAsia="zh-TW"/>
              </w:rPr>
            </w:pPr>
            <w:r>
              <w:rPr>
                <w:rFonts w:ascii="Calibri" w:hAnsi="Calibri" w:eastAsia="Calibri" w:cs="Calibri"/>
                <w:color w:val="000000"/>
                <w:sz w:val="22"/>
                <w:lang w:eastAsia="zh-TW"/>
              </w:rPr>
              <w:t>575</w:t>
            </w:r>
          </w:p>
        </w:tc>
      </w:tr>
      <w:tr w14:paraId="35DC2FA3">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trPr>
        <w:tc>
          <w:tcPr>
            <w:tcW w:w="6822" w:type="dxa"/>
          </w:tcPr>
          <w:p w14:paraId="12B6615C">
            <w:pPr>
              <w:ind w:firstLine="0"/>
              <w:jc w:val="left"/>
              <w:rPr>
                <w:rFonts w:ascii="Calibri" w:hAnsi="Calibri" w:eastAsia="Calibri" w:cs="Calibri"/>
                <w:b/>
                <w:color w:val="000000"/>
                <w:sz w:val="22"/>
                <w:lang w:val="en-US" w:eastAsia="zh-TW"/>
              </w:rPr>
            </w:pPr>
            <w:r>
              <w:rPr>
                <w:rFonts w:ascii="Calibri" w:hAnsi="Calibri" w:eastAsia="Calibri" w:cs="Calibri"/>
                <w:b/>
                <w:color w:val="000000"/>
                <w:sz w:val="22"/>
                <w:lang w:val="en-US" w:eastAsia="zh-TW"/>
              </w:rPr>
              <w:t xml:space="preserve">Towards understanding the integrative approach of the water, energy and food </w:t>
            </w:r>
            <w:r>
              <w:rPr>
                <w:rFonts w:ascii="Calibri" w:hAnsi="Calibri" w:eastAsia="Calibri" w:cs="Calibri"/>
                <w:b/>
                <w:i/>
                <w:color w:val="000000"/>
                <w:sz w:val="22"/>
                <w:lang w:val="en-US" w:eastAsia="zh-TW"/>
              </w:rPr>
              <w:t>Nexus</w:t>
            </w:r>
          </w:p>
        </w:tc>
        <w:tc>
          <w:tcPr>
            <w:tcW w:w="745" w:type="dxa"/>
          </w:tcPr>
          <w:p w14:paraId="79C1AF1B">
            <w:pPr>
              <w:ind w:firstLine="0"/>
              <w:jc w:val="left"/>
              <w:rPr>
                <w:rFonts w:ascii="Calibri" w:hAnsi="Calibri" w:eastAsia="Calibri" w:cs="Calibri"/>
                <w:color w:val="000000"/>
                <w:sz w:val="22"/>
                <w:lang w:eastAsia="zh-TW"/>
              </w:rPr>
            </w:pPr>
            <w:r>
              <w:rPr>
                <w:rFonts w:ascii="Calibri" w:hAnsi="Calibri" w:eastAsia="Calibri" w:cs="Calibri"/>
                <w:color w:val="000000"/>
                <w:sz w:val="22"/>
                <w:lang w:eastAsia="zh-TW"/>
              </w:rPr>
              <w:t>2017</w:t>
            </w:r>
          </w:p>
        </w:tc>
        <w:tc>
          <w:tcPr>
            <w:tcW w:w="1192" w:type="dxa"/>
          </w:tcPr>
          <w:p w14:paraId="166790DA">
            <w:pPr>
              <w:ind w:firstLine="0"/>
              <w:jc w:val="left"/>
              <w:rPr>
                <w:rFonts w:ascii="Calibri" w:hAnsi="Calibri" w:eastAsia="Calibri" w:cs="Calibri"/>
                <w:color w:val="000000"/>
                <w:sz w:val="22"/>
                <w:lang w:eastAsia="zh-TW"/>
              </w:rPr>
            </w:pPr>
            <w:r>
              <w:rPr>
                <w:rFonts w:ascii="Calibri" w:hAnsi="Calibri" w:eastAsia="Calibri" w:cs="Calibri"/>
                <w:color w:val="000000"/>
                <w:sz w:val="22"/>
                <w:lang w:eastAsia="zh-TW"/>
              </w:rPr>
              <w:t>Qatar</w:t>
            </w:r>
          </w:p>
        </w:tc>
        <w:tc>
          <w:tcPr>
            <w:tcW w:w="893" w:type="dxa"/>
          </w:tcPr>
          <w:p w14:paraId="1E2CC05B">
            <w:pPr>
              <w:ind w:firstLine="0"/>
              <w:jc w:val="left"/>
              <w:rPr>
                <w:rFonts w:ascii="Calibri" w:hAnsi="Calibri" w:eastAsia="Calibri" w:cs="Calibri"/>
                <w:color w:val="000000"/>
                <w:sz w:val="22"/>
                <w:lang w:eastAsia="zh-TW"/>
              </w:rPr>
            </w:pPr>
            <w:r>
              <w:rPr>
                <w:rFonts w:ascii="Calibri" w:hAnsi="Calibri" w:eastAsia="Calibri" w:cs="Calibri"/>
                <w:color w:val="000000"/>
                <w:sz w:val="22"/>
                <w:lang w:eastAsia="zh-TW"/>
              </w:rPr>
              <w:t>286</w:t>
            </w:r>
          </w:p>
        </w:tc>
      </w:tr>
      <w:tr w14:paraId="3298FB7F">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trPr>
        <w:tc>
          <w:tcPr>
            <w:tcW w:w="6822" w:type="dxa"/>
          </w:tcPr>
          <w:p w14:paraId="5B1C4C1E">
            <w:pPr>
              <w:ind w:firstLine="0"/>
              <w:jc w:val="left"/>
              <w:rPr>
                <w:rFonts w:ascii="Calibri" w:hAnsi="Calibri" w:eastAsia="Calibri" w:cs="Calibri"/>
                <w:b/>
                <w:color w:val="000000"/>
                <w:sz w:val="22"/>
                <w:lang w:val="en-US" w:eastAsia="zh-TW"/>
              </w:rPr>
            </w:pPr>
            <w:r>
              <w:rPr>
                <w:rFonts w:ascii="Calibri" w:hAnsi="Calibri" w:eastAsia="Calibri" w:cs="Calibri"/>
                <w:b/>
                <w:color w:val="000000"/>
                <w:sz w:val="22"/>
                <w:lang w:val="en-US" w:eastAsia="zh-TW"/>
              </w:rPr>
              <w:t xml:space="preserve">The water-energy-food </w:t>
            </w:r>
            <w:r>
              <w:rPr>
                <w:rFonts w:ascii="Calibri" w:hAnsi="Calibri" w:eastAsia="Calibri" w:cs="Calibri"/>
                <w:b/>
                <w:i/>
                <w:color w:val="000000"/>
                <w:sz w:val="22"/>
                <w:lang w:val="en-US" w:eastAsia="zh-TW"/>
              </w:rPr>
              <w:t>Nexus</w:t>
            </w:r>
            <w:r>
              <w:rPr>
                <w:rFonts w:ascii="Calibri" w:hAnsi="Calibri" w:eastAsia="Calibri" w:cs="Calibri"/>
                <w:b/>
                <w:color w:val="000000"/>
                <w:sz w:val="22"/>
                <w:lang w:val="en-US" w:eastAsia="zh-TW"/>
              </w:rPr>
              <w:t>: trade-offs, thresholds and transdisciplinary approaches to sustainable development</w:t>
            </w:r>
          </w:p>
        </w:tc>
        <w:tc>
          <w:tcPr>
            <w:tcW w:w="745" w:type="dxa"/>
          </w:tcPr>
          <w:p w14:paraId="67A0F4CF">
            <w:pPr>
              <w:ind w:firstLine="0"/>
              <w:jc w:val="left"/>
              <w:rPr>
                <w:rFonts w:ascii="Calibri" w:hAnsi="Calibri" w:eastAsia="Calibri" w:cs="Calibri"/>
                <w:color w:val="000000"/>
                <w:sz w:val="22"/>
                <w:lang w:eastAsia="zh-TW"/>
              </w:rPr>
            </w:pPr>
            <w:r>
              <w:rPr>
                <w:rFonts w:ascii="Calibri" w:hAnsi="Calibri" w:eastAsia="Calibri" w:cs="Calibri"/>
                <w:color w:val="000000"/>
                <w:sz w:val="22"/>
                <w:lang w:eastAsia="zh-TW"/>
              </w:rPr>
              <w:t>2017</w:t>
            </w:r>
          </w:p>
        </w:tc>
        <w:tc>
          <w:tcPr>
            <w:tcW w:w="1192" w:type="dxa"/>
          </w:tcPr>
          <w:p w14:paraId="24DCA834">
            <w:pPr>
              <w:ind w:firstLine="0"/>
              <w:jc w:val="left"/>
              <w:rPr>
                <w:rFonts w:ascii="Calibri" w:hAnsi="Calibri" w:eastAsia="Calibri" w:cs="Calibri"/>
                <w:color w:val="000000"/>
                <w:sz w:val="22"/>
                <w:lang w:eastAsia="zh-TW"/>
              </w:rPr>
            </w:pPr>
            <w:r>
              <w:rPr>
                <w:rFonts w:ascii="Calibri" w:hAnsi="Calibri" w:eastAsia="Calibri" w:cs="Calibri"/>
                <w:color w:val="000000"/>
                <w:sz w:val="22"/>
                <w:lang w:eastAsia="zh-TW"/>
              </w:rPr>
              <w:t>EUA</w:t>
            </w:r>
          </w:p>
        </w:tc>
        <w:tc>
          <w:tcPr>
            <w:tcW w:w="893" w:type="dxa"/>
          </w:tcPr>
          <w:p w14:paraId="402DA829">
            <w:pPr>
              <w:ind w:firstLine="0"/>
              <w:jc w:val="left"/>
              <w:rPr>
                <w:rFonts w:ascii="Calibri" w:hAnsi="Calibri" w:eastAsia="Calibri" w:cs="Calibri"/>
                <w:color w:val="000000"/>
                <w:sz w:val="22"/>
                <w:lang w:eastAsia="zh-TW"/>
              </w:rPr>
            </w:pPr>
            <w:r>
              <w:rPr>
                <w:rFonts w:ascii="Calibri" w:hAnsi="Calibri" w:eastAsia="Calibri" w:cs="Calibri"/>
                <w:color w:val="000000"/>
                <w:sz w:val="22"/>
                <w:lang w:eastAsia="zh-TW"/>
              </w:rPr>
              <w:t>278</w:t>
            </w:r>
          </w:p>
        </w:tc>
      </w:tr>
      <w:tr w14:paraId="79D60D15">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6822" w:type="dxa"/>
          </w:tcPr>
          <w:p w14:paraId="31F4FF5E">
            <w:pPr>
              <w:ind w:firstLine="0"/>
              <w:jc w:val="left"/>
              <w:rPr>
                <w:rFonts w:ascii="Calibri" w:hAnsi="Calibri" w:eastAsia="Calibri" w:cs="Calibri"/>
                <w:b/>
                <w:color w:val="000000"/>
                <w:sz w:val="20"/>
                <w:szCs w:val="20"/>
                <w:lang w:val="en-US" w:eastAsia="zh-TW"/>
              </w:rPr>
            </w:pPr>
            <w:r>
              <w:rPr>
                <w:rFonts w:ascii="Calibri" w:hAnsi="Calibri" w:eastAsia="Calibri" w:cs="Calibri"/>
                <w:b/>
                <w:color w:val="000000"/>
                <w:sz w:val="20"/>
                <w:szCs w:val="20"/>
                <w:lang w:val="en-US" w:eastAsia="zh-TW"/>
              </w:rPr>
              <w:t xml:space="preserve">Food-energy-water FEW) </w:t>
            </w:r>
            <w:r>
              <w:rPr>
                <w:rFonts w:ascii="Calibri" w:hAnsi="Calibri" w:eastAsia="Calibri" w:cs="Calibri"/>
                <w:b/>
                <w:i/>
                <w:color w:val="000000"/>
                <w:sz w:val="20"/>
                <w:szCs w:val="20"/>
                <w:lang w:val="en-US" w:eastAsia="zh-TW"/>
              </w:rPr>
              <w:t>Nexus</w:t>
            </w:r>
            <w:r>
              <w:rPr>
                <w:rFonts w:ascii="Calibri" w:hAnsi="Calibri" w:eastAsia="Calibri" w:cs="Calibri"/>
                <w:b/>
                <w:color w:val="000000"/>
                <w:sz w:val="20"/>
                <w:szCs w:val="20"/>
                <w:lang w:val="en-US" w:eastAsia="zh-TW"/>
              </w:rPr>
              <w:t xml:space="preserve"> for urban sustainability: A comprehensive review</w:t>
            </w:r>
          </w:p>
        </w:tc>
        <w:tc>
          <w:tcPr>
            <w:tcW w:w="745" w:type="dxa"/>
          </w:tcPr>
          <w:p w14:paraId="1EF596E3">
            <w:pPr>
              <w:ind w:firstLine="0"/>
              <w:jc w:val="left"/>
              <w:rPr>
                <w:rFonts w:ascii="Calibri" w:hAnsi="Calibri" w:eastAsia="Calibri" w:cs="Calibri"/>
                <w:color w:val="000000"/>
                <w:sz w:val="22"/>
                <w:lang w:eastAsia="zh-TW"/>
              </w:rPr>
            </w:pPr>
            <w:r>
              <w:rPr>
                <w:rFonts w:ascii="Calibri" w:hAnsi="Calibri" w:eastAsia="Calibri" w:cs="Calibri"/>
                <w:color w:val="000000"/>
                <w:sz w:val="22"/>
                <w:lang w:eastAsia="zh-TW"/>
              </w:rPr>
              <w:t>2019</w:t>
            </w:r>
          </w:p>
        </w:tc>
        <w:tc>
          <w:tcPr>
            <w:tcW w:w="1192" w:type="dxa"/>
          </w:tcPr>
          <w:p w14:paraId="4EAA3EDB">
            <w:pPr>
              <w:ind w:firstLine="0"/>
              <w:jc w:val="left"/>
              <w:rPr>
                <w:rFonts w:ascii="Calibri" w:hAnsi="Calibri" w:eastAsia="Calibri" w:cs="Calibri"/>
                <w:color w:val="000000"/>
                <w:sz w:val="22"/>
                <w:lang w:eastAsia="zh-TW"/>
              </w:rPr>
            </w:pPr>
            <w:r>
              <w:rPr>
                <w:rFonts w:ascii="Calibri" w:hAnsi="Calibri" w:eastAsia="Calibri" w:cs="Calibri"/>
                <w:color w:val="000000"/>
                <w:sz w:val="22"/>
                <w:lang w:eastAsia="zh-TW"/>
              </w:rPr>
              <w:t>China</w:t>
            </w:r>
          </w:p>
        </w:tc>
        <w:tc>
          <w:tcPr>
            <w:tcW w:w="893" w:type="dxa"/>
          </w:tcPr>
          <w:p w14:paraId="743A40D4">
            <w:pPr>
              <w:ind w:firstLine="0"/>
              <w:jc w:val="left"/>
              <w:rPr>
                <w:rFonts w:ascii="Calibri" w:hAnsi="Calibri" w:eastAsia="Calibri" w:cs="Calibri"/>
                <w:color w:val="000000"/>
                <w:sz w:val="22"/>
                <w:lang w:eastAsia="zh-TW"/>
              </w:rPr>
            </w:pPr>
            <w:r>
              <w:rPr>
                <w:rFonts w:ascii="Calibri" w:hAnsi="Calibri" w:eastAsia="Calibri" w:cs="Calibri"/>
                <w:color w:val="000000"/>
                <w:sz w:val="22"/>
                <w:lang w:eastAsia="zh-TW"/>
              </w:rPr>
              <w:t>216</w:t>
            </w:r>
          </w:p>
        </w:tc>
      </w:tr>
      <w:tr w14:paraId="4DA1AB3A">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trPr>
        <w:tc>
          <w:tcPr>
            <w:tcW w:w="6822" w:type="dxa"/>
          </w:tcPr>
          <w:p w14:paraId="23C0D970">
            <w:pPr>
              <w:ind w:firstLine="0"/>
              <w:jc w:val="left"/>
              <w:rPr>
                <w:rFonts w:ascii="Calibri" w:hAnsi="Calibri" w:eastAsia="Calibri" w:cs="Calibri"/>
                <w:b/>
                <w:color w:val="000000"/>
                <w:sz w:val="22"/>
                <w:lang w:val="en-US" w:eastAsia="zh-TW"/>
              </w:rPr>
            </w:pPr>
            <w:r>
              <w:rPr>
                <w:rFonts w:ascii="Calibri" w:hAnsi="Calibri" w:eastAsia="Calibri" w:cs="Calibri"/>
                <w:b/>
                <w:color w:val="000000"/>
                <w:sz w:val="22"/>
                <w:lang w:val="en-US" w:eastAsia="zh-TW"/>
              </w:rPr>
              <w:t xml:space="preserve">Quantifying the energy, water and food </w:t>
            </w:r>
            <w:r>
              <w:rPr>
                <w:rFonts w:ascii="Calibri" w:hAnsi="Calibri" w:eastAsia="Calibri" w:cs="Calibri"/>
                <w:b/>
                <w:i/>
                <w:color w:val="000000"/>
                <w:sz w:val="22"/>
                <w:lang w:val="en-US" w:eastAsia="zh-TW"/>
              </w:rPr>
              <w:t>Nexus</w:t>
            </w:r>
            <w:r>
              <w:rPr>
                <w:rFonts w:ascii="Calibri" w:hAnsi="Calibri" w:eastAsia="Calibri" w:cs="Calibri"/>
                <w:b/>
                <w:color w:val="000000"/>
                <w:sz w:val="22"/>
                <w:lang w:val="en-US" w:eastAsia="zh-TW"/>
              </w:rPr>
              <w:t>: A review of the latest developments based on life-cycle assessment</w:t>
            </w:r>
          </w:p>
        </w:tc>
        <w:tc>
          <w:tcPr>
            <w:tcW w:w="745" w:type="dxa"/>
          </w:tcPr>
          <w:p w14:paraId="38626C70">
            <w:pPr>
              <w:ind w:firstLine="0"/>
              <w:jc w:val="left"/>
              <w:rPr>
                <w:rFonts w:ascii="Calibri" w:hAnsi="Calibri" w:eastAsia="Calibri" w:cs="Calibri"/>
                <w:color w:val="000000"/>
                <w:sz w:val="22"/>
                <w:lang w:eastAsia="zh-TW"/>
              </w:rPr>
            </w:pPr>
            <w:r>
              <w:rPr>
                <w:rFonts w:ascii="Calibri" w:hAnsi="Calibri" w:eastAsia="Calibri" w:cs="Calibri"/>
                <w:color w:val="000000"/>
                <w:sz w:val="22"/>
                <w:lang w:eastAsia="zh-TW"/>
              </w:rPr>
              <w:t>2018</w:t>
            </w:r>
          </w:p>
        </w:tc>
        <w:tc>
          <w:tcPr>
            <w:tcW w:w="1192" w:type="dxa"/>
          </w:tcPr>
          <w:p w14:paraId="32E6DADB">
            <w:pPr>
              <w:ind w:firstLine="0"/>
              <w:jc w:val="left"/>
              <w:rPr>
                <w:rFonts w:ascii="Calibri" w:hAnsi="Calibri" w:eastAsia="Calibri" w:cs="Calibri"/>
                <w:color w:val="000000"/>
                <w:sz w:val="22"/>
                <w:lang w:eastAsia="zh-TW"/>
              </w:rPr>
            </w:pPr>
            <w:r>
              <w:rPr>
                <w:rFonts w:ascii="Calibri" w:hAnsi="Calibri" w:eastAsia="Calibri" w:cs="Calibri"/>
                <w:color w:val="000000"/>
                <w:sz w:val="22"/>
                <w:lang w:eastAsia="zh-TW"/>
              </w:rPr>
              <w:t>Qatar</w:t>
            </w:r>
          </w:p>
        </w:tc>
        <w:tc>
          <w:tcPr>
            <w:tcW w:w="893" w:type="dxa"/>
          </w:tcPr>
          <w:p w14:paraId="5D66D90D">
            <w:pPr>
              <w:ind w:firstLine="0"/>
              <w:jc w:val="left"/>
              <w:rPr>
                <w:rFonts w:ascii="Calibri" w:hAnsi="Calibri" w:eastAsia="Calibri" w:cs="Calibri"/>
                <w:color w:val="000000"/>
                <w:sz w:val="22"/>
                <w:lang w:eastAsia="zh-TW"/>
              </w:rPr>
            </w:pPr>
            <w:r>
              <w:rPr>
                <w:rFonts w:ascii="Calibri" w:hAnsi="Calibri" w:eastAsia="Calibri" w:cs="Calibri"/>
                <w:color w:val="000000"/>
                <w:sz w:val="22"/>
                <w:lang w:eastAsia="zh-TW"/>
              </w:rPr>
              <w:t>155</w:t>
            </w:r>
          </w:p>
        </w:tc>
      </w:tr>
      <w:tr w14:paraId="4A0BFE3F">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6822" w:type="dxa"/>
          </w:tcPr>
          <w:p w14:paraId="4E32B24D">
            <w:pPr>
              <w:ind w:firstLine="0"/>
              <w:jc w:val="left"/>
              <w:rPr>
                <w:rFonts w:ascii="Calibri" w:hAnsi="Calibri" w:eastAsia="Calibri" w:cs="Calibri"/>
                <w:b/>
                <w:color w:val="000000"/>
                <w:sz w:val="22"/>
                <w:lang w:val="en-US" w:eastAsia="zh-TW"/>
              </w:rPr>
            </w:pPr>
            <w:r>
              <w:rPr>
                <w:rFonts w:ascii="Calibri" w:hAnsi="Calibri" w:eastAsia="Calibri" w:cs="Calibri"/>
                <w:b/>
                <w:color w:val="000000"/>
                <w:sz w:val="22"/>
                <w:lang w:val="en-US" w:eastAsia="zh-TW"/>
              </w:rPr>
              <w:t xml:space="preserve">Sustainable energy, water and food </w:t>
            </w:r>
            <w:r>
              <w:rPr>
                <w:rFonts w:ascii="Calibri" w:hAnsi="Calibri" w:eastAsia="Calibri" w:cs="Calibri"/>
                <w:b/>
                <w:i/>
                <w:color w:val="000000"/>
                <w:sz w:val="22"/>
                <w:lang w:val="en-US" w:eastAsia="zh-TW"/>
              </w:rPr>
              <w:t>Nexus</w:t>
            </w:r>
            <w:r>
              <w:rPr>
                <w:rFonts w:ascii="Calibri" w:hAnsi="Calibri" w:eastAsia="Calibri" w:cs="Calibri"/>
                <w:b/>
                <w:color w:val="000000"/>
                <w:sz w:val="22"/>
                <w:lang w:val="en-US" w:eastAsia="zh-TW"/>
              </w:rPr>
              <w:t xml:space="preserve"> systems: A focused review of decision-making tools for efficient resource management and governance</w:t>
            </w:r>
          </w:p>
        </w:tc>
        <w:tc>
          <w:tcPr>
            <w:tcW w:w="745" w:type="dxa"/>
          </w:tcPr>
          <w:p w14:paraId="09EF12D6">
            <w:pPr>
              <w:ind w:firstLine="0"/>
              <w:jc w:val="left"/>
              <w:rPr>
                <w:rFonts w:ascii="Calibri" w:hAnsi="Calibri" w:eastAsia="Calibri" w:cs="Calibri"/>
                <w:color w:val="000000"/>
                <w:sz w:val="22"/>
                <w:lang w:eastAsia="zh-TW"/>
              </w:rPr>
            </w:pPr>
            <w:r>
              <w:rPr>
                <w:rFonts w:ascii="Calibri" w:hAnsi="Calibri" w:eastAsia="Calibri" w:cs="Calibri"/>
                <w:color w:val="000000"/>
                <w:sz w:val="22"/>
                <w:lang w:eastAsia="zh-TW"/>
              </w:rPr>
              <w:t>2019</w:t>
            </w:r>
          </w:p>
        </w:tc>
        <w:tc>
          <w:tcPr>
            <w:tcW w:w="1192" w:type="dxa"/>
          </w:tcPr>
          <w:p w14:paraId="33B24D92">
            <w:pPr>
              <w:ind w:firstLine="0"/>
              <w:jc w:val="left"/>
              <w:rPr>
                <w:rFonts w:ascii="Calibri" w:hAnsi="Calibri" w:eastAsia="Calibri" w:cs="Calibri"/>
                <w:color w:val="000000"/>
                <w:sz w:val="22"/>
                <w:lang w:eastAsia="zh-TW"/>
              </w:rPr>
            </w:pPr>
            <w:r>
              <w:rPr>
                <w:rFonts w:ascii="Calibri" w:hAnsi="Calibri" w:eastAsia="Calibri" w:cs="Calibri"/>
                <w:color w:val="000000"/>
                <w:sz w:val="22"/>
                <w:lang w:eastAsia="zh-TW"/>
              </w:rPr>
              <w:t>Qatar</w:t>
            </w:r>
          </w:p>
        </w:tc>
        <w:tc>
          <w:tcPr>
            <w:tcW w:w="893" w:type="dxa"/>
          </w:tcPr>
          <w:p w14:paraId="5A56ABDC">
            <w:pPr>
              <w:ind w:firstLine="0"/>
              <w:jc w:val="left"/>
              <w:rPr>
                <w:rFonts w:ascii="Calibri" w:hAnsi="Calibri" w:eastAsia="Calibri" w:cs="Calibri"/>
                <w:color w:val="000000"/>
                <w:sz w:val="22"/>
                <w:lang w:eastAsia="zh-TW"/>
              </w:rPr>
            </w:pPr>
            <w:r>
              <w:rPr>
                <w:rFonts w:ascii="Calibri" w:hAnsi="Calibri" w:eastAsia="Calibri" w:cs="Calibri"/>
                <w:color w:val="000000"/>
                <w:sz w:val="22"/>
                <w:lang w:eastAsia="zh-TW"/>
              </w:rPr>
              <w:t>128</w:t>
            </w:r>
          </w:p>
        </w:tc>
      </w:tr>
      <w:tr w14:paraId="3EAA18B2">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trPr>
        <w:tc>
          <w:tcPr>
            <w:tcW w:w="6822" w:type="dxa"/>
          </w:tcPr>
          <w:p w14:paraId="4925A33C">
            <w:pPr>
              <w:ind w:firstLine="0"/>
              <w:jc w:val="left"/>
              <w:rPr>
                <w:rFonts w:ascii="Calibri" w:hAnsi="Calibri" w:eastAsia="Calibri" w:cs="Calibri"/>
                <w:b/>
                <w:color w:val="000000"/>
                <w:sz w:val="22"/>
                <w:lang w:val="en-US" w:eastAsia="zh-TW"/>
              </w:rPr>
            </w:pPr>
            <w:r>
              <w:rPr>
                <w:rFonts w:ascii="Calibri" w:hAnsi="Calibri" w:eastAsia="Calibri" w:cs="Calibri"/>
                <w:b/>
                <w:color w:val="000000"/>
                <w:sz w:val="22"/>
                <w:lang w:val="en-US" w:eastAsia="zh-TW"/>
              </w:rPr>
              <w:t xml:space="preserve">A 40-year review of food–energy–water </w:t>
            </w:r>
            <w:r>
              <w:rPr>
                <w:rFonts w:ascii="Calibri" w:hAnsi="Calibri" w:eastAsia="Calibri" w:cs="Calibri"/>
                <w:b/>
                <w:i/>
                <w:color w:val="000000"/>
                <w:sz w:val="22"/>
                <w:lang w:val="en-US" w:eastAsia="zh-TW"/>
              </w:rPr>
              <w:t>Nexus</w:t>
            </w:r>
            <w:r>
              <w:rPr>
                <w:rFonts w:ascii="Calibri" w:hAnsi="Calibri" w:eastAsia="Calibri" w:cs="Calibri"/>
                <w:b/>
                <w:color w:val="000000"/>
                <w:sz w:val="22"/>
                <w:lang w:val="en-US" w:eastAsia="zh-TW"/>
              </w:rPr>
              <w:t xml:space="preserve"> literature and its application to the urban scale</w:t>
            </w:r>
          </w:p>
        </w:tc>
        <w:tc>
          <w:tcPr>
            <w:tcW w:w="745" w:type="dxa"/>
          </w:tcPr>
          <w:p w14:paraId="43F4014C">
            <w:pPr>
              <w:ind w:firstLine="0"/>
              <w:jc w:val="left"/>
              <w:rPr>
                <w:rFonts w:ascii="Calibri" w:hAnsi="Calibri" w:eastAsia="Calibri" w:cs="Calibri"/>
                <w:color w:val="000000"/>
                <w:sz w:val="22"/>
                <w:lang w:eastAsia="zh-TW"/>
              </w:rPr>
            </w:pPr>
            <w:r>
              <w:rPr>
                <w:rFonts w:ascii="Calibri" w:hAnsi="Calibri" w:eastAsia="Calibri" w:cs="Calibri"/>
                <w:color w:val="000000"/>
                <w:sz w:val="22"/>
                <w:lang w:eastAsia="zh-TW"/>
              </w:rPr>
              <w:t>2019</w:t>
            </w:r>
          </w:p>
        </w:tc>
        <w:tc>
          <w:tcPr>
            <w:tcW w:w="1192" w:type="dxa"/>
          </w:tcPr>
          <w:p w14:paraId="02E2ABE9">
            <w:pPr>
              <w:ind w:firstLine="0"/>
              <w:jc w:val="left"/>
              <w:rPr>
                <w:rFonts w:ascii="Calibri" w:hAnsi="Calibri" w:eastAsia="Calibri" w:cs="Calibri"/>
                <w:color w:val="000000"/>
                <w:sz w:val="22"/>
                <w:lang w:eastAsia="zh-TW"/>
              </w:rPr>
            </w:pPr>
            <w:r>
              <w:rPr>
                <w:rFonts w:ascii="Calibri" w:hAnsi="Calibri" w:eastAsia="Calibri" w:cs="Calibri"/>
                <w:color w:val="000000"/>
                <w:sz w:val="22"/>
                <w:lang w:eastAsia="zh-TW"/>
              </w:rPr>
              <w:t xml:space="preserve">EUA </w:t>
            </w:r>
          </w:p>
        </w:tc>
        <w:tc>
          <w:tcPr>
            <w:tcW w:w="893" w:type="dxa"/>
          </w:tcPr>
          <w:p w14:paraId="4CE9C151">
            <w:pPr>
              <w:ind w:firstLine="0"/>
              <w:jc w:val="left"/>
              <w:rPr>
                <w:rFonts w:ascii="Calibri" w:hAnsi="Calibri" w:eastAsia="Calibri" w:cs="Calibri"/>
                <w:color w:val="000000"/>
                <w:sz w:val="22"/>
                <w:lang w:eastAsia="zh-TW"/>
              </w:rPr>
            </w:pPr>
            <w:r>
              <w:rPr>
                <w:rFonts w:ascii="Calibri" w:hAnsi="Calibri" w:eastAsia="Calibri" w:cs="Calibri"/>
                <w:color w:val="000000"/>
                <w:sz w:val="22"/>
                <w:lang w:eastAsia="zh-TW"/>
              </w:rPr>
              <w:t>117</w:t>
            </w:r>
          </w:p>
        </w:tc>
      </w:tr>
      <w:tr w14:paraId="6CD71634">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8" w:hRule="atLeast"/>
        </w:trPr>
        <w:tc>
          <w:tcPr>
            <w:tcW w:w="6822" w:type="dxa"/>
          </w:tcPr>
          <w:p w14:paraId="1E822E19">
            <w:pPr>
              <w:ind w:firstLine="0"/>
              <w:jc w:val="left"/>
              <w:rPr>
                <w:rFonts w:ascii="Calibri" w:hAnsi="Calibri" w:eastAsia="Calibri" w:cs="Calibri"/>
                <w:b/>
                <w:color w:val="000000"/>
                <w:sz w:val="22"/>
                <w:lang w:val="en-US" w:eastAsia="zh-TW"/>
              </w:rPr>
            </w:pPr>
            <w:r>
              <w:rPr>
                <w:rFonts w:ascii="Calibri" w:hAnsi="Calibri" w:eastAsia="Calibri" w:cs="Calibri"/>
                <w:b/>
                <w:color w:val="000000"/>
                <w:sz w:val="22"/>
                <w:lang w:val="en-US" w:eastAsia="zh-TW"/>
              </w:rPr>
              <w:t xml:space="preserve">Overcoming food security challenges within an energy/water/food </w:t>
            </w:r>
            <w:r>
              <w:rPr>
                <w:rFonts w:ascii="Calibri" w:hAnsi="Calibri" w:eastAsia="Calibri" w:cs="Calibri"/>
                <w:b/>
                <w:i/>
                <w:color w:val="000000"/>
                <w:sz w:val="22"/>
                <w:lang w:val="en-US" w:eastAsia="zh-TW"/>
              </w:rPr>
              <w:t>Nexus</w:t>
            </w:r>
            <w:r>
              <w:rPr>
                <w:rFonts w:ascii="Calibri" w:hAnsi="Calibri" w:eastAsia="Calibri" w:cs="Calibri"/>
                <w:b/>
                <w:color w:val="000000"/>
                <w:sz w:val="22"/>
                <w:lang w:val="en-US" w:eastAsia="zh-TW"/>
              </w:rPr>
              <w:t xml:space="preserve"> (EWFN) approach</w:t>
            </w:r>
          </w:p>
        </w:tc>
        <w:tc>
          <w:tcPr>
            <w:tcW w:w="745" w:type="dxa"/>
          </w:tcPr>
          <w:p w14:paraId="032F28DD">
            <w:pPr>
              <w:ind w:firstLine="0"/>
              <w:jc w:val="left"/>
              <w:rPr>
                <w:rFonts w:ascii="Calibri" w:hAnsi="Calibri" w:eastAsia="Calibri" w:cs="Calibri"/>
                <w:color w:val="000000"/>
                <w:sz w:val="22"/>
                <w:lang w:eastAsia="zh-TW"/>
              </w:rPr>
            </w:pPr>
            <w:r>
              <w:rPr>
                <w:rFonts w:ascii="Calibri" w:hAnsi="Calibri" w:eastAsia="Calibri" w:cs="Calibri"/>
                <w:color w:val="000000"/>
                <w:sz w:val="22"/>
                <w:lang w:eastAsia="zh-TW"/>
              </w:rPr>
              <w:t>2016</w:t>
            </w:r>
          </w:p>
        </w:tc>
        <w:tc>
          <w:tcPr>
            <w:tcW w:w="1192" w:type="dxa"/>
          </w:tcPr>
          <w:p w14:paraId="433F471B">
            <w:pPr>
              <w:ind w:firstLine="0"/>
              <w:jc w:val="left"/>
              <w:rPr>
                <w:rFonts w:ascii="Calibri" w:hAnsi="Calibri" w:eastAsia="Calibri" w:cs="Calibri"/>
                <w:color w:val="000000"/>
                <w:sz w:val="22"/>
                <w:lang w:eastAsia="zh-TW"/>
              </w:rPr>
            </w:pPr>
            <w:r>
              <w:rPr>
                <w:rFonts w:ascii="Calibri" w:hAnsi="Calibri" w:eastAsia="Calibri" w:cs="Calibri"/>
                <w:color w:val="000000"/>
                <w:sz w:val="22"/>
                <w:lang w:eastAsia="zh-TW"/>
              </w:rPr>
              <w:t>Inglaterra</w:t>
            </w:r>
          </w:p>
        </w:tc>
        <w:tc>
          <w:tcPr>
            <w:tcW w:w="893" w:type="dxa"/>
          </w:tcPr>
          <w:p w14:paraId="6D979FB7">
            <w:pPr>
              <w:ind w:firstLine="0"/>
              <w:jc w:val="left"/>
              <w:rPr>
                <w:rFonts w:ascii="Calibri" w:hAnsi="Calibri" w:eastAsia="Calibri" w:cs="Calibri"/>
                <w:color w:val="000000"/>
                <w:sz w:val="22"/>
                <w:lang w:eastAsia="zh-TW"/>
              </w:rPr>
            </w:pPr>
            <w:r>
              <w:rPr>
                <w:rFonts w:ascii="Calibri" w:hAnsi="Calibri" w:eastAsia="Calibri" w:cs="Calibri"/>
                <w:color w:val="000000"/>
                <w:sz w:val="22"/>
                <w:lang w:eastAsia="zh-TW"/>
              </w:rPr>
              <w:t>106</w:t>
            </w:r>
          </w:p>
        </w:tc>
      </w:tr>
      <w:tr w14:paraId="61A5E966">
        <w:tblPrEx>
          <w:tblBorders>
            <w:top w:val="single" w:color="000000" w:sz="8" w:space="0"/>
            <w:left w:val="single" w:color="000000" w:sz="4" w:space="0"/>
            <w:bottom w:val="single" w:color="000000" w:sz="8"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7" w:hRule="atLeast"/>
        </w:trPr>
        <w:tc>
          <w:tcPr>
            <w:tcW w:w="6822" w:type="dxa"/>
          </w:tcPr>
          <w:p w14:paraId="127BCA4B">
            <w:pPr>
              <w:ind w:firstLine="0"/>
              <w:jc w:val="left"/>
              <w:rPr>
                <w:rFonts w:ascii="Calibri" w:hAnsi="Calibri" w:eastAsia="Calibri" w:cs="Calibri"/>
                <w:b/>
                <w:color w:val="000000"/>
                <w:sz w:val="22"/>
                <w:lang w:val="en-US" w:eastAsia="zh-TW"/>
              </w:rPr>
            </w:pPr>
            <w:r>
              <w:rPr>
                <w:rFonts w:ascii="Calibri" w:hAnsi="Calibri" w:eastAsia="Calibri" w:cs="Calibri"/>
                <w:b/>
                <w:color w:val="000000"/>
                <w:sz w:val="22"/>
                <w:lang w:val="en-US" w:eastAsia="zh-TW"/>
              </w:rPr>
              <w:t xml:space="preserve">Climate change adaptation through the water-energy-food </w:t>
            </w:r>
            <w:r>
              <w:rPr>
                <w:rFonts w:ascii="Calibri" w:hAnsi="Calibri" w:eastAsia="Calibri" w:cs="Calibri"/>
                <w:b/>
                <w:i/>
                <w:color w:val="000000"/>
                <w:sz w:val="22"/>
                <w:lang w:val="en-US" w:eastAsia="zh-TW"/>
              </w:rPr>
              <w:t>Nexus</w:t>
            </w:r>
            <w:r>
              <w:rPr>
                <w:rFonts w:ascii="Calibri" w:hAnsi="Calibri" w:eastAsia="Calibri" w:cs="Calibri"/>
                <w:b/>
                <w:color w:val="000000"/>
                <w:sz w:val="22"/>
                <w:lang w:val="en-US" w:eastAsia="zh-TW"/>
              </w:rPr>
              <w:t xml:space="preserve"> in southern Africa</w:t>
            </w:r>
          </w:p>
        </w:tc>
        <w:tc>
          <w:tcPr>
            <w:tcW w:w="745" w:type="dxa"/>
          </w:tcPr>
          <w:p w14:paraId="320C6D66">
            <w:pPr>
              <w:ind w:firstLine="0"/>
              <w:jc w:val="left"/>
              <w:rPr>
                <w:rFonts w:ascii="Calibri" w:hAnsi="Calibri" w:eastAsia="Calibri" w:cs="Calibri"/>
                <w:color w:val="000000"/>
                <w:sz w:val="22"/>
                <w:lang w:eastAsia="zh-TW"/>
              </w:rPr>
            </w:pPr>
            <w:r>
              <w:rPr>
                <w:rFonts w:ascii="Calibri" w:hAnsi="Calibri" w:eastAsia="Calibri" w:cs="Calibri"/>
                <w:color w:val="000000"/>
                <w:sz w:val="22"/>
                <w:lang w:eastAsia="zh-TW"/>
              </w:rPr>
              <w:t>2018</w:t>
            </w:r>
          </w:p>
        </w:tc>
        <w:tc>
          <w:tcPr>
            <w:tcW w:w="1192" w:type="dxa"/>
          </w:tcPr>
          <w:p w14:paraId="21CDA6D7">
            <w:pPr>
              <w:ind w:firstLine="0"/>
              <w:jc w:val="left"/>
              <w:rPr>
                <w:rFonts w:ascii="Calibri" w:hAnsi="Calibri" w:eastAsia="Calibri" w:cs="Calibri"/>
                <w:color w:val="000000"/>
                <w:sz w:val="22"/>
                <w:lang w:eastAsia="zh-TW"/>
              </w:rPr>
            </w:pPr>
            <w:r>
              <w:rPr>
                <w:rFonts w:ascii="Calibri" w:hAnsi="Calibri" w:eastAsia="Calibri" w:cs="Calibri"/>
                <w:color w:val="000000"/>
                <w:sz w:val="22"/>
                <w:lang w:eastAsia="zh-TW"/>
              </w:rPr>
              <w:t>África</w:t>
            </w:r>
          </w:p>
        </w:tc>
        <w:tc>
          <w:tcPr>
            <w:tcW w:w="893" w:type="dxa"/>
          </w:tcPr>
          <w:p w14:paraId="69865634">
            <w:pPr>
              <w:ind w:firstLine="0"/>
              <w:jc w:val="left"/>
              <w:rPr>
                <w:rFonts w:ascii="Calibri" w:hAnsi="Calibri" w:eastAsia="Calibri" w:cs="Calibri"/>
                <w:color w:val="000000"/>
                <w:sz w:val="22"/>
                <w:lang w:eastAsia="zh-TW"/>
              </w:rPr>
            </w:pPr>
            <w:r>
              <w:rPr>
                <w:rFonts w:ascii="Calibri" w:hAnsi="Calibri" w:eastAsia="Calibri" w:cs="Calibri"/>
                <w:color w:val="000000"/>
                <w:sz w:val="22"/>
                <w:lang w:eastAsia="zh-TW"/>
              </w:rPr>
              <w:t>101</w:t>
            </w:r>
          </w:p>
        </w:tc>
      </w:tr>
    </w:tbl>
    <w:p w14:paraId="4969ABA7">
      <w:pPr>
        <w:ind w:firstLine="0"/>
        <w:rPr>
          <w:sz w:val="20"/>
          <w:szCs w:val="20"/>
        </w:rPr>
      </w:pPr>
      <w:r>
        <w:rPr>
          <w:sz w:val="20"/>
          <w:szCs w:val="20"/>
        </w:rPr>
        <w:t>Fonte: Elaborado pelos autores (2023).</w:t>
      </w:r>
    </w:p>
    <w:p w14:paraId="35F9D498">
      <w:r>
        <w:t>Observa-se ainda na tabela 02 que essas publicações, embora não se tenha definido o limite de ano/início para as publicações nas filtragens, a frequência de citações aponta publicações de 2015/2021, logo após ter-se pactuada globalmente a agenda 2030, com seus respectivos ODS. Nesse aspecto, indica-se ainda uma crescente busca pelo termo pesquisado, em específico no ano de 2015. A publicação mais citada (748 vezes) em outras publicações, tendo como fonte o artigo “Desenvolvimento sustentável e o nexo água-energia-alimentos: uma perspectiva sobre os meios de subsistência” de Biggs et al (2015).</w:t>
      </w:r>
    </w:p>
    <w:p w14:paraId="4C5DA189">
      <w:r>
        <w:t xml:space="preserve">Os demais artigos por ordem de interesse de citação foram publicados nos EUA (575 e 117 vezes) em 2018 e 2019 respectivamente; no Qatar (286, 155 e 128 vezes) em 2017, 2018 e 2019 respectivamente; na China (216 vezes) em 2019; Inglaterra (106 vezes) em 2016 e África (101 vezes) em 2018. </w:t>
      </w:r>
    </w:p>
    <w:p w14:paraId="3F0AE833">
      <w:r>
        <w:t>Os dados revelam ainda que o maior interesse está relacionado às publicações que abordam diretamente os segmentos water-energy-food, revelando que, embora, a abrangência da abordagem esteja conectada aos diversos gradientes da sustentabilidade, conforme visto na amostra da tabela 01, o foco maior se dá nesses três elementos. Ressaltando a prevalência de estudos teóricos pautados nesses segmentos.</w:t>
      </w:r>
    </w:p>
    <w:p w14:paraId="36BF6AE9">
      <w:r>
        <w:t>A análise explicita ainda a dimensão continental dos estudos da amostra, indicando um foco maior nos continentes asiático e americano, com menor expressividade no continente Africano e Oceania. A amostra indica ainda que o interesse pela temática se intensifica a partir de 2015, sugerindo influência e relação com o foco da discussão sobre a agenda 2030 e o alcance dos ODS.</w:t>
      </w:r>
    </w:p>
    <w:p w14:paraId="3468EAC6">
      <w:pPr>
        <w:pStyle w:val="2"/>
      </w:pPr>
      <w:r>
        <w:t>5 CONCLUSÃO</w:t>
      </w:r>
    </w:p>
    <w:p w14:paraId="32F73A67">
      <w:r>
        <w:t xml:space="preserve">À guisa de conclusão algumas considerações merecem ser pontuadas. Sobretudo é consoante afirmar que a pesquisa expõe sobre a gênese da abordagem de Nexus, tendo, portanto, uma diversidade de elementos a serem ainda explorados e aprimorados. </w:t>
      </w:r>
    </w:p>
    <w:p w14:paraId="51885C15">
      <w:r>
        <w:t xml:space="preserve">Remontando ao objetivo do estudo, que foi identificar o interesse da comunidade acadêmica internacional pela abordagem de Nexus em análise aos Objetivos do desenvolvimento sustentável na interação com os fatores e setores que compõem a tratativa, a pesquisa trouxe, a partir da análise dos dados levantados na literatura, algumas informações relevantes que explicita o interesse em torno da temática, identificando os principais autores e ano de publicação, além dos temas abordados nesses estudos. Relevante apontar também que o topo do interesse pela abordagem está direcionado aos elementos water-energy-food sem, contudo, descartar os demais elementos, concluindo que há um interesse acentuado e em expansão na literatura sobre a abordagem Nexus e desta na interação com os ODS na busca de soluções sustentáveis. </w:t>
      </w:r>
    </w:p>
    <w:p w14:paraId="77416339">
      <w:r>
        <w:t>Importante referenciar ainda, que não obstante, as ideias em torno da modelagem estejam ligadas aos fatores água-alimento-energia possibilitando um universo de composições relacionais, há muito ainda que se explorar na relação de conexão com os elementos constitutivos dos ODS. Podendo contribuir na formulação de políticas coordenadas para atingimento das metas, atribuindo-lhes necessária relevância na integração de setores e diminuindo falhas nas estratégias de gestão e governança.</w:t>
      </w:r>
    </w:p>
    <w:p w14:paraId="22887A7E">
      <w:r>
        <w:t>Ao apontar informações sobre países de publicação e relevância pela busca e citações em outras pesquisas em termos quantitativos, tem-se um panorama global que reforça a teoria apresentada acima. Tais análises indicam ainda que, por ser ainda embrionária, a temática apresenta diversas lacunas e possibilidades de intervenção científica e delineamento de objetos de pesquisa, considerando o contexto dos ODS e a urgência em discutir academicamente elementos que orientem e/ou auxiliem pesquisas em aspecto multidimensional, que apontem soluções para a sustentabilidade do planeta.</w:t>
      </w:r>
    </w:p>
    <w:p w14:paraId="68D0061E">
      <w:r>
        <w:t>Infere-se ainda que os recortes feitos na busca de dados, se ampliados podem fornecer informações outras que porventura não foram contempladas neste trabalho. Os dados podem ser direcionados, por exemplo, para outras línguas que não a inglesa, por análise de periódicos ou ainda em contextos específicos de análise dos ODS, itens não contemplados neste estudo. Contudo, fica explícita a relevância e interesse tanto pela Abordagem Nexus quanto na interação com os elementos dos ODS.</w:t>
      </w:r>
    </w:p>
    <w:p w14:paraId="45D3FDF8">
      <w:r>
        <w:t>Nesses termos, assume-se aqui que há limitações no estudo quanto à escolha pelo refinamento na busca de dados, sem, contudo, comprometer o nível de informações desejado, cabendo espaço para o desenvolvimento futuro de outros estudos. Dentre as lacunas a serem preenchidas com outros estudos está a análise quanto aos métodos, técnicas e ferramentas utilizadas na abordagem de Nexus, relacionados aos estudos levantados. Registra-se que é de suma importância tal abordagem em estudo futuros.</w:t>
      </w:r>
    </w:p>
    <w:p w14:paraId="0A66350E">
      <w:pPr>
        <w:pStyle w:val="2"/>
        <w:jc w:val="center"/>
      </w:pPr>
      <w:r>
        <w:t>REFERÊNCIA</w:t>
      </w:r>
    </w:p>
    <w:p w14:paraId="0B4799BF">
      <w:pPr>
        <w:ind w:firstLine="0"/>
        <w:rPr>
          <w:rFonts w:eastAsia="Arial" w:cs="Arial"/>
          <w:szCs w:val="24"/>
          <w:lang w:val="en-US" w:eastAsia="zh-TW"/>
        </w:rPr>
      </w:pPr>
      <w:r>
        <w:rPr>
          <w:rFonts w:eastAsia="Arial" w:cs="Arial"/>
          <w:szCs w:val="24"/>
          <w:lang w:val="en-US" w:eastAsia="zh-TW"/>
        </w:rPr>
        <w:t xml:space="preserve">AHMADI, ESMAEIL ET AL. </w:t>
      </w:r>
      <w:r>
        <w:rPr>
          <w:rFonts w:eastAsia="Arial" w:cs="Arial"/>
          <w:b/>
          <w:szCs w:val="24"/>
          <w:lang w:val="en-US" w:eastAsia="zh-TW"/>
        </w:rPr>
        <w:t xml:space="preserve">The Economic Synergies of Modelling the Renewable Energy-Water </w:t>
      </w:r>
      <w:r>
        <w:rPr>
          <w:rFonts w:eastAsia="Arial" w:cs="Arial"/>
          <w:b/>
          <w:i/>
          <w:szCs w:val="24"/>
          <w:lang w:val="en-US" w:eastAsia="zh-TW"/>
        </w:rPr>
        <w:t>Nexus</w:t>
      </w:r>
      <w:r>
        <w:rPr>
          <w:rFonts w:eastAsia="Arial" w:cs="Arial"/>
          <w:b/>
          <w:szCs w:val="24"/>
          <w:lang w:val="en-US" w:eastAsia="zh-TW"/>
        </w:rPr>
        <w:t xml:space="preserve"> towards Sustainability. </w:t>
      </w:r>
      <w:r>
        <w:rPr>
          <w:rFonts w:eastAsia="Arial" w:cs="Arial"/>
          <w:szCs w:val="24"/>
          <w:lang w:val="en-US" w:eastAsia="zh-TW"/>
        </w:rPr>
        <w:t xml:space="preserve">Renewable Energy 162 (2020): 1347–1366. </w:t>
      </w:r>
    </w:p>
    <w:p w14:paraId="54E1DBF3">
      <w:pPr>
        <w:ind w:firstLine="0"/>
        <w:rPr>
          <w:rFonts w:eastAsia="Arial" w:cs="Arial"/>
          <w:szCs w:val="24"/>
          <w:lang w:eastAsia="zh-TW"/>
        </w:rPr>
      </w:pPr>
      <w:r>
        <w:rPr>
          <w:rFonts w:eastAsia="Arial" w:cs="Arial"/>
          <w:szCs w:val="24"/>
          <w:lang w:val="en-US" w:eastAsia="zh-TW"/>
        </w:rPr>
        <w:t xml:space="preserve">AL-SAIDI, M.; ELAGI, N.A. </w:t>
      </w:r>
      <w:r>
        <w:rPr>
          <w:rFonts w:eastAsia="Arial" w:cs="Arial"/>
          <w:b/>
          <w:szCs w:val="24"/>
          <w:lang w:val="en-US" w:eastAsia="zh-TW"/>
        </w:rPr>
        <w:t xml:space="preserve">Towards understanding the integrative approach of the water, energy and food </w:t>
      </w:r>
      <w:r>
        <w:rPr>
          <w:rFonts w:eastAsia="Arial" w:cs="Arial"/>
          <w:b/>
          <w:i/>
          <w:szCs w:val="24"/>
          <w:lang w:val="en-US" w:eastAsia="zh-TW"/>
        </w:rPr>
        <w:t>Nexus</w:t>
      </w:r>
      <w:r>
        <w:rPr>
          <w:rFonts w:eastAsia="Arial" w:cs="Arial"/>
          <w:b/>
          <w:szCs w:val="24"/>
          <w:lang w:val="en-US" w:eastAsia="zh-TW"/>
        </w:rPr>
        <w:t>.</w:t>
      </w:r>
      <w:r>
        <w:rPr>
          <w:rFonts w:eastAsia="Arial" w:cs="Arial"/>
          <w:szCs w:val="24"/>
          <w:lang w:val="en-US" w:eastAsia="zh-TW"/>
        </w:rPr>
        <w:t xml:space="preserve"> </w:t>
      </w:r>
      <w:r>
        <w:rPr>
          <w:rFonts w:eastAsia="Arial" w:cs="Arial"/>
          <w:szCs w:val="24"/>
          <w:lang w:eastAsia="zh-TW"/>
        </w:rPr>
        <w:t>Science of the Total Environment, 574:1131–1139, 2017. Disponível em: &lt;</w:t>
      </w:r>
      <w:r>
        <w:fldChar w:fldCharType="begin"/>
      </w:r>
      <w:r>
        <w:instrText xml:space="preserve"> HYPERLINK "https://doi.org/10.1016/j.scitotenv.2016.09.046" </w:instrText>
      </w:r>
      <w:r>
        <w:fldChar w:fldCharType="separate"/>
      </w:r>
      <w:r>
        <w:rPr>
          <w:rStyle w:val="6"/>
          <w:rFonts w:eastAsia="Calibri" w:cs="Calibri"/>
          <w:szCs w:val="24"/>
          <w:lang w:eastAsia="zh-TW"/>
        </w:rPr>
        <w:t>https://doi.org/10.1016/j.scitotenv.2016.09.046</w:t>
      </w:r>
      <w:r>
        <w:rPr>
          <w:rStyle w:val="6"/>
          <w:rFonts w:eastAsia="Calibri" w:cs="Calibri"/>
          <w:szCs w:val="24"/>
          <w:lang w:eastAsia="zh-TW"/>
        </w:rPr>
        <w:fldChar w:fldCharType="end"/>
      </w:r>
      <w:r>
        <w:rPr>
          <w:rFonts w:eastAsia="Calibri" w:cs="Calibri"/>
          <w:szCs w:val="24"/>
          <w:lang w:eastAsia="zh-TW"/>
        </w:rPr>
        <w:t>&gt;</w:t>
      </w:r>
      <w:r>
        <w:rPr>
          <w:rFonts w:eastAsia="Arial" w:cs="Arial"/>
          <w:szCs w:val="24"/>
          <w:lang w:eastAsia="zh-TW"/>
        </w:rPr>
        <w:t>. Acesso em 15 janeiro /2023.</w:t>
      </w:r>
    </w:p>
    <w:p w14:paraId="77BFCF84">
      <w:pPr>
        <w:ind w:firstLine="0"/>
        <w:rPr>
          <w:rFonts w:eastAsia="Arial" w:cs="Arial"/>
          <w:szCs w:val="24"/>
          <w:lang w:val="en-US" w:eastAsia="zh-TW"/>
        </w:rPr>
      </w:pPr>
      <w:r>
        <w:rPr>
          <w:rFonts w:eastAsia="Arial" w:cs="Arial"/>
          <w:szCs w:val="24"/>
          <w:lang w:eastAsia="zh-TW"/>
        </w:rPr>
        <w:t xml:space="preserve">Batista, C. S. M. Júnior, P. A. F.  Souza, D. B. </w:t>
      </w:r>
      <w:r>
        <w:rPr>
          <w:rFonts w:eastAsia="Arial" w:cs="Arial"/>
          <w:b/>
          <w:i/>
          <w:szCs w:val="24"/>
          <w:lang w:eastAsia="zh-TW"/>
        </w:rPr>
        <w:t>Nexus</w:t>
      </w:r>
      <w:r>
        <w:rPr>
          <w:rFonts w:eastAsia="Arial" w:cs="Arial"/>
          <w:b/>
          <w:szCs w:val="24"/>
          <w:lang w:eastAsia="zh-TW"/>
        </w:rPr>
        <w:t xml:space="preserve"> água, alimento, energia (AAE) sob a perspectiva do trilema da sustentabilidade: uma revisão sistemática da literatura baseada no método Rother</w:t>
      </w:r>
      <w:r>
        <w:rPr>
          <w:rFonts w:eastAsia="Arial" w:cs="Arial"/>
          <w:szCs w:val="24"/>
          <w:lang w:eastAsia="zh-TW"/>
        </w:rPr>
        <w:t>. Revista de Administração e Negócios da Amazônia, V.13, n.4, especial, 2021. Disponível em: &lt;</w:t>
      </w:r>
      <w:r>
        <w:fldChar w:fldCharType="begin"/>
      </w:r>
      <w:r>
        <w:instrText xml:space="preserve"> HYPERLINK "https://periodicos.unir.br/index.php/rara/article/view/6756" \h </w:instrText>
      </w:r>
      <w:r>
        <w:fldChar w:fldCharType="separate"/>
      </w:r>
      <w:r>
        <w:rPr>
          <w:rFonts w:eastAsia="Calibri" w:cs="Calibri"/>
          <w:szCs w:val="24"/>
          <w:lang w:eastAsia="zh-TW"/>
        </w:rPr>
        <w:t>https://periodicos.unir.br/index.php/rara/article/view/6756</w:t>
      </w:r>
      <w:r>
        <w:rPr>
          <w:rFonts w:eastAsia="Calibri" w:cs="Calibri"/>
          <w:szCs w:val="24"/>
          <w:lang w:eastAsia="zh-TW"/>
        </w:rPr>
        <w:fldChar w:fldCharType="end"/>
      </w:r>
      <w:r>
        <w:rPr>
          <w:rFonts w:eastAsia="Calibri" w:cs="Calibri"/>
          <w:szCs w:val="24"/>
          <w:lang w:eastAsia="zh-TW"/>
        </w:rPr>
        <w:t>&gt;</w:t>
      </w:r>
      <w:r>
        <w:rPr>
          <w:rFonts w:eastAsia="Arial" w:cs="Arial"/>
          <w:szCs w:val="24"/>
          <w:lang w:eastAsia="zh-TW"/>
        </w:rPr>
        <w:t xml:space="preserve">. </w:t>
      </w:r>
      <w:r>
        <w:rPr>
          <w:rFonts w:eastAsia="Arial" w:cs="Arial"/>
          <w:szCs w:val="24"/>
          <w:lang w:val="en-US" w:eastAsia="zh-TW"/>
        </w:rPr>
        <w:t>Acesso em: 22 janeiro/2023.</w:t>
      </w:r>
    </w:p>
    <w:p w14:paraId="1488FDC8">
      <w:pPr>
        <w:ind w:firstLine="0"/>
        <w:rPr>
          <w:rFonts w:eastAsia="Arial" w:cs="Arial"/>
          <w:szCs w:val="24"/>
          <w:lang w:eastAsia="zh-TW"/>
        </w:rPr>
      </w:pPr>
      <w:r>
        <w:rPr>
          <w:rFonts w:eastAsia="Arial" w:cs="Arial"/>
          <w:szCs w:val="24"/>
          <w:lang w:val="en-US" w:eastAsia="zh-TW"/>
        </w:rPr>
        <w:t xml:space="preserve">Biggs, E. M., Bruce, E., Boruff, B., Duncan, J. M., Horsley, J., Pauli, N., &amp; Imanari, Y. </w:t>
      </w:r>
      <w:r>
        <w:rPr>
          <w:rFonts w:eastAsia="Arial" w:cs="Arial"/>
          <w:b/>
          <w:szCs w:val="24"/>
          <w:lang w:val="en-US" w:eastAsia="zh-TW"/>
        </w:rPr>
        <w:t xml:space="preserve">Sustainable development and the water–energy–food </w:t>
      </w:r>
      <w:r>
        <w:rPr>
          <w:rFonts w:eastAsia="Arial" w:cs="Arial"/>
          <w:b/>
          <w:i/>
          <w:szCs w:val="24"/>
          <w:lang w:val="en-US" w:eastAsia="zh-TW"/>
        </w:rPr>
        <w:t>Nexus</w:t>
      </w:r>
      <w:r>
        <w:rPr>
          <w:rFonts w:eastAsia="Arial" w:cs="Arial"/>
          <w:b/>
          <w:szCs w:val="24"/>
          <w:lang w:val="en-US" w:eastAsia="zh-TW"/>
        </w:rPr>
        <w:t>: A perspective on livelihoods</w:t>
      </w:r>
      <w:r>
        <w:rPr>
          <w:rFonts w:eastAsia="Arial" w:cs="Arial"/>
          <w:szCs w:val="24"/>
          <w:lang w:val="en-US" w:eastAsia="zh-TW"/>
        </w:rPr>
        <w:t>. </w:t>
      </w:r>
      <w:r>
        <w:rPr>
          <w:rFonts w:eastAsia="Arial" w:cs="Arial"/>
          <w:szCs w:val="24"/>
          <w:lang w:eastAsia="zh-TW"/>
        </w:rPr>
        <w:t xml:space="preserve">Environmental Science &amp; Policy, 54, 2015. Disponível em:&lt; </w:t>
      </w:r>
      <w:r>
        <w:fldChar w:fldCharType="begin"/>
      </w:r>
      <w:r>
        <w:instrText xml:space="preserve"> HYPERLINK "https://www.sciencedirect.com/science/article/pii/S1462901115300563" \h </w:instrText>
      </w:r>
      <w:r>
        <w:fldChar w:fldCharType="separate"/>
      </w:r>
      <w:r>
        <w:rPr>
          <w:rFonts w:eastAsia="Calibri" w:cs="Calibri"/>
          <w:szCs w:val="24"/>
          <w:lang w:eastAsia="zh-TW"/>
        </w:rPr>
        <w:t>https://www.sciencedirect.com/science/article/pii/S1462901</w:t>
      </w:r>
      <w:r>
        <w:rPr>
          <w:rFonts w:eastAsia="Calibri" w:cs="Calibri"/>
          <w:szCs w:val="24"/>
          <w:lang w:eastAsia="zh-TW"/>
        </w:rPr>
        <w:fldChar w:fldCharType="end"/>
      </w:r>
      <w:r>
        <w:rPr>
          <w:rFonts w:eastAsia="Calibri" w:cs="Calibri"/>
          <w:szCs w:val="24"/>
          <w:lang w:eastAsia="zh-TW"/>
        </w:rPr>
        <w:t>&gt;</w:t>
      </w:r>
      <w:r>
        <w:rPr>
          <w:rFonts w:eastAsia="Arial" w:cs="Arial"/>
          <w:szCs w:val="24"/>
          <w:lang w:eastAsia="zh-TW"/>
        </w:rPr>
        <w:t>. Acesso em: 22 janeiro/2023.</w:t>
      </w:r>
    </w:p>
    <w:p w14:paraId="667C9AD3">
      <w:pPr>
        <w:ind w:firstLine="0"/>
        <w:rPr>
          <w:rFonts w:eastAsia="Arial" w:cs="Arial"/>
          <w:szCs w:val="24"/>
          <w:lang w:eastAsia="zh-TW"/>
        </w:rPr>
      </w:pPr>
      <w:r>
        <w:rPr>
          <w:rFonts w:eastAsia="Arial" w:cs="Arial"/>
          <w:szCs w:val="24"/>
          <w:lang w:eastAsia="zh-TW"/>
        </w:rPr>
        <w:t xml:space="preserve">Galvão TF, Pereira MG. </w:t>
      </w:r>
      <w:r>
        <w:rPr>
          <w:rFonts w:eastAsia="Arial" w:cs="Arial"/>
          <w:b/>
          <w:szCs w:val="24"/>
          <w:lang w:eastAsia="zh-TW"/>
        </w:rPr>
        <w:t>Revisões sistemáticas da literatura: passos para sua elaboração.</w:t>
      </w:r>
      <w:r>
        <w:rPr>
          <w:rFonts w:eastAsia="Arial" w:cs="Arial"/>
          <w:szCs w:val="24"/>
          <w:lang w:eastAsia="zh-TW"/>
        </w:rPr>
        <w:t xml:space="preserve"> Revista Epidemiol Serv Saúde. 2014 jan-mar; 23(1):183-4. Disponível em:&lt; </w:t>
      </w:r>
      <w:r>
        <w:fldChar w:fldCharType="begin"/>
      </w:r>
      <w:r>
        <w:instrText xml:space="preserve"> HYPERLINK "http://scielo.iec.gov.br/pdf/ess/v23n3/v23n3a21.pdf" \h </w:instrText>
      </w:r>
      <w:r>
        <w:fldChar w:fldCharType="separate"/>
      </w:r>
      <w:r>
        <w:rPr>
          <w:rFonts w:eastAsia="Arial" w:cs="Arial"/>
          <w:szCs w:val="24"/>
          <w:lang w:eastAsia="zh-TW"/>
        </w:rPr>
        <w:t>http://scielo.iec.gov.br/pdf/ess/v23n3/v23n3a21.pdf</w:t>
      </w:r>
      <w:r>
        <w:rPr>
          <w:rFonts w:eastAsia="Arial" w:cs="Arial"/>
          <w:szCs w:val="24"/>
          <w:lang w:eastAsia="zh-TW"/>
        </w:rPr>
        <w:fldChar w:fldCharType="end"/>
      </w:r>
      <w:r>
        <w:rPr>
          <w:rFonts w:eastAsia="Arial" w:cs="Arial"/>
          <w:szCs w:val="24"/>
          <w:lang w:eastAsia="zh-TW"/>
        </w:rPr>
        <w:t>&gt;. Acesso em Acesso em 19 de novembro/2022.</w:t>
      </w:r>
    </w:p>
    <w:p w14:paraId="554C8132">
      <w:pPr>
        <w:ind w:firstLine="0"/>
        <w:rPr>
          <w:rFonts w:eastAsia="Arial" w:cs="Arial"/>
          <w:szCs w:val="24"/>
          <w:lang w:eastAsia="zh-TW"/>
        </w:rPr>
      </w:pPr>
      <w:r>
        <w:rPr>
          <w:rFonts w:eastAsia="Arial" w:cs="Arial"/>
          <w:szCs w:val="24"/>
          <w:lang w:val="en-US" w:eastAsia="zh-TW"/>
        </w:rPr>
        <w:t>Liu J. H. Yang, C. Cudennec, A.K. Gain, H. Hoff, R. Lawford, J. Qi, L. de Strasser, P.T. Yillia &amp; C. Zheng</w:t>
      </w:r>
      <w:r>
        <w:rPr>
          <w:rFonts w:eastAsia="Arial" w:cs="Arial"/>
          <w:b/>
          <w:szCs w:val="24"/>
          <w:lang w:val="en-US" w:eastAsia="zh-TW"/>
        </w:rPr>
        <w:t xml:space="preserve"> Challenges in operationalizing the water–energy–food </w:t>
      </w:r>
      <w:r>
        <w:rPr>
          <w:rFonts w:eastAsia="Arial" w:cs="Arial"/>
          <w:b/>
          <w:i/>
          <w:szCs w:val="24"/>
          <w:lang w:val="en-US" w:eastAsia="zh-TW"/>
        </w:rPr>
        <w:t>Nexus</w:t>
      </w:r>
      <w:r>
        <w:rPr>
          <w:rFonts w:eastAsia="Arial" w:cs="Arial"/>
          <w:b/>
          <w:szCs w:val="24"/>
          <w:lang w:val="en-US" w:eastAsia="zh-TW"/>
        </w:rPr>
        <w:t>, Hydrological</w:t>
      </w:r>
      <w:r>
        <w:rPr>
          <w:rFonts w:eastAsia="Arial" w:cs="Arial"/>
          <w:szCs w:val="24"/>
          <w:lang w:val="en-US" w:eastAsia="zh-TW"/>
        </w:rPr>
        <w:t xml:space="preserve"> Sciences Journal, 62:11, 1714-1720, DOI: 10.1080/02626667.2017.1353695. </w:t>
      </w:r>
      <w:r>
        <w:rPr>
          <w:rFonts w:eastAsia="Arial" w:cs="Arial"/>
          <w:szCs w:val="24"/>
          <w:lang w:eastAsia="zh-TW"/>
        </w:rPr>
        <w:t xml:space="preserve">2020. </w:t>
      </w:r>
    </w:p>
    <w:p w14:paraId="73052E42">
      <w:pPr>
        <w:ind w:firstLine="0"/>
        <w:rPr>
          <w:rFonts w:eastAsia="Arial" w:cs="Arial"/>
          <w:szCs w:val="24"/>
          <w:lang w:eastAsia="zh-TW"/>
        </w:rPr>
      </w:pPr>
      <w:r>
        <w:rPr>
          <w:rFonts w:eastAsia="Arial" w:cs="Arial"/>
          <w:szCs w:val="24"/>
          <w:lang w:val="en-US" w:eastAsia="zh-TW"/>
        </w:rPr>
        <w:t xml:space="preserve">Liu, J. Hull, H. Godfray, C.V. Tilman, D. Gleick, P. Hoff, H. Pahl-Wostl, C. Xu, Z. Chung, G. Jing, S. Li, S. </w:t>
      </w:r>
      <w:r>
        <w:rPr>
          <w:rFonts w:eastAsia="Arial" w:cs="Arial"/>
          <w:b/>
          <w:i/>
          <w:szCs w:val="24"/>
          <w:lang w:val="en-US" w:eastAsia="zh-TW"/>
        </w:rPr>
        <w:t>Nexus</w:t>
      </w:r>
      <w:r>
        <w:rPr>
          <w:rFonts w:eastAsia="Arial" w:cs="Arial"/>
          <w:b/>
          <w:szCs w:val="24"/>
          <w:lang w:val="en-US" w:eastAsia="zh-TW"/>
        </w:rPr>
        <w:t xml:space="preserve"> Approaches to Global Sustainable Development. </w:t>
      </w:r>
      <w:r>
        <w:rPr>
          <w:rFonts w:eastAsia="Arial" w:cs="Arial"/>
          <w:b/>
          <w:szCs w:val="24"/>
          <w:lang w:eastAsia="zh-TW"/>
        </w:rPr>
        <w:t>Nature Sustainability.</w:t>
      </w:r>
      <w:r>
        <w:rPr>
          <w:rFonts w:eastAsia="Arial" w:cs="Arial"/>
          <w:szCs w:val="24"/>
          <w:lang w:eastAsia="zh-TW"/>
        </w:rPr>
        <w:t xml:space="preserve"> 2018. Disponível em :&lt;</w:t>
      </w:r>
      <w:r>
        <w:fldChar w:fldCharType="begin"/>
      </w:r>
      <w:r>
        <w:instrText xml:space="preserve"> HYPERLINK "https://www.nature.com/articles/s41893-018-0135-8" </w:instrText>
      </w:r>
      <w:r>
        <w:fldChar w:fldCharType="separate"/>
      </w:r>
      <w:r>
        <w:rPr>
          <w:rStyle w:val="6"/>
          <w:rFonts w:eastAsia="Calibri" w:cs="Calibri"/>
          <w:szCs w:val="24"/>
          <w:lang w:eastAsia="zh-TW"/>
        </w:rPr>
        <w:t>https://www.nature.com/articles/s41893-018-0135-8</w:t>
      </w:r>
      <w:r>
        <w:rPr>
          <w:rStyle w:val="6"/>
          <w:rFonts w:eastAsia="Calibri" w:cs="Calibri"/>
          <w:szCs w:val="24"/>
          <w:lang w:eastAsia="zh-TW"/>
        </w:rPr>
        <w:fldChar w:fldCharType="end"/>
      </w:r>
      <w:r>
        <w:rPr>
          <w:rFonts w:eastAsia="Calibri" w:cs="Calibri"/>
          <w:szCs w:val="24"/>
          <w:lang w:eastAsia="zh-TW"/>
        </w:rPr>
        <w:t>&gt;</w:t>
      </w:r>
      <w:r>
        <w:rPr>
          <w:rFonts w:eastAsia="Arial" w:cs="Arial"/>
          <w:szCs w:val="24"/>
          <w:lang w:eastAsia="zh-TW"/>
        </w:rPr>
        <w:t>. Acesso em: 23 novembro/2022.</w:t>
      </w:r>
    </w:p>
    <w:p w14:paraId="28CC84AD">
      <w:pPr>
        <w:ind w:firstLine="0"/>
        <w:rPr>
          <w:rFonts w:eastAsia="Arial" w:cs="Arial"/>
          <w:szCs w:val="24"/>
          <w:lang w:eastAsia="zh-TW"/>
        </w:rPr>
      </w:pPr>
      <w:r>
        <w:rPr>
          <w:rFonts w:eastAsia="Arial" w:cs="Arial"/>
          <w:szCs w:val="24"/>
          <w:lang w:eastAsia="zh-TW"/>
        </w:rPr>
        <w:t xml:space="preserve">NAÇÕES UNIDAS. 2016. </w:t>
      </w:r>
      <w:r>
        <w:rPr>
          <w:rFonts w:eastAsia="Arial" w:cs="Arial"/>
          <w:b/>
          <w:szCs w:val="24"/>
          <w:lang w:eastAsia="zh-TW"/>
        </w:rPr>
        <w:t>A agenda do desenvolvimento sustentável</w:t>
      </w:r>
      <w:r>
        <w:rPr>
          <w:rFonts w:eastAsia="Arial" w:cs="Arial"/>
          <w:szCs w:val="24"/>
          <w:lang w:eastAsia="zh-TW"/>
        </w:rPr>
        <w:t>. Disponível em:&lt; http://www.un.org/sustainabledevelopment/development-agenda/&gt;. Acesso em 22 dez. 2022.</w:t>
      </w:r>
    </w:p>
    <w:p w14:paraId="490AAD80">
      <w:pPr>
        <w:ind w:firstLine="0"/>
        <w:rPr>
          <w:rFonts w:eastAsia="Arial" w:cs="Arial"/>
          <w:color w:val="000000"/>
          <w:szCs w:val="24"/>
          <w:lang w:eastAsia="zh-TW"/>
        </w:rPr>
      </w:pPr>
      <w:r>
        <w:rPr>
          <w:rFonts w:eastAsia="Arial" w:cs="Arial"/>
          <w:color w:val="000000"/>
          <w:szCs w:val="24"/>
          <w:lang w:eastAsia="zh-TW"/>
        </w:rPr>
        <w:t xml:space="preserve">Pereira M.G, Galvão T.F. </w:t>
      </w:r>
      <w:r>
        <w:rPr>
          <w:rFonts w:eastAsia="Arial" w:cs="Arial"/>
          <w:b/>
          <w:color w:val="000000"/>
          <w:szCs w:val="24"/>
          <w:lang w:eastAsia="zh-TW"/>
        </w:rPr>
        <w:t>Etapas de busca e seleção de artigos em revisões sistemáticas da literatura</w:t>
      </w:r>
      <w:r>
        <w:rPr>
          <w:rFonts w:eastAsia="Arial" w:cs="Arial"/>
          <w:color w:val="000000"/>
          <w:szCs w:val="24"/>
          <w:lang w:eastAsia="zh-TW"/>
        </w:rPr>
        <w:t xml:space="preserve">. Revista Epidemiol Serv Saúde. 2014 abr-jun; 23(2):369-71. Disponível em:&lt; </w:t>
      </w:r>
      <w:r>
        <w:fldChar w:fldCharType="begin"/>
      </w:r>
      <w:r>
        <w:instrText xml:space="preserve"> HYPERLINK "http://scielo.iec.gov.br/pdf/ess/v23n3/v23n3a21%3e." </w:instrText>
      </w:r>
      <w:r>
        <w:fldChar w:fldCharType="separate"/>
      </w:r>
      <w:r>
        <w:rPr>
          <w:rStyle w:val="6"/>
          <w:rFonts w:eastAsia="Arial" w:cs="Arial"/>
          <w:szCs w:val="24"/>
          <w:lang w:eastAsia="zh-TW"/>
        </w:rPr>
        <w:t>http://scielo.iec.gov.br/pdf/ess/v23n3/v23n3a21&gt;.</w:t>
      </w:r>
      <w:r>
        <w:rPr>
          <w:rStyle w:val="6"/>
          <w:rFonts w:eastAsia="Arial" w:cs="Arial"/>
          <w:szCs w:val="24"/>
          <w:lang w:eastAsia="zh-TW"/>
        </w:rPr>
        <w:fldChar w:fldCharType="end"/>
      </w:r>
      <w:r>
        <w:rPr>
          <w:rFonts w:eastAsia="Arial" w:cs="Arial"/>
          <w:color w:val="000000"/>
          <w:szCs w:val="24"/>
          <w:lang w:eastAsia="zh-TW"/>
        </w:rPr>
        <w:t xml:space="preserve">  Acesso em 19 de novembro/2022.</w:t>
      </w:r>
    </w:p>
    <w:p w14:paraId="39AEDA5F">
      <w:pPr>
        <w:ind w:firstLine="0"/>
        <w:rPr>
          <w:rFonts w:eastAsia="Arial" w:cs="Arial"/>
          <w:szCs w:val="24"/>
          <w:lang w:eastAsia="zh-TW"/>
        </w:rPr>
      </w:pPr>
      <w:r>
        <w:rPr>
          <w:rFonts w:eastAsia="Arial" w:cs="Arial"/>
          <w:szCs w:val="24"/>
          <w:lang w:eastAsia="zh-TW"/>
        </w:rPr>
        <w:t xml:space="preserve">Ramos, Eunice Pereira et al. </w:t>
      </w:r>
      <w:r>
        <w:rPr>
          <w:rFonts w:eastAsia="Arial" w:cs="Arial"/>
          <w:b/>
          <w:szCs w:val="24"/>
          <w:lang w:val="en-US" w:eastAsia="zh-TW"/>
        </w:rPr>
        <w:t>“Climate, Land, Energy and Water Systems Interactions – From Key Concepts to Model Implementation with OSeMOSYS</w:t>
      </w:r>
      <w:r>
        <w:rPr>
          <w:rFonts w:eastAsia="Arial" w:cs="Arial"/>
          <w:szCs w:val="24"/>
          <w:lang w:val="en-US" w:eastAsia="zh-TW"/>
        </w:rPr>
        <w:t>.” </w:t>
      </w:r>
      <w:r>
        <w:rPr>
          <w:rFonts w:eastAsia="Arial" w:cs="Arial"/>
          <w:szCs w:val="24"/>
          <w:lang w:eastAsia="zh-TW"/>
        </w:rPr>
        <w:t>Environmental science &amp; policy 136 696–716. 2022.</w:t>
      </w:r>
    </w:p>
    <w:p w14:paraId="03FC444F">
      <w:pPr>
        <w:ind w:firstLine="0"/>
        <w:rPr>
          <w:rFonts w:eastAsia="Arial" w:cs="Arial"/>
          <w:szCs w:val="24"/>
          <w:lang w:val="en-US" w:eastAsia="zh-TW"/>
        </w:rPr>
      </w:pPr>
      <w:r>
        <w:rPr>
          <w:rFonts w:eastAsia="Arial" w:cs="Arial"/>
          <w:szCs w:val="24"/>
          <w:lang w:val="fr-FR" w:eastAsia="zh-TW"/>
        </w:rPr>
        <w:t xml:space="preserve">TORRES, C. J. F. et al. </w:t>
      </w:r>
      <w:r>
        <w:rPr>
          <w:rFonts w:eastAsia="Arial" w:cs="Arial"/>
          <w:b/>
          <w:szCs w:val="24"/>
          <w:lang w:eastAsia="zh-TW"/>
        </w:rPr>
        <w:t xml:space="preserve">Bases Metodológicas para a Inserção do Conceito </w:t>
      </w:r>
      <w:r>
        <w:rPr>
          <w:rFonts w:eastAsia="Arial" w:cs="Arial"/>
          <w:b/>
          <w:i/>
          <w:szCs w:val="24"/>
          <w:lang w:eastAsia="zh-TW"/>
        </w:rPr>
        <w:t>Nexus</w:t>
      </w:r>
      <w:r>
        <w:rPr>
          <w:rFonts w:eastAsia="Arial" w:cs="Arial"/>
          <w:b/>
          <w:szCs w:val="24"/>
          <w:lang w:eastAsia="zh-TW"/>
        </w:rPr>
        <w:t xml:space="preserve"> Água – Energia – Agricultura em modelos Intersetoriais de Planejamento e Gestão (Tese de doutorado)</w:t>
      </w:r>
      <w:r>
        <w:rPr>
          <w:rFonts w:eastAsia="Arial" w:cs="Arial"/>
          <w:szCs w:val="24"/>
          <w:lang w:eastAsia="zh-TW"/>
        </w:rPr>
        <w:t xml:space="preserve">. </w:t>
      </w:r>
      <w:r>
        <w:rPr>
          <w:rFonts w:eastAsia="Arial" w:cs="Arial"/>
          <w:szCs w:val="24"/>
          <w:lang w:val="en-US" w:eastAsia="zh-TW"/>
        </w:rPr>
        <w:t>Universiade Federal da Bahia. Salvador, 2020. 289 p.</w:t>
      </w:r>
    </w:p>
    <w:p w14:paraId="7FD53D59">
      <w:pPr>
        <w:ind w:firstLine="0"/>
        <w:rPr>
          <w:rFonts w:eastAsia="Arial" w:cs="Arial"/>
          <w:szCs w:val="24"/>
          <w:lang w:val="en-US" w:eastAsia="zh-TW"/>
        </w:rPr>
      </w:pPr>
      <w:r>
        <w:rPr>
          <w:rFonts w:eastAsia="Arial" w:cs="Arial"/>
          <w:szCs w:val="24"/>
          <w:lang w:val="es-ES" w:eastAsia="zh-TW"/>
        </w:rPr>
        <w:t xml:space="preserve">Van Zanten, Anton Jan, Tulder. Rob van. </w:t>
      </w:r>
      <w:r>
        <w:rPr>
          <w:rFonts w:eastAsia="Arial" w:cs="Arial"/>
          <w:b/>
          <w:szCs w:val="24"/>
          <w:lang w:val="en-US" w:eastAsia="zh-TW"/>
        </w:rPr>
        <w:t xml:space="preserve">“Towards </w:t>
      </w:r>
      <w:r>
        <w:rPr>
          <w:rFonts w:eastAsia="Arial" w:cs="Arial"/>
          <w:b/>
          <w:i/>
          <w:szCs w:val="24"/>
          <w:lang w:val="en-US" w:eastAsia="zh-TW"/>
        </w:rPr>
        <w:t>Nexus</w:t>
      </w:r>
      <w:r>
        <w:rPr>
          <w:rFonts w:eastAsia="Arial" w:cs="Arial"/>
          <w:b/>
          <w:szCs w:val="24"/>
          <w:lang w:val="en-US" w:eastAsia="zh-TW"/>
        </w:rPr>
        <w:t>-Based Governance: Defining Interactions between Economic Activities and Sustainable Development Goals (SDGs)</w:t>
      </w:r>
      <w:r>
        <w:rPr>
          <w:rFonts w:eastAsia="Arial" w:cs="Arial"/>
          <w:szCs w:val="24"/>
          <w:lang w:val="en-US" w:eastAsia="zh-TW"/>
        </w:rPr>
        <w:t>.” International journal of sustainable development and world ecology 28.3 210–226. 2021.</w:t>
      </w:r>
    </w:p>
    <w:p w14:paraId="329F7771">
      <w:pPr>
        <w:ind w:firstLine="0"/>
        <w:rPr>
          <w:rFonts w:eastAsia="Arial" w:cs="Arial"/>
          <w:szCs w:val="24"/>
          <w:lang w:eastAsia="zh-TW"/>
        </w:rPr>
      </w:pPr>
      <w:r>
        <w:rPr>
          <w:rFonts w:eastAsia="Arial" w:cs="Arial"/>
          <w:szCs w:val="24"/>
          <w:lang w:val="en-US" w:eastAsia="zh-TW"/>
        </w:rPr>
        <w:t>Zanten, Jan Anton, Rob Tulder. “</w:t>
      </w:r>
      <w:r>
        <w:rPr>
          <w:rFonts w:eastAsia="Arial" w:cs="Arial"/>
          <w:b/>
          <w:szCs w:val="24"/>
          <w:lang w:val="en-US" w:eastAsia="zh-TW"/>
        </w:rPr>
        <w:t xml:space="preserve">Improving Companies' Impacts on Sustainable Development: A </w:t>
      </w:r>
      <w:r>
        <w:rPr>
          <w:rFonts w:eastAsia="Arial" w:cs="Arial"/>
          <w:b/>
          <w:i/>
          <w:szCs w:val="24"/>
          <w:lang w:val="en-US" w:eastAsia="zh-TW"/>
        </w:rPr>
        <w:t>Nexus</w:t>
      </w:r>
      <w:r>
        <w:rPr>
          <w:rFonts w:eastAsia="Arial" w:cs="Arial"/>
          <w:b/>
          <w:szCs w:val="24"/>
          <w:lang w:val="en-US" w:eastAsia="zh-TW"/>
        </w:rPr>
        <w:t xml:space="preserve"> Approach to the SDGS</w:t>
      </w:r>
      <w:r>
        <w:rPr>
          <w:rFonts w:eastAsia="Arial" w:cs="Arial"/>
          <w:szCs w:val="24"/>
          <w:lang w:val="en-US" w:eastAsia="zh-TW"/>
        </w:rPr>
        <w:t xml:space="preserve">.” </w:t>
      </w:r>
      <w:r>
        <w:rPr>
          <w:rFonts w:eastAsia="Arial" w:cs="Arial"/>
          <w:szCs w:val="24"/>
          <w:lang w:eastAsia="zh-TW"/>
        </w:rPr>
        <w:t>Business strategy and the environment 30.8 3703–3720. 2021</w:t>
      </w:r>
    </w:p>
    <w:sectPr>
      <w:headerReference r:id="rId4" w:type="default"/>
      <w:pgSz w:w="11906" w:h="16838"/>
      <w:pgMar w:top="1134" w:right="1134" w:bottom="1134" w:left="1134" w:header="0" w:footer="0" w:gutter="0"/>
      <w:cols w:space="720" w:num="1"/>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ndara">
    <w:panose1 w:val="020E0502030303020204"/>
    <w:charset w:val="00"/>
    <w:family w:val="swiss"/>
    <w:pitch w:val="default"/>
    <w:sig w:usb0="A00002EF" w:usb1="4000A44B"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Lohit Devanagari">
    <w:altName w:val="Cambria"/>
    <w:panose1 w:val="00000000000000000000"/>
    <w:charset w:val="00"/>
    <w:family w:val="roman"/>
    <w:pitch w:val="default"/>
    <w:sig w:usb0="00000000" w:usb1="00000000" w:usb2="00000000" w:usb3="00000000" w:csb0="00000000" w:csb1="00000000"/>
  </w:font>
  <w:font w:name="Liberation Sans">
    <w:altName w:val="Arial"/>
    <w:panose1 w:val="00000000000000000000"/>
    <w:charset w:val="01"/>
    <w:family w:val="swiss"/>
    <w:pitch w:val="default"/>
    <w:sig w:usb0="00000000" w:usb1="00000000" w:usb2="00000000" w:usb3="00000000" w:csb0="00000000" w:csb1="00000000"/>
  </w:font>
  <w:font w:name="Noto Sans CJK SC">
    <w:altName w:val="Segoe Print"/>
    <w:panose1 w:val="00000000000000000000"/>
    <w:charset w:val="00"/>
    <w:family w:val="roman"/>
    <w:pitch w:val="default"/>
    <w:sig w:usb0="00000000" w:usb1="00000000" w:usb2="00000000" w:usb3="00000000" w:csb0="00000000" w:csb1="00000000"/>
  </w:font>
  <w:font w:name="Mangal">
    <w:altName w:val="Segoe Print"/>
    <w:panose1 w:val="00000400000000000000"/>
    <w:charset w:val="00"/>
    <w:family w:val="roman"/>
    <w:pitch w:val="default"/>
    <w:sig w:usb0="00000000" w:usb1="00000000" w:usb2="00000000" w:usb3="00000000" w:csb0="00000001" w:csb1="00000000"/>
  </w:font>
  <w:font w:name="Segoe UI">
    <w:panose1 w:val="020B0502040204020203"/>
    <w:charset w:val="00"/>
    <w:family w:val="swiss"/>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before="0" w:after="0"/>
      </w:pPr>
      <w:r>
        <w:separator/>
      </w:r>
    </w:p>
  </w:footnote>
  <w:footnote w:type="continuationSeparator" w:id="7">
    <w:p>
      <w:pPr>
        <w:spacing w:before="0" w:after="0"/>
      </w:pPr>
      <w:r>
        <w:continuationSeparator/>
      </w:r>
    </w:p>
  </w:footnote>
  <w:footnote w:id="0">
    <w:p w14:paraId="156844C2">
      <w:pPr>
        <w:pStyle w:val="14"/>
        <w:spacing w:after="120"/>
        <w:ind w:firstLine="0"/>
      </w:pPr>
      <w:r>
        <w:rPr>
          <w:rStyle w:val="5"/>
        </w:rPr>
        <w:footnoteRef/>
      </w:r>
      <w:r>
        <w:t xml:space="preserve"> </w:t>
      </w:r>
      <w:r>
        <w:rPr>
          <w:rFonts w:eastAsia="Calibri" w:cs="Calibri"/>
          <w:color w:val="000000"/>
        </w:rPr>
        <w:t xml:space="preserve">Docente dos Programas de Pós-graduação em Desenvolvimento Regional e Modelagem Computacional de Sistemas / Universidade Federal do Tocantins (UFT). E-mail: </w:t>
      </w:r>
      <w:r>
        <w:fldChar w:fldCharType="begin"/>
      </w:r>
      <w:r>
        <w:instrText xml:space="preserve"> HYPERLINK "mailto:waldecy@uft.edu.br" </w:instrText>
      </w:r>
      <w:r>
        <w:fldChar w:fldCharType="separate"/>
      </w:r>
      <w:r>
        <w:rPr>
          <w:rStyle w:val="6"/>
          <w:rFonts w:eastAsia="Calibri" w:cs="Calibri"/>
        </w:rPr>
        <w:t>waldecy@uft.edu.br</w:t>
      </w:r>
      <w:r>
        <w:rPr>
          <w:rStyle w:val="6"/>
          <w:rFonts w:eastAsia="Calibri" w:cs="Calibri"/>
        </w:rPr>
        <w:fldChar w:fldCharType="end"/>
      </w:r>
      <w:r>
        <w:rPr>
          <w:rFonts w:eastAsia="Calibri" w:cs="Calibri"/>
          <w:color w:val="000000"/>
        </w:rPr>
        <w:t>,</w:t>
      </w:r>
      <w:r>
        <w:rPr>
          <w:rFonts w:eastAsia="Calibri" w:cs="Calibri"/>
          <w:i/>
          <w:iCs/>
          <w:color w:val="000000"/>
        </w:rPr>
        <w:t xml:space="preserve"> </w:t>
      </w:r>
      <w:r>
        <w:rPr>
          <w:rFonts w:eastAsia="Calibri" w:cs="Calibri"/>
          <w:color w:val="000000"/>
        </w:rPr>
        <w:t xml:space="preserve">Palmas-Tocantins, Brasil. </w:t>
      </w:r>
    </w:p>
  </w:footnote>
  <w:footnote w:id="1">
    <w:p w14:paraId="45B05DDC">
      <w:pPr>
        <w:ind w:left="0" w:leftChars="0" w:firstLine="0" w:firstLineChars="0"/>
        <w:rPr>
          <w:rFonts w:hint="default"/>
          <w:sz w:val="20"/>
          <w:szCs w:val="18"/>
          <w:lang w:val="pt-BR"/>
        </w:rPr>
      </w:pPr>
      <w:r>
        <w:footnoteRef/>
      </w:r>
      <w:r>
        <w:t xml:space="preserve"> </w:t>
      </w:r>
      <w:r>
        <w:rPr>
          <w:sz w:val="21"/>
          <w:szCs w:val="20"/>
        </w:rPr>
        <w:t>Mestre em Dinâmicas territoriais e sociedade</w:t>
      </w:r>
      <w:r>
        <w:rPr>
          <w:rFonts w:hint="default"/>
          <w:sz w:val="21"/>
          <w:szCs w:val="20"/>
          <w:lang w:val="pt-BR"/>
        </w:rPr>
        <w:t xml:space="preserve"> </w:t>
      </w:r>
      <w:r>
        <w:rPr>
          <w:sz w:val="21"/>
          <w:szCs w:val="20"/>
        </w:rPr>
        <w:t>Mestre em Dinâmicas territoriais e sociedade na Amazônia pela Universidade Federal do Sul e Sudeste do Pará - UNIFESSPA</w:t>
      </w:r>
      <w:r>
        <w:rPr>
          <w:rFonts w:hint="default"/>
          <w:sz w:val="21"/>
          <w:szCs w:val="20"/>
          <w:lang w:val="pt-BR"/>
        </w:rPr>
        <w:t xml:space="preserve">. </w:t>
      </w:r>
      <w:r>
        <w:rPr>
          <w:rFonts w:eastAsia="Calibri" w:cs="Calibri"/>
          <w:color w:val="000000"/>
          <w:sz w:val="22"/>
          <w:szCs w:val="21"/>
        </w:rPr>
        <w:t xml:space="preserve">E-mail: </w:t>
      </w:r>
      <w:r>
        <w:rPr>
          <w:rFonts w:hint="default" w:eastAsia="Calibri" w:cs="Calibri"/>
          <w:color w:val="000000"/>
          <w:sz w:val="22"/>
          <w:szCs w:val="21"/>
          <w:lang w:val="pt-BR"/>
        </w:rPr>
        <w:t xml:space="preserve">elizamar.pupio22@gmail.com. </w:t>
      </w:r>
    </w:p>
  </w:footnote>
  <w:footnote w:id="2">
    <w:p w14:paraId="3CA1EC4B">
      <w:pPr>
        <w:pStyle w:val="14"/>
        <w:spacing w:after="120"/>
        <w:ind w:firstLine="0"/>
        <w:rPr>
          <w:rFonts w:hint="default"/>
          <w:b/>
          <w:bCs/>
          <w:lang w:val="pt-BR"/>
        </w:rPr>
      </w:pPr>
      <w:r>
        <w:rPr>
          <w:rStyle w:val="5"/>
        </w:rPr>
        <w:footnoteRef/>
      </w:r>
      <w:r>
        <w:t xml:space="preserve"> Docente  do curso de Administração </w:t>
      </w:r>
      <w:r>
        <w:rPr>
          <w:rFonts w:hint="default"/>
          <w:lang w:val="pt-BR"/>
        </w:rPr>
        <w:t>d</w:t>
      </w:r>
      <w:r>
        <w:t>a Universidade Estadual da Região Tocantina (UEMASUL)</w:t>
      </w:r>
      <w:r>
        <w:rPr>
          <w:rFonts w:hint="default"/>
          <w:lang w:val="pt-BR"/>
        </w:rPr>
        <w:t xml:space="preserve"> , e do </w:t>
      </w:r>
      <w:r>
        <w:t xml:space="preserve">Programa de Pós-graduação em Gestão de Políticas Públicas – Gespol /Universidade Federal do Tocantins (UFT).  E-mail: </w:t>
      </w:r>
      <w:r>
        <w:fldChar w:fldCharType="begin"/>
      </w:r>
      <w:r>
        <w:instrText xml:space="preserve"> HYPERLINK "mailto:nayara.santos@uemasul.edu.br" </w:instrText>
      </w:r>
      <w:r>
        <w:fldChar w:fldCharType="separate"/>
      </w:r>
      <w:r>
        <w:rPr>
          <w:rStyle w:val="6"/>
        </w:rPr>
        <w:t>nayara.santos@uemasul.edu.br</w:t>
      </w:r>
      <w:r>
        <w:rPr>
          <w:rStyle w:val="6"/>
        </w:rPr>
        <w:fldChar w:fldCharType="end"/>
      </w:r>
      <w:r>
        <w:t xml:space="preserve">, </w:t>
      </w:r>
      <w:r>
        <w:rPr>
          <w:lang w:val="pt-BR"/>
        </w:rPr>
        <w:t>Açailândia</w:t>
      </w:r>
      <w:r>
        <w:rPr>
          <w:rFonts w:hint="default"/>
          <w:lang w:val="pt-BR"/>
        </w:rPr>
        <w:t xml:space="preserve"> , Maranhão, Brasil.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AF0FE">
    <w:pPr>
      <w:pStyle w:val="10"/>
    </w:pPr>
    <w:r>
      <w:drawing>
        <wp:inline distT="0" distB="0" distL="0" distR="0">
          <wp:extent cx="6239510" cy="3312795"/>
          <wp:effectExtent l="0" t="0" r="0" b="1905"/>
          <wp:docPr id="41792443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924434"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269782" cy="332921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attachedTemplate r:id="rId1"/>
  <w:documentProtection w:enforcement="0"/>
  <w:defaultTabStop w:val="709"/>
  <w:autoHyphenation/>
  <w:hyphenationZone w:val="425"/>
  <w:displayHorizontalDrawingGridEvery w:val="1"/>
  <w:displayVerticalDrawingGridEvery w:val="1"/>
  <w:noPunctuationKerning w:val="1"/>
  <w:characterSpacingControl w:val="doNotCompress"/>
  <w:footnotePr>
    <w:footnote w:id="6"/>
    <w:footnote w:id="7"/>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F72"/>
    <w:rsid w:val="000866FC"/>
    <w:rsid w:val="002112AE"/>
    <w:rsid w:val="002126E9"/>
    <w:rsid w:val="00286289"/>
    <w:rsid w:val="002A516F"/>
    <w:rsid w:val="002E6A10"/>
    <w:rsid w:val="002F5F72"/>
    <w:rsid w:val="00307FC7"/>
    <w:rsid w:val="00485469"/>
    <w:rsid w:val="004952AB"/>
    <w:rsid w:val="00566C09"/>
    <w:rsid w:val="00610F2C"/>
    <w:rsid w:val="008E58D3"/>
    <w:rsid w:val="0096330E"/>
    <w:rsid w:val="009D4AC6"/>
    <w:rsid w:val="009F6A54"/>
    <w:rsid w:val="00A6396D"/>
    <w:rsid w:val="00B24100"/>
    <w:rsid w:val="00B83840"/>
    <w:rsid w:val="00BF7D71"/>
    <w:rsid w:val="00C636EA"/>
    <w:rsid w:val="00CD3870"/>
    <w:rsid w:val="00D71013"/>
    <w:rsid w:val="00E05CAF"/>
    <w:rsid w:val="00E2462A"/>
    <w:rsid w:val="00E84418"/>
    <w:rsid w:val="00EB5970"/>
    <w:rsid w:val="13F12454"/>
    <w:rsid w:val="1714262F"/>
    <w:rsid w:val="241C7966"/>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20"/>
      <w:ind w:firstLine="851"/>
      <w:jc w:val="both"/>
    </w:pPr>
    <w:rPr>
      <w:rFonts w:ascii="Candara" w:hAnsi="Candara" w:eastAsiaTheme="minorHAnsi" w:cstheme="minorBidi"/>
      <w:sz w:val="24"/>
      <w:szCs w:val="22"/>
      <w:lang w:val="pt-BR" w:eastAsia="en-US" w:bidi="ar-SA"/>
    </w:rPr>
  </w:style>
  <w:style w:type="paragraph" w:styleId="2">
    <w:name w:val="heading 1"/>
    <w:basedOn w:val="1"/>
    <w:next w:val="1"/>
    <w:autoRedefine/>
    <w:qFormat/>
    <w:uiPriority w:val="9"/>
    <w:pPr>
      <w:keepNext/>
      <w:keepLines/>
      <w:spacing w:before="360" w:after="280" w:line="360" w:lineRule="auto"/>
      <w:ind w:firstLine="0"/>
      <w:outlineLvl w:val="0"/>
    </w:pPr>
    <w:rPr>
      <w:rFonts w:eastAsiaTheme="majorEastAsia" w:cstheme="majorBidi"/>
      <w:b/>
      <w:szCs w:val="24"/>
    </w:rPr>
  </w:style>
  <w:style w:type="character" w:default="1" w:styleId="3">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footnote reference"/>
    <w:basedOn w:val="3"/>
    <w:semiHidden/>
    <w:unhideWhenUsed/>
    <w:uiPriority w:val="99"/>
    <w:rPr>
      <w:vertAlign w:val="superscript"/>
    </w:rPr>
  </w:style>
  <w:style w:type="character" w:styleId="6">
    <w:name w:val="Hyperlink"/>
    <w:basedOn w:val="3"/>
    <w:unhideWhenUsed/>
    <w:qFormat/>
    <w:uiPriority w:val="99"/>
    <w:rPr>
      <w:color w:val="0563C1" w:themeColor="hyperlink"/>
      <w:u w:val="single"/>
      <w14:textFill>
        <w14:solidFill>
          <w14:schemeClr w14:val="hlink"/>
        </w14:solidFill>
      </w14:textFill>
    </w:rPr>
  </w:style>
  <w:style w:type="paragraph" w:styleId="7">
    <w:name w:val="List"/>
    <w:basedOn w:val="8"/>
    <w:autoRedefine/>
    <w:qFormat/>
    <w:uiPriority w:val="0"/>
    <w:rPr>
      <w:rFonts w:cs="Lohit Devanagari"/>
    </w:rPr>
  </w:style>
  <w:style w:type="paragraph" w:styleId="8">
    <w:name w:val="Body Text"/>
    <w:basedOn w:val="1"/>
    <w:autoRedefine/>
    <w:qFormat/>
    <w:uiPriority w:val="0"/>
    <w:pPr>
      <w:ind w:firstLine="0"/>
    </w:pPr>
    <w:rPr>
      <w:rFonts w:cs="Times New Roman"/>
      <w:bCs/>
    </w:rPr>
  </w:style>
  <w:style w:type="paragraph" w:styleId="9">
    <w:name w:val="Title"/>
    <w:basedOn w:val="1"/>
    <w:next w:val="8"/>
    <w:autoRedefine/>
    <w:qFormat/>
    <w:uiPriority w:val="10"/>
    <w:pPr>
      <w:keepNext/>
      <w:spacing w:before="240"/>
    </w:pPr>
    <w:rPr>
      <w:rFonts w:ascii="Liberation Sans" w:hAnsi="Liberation Sans" w:eastAsia="Noto Sans CJK SC" w:cs="Lohit Devanagari"/>
      <w:sz w:val="28"/>
      <w:szCs w:val="28"/>
    </w:rPr>
  </w:style>
  <w:style w:type="paragraph" w:styleId="10">
    <w:name w:val="header"/>
    <w:basedOn w:val="11"/>
    <w:autoRedefine/>
    <w:qFormat/>
    <w:uiPriority w:val="0"/>
    <w:pPr>
      <w:tabs>
        <w:tab w:val="center" w:pos="4819"/>
        <w:tab w:val="right" w:pos="9638"/>
      </w:tabs>
      <w:ind w:firstLine="0"/>
      <w:jc w:val="center"/>
    </w:pPr>
  </w:style>
  <w:style w:type="paragraph" w:customStyle="1" w:styleId="11">
    <w:name w:val="Cabeçalho e Rodapé"/>
    <w:basedOn w:val="1"/>
    <w:autoRedefine/>
    <w:qFormat/>
    <w:uiPriority w:val="0"/>
    <w:pPr>
      <w:suppressLineNumbers/>
      <w:tabs>
        <w:tab w:val="center" w:pos="4819"/>
        <w:tab w:val="right" w:pos="9638"/>
      </w:tabs>
    </w:pPr>
  </w:style>
  <w:style w:type="paragraph" w:styleId="12">
    <w:name w:val="footer"/>
    <w:basedOn w:val="1"/>
    <w:link w:val="17"/>
    <w:unhideWhenUsed/>
    <w:qFormat/>
    <w:uiPriority w:val="99"/>
    <w:pPr>
      <w:tabs>
        <w:tab w:val="center" w:pos="4252"/>
        <w:tab w:val="right" w:pos="8504"/>
      </w:tabs>
    </w:pPr>
    <w:rPr>
      <w:rFonts w:cs="Mangal"/>
      <w:szCs w:val="21"/>
    </w:rPr>
  </w:style>
  <w:style w:type="paragraph" w:styleId="13">
    <w:name w:val="caption"/>
    <w:basedOn w:val="1"/>
    <w:qFormat/>
    <w:uiPriority w:val="0"/>
    <w:pPr>
      <w:suppressLineNumbers/>
      <w:spacing w:before="120"/>
    </w:pPr>
    <w:rPr>
      <w:rFonts w:cs="Lohit Devanagari"/>
      <w:i/>
      <w:iCs/>
      <w:szCs w:val="24"/>
    </w:rPr>
  </w:style>
  <w:style w:type="paragraph" w:styleId="14">
    <w:name w:val="footnote text"/>
    <w:basedOn w:val="1"/>
    <w:link w:val="19"/>
    <w:semiHidden/>
    <w:unhideWhenUsed/>
    <w:qFormat/>
    <w:uiPriority w:val="99"/>
    <w:pPr>
      <w:spacing w:after="0"/>
    </w:pPr>
    <w:rPr>
      <w:sz w:val="20"/>
      <w:szCs w:val="20"/>
    </w:rPr>
  </w:style>
  <w:style w:type="table" w:styleId="15">
    <w:name w:val="Table Grid"/>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16">
    <w:name w:val="Índice"/>
    <w:basedOn w:val="1"/>
    <w:qFormat/>
    <w:uiPriority w:val="0"/>
    <w:pPr>
      <w:suppressLineNumbers/>
    </w:pPr>
    <w:rPr>
      <w:rFonts w:cs="Lohit Devanagari"/>
    </w:rPr>
  </w:style>
  <w:style w:type="character" w:customStyle="1" w:styleId="17">
    <w:name w:val="Rodapé Char"/>
    <w:basedOn w:val="3"/>
    <w:link w:val="12"/>
    <w:autoRedefine/>
    <w:qFormat/>
    <w:uiPriority w:val="99"/>
    <w:rPr>
      <w:rFonts w:cs="Mangal"/>
      <w:szCs w:val="21"/>
    </w:rPr>
  </w:style>
  <w:style w:type="paragraph" w:styleId="18">
    <w:name w:val="List Paragraph"/>
    <w:basedOn w:val="1"/>
    <w:autoRedefine/>
    <w:qFormat/>
    <w:uiPriority w:val="34"/>
    <w:pPr>
      <w:ind w:left="720"/>
      <w:contextualSpacing/>
    </w:pPr>
  </w:style>
  <w:style w:type="character" w:customStyle="1" w:styleId="19">
    <w:name w:val="Texto de nota de rodapé Char"/>
    <w:basedOn w:val="3"/>
    <w:link w:val="14"/>
    <w:semiHidden/>
    <w:qFormat/>
    <w:uiPriority w:val="99"/>
    <w:rPr>
      <w:rFonts w:asciiTheme="minorHAnsi" w:hAnsiTheme="minorHAnsi" w:eastAsiaTheme="minorHAnsi" w:cstheme="minorBidi"/>
      <w:lang w:eastAsia="en-US"/>
    </w:rPr>
  </w:style>
  <w:style w:type="character" w:customStyle="1" w:styleId="20">
    <w:name w:val="Unresolved Mention"/>
    <w:basedOn w:val="3"/>
    <w:semiHidden/>
    <w:unhideWhenUsed/>
    <w:qFormat/>
    <w:uiPriority w:val="99"/>
    <w:rPr>
      <w:color w:val="605E5C"/>
      <w:shd w:val="clear" w:color="auto" w:fill="E1DFDD"/>
    </w:rPr>
  </w:style>
  <w:style w:type="paragraph" w:customStyle="1" w:styleId="21">
    <w:name w:val="Citação Direta"/>
    <w:basedOn w:val="1"/>
    <w:link w:val="22"/>
    <w:autoRedefine/>
    <w:qFormat/>
    <w:uiPriority w:val="0"/>
    <w:pPr>
      <w:ind w:left="2268" w:firstLine="0"/>
      <w:contextualSpacing/>
    </w:pPr>
    <w:rPr>
      <w:sz w:val="20"/>
    </w:rPr>
  </w:style>
  <w:style w:type="character" w:customStyle="1" w:styleId="22">
    <w:name w:val="Citação Direta Char"/>
    <w:basedOn w:val="3"/>
    <w:link w:val="21"/>
    <w:qFormat/>
    <w:uiPriority w:val="0"/>
    <w:rPr>
      <w:rFonts w:ascii="Candara" w:hAnsi="Candara" w:eastAsiaTheme="minorHAnsi" w:cstheme="minorBidi"/>
      <w:szCs w:val="22"/>
      <w:lang w:eastAsia="en-US"/>
    </w:rPr>
  </w:style>
  <w:style w:type="table" w:customStyle="1" w:styleId="23">
    <w:name w:val="_Style 10"/>
    <w:basedOn w:val="4"/>
    <w:qFormat/>
    <w:uiPriority w:val="0"/>
    <w:rPr>
      <w:rFonts w:ascii="Calibri" w:hAnsi="Calibri" w:eastAsia="Calibri" w:cs="Calibri"/>
      <w:color w:val="000000"/>
    </w:rPr>
    <w:tblPr/>
    <w:tblStylePr w:type="firstRow">
      <w:pPr>
        <w:spacing w:before="0" w:beforeLines="0" w:beforeAutospacing="0" w:after="0" w:afterLines="0" w:afterAutospacing="0" w:line="240" w:lineRule="auto"/>
      </w:pPr>
      <w:rPr>
        <w:b/>
      </w:rPr>
      <w:tcPr>
        <w:tcBorders>
          <w:top w:val="single" w:color="000000" w:sz="8" w:space="0"/>
          <w:left w:val="nil"/>
          <w:bottom w:val="single" w:color="000000" w:sz="8" w:space="0"/>
          <w:right w:val="nil"/>
          <w:insideH w:val="nil"/>
          <w:insideV w:val="nil"/>
        </w:tcBorders>
      </w:tcPr>
    </w:tblStylePr>
    <w:tblStylePr w:type="lastRow">
      <w:pPr>
        <w:spacing w:before="0" w:beforeLines="0" w:beforeAutospacing="0" w:after="0" w:afterLines="0" w:afterAutospacing="0" w:line="240" w:lineRule="auto"/>
      </w:pPr>
      <w:rPr>
        <w:b/>
      </w:rPr>
      <w:tcPr>
        <w:tcBorders>
          <w:top w:val="single" w:color="000000" w:sz="8" w:space="0"/>
          <w:left w:val="nil"/>
          <w:bottom w:val="single" w:color="000000" w:sz="8" w:space="0"/>
          <w:right w:val="nil"/>
          <w:insideH w:val="nil"/>
          <w:insideV w:val="nil"/>
        </w:tcBorders>
      </w:tcPr>
    </w:tblStylePr>
    <w:tblStylePr w:type="firstCol">
      <w:rPr>
        <w:b/>
      </w:rPr>
    </w:tblStylePr>
    <w:tblStylePr w:type="lastCol">
      <w:rPr>
        <w:b/>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
    <w:name w:val="_Style 11"/>
    <w:basedOn w:val="4"/>
    <w:qFormat/>
    <w:uiPriority w:val="0"/>
    <w:rPr>
      <w:rFonts w:ascii="Calibri" w:hAnsi="Calibri" w:eastAsia="Calibri" w:cs="Calibri"/>
      <w:color w:val="000000"/>
    </w:rPr>
    <w:tblPr/>
    <w:tblStylePr w:type="firstRow">
      <w:pPr>
        <w:spacing w:before="0" w:after="0" w:line="240" w:lineRule="auto"/>
      </w:pPr>
      <w:rPr>
        <w:b/>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rPr>
      <w:tcPr>
        <w:tcBorders>
          <w:top w:val="single" w:color="000000" w:sz="8" w:space="0"/>
          <w:left w:val="nil"/>
          <w:bottom w:val="single" w:color="000000" w:sz="8" w:space="0"/>
          <w:right w:val="nil"/>
          <w:insideH w:val="nil"/>
          <w:insideV w:val="nil"/>
        </w:tcBorders>
      </w:tcPr>
    </w:tblStylePr>
    <w:tblStylePr w:type="firstCol">
      <w:rPr>
        <w:b/>
      </w:rPr>
    </w:tblStylePr>
    <w:tblStylePr w:type="lastCol">
      <w:rPr>
        <w:b/>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xtreme\Downloads\Template%20-%20Resumo%20expandido%20-%20SEDRES.dotx" TargetMode="Externa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Plan3!$G$14</c:f>
              <c:strCache>
                <c:ptCount val="1"/>
                <c:pt idx="0">
                  <c:v>Total da amostra: 26</c:v>
                </c:pt>
              </c:strCache>
            </c:strRef>
          </c:tx>
          <c:invertIfNegative val="0"/>
          <c:dLbls>
            <c:delete val="1"/>
          </c:dLbls>
          <c:cat>
            <c:strRef>
              <c:f>Plan3!$F$15:$F$26</c:f>
              <c:strCache>
                <c:ptCount val="12"/>
                <c:pt idx="0">
                  <c:v>EUA</c:v>
                </c:pt>
                <c:pt idx="1">
                  <c:v>Moçambique</c:v>
                </c:pt>
                <c:pt idx="2">
                  <c:v>Israel</c:v>
                </c:pt>
                <c:pt idx="3">
                  <c:v>Espanha</c:v>
                </c:pt>
                <c:pt idx="4">
                  <c:v>Alemanha</c:v>
                </c:pt>
                <c:pt idx="5">
                  <c:v>Japão</c:v>
                </c:pt>
                <c:pt idx="6">
                  <c:v>Nova Caledônia</c:v>
                </c:pt>
                <c:pt idx="7">
                  <c:v>Palestina</c:v>
                </c:pt>
                <c:pt idx="8">
                  <c:v>Itália</c:v>
                </c:pt>
                <c:pt idx="9">
                  <c:v>África</c:v>
                </c:pt>
                <c:pt idx="10">
                  <c:v>China</c:v>
                </c:pt>
                <c:pt idx="11">
                  <c:v>França</c:v>
                </c:pt>
              </c:strCache>
            </c:strRef>
          </c:cat>
          <c:val>
            <c:numRef>
              <c:f>Plan3!$G$15:$G$26</c:f>
              <c:numCache>
                <c:formatCode>General</c:formatCode>
                <c:ptCount val="12"/>
                <c:pt idx="0">
                  <c:v>8</c:v>
                </c:pt>
                <c:pt idx="1">
                  <c:v>1</c:v>
                </c:pt>
                <c:pt idx="2">
                  <c:v>1</c:v>
                </c:pt>
                <c:pt idx="3">
                  <c:v>2</c:v>
                </c:pt>
                <c:pt idx="4">
                  <c:v>1</c:v>
                </c:pt>
                <c:pt idx="5">
                  <c:v>3</c:v>
                </c:pt>
                <c:pt idx="6">
                  <c:v>1</c:v>
                </c:pt>
                <c:pt idx="7">
                  <c:v>1</c:v>
                </c:pt>
                <c:pt idx="8">
                  <c:v>2</c:v>
                </c:pt>
                <c:pt idx="9">
                  <c:v>2</c:v>
                </c:pt>
                <c:pt idx="10">
                  <c:v>2</c:v>
                </c:pt>
                <c:pt idx="11">
                  <c:v>2</c:v>
                </c:pt>
              </c:numCache>
            </c:numRef>
          </c:val>
        </c:ser>
        <c:dLbls>
          <c:showLegendKey val="0"/>
          <c:showVal val="0"/>
          <c:showCatName val="0"/>
          <c:showSerName val="0"/>
          <c:showPercent val="0"/>
          <c:showBubbleSize val="0"/>
        </c:dLbls>
        <c:gapWidth val="75"/>
        <c:overlap val="-25"/>
        <c:axId val="219710464"/>
        <c:axId val="152091392"/>
      </c:barChart>
      <c:catAx>
        <c:axId val="219710464"/>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pt-BR" sz="1000" b="0" i="0" u="none" strike="noStrike" kern="1200" baseline="0">
                <a:solidFill>
                  <a:schemeClr val="tx1"/>
                </a:solidFill>
                <a:latin typeface="+mn-lt"/>
                <a:ea typeface="+mn-ea"/>
                <a:cs typeface="+mn-cs"/>
              </a:defRPr>
            </a:pPr>
          </a:p>
        </c:txPr>
        <c:crossAx val="152091392"/>
        <c:crosses val="autoZero"/>
        <c:auto val="1"/>
        <c:lblAlgn val="ctr"/>
        <c:lblOffset val="100"/>
        <c:noMultiLvlLbl val="0"/>
      </c:catAx>
      <c:valAx>
        <c:axId val="152091392"/>
        <c:scaling>
          <c:orientation val="minMax"/>
        </c:scaling>
        <c:delete val="0"/>
        <c:axPos val="l"/>
        <c:majorGridlines/>
        <c:numFmt formatCode="General" sourceLinked="1"/>
        <c:majorTickMark val="none"/>
        <c:minorTickMark val="none"/>
        <c:tickLblPos val="nextTo"/>
        <c:txPr>
          <a:bodyPr rot="-60000000" spcFirstLastPara="0" vertOverflow="ellipsis" vert="horz" wrap="square" anchor="ctr" anchorCtr="1"/>
          <a:lstStyle/>
          <a:p>
            <a:pPr>
              <a:defRPr lang="pt-BR" sz="1000" b="0" i="0" u="none" strike="noStrike" kern="1200" baseline="0">
                <a:solidFill>
                  <a:schemeClr val="tx1"/>
                </a:solidFill>
                <a:latin typeface="+mn-lt"/>
                <a:ea typeface="+mn-ea"/>
                <a:cs typeface="+mn-cs"/>
              </a:defRPr>
            </a:pPr>
          </a:p>
        </c:txPr>
        <c:crossAx val="219710464"/>
        <c:crosses val="autoZero"/>
        <c:crossBetween val="between"/>
      </c:valAx>
    </c:plotArea>
    <c:legend>
      <c:legendPos val="b"/>
      <c:layout/>
      <c:overlay val="0"/>
      <c:txPr>
        <a:bodyPr rot="0" spcFirstLastPara="0" vertOverflow="ellipsis" vert="horz" wrap="square" anchor="ctr" anchorCtr="1"/>
        <a:lstStyle/>
        <a:p>
          <a:pPr>
            <a:defRPr lang="pt-BR"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pt-B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Plan3!$G$4</c:f>
              <c:strCache>
                <c:ptCount val="1"/>
                <c:pt idx="0">
                  <c:v>Quantidade da amostra - 26</c:v>
                </c:pt>
              </c:strCache>
            </c:strRef>
          </c:tx>
          <c:invertIfNegative val="0"/>
          <c:dLbls>
            <c:spPr>
              <a:noFill/>
              <a:ln>
                <a:noFill/>
              </a:ln>
              <a:effectLst/>
            </c:spPr>
            <c:txPr>
              <a:bodyPr rot="0" spcFirstLastPara="0" vertOverflow="ellipsis" vert="horz" wrap="square" lIns="38100" tIns="19050" rIns="38100" bIns="19050" anchor="ctr" anchorCtr="1"/>
              <a:lstStyle/>
              <a:p>
                <a:pPr>
                  <a:defRPr lang="pt-BR"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Plan3!$F$5:$F$11</c:f>
              <c:strCache>
                <c:ptCount val="7"/>
                <c:pt idx="0">
                  <c:v>Ano de publicação</c:v>
                </c:pt>
                <c:pt idx="1">
                  <c:v>2017</c:v>
                </c:pt>
                <c:pt idx="2">
                  <c:v>2018</c:v>
                </c:pt>
                <c:pt idx="3">
                  <c:v>2019</c:v>
                </c:pt>
                <c:pt idx="4">
                  <c:v>2020</c:v>
                </c:pt>
                <c:pt idx="5">
                  <c:v>2021</c:v>
                </c:pt>
                <c:pt idx="6">
                  <c:v>2022</c:v>
                </c:pt>
              </c:strCache>
            </c:strRef>
          </c:cat>
          <c:val>
            <c:numRef>
              <c:f>Plan3!$G$5:$G$11</c:f>
              <c:numCache>
                <c:formatCode>General</c:formatCode>
                <c:ptCount val="7"/>
                <c:pt idx="1">
                  <c:v>2</c:v>
                </c:pt>
                <c:pt idx="2">
                  <c:v>1</c:v>
                </c:pt>
                <c:pt idx="3">
                  <c:v>2</c:v>
                </c:pt>
                <c:pt idx="4">
                  <c:v>9</c:v>
                </c:pt>
                <c:pt idx="5">
                  <c:v>5</c:v>
                </c:pt>
                <c:pt idx="6">
                  <c:v>7</c:v>
                </c:pt>
              </c:numCache>
            </c:numRef>
          </c:val>
        </c:ser>
        <c:ser>
          <c:idx val="1"/>
          <c:order val="1"/>
          <c:tx>
            <c:strRef>
              <c:f>Plan3!$H$4</c:f>
              <c:strCache>
                <c:ptCount val="1"/>
                <c:pt idx="0">
                  <c:v/>
                </c:pt>
              </c:strCache>
            </c:strRef>
          </c:tx>
          <c:invertIfNegative val="0"/>
          <c:dLbls>
            <c:spPr>
              <a:noFill/>
              <a:ln>
                <a:noFill/>
              </a:ln>
              <a:effectLst/>
            </c:spPr>
            <c:txPr>
              <a:bodyPr rot="0" spcFirstLastPara="0" vertOverflow="ellipsis" vert="horz" wrap="square" lIns="38100" tIns="19050" rIns="38100" bIns="19050" anchor="ctr" anchorCtr="1"/>
              <a:lstStyle/>
              <a:p>
                <a:pPr>
                  <a:defRPr lang="pt-BR"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Plan3!$F$5:$F$11</c:f>
              <c:strCache>
                <c:ptCount val="7"/>
                <c:pt idx="0">
                  <c:v>Ano de publicação</c:v>
                </c:pt>
                <c:pt idx="1">
                  <c:v>2017</c:v>
                </c:pt>
                <c:pt idx="2">
                  <c:v>2018</c:v>
                </c:pt>
                <c:pt idx="3">
                  <c:v>2019</c:v>
                </c:pt>
                <c:pt idx="4">
                  <c:v>2020</c:v>
                </c:pt>
                <c:pt idx="5">
                  <c:v>2021</c:v>
                </c:pt>
                <c:pt idx="6">
                  <c:v>2022</c:v>
                </c:pt>
              </c:strCache>
            </c:strRef>
          </c:cat>
          <c:val>
            <c:numRef>
              <c:f>Plan3!$H$5:$H$11</c:f>
              <c:numCache>
                <c:formatCode>General</c:formatCode>
                <c:ptCount val="7"/>
              </c:numCache>
            </c:numRef>
          </c:val>
        </c:ser>
        <c:ser>
          <c:idx val="2"/>
          <c:order val="2"/>
          <c:tx>
            <c:strRef>
              <c:f>Plan3!$I$4</c:f>
              <c:strCache>
                <c:ptCount val="1"/>
                <c:pt idx="0">
                  <c:v/>
                </c:pt>
              </c:strCache>
            </c:strRef>
          </c:tx>
          <c:invertIfNegative val="0"/>
          <c:dLbls>
            <c:spPr>
              <a:noFill/>
              <a:ln>
                <a:noFill/>
              </a:ln>
              <a:effectLst/>
            </c:spPr>
            <c:txPr>
              <a:bodyPr rot="0" spcFirstLastPara="0" vertOverflow="ellipsis" vert="horz" wrap="square" lIns="38100" tIns="19050" rIns="38100" bIns="19050" anchor="ctr" anchorCtr="1"/>
              <a:lstStyle/>
              <a:p>
                <a:pPr>
                  <a:defRPr lang="pt-BR"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Plan3!$F$5:$F$11</c:f>
              <c:strCache>
                <c:ptCount val="7"/>
                <c:pt idx="0">
                  <c:v>Ano de publicação</c:v>
                </c:pt>
                <c:pt idx="1">
                  <c:v>2017</c:v>
                </c:pt>
                <c:pt idx="2">
                  <c:v>2018</c:v>
                </c:pt>
                <c:pt idx="3">
                  <c:v>2019</c:v>
                </c:pt>
                <c:pt idx="4">
                  <c:v>2020</c:v>
                </c:pt>
                <c:pt idx="5">
                  <c:v>2021</c:v>
                </c:pt>
                <c:pt idx="6">
                  <c:v>2022</c:v>
                </c:pt>
              </c:strCache>
            </c:strRef>
          </c:cat>
          <c:val>
            <c:numRef>
              <c:f>Plan3!$I$5:$I$11</c:f>
              <c:numCache>
                <c:formatCode>General</c:formatCode>
                <c:ptCount val="7"/>
              </c:numCache>
            </c:numRef>
          </c:val>
        </c:ser>
        <c:ser>
          <c:idx val="3"/>
          <c:order val="3"/>
          <c:tx>
            <c:strRef>
              <c:f>Plan3!$J$4</c:f>
              <c:strCache>
                <c:ptCount val="1"/>
                <c:pt idx="0">
                  <c:v/>
                </c:pt>
              </c:strCache>
            </c:strRef>
          </c:tx>
          <c:invertIfNegative val="0"/>
          <c:dLbls>
            <c:spPr>
              <a:noFill/>
              <a:ln>
                <a:noFill/>
              </a:ln>
              <a:effectLst/>
            </c:spPr>
            <c:txPr>
              <a:bodyPr rot="0" spcFirstLastPara="0" vertOverflow="ellipsis" vert="horz" wrap="square" lIns="38100" tIns="19050" rIns="38100" bIns="19050" anchor="ctr" anchorCtr="1"/>
              <a:lstStyle/>
              <a:p>
                <a:pPr>
                  <a:defRPr lang="pt-BR"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Plan3!$F$5:$F$11</c:f>
              <c:strCache>
                <c:ptCount val="7"/>
                <c:pt idx="0">
                  <c:v>Ano de publicação</c:v>
                </c:pt>
                <c:pt idx="1">
                  <c:v>2017</c:v>
                </c:pt>
                <c:pt idx="2">
                  <c:v>2018</c:v>
                </c:pt>
                <c:pt idx="3">
                  <c:v>2019</c:v>
                </c:pt>
                <c:pt idx="4">
                  <c:v>2020</c:v>
                </c:pt>
                <c:pt idx="5">
                  <c:v>2021</c:v>
                </c:pt>
                <c:pt idx="6">
                  <c:v>2022</c:v>
                </c:pt>
              </c:strCache>
            </c:strRef>
          </c:cat>
          <c:val>
            <c:numRef>
              <c:f>Plan3!$J$5:$J$11</c:f>
              <c:numCache>
                <c:formatCode>General</c:formatCode>
                <c:ptCount val="7"/>
              </c:numCache>
            </c:numRef>
          </c:val>
        </c:ser>
        <c:dLbls>
          <c:showLegendKey val="0"/>
          <c:showVal val="1"/>
          <c:showCatName val="0"/>
          <c:showSerName val="0"/>
          <c:showPercent val="0"/>
          <c:showBubbleSize val="0"/>
        </c:dLbls>
        <c:gapWidth val="150"/>
        <c:overlap val="-25"/>
        <c:axId val="221152768"/>
        <c:axId val="152088512"/>
      </c:barChart>
      <c:catAx>
        <c:axId val="221152768"/>
        <c:scaling>
          <c:orientation val="minMax"/>
        </c:scaling>
        <c:delete val="0"/>
        <c:axPos val="b"/>
        <c:numFmt formatCode="General" sourceLinked="0"/>
        <c:majorTickMark val="none"/>
        <c:minorTickMark val="none"/>
        <c:tickLblPos val="nextTo"/>
        <c:txPr>
          <a:bodyPr rot="-60000000" spcFirstLastPara="0" vertOverflow="ellipsis" vert="horz" wrap="square" anchor="ctr" anchorCtr="1"/>
          <a:lstStyle/>
          <a:p>
            <a:pPr>
              <a:defRPr lang="pt-BR" sz="1000" b="0" i="0" u="none" strike="noStrike" kern="1200" baseline="0">
                <a:solidFill>
                  <a:schemeClr val="tx1"/>
                </a:solidFill>
                <a:latin typeface="+mn-lt"/>
                <a:ea typeface="+mn-ea"/>
                <a:cs typeface="+mn-cs"/>
              </a:defRPr>
            </a:pPr>
          </a:p>
        </c:txPr>
        <c:crossAx val="152088512"/>
        <c:crosses val="autoZero"/>
        <c:auto val="1"/>
        <c:lblAlgn val="ctr"/>
        <c:lblOffset val="100"/>
        <c:noMultiLvlLbl val="0"/>
      </c:catAx>
      <c:valAx>
        <c:axId val="152088512"/>
        <c:scaling>
          <c:orientation val="minMax"/>
        </c:scaling>
        <c:delete val="1"/>
        <c:axPos val="l"/>
        <c:numFmt formatCode="General" sourceLinked="1"/>
        <c:majorTickMark val="out"/>
        <c:minorTickMark val="none"/>
        <c:tickLblPos val="nextTo"/>
        <c:txPr>
          <a:bodyPr rot="-60000000" spcFirstLastPara="0" vertOverflow="ellipsis" vert="horz" wrap="square" anchor="ctr" anchorCtr="1"/>
          <a:lstStyle/>
          <a:p>
            <a:pPr>
              <a:defRPr lang="pt-BR" sz="1000" b="0" i="0" u="none" strike="noStrike" kern="1200" baseline="0">
                <a:solidFill>
                  <a:schemeClr val="tx1"/>
                </a:solidFill>
                <a:latin typeface="+mn-lt"/>
                <a:ea typeface="+mn-ea"/>
                <a:cs typeface="+mn-cs"/>
              </a:defRPr>
            </a:pPr>
          </a:p>
        </c:txPr>
        <c:crossAx val="221152768"/>
        <c:crosses val="autoZero"/>
        <c:crossBetween val="between"/>
      </c:valAx>
    </c:plotArea>
    <c:legend>
      <c:legendPos val="t"/>
      <c:layout>
        <c:manualLayout>
          <c:xMode val="edge"/>
          <c:yMode val="edge"/>
          <c:x val="0.144803149606299"/>
          <c:y val="0.282175925925926"/>
          <c:w val="0.478070468464169"/>
          <c:h val="0.0837171916010499"/>
        </c:manualLayout>
      </c:layout>
      <c:overlay val="0"/>
      <c:txPr>
        <a:bodyPr rot="0" spcFirstLastPara="0" vertOverflow="ellipsis" vert="horz" wrap="square" anchor="ctr" anchorCtr="1"/>
        <a:lstStyle/>
        <a:p>
          <a:pPr>
            <a:defRPr lang="pt-BR"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pt-BR"/>
      </a:pPr>
    </a:p>
  </c:txPr>
  <c:externalData r:id="rId1">
    <c:autoUpdate val="0"/>
  </c:externalData>
</c:chartSpac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4009F-9AD2-48AB-A9FA-484EAD9CD85B}">
  <ds:schemaRefs/>
</ds:datastoreItem>
</file>

<file path=docProps/app.xml><?xml version="1.0" encoding="utf-8"?>
<Properties xmlns="http://schemas.openxmlformats.org/officeDocument/2006/extended-properties" xmlns:vt="http://schemas.openxmlformats.org/officeDocument/2006/docPropsVTypes">
  <Template>Template - Resumo expandido - SEDRES</Template>
  <Pages>15</Pages>
  <Words>4547</Words>
  <Characters>24560</Characters>
  <Lines>204</Lines>
  <Paragraphs>58</Paragraphs>
  <TotalTime>26</TotalTime>
  <ScaleCrop>false</ScaleCrop>
  <LinksUpToDate>false</LinksUpToDate>
  <CharactersWithSpaces>29049</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2024-09-08T23:21:00Z</dcterms:created>
  <dc:creator>Rhuann Oliveira</dc:creator>
  <cp:lastModifiedBy>adm.cchstl</cp:lastModifiedBy>
  <dcterms:modified xsi:type="dcterms:W3CDTF">2024-09-09T00:49:56Z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1046-12.2.0.18165</vt:lpwstr>
  </property>
  <property fmtid="{D5CDD505-2E9C-101B-9397-08002B2CF9AE}" pid="3" name="ICV">
    <vt:lpwstr>708D14AD05E546D8AC0455C9D2E5688B_13</vt:lpwstr>
  </property>
</Properties>
</file>