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0635B" w14:textId="77777777" w:rsidR="00352A2F" w:rsidRPr="00352A2F" w:rsidRDefault="00352A2F" w:rsidP="00352A2F">
      <w:pPr>
        <w:spacing w:line="276" w:lineRule="auto"/>
        <w:jc w:val="center"/>
        <w:rPr>
          <w:b/>
          <w:sz w:val="32"/>
          <w:szCs w:val="32"/>
        </w:rPr>
      </w:pPr>
      <w:r w:rsidRPr="00352A2F">
        <w:rPr>
          <w:b/>
          <w:sz w:val="32"/>
          <w:szCs w:val="32"/>
        </w:rPr>
        <w:t xml:space="preserve">PROBLEMAS COMPLEXOS E A GESTÃO DO CONHECIMENTO: UMA ANÁLISE EMPÍRICA DA APLICABILIDADE DA GC PARA O BEM COMUM </w:t>
      </w:r>
    </w:p>
    <w:p w14:paraId="3BB07D44" w14:textId="47ADFC0F" w:rsidR="00B76F88" w:rsidRDefault="00352A2F">
      <w:pPr>
        <w:pStyle w:val="Ttulo2"/>
        <w:keepNext w:val="0"/>
        <w:keepLines w:val="0"/>
        <w:widowControl w:val="0"/>
        <w:spacing w:before="195" w:line="240" w:lineRule="auto"/>
        <w:ind w:left="367" w:right="376"/>
        <w:jc w:val="center"/>
        <w:rPr>
          <w:rFonts w:ascii="Trebuchet MS" w:eastAsia="Trebuchet MS" w:hAnsi="Trebuchet MS" w:cs="Trebuchet MS"/>
          <w:b w:val="0"/>
          <w:sz w:val="16"/>
          <w:szCs w:val="16"/>
        </w:rPr>
      </w:pPr>
      <w:r>
        <w:t>Fa</w:t>
      </w:r>
      <w:r w:rsidR="00A3336E">
        <w:t>b</w:t>
      </w:r>
      <w:r>
        <w:t xml:space="preserve">iana </w:t>
      </w:r>
      <w:proofErr w:type="spellStart"/>
      <w:r>
        <w:t>Edier</w:t>
      </w:r>
      <w:proofErr w:type="spellEnd"/>
      <w:r>
        <w:t xml:space="preserve"> Dassoler</w:t>
      </w:r>
      <w:r w:rsidR="004E22EB">
        <w:rPr>
          <w:rFonts w:ascii="Trebuchet MS" w:eastAsia="Trebuchet MS" w:hAnsi="Trebuchet MS" w:cs="Trebuchet MS"/>
          <w:b w:val="0"/>
          <w:sz w:val="26"/>
          <w:vertAlign w:val="superscript"/>
        </w:rPr>
        <w:t>1</w:t>
      </w:r>
      <w:r w:rsidR="004E22EB">
        <w:t xml:space="preserve">, </w:t>
      </w:r>
      <w:r w:rsidRPr="00352A2F">
        <w:t>Sara Abreu Henn</w:t>
      </w:r>
      <w:r w:rsidR="004E22EB">
        <w:rPr>
          <w:rFonts w:ascii="Trebuchet MS" w:eastAsia="Trebuchet MS" w:hAnsi="Trebuchet MS" w:cs="Trebuchet MS"/>
          <w:b w:val="0"/>
          <w:sz w:val="26"/>
          <w:vertAlign w:val="superscript"/>
        </w:rPr>
        <w:t>2</w:t>
      </w:r>
      <w:r w:rsidR="004E22EB">
        <w:t xml:space="preserve">, </w:t>
      </w:r>
      <w:r w:rsidR="00AF3D39" w:rsidRPr="00AF3D39">
        <w:t>Gertrudes Aparecida Dandol</w:t>
      </w:r>
      <w:r w:rsidR="00CD5B50">
        <w:t>ini</w:t>
      </w:r>
      <w:r>
        <w:rPr>
          <w:rFonts w:ascii="Trebuchet MS" w:eastAsia="Trebuchet MS" w:hAnsi="Trebuchet MS" w:cs="Trebuchet MS"/>
          <w:b w:val="0"/>
          <w:sz w:val="26"/>
          <w:vertAlign w:val="superscript"/>
        </w:rPr>
        <w:t>3</w:t>
      </w:r>
      <w:r w:rsidR="004E22EB">
        <w:t xml:space="preserve">, </w:t>
      </w:r>
      <w:r>
        <w:t>Roberta</w:t>
      </w:r>
      <w:r w:rsidR="005A0D23">
        <w:t xml:space="preserve"> Moraes</w:t>
      </w:r>
      <w:r>
        <w:t xml:space="preserve"> de Bem</w:t>
      </w:r>
      <w:r>
        <w:rPr>
          <w:rFonts w:ascii="Trebuchet MS" w:eastAsia="Trebuchet MS" w:hAnsi="Trebuchet MS" w:cs="Trebuchet MS"/>
          <w:b w:val="0"/>
          <w:sz w:val="26"/>
          <w:vertAlign w:val="superscript"/>
        </w:rPr>
        <w:t>4</w:t>
      </w:r>
    </w:p>
    <w:p w14:paraId="7CC2600F" w14:textId="7E392078" w:rsidR="00B76F88" w:rsidRDefault="004E22EB" w:rsidP="00365C9B">
      <w:pPr>
        <w:widowControl w:val="0"/>
        <w:spacing w:before="256" w:line="246" w:lineRule="auto"/>
        <w:ind w:left="367" w:right="365"/>
        <w:jc w:val="center"/>
      </w:pPr>
      <w:r>
        <w:rPr>
          <w:rFonts w:ascii="Trebuchet MS" w:eastAsia="Trebuchet MS" w:hAnsi="Trebuchet MS" w:cs="Trebuchet MS"/>
          <w:vertAlign w:val="superscript"/>
        </w:rPr>
        <w:t>1</w:t>
      </w:r>
      <w:r w:rsidR="00D44D47">
        <w:rPr>
          <w:rFonts w:ascii="Trebuchet MS" w:eastAsia="Trebuchet MS" w:hAnsi="Trebuchet MS" w:cs="Trebuchet MS"/>
          <w:vertAlign w:val="superscript"/>
        </w:rPr>
        <w:t xml:space="preserve">,2,3,4 </w:t>
      </w:r>
      <w:r w:rsidR="00352A2F">
        <w:t>Universidade Federal de Santa Catarina (UFSC) CEP</w:t>
      </w:r>
      <w:r w:rsidR="00365C9B">
        <w:t xml:space="preserve"> </w:t>
      </w:r>
      <w:r w:rsidR="00365C9B" w:rsidRPr="00365C9B">
        <w:t>88040-900</w:t>
      </w:r>
      <w:r>
        <w:t xml:space="preserve"> </w:t>
      </w:r>
      <w:r w:rsidR="00352A2F">
        <w:t>Florianópolis - SC</w:t>
      </w:r>
      <w:r>
        <w:t xml:space="preserve"> </w:t>
      </w:r>
      <w:r w:rsidR="00A3336E">
        <w:t xml:space="preserve">- </w:t>
      </w:r>
      <w:r>
        <w:t>Bra</w:t>
      </w:r>
      <w:r w:rsidR="00A3336E">
        <w:t>s</w:t>
      </w:r>
      <w:r>
        <w:t>il</w:t>
      </w:r>
    </w:p>
    <w:p w14:paraId="38629BEB" w14:textId="4577FFC3" w:rsidR="005A0D23" w:rsidRPr="00CA6D41" w:rsidRDefault="0046670F" w:rsidP="005A0D23">
      <w:pPr>
        <w:widowControl w:val="0"/>
        <w:spacing w:before="201" w:line="240" w:lineRule="auto"/>
        <w:ind w:left="264" w:right="264" w:firstLine="0"/>
        <w:jc w:val="center"/>
        <w:rPr>
          <w:rFonts w:ascii="Courier New" w:eastAsia="Courier New" w:hAnsi="Courier New" w:cs="Courier New"/>
          <w:bCs/>
          <w:sz w:val="20"/>
          <w:szCs w:val="20"/>
        </w:rPr>
      </w:pPr>
      <w:hyperlink r:id="rId8" w:history="1">
        <w:r w:rsidR="00BB7395" w:rsidRPr="00CA6D41">
          <w:rPr>
            <w:rStyle w:val="Hyperlink"/>
            <w:rFonts w:ascii="Courier New" w:eastAsia="Courier New" w:hAnsi="Courier New" w:cs="Courier New"/>
            <w:color w:val="auto"/>
            <w:sz w:val="20"/>
            <w:szCs w:val="20"/>
            <w:u w:val="none"/>
          </w:rPr>
          <w:t>fabiana.dassoler@gmail.com</w:t>
        </w:r>
      </w:hyperlink>
      <w:r w:rsidR="00352A2F" w:rsidRPr="00CA6D41">
        <w:rPr>
          <w:rFonts w:ascii="Courier New" w:eastAsia="Courier New" w:hAnsi="Courier New" w:cs="Courier New"/>
          <w:sz w:val="20"/>
          <w:szCs w:val="20"/>
        </w:rPr>
        <w:t>;</w:t>
      </w:r>
      <w:r w:rsidR="00CD5B50" w:rsidRPr="00CA6D41">
        <w:rPr>
          <w:rFonts w:ascii="Roboto" w:hAnsi="Roboto"/>
          <w:bCs/>
          <w:sz w:val="21"/>
          <w:szCs w:val="21"/>
          <w:shd w:val="clear" w:color="auto" w:fill="FFFFFF"/>
        </w:rPr>
        <w:t xml:space="preserve"> </w:t>
      </w:r>
      <w:proofErr w:type="gramStart"/>
      <w:r w:rsidR="00CD5B50" w:rsidRPr="00CA6D41">
        <w:rPr>
          <w:rFonts w:ascii="Courier New" w:eastAsia="Courier New" w:hAnsi="Courier New" w:cs="Courier New"/>
          <w:bCs/>
          <w:sz w:val="20"/>
          <w:szCs w:val="20"/>
        </w:rPr>
        <w:t>sara.</w:t>
      </w:r>
      <w:r w:rsidR="00CD5B50" w:rsidRPr="00CA6D41">
        <w:rPr>
          <w:rFonts w:ascii="Courier New" w:eastAsia="Courier New" w:hAnsi="Courier New" w:cs="Courier New"/>
          <w:bCs/>
          <w:i/>
          <w:iCs/>
          <w:sz w:val="20"/>
          <w:szCs w:val="20"/>
        </w:rPr>
        <w:t>abreu</w:t>
      </w:r>
      <w:proofErr w:type="gramEnd"/>
      <w:hyperlink r:id="rId9" w:history="1">
        <w:r w:rsidR="00CD5B50" w:rsidRPr="00CA6D41">
          <w:rPr>
            <w:rStyle w:val="Hyperlink"/>
            <w:rFonts w:ascii="Courier New" w:eastAsia="Courier New" w:hAnsi="Courier New" w:cs="Courier New"/>
            <w:bCs/>
            <w:i/>
            <w:iCs/>
            <w:color w:val="auto"/>
            <w:sz w:val="20"/>
            <w:szCs w:val="20"/>
            <w:u w:val="none"/>
          </w:rPr>
          <w:t>henn</w:t>
        </w:r>
        <w:r w:rsidR="00CD5B50" w:rsidRPr="00CA6D41">
          <w:rPr>
            <w:rStyle w:val="Hyperlink"/>
            <w:rFonts w:ascii="Courier New" w:eastAsia="Courier New" w:hAnsi="Courier New" w:cs="Courier New"/>
            <w:bCs/>
            <w:color w:val="auto"/>
            <w:sz w:val="20"/>
            <w:szCs w:val="20"/>
            <w:u w:val="none"/>
          </w:rPr>
          <w:t>@gmail.com</w:t>
        </w:r>
      </w:hyperlink>
      <w:r w:rsidR="00CD5B50" w:rsidRPr="00CA6D41">
        <w:rPr>
          <w:rFonts w:ascii="Courier New" w:eastAsia="Courier New" w:hAnsi="Courier New" w:cs="Courier New"/>
          <w:bCs/>
          <w:sz w:val="20"/>
          <w:szCs w:val="20"/>
        </w:rPr>
        <w:t>;</w:t>
      </w:r>
      <w:r w:rsidR="00CD5B50" w:rsidRPr="00CA6D41">
        <w:t xml:space="preserve"> </w:t>
      </w:r>
      <w:hyperlink r:id="rId10" w:history="1">
        <w:r w:rsidR="00CD5B50" w:rsidRPr="00CA6D41">
          <w:rPr>
            <w:rStyle w:val="Hyperlink"/>
            <w:rFonts w:ascii="Courier New" w:eastAsia="Courier New" w:hAnsi="Courier New" w:cs="Courier New"/>
            <w:bCs/>
            <w:color w:val="auto"/>
            <w:sz w:val="20"/>
            <w:szCs w:val="20"/>
            <w:u w:val="none"/>
          </w:rPr>
          <w:t>gertrudes.dandolini@ufsc.br</w:t>
        </w:r>
      </w:hyperlink>
      <w:r w:rsidR="00CD5B50" w:rsidRPr="00CA6D41">
        <w:rPr>
          <w:rFonts w:ascii="Courier New" w:eastAsia="Courier New" w:hAnsi="Courier New" w:cs="Courier New"/>
          <w:bCs/>
          <w:sz w:val="20"/>
          <w:szCs w:val="20"/>
        </w:rPr>
        <w:t>;</w:t>
      </w:r>
      <w:r w:rsidR="005A0D23" w:rsidRPr="00CA6D41">
        <w:rPr>
          <w:rFonts w:ascii="Courier New" w:eastAsia="Courier New" w:hAnsi="Courier New" w:cs="Courier New"/>
          <w:bCs/>
          <w:sz w:val="20"/>
          <w:szCs w:val="20"/>
        </w:rPr>
        <w:t>roberta.bem@ufsc.br</w:t>
      </w:r>
    </w:p>
    <w:p w14:paraId="46005897" w14:textId="594AC90B" w:rsidR="00FD0AB4" w:rsidRPr="00225671" w:rsidRDefault="004E22EB" w:rsidP="00FD0AB4">
      <w:pPr>
        <w:widowControl w:val="0"/>
        <w:spacing w:before="299" w:line="250" w:lineRule="auto"/>
        <w:ind w:left="556" w:right="550" w:firstLine="0"/>
        <w:rPr>
          <w:i/>
          <w:lang w:val="en-US"/>
        </w:rPr>
      </w:pPr>
      <w:r w:rsidRPr="00225671">
        <w:rPr>
          <w:b/>
          <w:i/>
          <w:lang w:val="en-US"/>
        </w:rPr>
        <w:t xml:space="preserve">Abstract. </w:t>
      </w:r>
      <w:r w:rsidR="00960A83" w:rsidRPr="00225671">
        <w:rPr>
          <w:i/>
          <w:lang w:val="en-US"/>
        </w:rPr>
        <w:t>The growing prevalence of complex social problems challenges traditional Knowledge Management (KM) approaches. This article investigates how KM is used to address these challenges through a systematic review and content analysis of empirical articles. The problems were categorized into four main areas: Governance, Sustainability, Social Innovation, and Crisis Management. Four key KM strategies were identified: co-production of knowledge; valorization of tacit and local knowledge; a systemic and transdisciplinary approach; and the use of technology as a facilitator. The study contributes by providing a categorical overview of the complex problems addressed by KM and reinforces the urgency of engaged management for the common good.</w:t>
      </w:r>
      <w:r w:rsidR="00D44D47" w:rsidRPr="00225671">
        <w:rPr>
          <w:b/>
          <w:i/>
          <w:lang w:val="en-US"/>
        </w:rPr>
        <w:t xml:space="preserve"> </w:t>
      </w:r>
    </w:p>
    <w:p w14:paraId="16536057" w14:textId="24AC8595" w:rsidR="00B76F88" w:rsidRPr="00225671" w:rsidRDefault="00FD0AB4" w:rsidP="00FD0AB4">
      <w:pPr>
        <w:widowControl w:val="0"/>
        <w:spacing w:before="299" w:line="249" w:lineRule="auto"/>
        <w:ind w:left="554" w:right="552" w:firstLine="0"/>
        <w:rPr>
          <w:b/>
          <w:i/>
          <w:lang w:val="en-US"/>
        </w:rPr>
      </w:pPr>
      <w:r w:rsidRPr="00225671">
        <w:rPr>
          <w:b/>
          <w:i/>
          <w:lang w:val="en-US"/>
        </w:rPr>
        <w:t xml:space="preserve"> </w:t>
      </w:r>
      <w:r w:rsidR="004E22EB" w:rsidRPr="00225671">
        <w:rPr>
          <w:b/>
          <w:i/>
          <w:lang w:val="en-US"/>
        </w:rPr>
        <w:t xml:space="preserve">Keywords: </w:t>
      </w:r>
      <w:r w:rsidR="00D44D47" w:rsidRPr="00225671">
        <w:rPr>
          <w:i/>
          <w:lang w:val="en-US"/>
        </w:rPr>
        <w:t>wicked problems</w:t>
      </w:r>
      <w:r w:rsidR="00960A83" w:rsidRPr="00225671">
        <w:rPr>
          <w:i/>
          <w:lang w:val="en-US"/>
        </w:rPr>
        <w:t>,</w:t>
      </w:r>
      <w:r w:rsidR="00D44D47" w:rsidRPr="00225671">
        <w:rPr>
          <w:i/>
          <w:lang w:val="en-US"/>
        </w:rPr>
        <w:t xml:space="preserve"> governance</w:t>
      </w:r>
      <w:r w:rsidR="00960A83" w:rsidRPr="00225671">
        <w:rPr>
          <w:i/>
          <w:lang w:val="en-US"/>
        </w:rPr>
        <w:t>,</w:t>
      </w:r>
      <w:r w:rsidR="00D44D47" w:rsidRPr="00225671">
        <w:rPr>
          <w:i/>
          <w:lang w:val="en-US"/>
        </w:rPr>
        <w:t xml:space="preserve"> systemic approach</w:t>
      </w:r>
      <w:r w:rsidR="00960A83" w:rsidRPr="00225671">
        <w:rPr>
          <w:i/>
          <w:lang w:val="en-US"/>
        </w:rPr>
        <w:t>,</w:t>
      </w:r>
      <w:r w:rsidR="00D44D47" w:rsidRPr="00225671">
        <w:rPr>
          <w:i/>
          <w:lang w:val="en-US"/>
        </w:rPr>
        <w:t xml:space="preserve"> complex systems</w:t>
      </w:r>
      <w:r w:rsidR="00960A83" w:rsidRPr="00225671">
        <w:rPr>
          <w:i/>
          <w:lang w:val="en-US"/>
        </w:rPr>
        <w:t>,</w:t>
      </w:r>
      <w:r w:rsidR="00D44D47" w:rsidRPr="00225671">
        <w:rPr>
          <w:i/>
          <w:lang w:val="en-US"/>
        </w:rPr>
        <w:t xml:space="preserve"> knowledge management.</w:t>
      </w:r>
    </w:p>
    <w:p w14:paraId="17A3A806" w14:textId="77777777" w:rsidR="00B76F88" w:rsidRPr="00225671" w:rsidRDefault="00B76F88">
      <w:pPr>
        <w:widowControl w:val="0"/>
        <w:spacing w:line="240" w:lineRule="auto"/>
        <w:ind w:firstLine="0"/>
        <w:jc w:val="left"/>
        <w:rPr>
          <w:i/>
          <w:sz w:val="28"/>
          <w:szCs w:val="28"/>
          <w:lang w:val="en-US"/>
        </w:rPr>
      </w:pPr>
    </w:p>
    <w:p w14:paraId="7C71AD6A" w14:textId="47D0CCB7" w:rsidR="00B76F88" w:rsidRPr="00960A83" w:rsidRDefault="004E22EB">
      <w:pPr>
        <w:widowControl w:val="0"/>
        <w:spacing w:line="228" w:lineRule="auto"/>
        <w:ind w:left="554" w:right="552" w:firstLine="0"/>
        <w:rPr>
          <w:i/>
        </w:rPr>
      </w:pPr>
      <w:r>
        <w:rPr>
          <w:b/>
          <w:i/>
        </w:rPr>
        <w:t xml:space="preserve">Resumo. </w:t>
      </w:r>
      <w:r w:rsidR="00960A83" w:rsidRPr="00960A83">
        <w:rPr>
          <w:i/>
          <w:iCs/>
        </w:rPr>
        <w:t>A crescente prevalência de problemas sociais complexos desafia as abordagens tradicionais de Gestão do Conhecimento (GC). Este artigo investiga como a GC é usada para resolver esses desafios por meio de uma revisão sistemática e análise de conteúdo de artigos empíricos. Categorizaram-se os problemas em quatro áreas principais: Governança, Sustentabilidade, Inovação Social e Gestão de Crises. Identificaram-se quatro estratégias-chave de GC: coprodução do conhecimento; valorização do conhecimento tácito e local; abordagem sistêmica e transdisciplinar; e uso da tecnologia como facilitadora. O estudo contribui fornecendo uma visão categórica dos problemas complexos abordados pela GC e reforça a urgência de uma gestão engajada para o bem comum.</w:t>
      </w:r>
      <w:r w:rsidR="00C17BAD" w:rsidRPr="00960A83">
        <w:rPr>
          <w:i/>
        </w:rPr>
        <w:t xml:space="preserve"> </w:t>
      </w:r>
    </w:p>
    <w:p w14:paraId="3016C766" w14:textId="77777777" w:rsidR="00B80611" w:rsidRDefault="00B80611" w:rsidP="00D44D47">
      <w:pPr>
        <w:widowControl w:val="0"/>
        <w:spacing w:line="228" w:lineRule="auto"/>
        <w:ind w:left="554" w:right="552" w:firstLine="0"/>
        <w:rPr>
          <w:b/>
          <w:i/>
        </w:rPr>
      </w:pPr>
    </w:p>
    <w:p w14:paraId="74EC72B0" w14:textId="6D9C8103" w:rsidR="00D44D47" w:rsidRPr="00D44D47" w:rsidRDefault="004E22EB" w:rsidP="00D44D47">
      <w:pPr>
        <w:widowControl w:val="0"/>
        <w:spacing w:line="228" w:lineRule="auto"/>
        <w:ind w:left="554" w:right="552" w:firstLine="0"/>
        <w:rPr>
          <w:b/>
          <w:i/>
        </w:rPr>
      </w:pPr>
      <w:r>
        <w:rPr>
          <w:b/>
          <w:i/>
        </w:rPr>
        <w:t xml:space="preserve">Palavras-chave: </w:t>
      </w:r>
      <w:r w:rsidR="00D44D47" w:rsidRPr="00D44D47">
        <w:rPr>
          <w:i/>
        </w:rPr>
        <w:t>problemas perversos</w:t>
      </w:r>
      <w:r w:rsidR="00960A83">
        <w:rPr>
          <w:i/>
        </w:rPr>
        <w:t>,</w:t>
      </w:r>
      <w:r w:rsidR="00D44D47" w:rsidRPr="00D44D47">
        <w:rPr>
          <w:i/>
        </w:rPr>
        <w:t xml:space="preserve"> governança</w:t>
      </w:r>
      <w:r w:rsidR="00960A83">
        <w:rPr>
          <w:i/>
        </w:rPr>
        <w:t>,</w:t>
      </w:r>
      <w:r w:rsidR="00D44D47" w:rsidRPr="00D44D47">
        <w:rPr>
          <w:i/>
        </w:rPr>
        <w:t xml:space="preserve"> abordagem sistêmica</w:t>
      </w:r>
      <w:r w:rsidR="00960A83">
        <w:rPr>
          <w:i/>
        </w:rPr>
        <w:t>,</w:t>
      </w:r>
      <w:r w:rsidR="00D44D47" w:rsidRPr="00D44D47">
        <w:rPr>
          <w:i/>
        </w:rPr>
        <w:t xml:space="preserve"> sistemas complexos</w:t>
      </w:r>
      <w:r w:rsidR="00960A83">
        <w:rPr>
          <w:i/>
        </w:rPr>
        <w:t>,</w:t>
      </w:r>
      <w:r w:rsidR="00D44D47" w:rsidRPr="00D44D47">
        <w:rPr>
          <w:i/>
        </w:rPr>
        <w:t xml:space="preserve"> gestão do conhecimento</w:t>
      </w:r>
      <w:r w:rsidR="00D44D47" w:rsidRPr="00D44D47">
        <w:rPr>
          <w:b/>
          <w:i/>
        </w:rPr>
        <w:t>.</w:t>
      </w:r>
    </w:p>
    <w:p w14:paraId="2DF8B396" w14:textId="77777777" w:rsidR="00B76F88" w:rsidRDefault="00B76F88">
      <w:pPr>
        <w:widowControl w:val="0"/>
        <w:spacing w:line="228" w:lineRule="auto"/>
        <w:ind w:left="554" w:right="552" w:firstLine="0"/>
        <w:rPr>
          <w:b/>
          <w:i/>
        </w:rPr>
      </w:pPr>
    </w:p>
    <w:p w14:paraId="390E5FD4" w14:textId="77777777" w:rsidR="00B76F88" w:rsidRDefault="00B76F88">
      <w:pPr>
        <w:widowControl w:val="0"/>
        <w:spacing w:line="228" w:lineRule="auto"/>
        <w:ind w:left="554" w:right="552" w:firstLine="0"/>
        <w:rPr>
          <w:i/>
        </w:rPr>
      </w:pPr>
    </w:p>
    <w:p w14:paraId="777F15CA" w14:textId="77777777" w:rsidR="00B76F88" w:rsidRDefault="004E22EB">
      <w:pPr>
        <w:widowControl w:val="0"/>
        <w:spacing w:line="228" w:lineRule="auto"/>
        <w:ind w:left="554" w:right="552" w:firstLine="0"/>
        <w:rPr>
          <w:i/>
        </w:rPr>
      </w:pPr>
      <w:r>
        <w:rPr>
          <w:b/>
          <w:i/>
        </w:rPr>
        <w:t xml:space="preserve">Área Temática: </w:t>
      </w:r>
      <w:r w:rsidR="00A3336E" w:rsidRPr="00A3336E">
        <w:rPr>
          <w:i/>
        </w:rPr>
        <w:t>Práticas sistêmicas na abordagem de situações problema</w:t>
      </w:r>
    </w:p>
    <w:p w14:paraId="6173D50D" w14:textId="77777777" w:rsidR="00B76F88" w:rsidRDefault="00B76F88">
      <w:pPr>
        <w:widowControl w:val="0"/>
        <w:spacing w:before="5" w:line="240" w:lineRule="auto"/>
        <w:ind w:firstLine="0"/>
        <w:jc w:val="left"/>
        <w:rPr>
          <w:i/>
          <w:sz w:val="29"/>
          <w:szCs w:val="29"/>
        </w:rPr>
      </w:pPr>
    </w:p>
    <w:p w14:paraId="33C13881" w14:textId="77777777" w:rsidR="00B76F88" w:rsidRDefault="00CF11F2">
      <w:pPr>
        <w:pStyle w:val="Ttulo1"/>
        <w:keepNext w:val="0"/>
        <w:keepLines w:val="0"/>
        <w:widowControl w:val="0"/>
        <w:numPr>
          <w:ilvl w:val="0"/>
          <w:numId w:val="1"/>
        </w:numPr>
        <w:tabs>
          <w:tab w:val="left" w:pos="415"/>
        </w:tabs>
        <w:spacing w:before="1" w:line="240" w:lineRule="auto"/>
        <w:ind w:hanging="315"/>
        <w:jc w:val="both"/>
        <w:rPr>
          <w:sz w:val="26"/>
          <w:szCs w:val="26"/>
        </w:rPr>
      </w:pPr>
      <w:r>
        <w:rPr>
          <w:sz w:val="26"/>
          <w:szCs w:val="26"/>
        </w:rPr>
        <w:t>Intr</w:t>
      </w:r>
      <w:r w:rsidR="00E9226C">
        <w:rPr>
          <w:sz w:val="26"/>
          <w:szCs w:val="26"/>
        </w:rPr>
        <w:t>o</w:t>
      </w:r>
      <w:r>
        <w:rPr>
          <w:sz w:val="26"/>
          <w:szCs w:val="26"/>
        </w:rPr>
        <w:t>dução</w:t>
      </w:r>
    </w:p>
    <w:p w14:paraId="16A16C1B" w14:textId="77777777" w:rsidR="00B76F88" w:rsidRDefault="00CF11F2" w:rsidP="00862FF0">
      <w:pPr>
        <w:widowControl w:val="0"/>
        <w:spacing w:before="135" w:line="250" w:lineRule="auto"/>
        <w:ind w:left="102" w:right="96" w:firstLine="0"/>
      </w:pPr>
      <w:r w:rsidRPr="00CF11F2">
        <w:t xml:space="preserve">A proposta deste estudo é uma tentativa de resposta ao desafio lançado por John </w:t>
      </w:r>
      <w:proofErr w:type="spellStart"/>
      <w:r w:rsidRPr="00CF11F2">
        <w:t>Dumay</w:t>
      </w:r>
      <w:proofErr w:type="spellEnd"/>
      <w:r w:rsidRPr="00CF11F2">
        <w:t xml:space="preserve"> (2020, p. 1), quando questiona: “[...] como nós, como pesquisadores, podemos aplicar a Gestão do Conhecimento ao propósito de resolver problemas complexos”. Em um ensaio proferido em uma conferência de Gestão do Conhecimento (GC) de renome internacional, </w:t>
      </w:r>
      <w:proofErr w:type="spellStart"/>
      <w:r w:rsidRPr="00CF11F2">
        <w:t>Dumay</w:t>
      </w:r>
      <w:proofErr w:type="spellEnd"/>
      <w:r w:rsidRPr="00CF11F2">
        <w:t xml:space="preserve"> apresenta críticas à GC por estar focada, principalmente, em solução de problemas organizacionais domésticos (</w:t>
      </w:r>
      <w:proofErr w:type="spellStart"/>
      <w:r w:rsidRPr="00CF11F2">
        <w:rPr>
          <w:i/>
        </w:rPr>
        <w:t>tame</w:t>
      </w:r>
      <w:proofErr w:type="spellEnd"/>
      <w:r w:rsidRPr="00CF11F2">
        <w:rPr>
          <w:i/>
        </w:rPr>
        <w:t xml:space="preserve"> </w:t>
      </w:r>
      <w:proofErr w:type="spellStart"/>
      <w:r w:rsidRPr="00CF11F2">
        <w:rPr>
          <w:i/>
        </w:rPr>
        <w:t>problems</w:t>
      </w:r>
      <w:proofErr w:type="spellEnd"/>
      <w:r w:rsidRPr="00CF11F2">
        <w:t>) e inofensivos, e que deveria ir além das fronteiras internas da organização para abordar problemas sociais perversos (</w:t>
      </w:r>
      <w:proofErr w:type="spellStart"/>
      <w:r w:rsidRPr="00CF11F2">
        <w:rPr>
          <w:i/>
        </w:rPr>
        <w:t>wicked</w:t>
      </w:r>
      <w:proofErr w:type="spellEnd"/>
      <w:r w:rsidRPr="00CF11F2">
        <w:rPr>
          <w:i/>
        </w:rPr>
        <w:t xml:space="preserve"> </w:t>
      </w:r>
      <w:proofErr w:type="spellStart"/>
      <w:r w:rsidRPr="00CF11F2">
        <w:rPr>
          <w:i/>
        </w:rPr>
        <w:t>problems</w:t>
      </w:r>
      <w:proofErr w:type="spellEnd"/>
      <w:r w:rsidRPr="00CF11F2">
        <w:t xml:space="preserve">) que impactam o planeta. Em seu artigo, </w:t>
      </w:r>
      <w:proofErr w:type="spellStart"/>
      <w:r w:rsidRPr="00CF11F2">
        <w:t>Dumay</w:t>
      </w:r>
      <w:proofErr w:type="spellEnd"/>
      <w:r w:rsidRPr="00CF11F2">
        <w:t xml:space="preserve"> (2020) aponta que uma revisão dos principais periódicos de GC revelou a escassez de estudos que abordassem a GC de forma crítica na resolução de problemas complexos. Além disso, as pesquisas existentes tendiam a ser conceituais, sem análise ou aplicação empírica da GC em problemas sociais perversos</w:t>
      </w:r>
      <w:r>
        <w:t xml:space="preserve">. </w:t>
      </w:r>
    </w:p>
    <w:p w14:paraId="49BD06F9" w14:textId="4799B758" w:rsidR="00CF11F2" w:rsidRDefault="00CF11F2">
      <w:pPr>
        <w:widowControl w:val="0"/>
        <w:spacing w:before="119" w:line="249" w:lineRule="auto"/>
        <w:ind w:left="100" w:right="98"/>
      </w:pPr>
      <w:r w:rsidRPr="00CF11F2">
        <w:t>Motivados por esse desafio, propõe-se como objetivo deste estudo de revisão sistemática identificar estudos que tenham utilizado a GC para resolução de problemas complexos.</w:t>
      </w:r>
    </w:p>
    <w:p w14:paraId="73C15D04" w14:textId="3AC15F08" w:rsidR="00CF11F2" w:rsidRDefault="00CF11F2">
      <w:pPr>
        <w:widowControl w:val="0"/>
        <w:spacing w:before="119" w:line="249" w:lineRule="auto"/>
        <w:ind w:left="100" w:right="98"/>
      </w:pPr>
      <w:r w:rsidRPr="00CF11F2">
        <w:t xml:space="preserve">Nesse cenário, a questão de pesquisa é: como a Gestão do Conhecimento (GC) pode auxiliar na solução de problemas complexos? Ao longo deste artigo, utilizando o referencial teórico, a revisão sistemática e a análise de conteúdo, bem como a análise </w:t>
      </w:r>
      <w:r>
        <w:t>e</w:t>
      </w:r>
      <w:r w:rsidRPr="00CF11F2">
        <w:t xml:space="preserve"> discussão dos resultados, apresenta</w:t>
      </w:r>
      <w:r>
        <w:t>-</w:t>
      </w:r>
      <w:r w:rsidR="00BD47BD">
        <w:t>s</w:t>
      </w:r>
      <w:r>
        <w:t>e categorização dos problemas abordados em quatro eixos principais e quatro</w:t>
      </w:r>
      <w:r w:rsidRPr="00CF11F2">
        <w:t xml:space="preserve"> estratégias de GC que contribuem para a resolução desses problemas</w:t>
      </w:r>
      <w:r>
        <w:t>.</w:t>
      </w:r>
    </w:p>
    <w:p w14:paraId="5C1A4522" w14:textId="77777777" w:rsidR="00B76F88" w:rsidRDefault="00B76F88">
      <w:pPr>
        <w:widowControl w:val="0"/>
        <w:spacing w:before="4" w:line="240" w:lineRule="auto"/>
        <w:ind w:firstLine="0"/>
        <w:jc w:val="left"/>
      </w:pPr>
    </w:p>
    <w:p w14:paraId="76DB0BBB" w14:textId="77777777" w:rsidR="00B76F88" w:rsidRDefault="00CF11F2" w:rsidP="00CF11F2">
      <w:pPr>
        <w:pStyle w:val="Ttulo1"/>
        <w:keepNext w:val="0"/>
        <w:keepLines w:val="0"/>
        <w:widowControl w:val="0"/>
        <w:numPr>
          <w:ilvl w:val="0"/>
          <w:numId w:val="1"/>
        </w:numPr>
        <w:tabs>
          <w:tab w:val="left" w:pos="415"/>
        </w:tabs>
        <w:spacing w:before="1" w:line="240" w:lineRule="auto"/>
        <w:jc w:val="both"/>
        <w:rPr>
          <w:sz w:val="26"/>
          <w:szCs w:val="26"/>
        </w:rPr>
      </w:pPr>
      <w:r w:rsidRPr="00CF11F2">
        <w:rPr>
          <w:sz w:val="26"/>
          <w:szCs w:val="26"/>
        </w:rPr>
        <w:t>Embasamento teórico</w:t>
      </w:r>
    </w:p>
    <w:p w14:paraId="4C5DF1BB" w14:textId="1D1F3313" w:rsidR="00B76F88" w:rsidRDefault="00A3336E" w:rsidP="00862FF0">
      <w:pPr>
        <w:widowControl w:val="0"/>
        <w:spacing w:before="135" w:line="250" w:lineRule="auto"/>
        <w:ind w:left="102" w:right="96" w:firstLine="0"/>
      </w:pPr>
      <w:r w:rsidRPr="00A3336E">
        <w:t xml:space="preserve">Os 17 Objetivos de Desenvolvimento Sustentável (ODS) adotados pela Assembleia Geral das Nações Unidas em 2015 delineiam a agenda 2030 para o desenvolvimento sustentável. Os </w:t>
      </w:r>
      <w:r>
        <w:t xml:space="preserve">objetivos </w:t>
      </w:r>
      <w:r w:rsidRPr="00A3336E">
        <w:t>foram desenvolvidos para enfrentar desafios nas áreas de pobreza, desigualdade, clima, degradação ambiental, prosperidade, paz e justiça (Nações Unidas, 2015). Encontrar soluções para os desafios sustentáveis ou os chamados problemas perversos delineados nos ODS das Nações Unidas exige ações e cooperação de governos, empresas, sociedades civis e até mesmo de indivíduos (</w:t>
      </w:r>
      <w:proofErr w:type="spellStart"/>
      <w:r w:rsidR="00EA24A4" w:rsidRPr="00A3336E">
        <w:t>R</w:t>
      </w:r>
      <w:r w:rsidR="00225671" w:rsidRPr="00A3336E">
        <w:t>anabahu</w:t>
      </w:r>
      <w:proofErr w:type="spellEnd"/>
      <w:r w:rsidRPr="00A3336E">
        <w:t>, 2020).</w:t>
      </w:r>
    </w:p>
    <w:p w14:paraId="4B0F62E2" w14:textId="77777777" w:rsidR="00B76F88" w:rsidRDefault="00A3336E">
      <w:pPr>
        <w:widowControl w:val="0"/>
        <w:spacing w:before="119" w:line="249" w:lineRule="auto"/>
        <w:ind w:left="100" w:right="98"/>
      </w:pPr>
      <w:r w:rsidRPr="00A3336E">
        <w:t>Faz-se necessário entender as concepções de problemas sociais complexos ou perversos, gestão do conhecimento e governança no contexto da pesquisa</w:t>
      </w:r>
      <w:r>
        <w:t>.</w:t>
      </w:r>
      <w:r w:rsidRPr="00A3336E">
        <w:t xml:space="preserve"> </w:t>
      </w:r>
    </w:p>
    <w:p w14:paraId="28514AAD" w14:textId="77777777" w:rsidR="00B76F88" w:rsidRDefault="00B76F88">
      <w:pPr>
        <w:widowControl w:val="0"/>
        <w:spacing w:before="4" w:line="240" w:lineRule="auto"/>
        <w:ind w:firstLine="0"/>
        <w:jc w:val="left"/>
        <w:rPr>
          <w:sz w:val="23"/>
          <w:szCs w:val="23"/>
        </w:rPr>
      </w:pPr>
    </w:p>
    <w:p w14:paraId="51AA88C4" w14:textId="77777777" w:rsidR="00B76F88" w:rsidRDefault="00A3336E" w:rsidP="00A3336E">
      <w:pPr>
        <w:pStyle w:val="Ttulo2"/>
        <w:keepNext w:val="0"/>
        <w:keepLines w:val="0"/>
        <w:widowControl w:val="0"/>
        <w:numPr>
          <w:ilvl w:val="1"/>
          <w:numId w:val="1"/>
        </w:numPr>
        <w:tabs>
          <w:tab w:val="left" w:pos="570"/>
        </w:tabs>
        <w:spacing w:before="235" w:line="240" w:lineRule="auto"/>
        <w:jc w:val="both"/>
      </w:pPr>
      <w:r w:rsidRPr="00A3336E">
        <w:t xml:space="preserve">Problemas Complexos e Problemas Perversos </w:t>
      </w:r>
    </w:p>
    <w:p w14:paraId="164DB0B4" w14:textId="212C0690" w:rsidR="00B76F88" w:rsidRDefault="00A3336E" w:rsidP="00862FF0">
      <w:pPr>
        <w:widowControl w:val="0"/>
        <w:spacing w:before="123" w:line="250" w:lineRule="auto"/>
        <w:ind w:left="102" w:right="96" w:firstLine="0"/>
      </w:pPr>
      <w:r w:rsidRPr="00A3336E">
        <w:t>Problemas complexos são desafios multifacetados e intrincados que se distinguem por não possuírem soluções únicas, definitivas ou facilmente identificáveis. Eles são inerentemente sistêmicos, o que significa que estão profundamente interconectados em vastas redes de sistemas, onde uma intervenção em um ponto pode gerar repercussões inesperadas e, por vezes, mais graves em outros (</w:t>
      </w:r>
      <w:proofErr w:type="spellStart"/>
      <w:r w:rsidRPr="00A3336E">
        <w:t>R</w:t>
      </w:r>
      <w:r w:rsidR="00225671" w:rsidRPr="00A3336E">
        <w:t>ittel</w:t>
      </w:r>
      <w:proofErr w:type="spellEnd"/>
      <w:r w:rsidRPr="00A3336E">
        <w:t>;</w:t>
      </w:r>
      <w:r>
        <w:t xml:space="preserve"> </w:t>
      </w:r>
      <w:r w:rsidRPr="00A3336E">
        <w:t>W</w:t>
      </w:r>
      <w:r w:rsidR="00225671" w:rsidRPr="00A3336E">
        <w:t>ebber</w:t>
      </w:r>
      <w:r w:rsidRPr="00A3336E">
        <w:t>, 1973).</w:t>
      </w:r>
      <w:r>
        <w:t xml:space="preserve"> </w:t>
      </w:r>
    </w:p>
    <w:p w14:paraId="3D80B9A4" w14:textId="77777777" w:rsidR="00A41594" w:rsidRDefault="00A41594" w:rsidP="00A41594">
      <w:pPr>
        <w:widowControl w:val="0"/>
        <w:spacing w:before="127" w:line="240" w:lineRule="auto"/>
        <w:ind w:left="100" w:firstLine="0"/>
      </w:pPr>
      <w:r>
        <w:tab/>
        <w:t>No contexto da literatura, os termos problemas complexos e problemas perversos (</w:t>
      </w:r>
      <w:proofErr w:type="spellStart"/>
      <w:r w:rsidRPr="0056586E">
        <w:rPr>
          <w:i/>
        </w:rPr>
        <w:t>wicked</w:t>
      </w:r>
      <w:proofErr w:type="spellEnd"/>
      <w:r w:rsidRPr="0056586E">
        <w:rPr>
          <w:i/>
        </w:rPr>
        <w:t xml:space="preserve"> </w:t>
      </w:r>
      <w:proofErr w:type="spellStart"/>
      <w:r w:rsidRPr="0056586E">
        <w:rPr>
          <w:i/>
        </w:rPr>
        <w:t>problems</w:t>
      </w:r>
      <w:proofErr w:type="spellEnd"/>
      <w:r>
        <w:t xml:space="preserve">) são frequentemente usados de forma interligada, mas com uma nuance </w:t>
      </w:r>
      <w:r>
        <w:lastRenderedPageBreak/>
        <w:t>importante.</w:t>
      </w:r>
    </w:p>
    <w:p w14:paraId="0E5E90AA" w14:textId="276799DD" w:rsidR="00A41594" w:rsidRDefault="00A41594" w:rsidP="00862FF0">
      <w:pPr>
        <w:widowControl w:val="0"/>
        <w:spacing w:before="127" w:line="250" w:lineRule="auto"/>
        <w:ind w:left="102" w:firstLine="618"/>
      </w:pPr>
      <w:proofErr w:type="spellStart"/>
      <w:r>
        <w:t>Rittel</w:t>
      </w:r>
      <w:proofErr w:type="spellEnd"/>
      <w:r>
        <w:t xml:space="preserve"> e Webber (1973) foram os primeiros a cunhar o termo "problemas perversos" para descrever especificamente os desafios do planejamento social e da política pública. Eles usaram perverso (</w:t>
      </w:r>
      <w:proofErr w:type="spellStart"/>
      <w:r w:rsidRPr="0056586E">
        <w:rPr>
          <w:i/>
        </w:rPr>
        <w:t>wicked</w:t>
      </w:r>
      <w:proofErr w:type="spellEnd"/>
      <w:r>
        <w:t>) para contrastar com domesticado (</w:t>
      </w:r>
      <w:proofErr w:type="spellStart"/>
      <w:r w:rsidRPr="0056586E">
        <w:rPr>
          <w:i/>
        </w:rPr>
        <w:t>tame</w:t>
      </w:r>
      <w:proofErr w:type="spellEnd"/>
      <w:r>
        <w:t>), que se refere a problemas bem definidos, com soluções claras e testáveis, típicos das ciências naturais ou da engenharia. Para os autores, os problemas de planejamento e governança são inerentemente perversos, caracterizados por sua natureza maligna, cruel ou traiçoeira, que os torna resistentes a soluções definitivas e moralmente questionáveis de serem tratados como problemas simples.</w:t>
      </w:r>
    </w:p>
    <w:p w14:paraId="5CE07331" w14:textId="696D92E8" w:rsidR="00A41594" w:rsidRDefault="00A41594" w:rsidP="00862FF0">
      <w:pPr>
        <w:widowControl w:val="0"/>
        <w:spacing w:before="127" w:line="250" w:lineRule="auto"/>
        <w:ind w:left="102" w:firstLine="618"/>
      </w:pPr>
      <w:r>
        <w:t xml:space="preserve">Na literatura subsequente, incluindo o trabalho de John </w:t>
      </w:r>
      <w:proofErr w:type="spellStart"/>
      <w:r>
        <w:t>Dumay</w:t>
      </w:r>
      <w:proofErr w:type="spellEnd"/>
      <w:r>
        <w:t xml:space="preserve"> (2020), adota</w:t>
      </w:r>
      <w:r w:rsidR="00BD47BD">
        <w:t>-se</w:t>
      </w:r>
      <w:r>
        <w:t xml:space="preserve"> a conceituação de </w:t>
      </w:r>
      <w:proofErr w:type="spellStart"/>
      <w:r>
        <w:t>Rittel</w:t>
      </w:r>
      <w:proofErr w:type="spellEnd"/>
      <w:r>
        <w:t xml:space="preserve"> e Webber. </w:t>
      </w:r>
      <w:proofErr w:type="spellStart"/>
      <w:r>
        <w:t>Dumay</w:t>
      </w:r>
      <w:proofErr w:type="spellEnd"/>
      <w:r>
        <w:t>, por exemplo, usa problemas perversos para se referir a questões sociais de grande magnitude, como trabalho infantil e escravidão moderna, que exigem que a GC vá além das fronteiras organizacionais. Outros autores também usam problemas complexos ou problemas perversos diretamente para descrever desafios em saúde pública, doenças da urbanização (pandemias), mudanças climáticas, sustentabilidade, populações vulneráveis e resposta a desastres (</w:t>
      </w:r>
      <w:proofErr w:type="spellStart"/>
      <w:r w:rsidR="00BA1D4D">
        <w:t>M</w:t>
      </w:r>
      <w:r w:rsidR="00225671">
        <w:t>iković</w:t>
      </w:r>
      <w:proofErr w:type="spellEnd"/>
      <w:r>
        <w:t xml:space="preserve"> </w:t>
      </w:r>
      <w:r w:rsidRPr="00BA1D4D">
        <w:rPr>
          <w:i/>
        </w:rPr>
        <w:t>et al</w:t>
      </w:r>
      <w:r>
        <w:t xml:space="preserve">., 2020; </w:t>
      </w:r>
      <w:proofErr w:type="spellStart"/>
      <w:r w:rsidR="00BA1D4D">
        <w:t>H</w:t>
      </w:r>
      <w:r w:rsidR="00225671">
        <w:t>ayne</w:t>
      </w:r>
      <w:proofErr w:type="spellEnd"/>
      <w:r>
        <w:t xml:space="preserve"> </w:t>
      </w:r>
      <w:r w:rsidRPr="00BA1D4D">
        <w:rPr>
          <w:i/>
        </w:rPr>
        <w:t>et al</w:t>
      </w:r>
      <w:r>
        <w:t xml:space="preserve">., 2020; </w:t>
      </w:r>
      <w:proofErr w:type="spellStart"/>
      <w:r w:rsidR="00BA1D4D">
        <w:t>H</w:t>
      </w:r>
      <w:r w:rsidR="00225671">
        <w:t>ollander</w:t>
      </w:r>
      <w:proofErr w:type="spellEnd"/>
      <w:r>
        <w:t xml:space="preserve"> </w:t>
      </w:r>
      <w:r w:rsidRPr="00BA1D4D">
        <w:rPr>
          <w:i/>
        </w:rPr>
        <w:t>et al</w:t>
      </w:r>
      <w:r>
        <w:t>., 2023).</w:t>
      </w:r>
    </w:p>
    <w:p w14:paraId="29B009CD" w14:textId="468B9533" w:rsidR="00A41594" w:rsidRDefault="00A41594" w:rsidP="00862FF0">
      <w:pPr>
        <w:widowControl w:val="0"/>
        <w:spacing w:before="127" w:line="250" w:lineRule="auto"/>
        <w:ind w:left="102" w:firstLine="618"/>
      </w:pPr>
      <w:r>
        <w:t>Portanto, entende-se que problemas perversos são um tipo específico e particularmente desafiador de problema</w:t>
      </w:r>
      <w:r w:rsidR="00BD47BD">
        <w:t>s</w:t>
      </w:r>
      <w:r>
        <w:t xml:space="preserve"> complexo</w:t>
      </w:r>
      <w:r w:rsidR="00BD47BD">
        <w:t>s</w:t>
      </w:r>
      <w:r>
        <w:t xml:space="preserve">, especialmente aqueles que envolvem questões sociais, políticas e de governança. Eles são definidos pelas características únicas que </w:t>
      </w:r>
      <w:proofErr w:type="spellStart"/>
      <w:r>
        <w:t>Rittel</w:t>
      </w:r>
      <w:proofErr w:type="spellEnd"/>
      <w:r>
        <w:t xml:space="preserve"> e Webber</w:t>
      </w:r>
      <w:r w:rsidR="0056586E">
        <w:t xml:space="preserve"> (1973)</w:t>
      </w:r>
      <w:r>
        <w:t xml:space="preserve"> identificaram: mal definidos, sem regra de parada, sem soluções certas ou erradas, únicos e com repercussões imprevisíveis</w:t>
      </w:r>
      <w:r w:rsidR="003458FF">
        <w:t>. P</w:t>
      </w:r>
      <w:r>
        <w:t>roblemas complexos é um termo mais amplo que pode englobar os problemas perversos, mas também pode se referir a sistemas com muitas variáveis interconectadas, mesmo que não apresentem todas as características perversas. No entanto, na prática, na literatura sobre gestão do conhecimento e problemas sociais, os termos são frequentemente usados de forma intercambiável para descrever desafios que exigem abordagens sistêmicas, colaborativas e adaptativas.</w:t>
      </w:r>
    </w:p>
    <w:p w14:paraId="56E8929A" w14:textId="77777777" w:rsidR="003458FF" w:rsidRDefault="003458FF" w:rsidP="003458FF">
      <w:pPr>
        <w:pStyle w:val="Ttulo2"/>
        <w:keepNext w:val="0"/>
        <w:keepLines w:val="0"/>
        <w:widowControl w:val="0"/>
        <w:numPr>
          <w:ilvl w:val="1"/>
          <w:numId w:val="1"/>
        </w:numPr>
        <w:tabs>
          <w:tab w:val="left" w:pos="570"/>
        </w:tabs>
        <w:spacing w:before="235" w:line="240" w:lineRule="auto"/>
        <w:jc w:val="both"/>
      </w:pPr>
      <w:r w:rsidRPr="003458FF">
        <w:t>Gestão do conhecimento (GC)</w:t>
      </w:r>
      <w:r>
        <w:t xml:space="preserve"> </w:t>
      </w:r>
      <w:r w:rsidRPr="00A3336E">
        <w:t xml:space="preserve"> </w:t>
      </w:r>
    </w:p>
    <w:p w14:paraId="334CF53D" w14:textId="77777777" w:rsidR="005D734C" w:rsidRPr="003F1A52" w:rsidRDefault="005D734C" w:rsidP="00862FF0">
      <w:pPr>
        <w:spacing w:before="123" w:line="250" w:lineRule="auto"/>
        <w:ind w:left="102" w:right="96" w:firstLine="0"/>
      </w:pPr>
      <w:r w:rsidRPr="003F1A52">
        <w:t xml:space="preserve">A GC é definida como qualquer processo ou prática intencional de criação, aquisição, captura, compartilhamento e uso de conhecimento, independentemente de sua localização na organização. Seu objetivo primordial é aprimorar a aprendizagem e o desempenho organizacional. Modelos conceituais de GC, como o Modelo SECI (Socialização, Externalização, Combinação, Internalização) de </w:t>
      </w:r>
      <w:proofErr w:type="spellStart"/>
      <w:r w:rsidRPr="003F1A52">
        <w:t>Nonaka</w:t>
      </w:r>
      <w:proofErr w:type="spellEnd"/>
      <w:r w:rsidRPr="003F1A52">
        <w:t xml:space="preserve"> e </w:t>
      </w:r>
      <w:proofErr w:type="spellStart"/>
      <w:r w:rsidRPr="003F1A52">
        <w:t>Takeuchi</w:t>
      </w:r>
      <w:proofErr w:type="spellEnd"/>
      <w:r w:rsidRPr="003F1A52">
        <w:t xml:space="preserve"> (1995), são fundamentais para compreender e promover a criação e o fluxo de conhecimento tácito e explícito dentro e entre organizações</w:t>
      </w:r>
      <w:r w:rsidR="00862FF0">
        <w:t>.</w:t>
      </w:r>
    </w:p>
    <w:p w14:paraId="2A68F017" w14:textId="77777777" w:rsidR="005D734C" w:rsidRPr="003F1A52" w:rsidRDefault="005D734C" w:rsidP="00862FF0">
      <w:pPr>
        <w:spacing w:before="119" w:line="250" w:lineRule="auto"/>
        <w:ind w:left="102" w:right="96"/>
      </w:pPr>
      <w:r w:rsidRPr="003F1A52">
        <w:t xml:space="preserve">No contexto deste estudo, ao lidar com a incerteza e os valores conflitantes de problemas complexos, a GC se manifesta através de estratégias e abordagens específicas. Os autores exploram a GC não apenas como uma disciplina de eficiência interna, mas como uma ferramenta de intervenção social. </w:t>
      </w:r>
    </w:p>
    <w:p w14:paraId="16CF6E69" w14:textId="0AD98255" w:rsidR="005D734C" w:rsidRPr="003F1A52" w:rsidRDefault="005D734C" w:rsidP="00862FF0">
      <w:pPr>
        <w:spacing w:before="119" w:line="250" w:lineRule="auto"/>
        <w:ind w:left="102" w:right="96"/>
      </w:pPr>
      <w:r w:rsidRPr="003F1A52">
        <w:t>A GC é impulsionada pela colaboração, demonstrad</w:t>
      </w:r>
      <w:r w:rsidR="00BD47BD">
        <w:t>a</w:t>
      </w:r>
      <w:r w:rsidRPr="003F1A52">
        <w:t xml:space="preserve"> no estudo de </w:t>
      </w:r>
      <w:proofErr w:type="spellStart"/>
      <w:r w:rsidRPr="003F1A52">
        <w:rPr>
          <w:bCs/>
        </w:rPr>
        <w:t>Miković</w:t>
      </w:r>
      <w:proofErr w:type="spellEnd"/>
      <w:r w:rsidRPr="003F1A52">
        <w:rPr>
          <w:bCs/>
        </w:rPr>
        <w:t xml:space="preserve"> </w:t>
      </w:r>
      <w:r w:rsidRPr="0056586E">
        <w:rPr>
          <w:bCs/>
          <w:i/>
        </w:rPr>
        <w:t>et al</w:t>
      </w:r>
      <w:r w:rsidRPr="003F1A52">
        <w:rPr>
          <w:bCs/>
        </w:rPr>
        <w:t xml:space="preserve">. (2020), que </w:t>
      </w:r>
      <w:r w:rsidRPr="003F1A52">
        <w:t xml:space="preserve">sugere que o capital social é crucial na GC para otimizar o gerenciamento de projetos em ONGs e na adaptação a circunstâncias desafiadoras. E a abordagem baseada em redes, como a abordagem </w:t>
      </w:r>
      <w:proofErr w:type="spellStart"/>
      <w:r w:rsidRPr="008F0A5C">
        <w:rPr>
          <w:bCs/>
          <w:i/>
        </w:rPr>
        <w:t>Travellab</w:t>
      </w:r>
      <w:proofErr w:type="spellEnd"/>
      <w:r w:rsidRPr="003F1A52">
        <w:t xml:space="preserve"> de </w:t>
      </w:r>
      <w:r w:rsidRPr="003F1A52">
        <w:rPr>
          <w:bCs/>
        </w:rPr>
        <w:t xml:space="preserve">Feliciano </w:t>
      </w:r>
      <w:r w:rsidRPr="0056586E">
        <w:rPr>
          <w:bCs/>
          <w:i/>
        </w:rPr>
        <w:t>et al</w:t>
      </w:r>
      <w:r w:rsidRPr="003F1A52">
        <w:rPr>
          <w:bCs/>
        </w:rPr>
        <w:t>. (2019)</w:t>
      </w:r>
      <w:r w:rsidR="00BD47BD">
        <w:rPr>
          <w:bCs/>
        </w:rPr>
        <w:t>,</w:t>
      </w:r>
      <w:r w:rsidRPr="003F1A52">
        <w:t xml:space="preserve"> é um método de </w:t>
      </w:r>
      <w:r w:rsidRPr="003F1A52">
        <w:lastRenderedPageBreak/>
        <w:t xml:space="preserve">aprendizagem experiencial que facilita a troca de conhecimento e a </w:t>
      </w:r>
      <w:proofErr w:type="spellStart"/>
      <w:r w:rsidRPr="003F1A52">
        <w:t>cocriação</w:t>
      </w:r>
      <w:proofErr w:type="spellEnd"/>
      <w:r w:rsidRPr="003F1A52">
        <w:t xml:space="preserve"> entre diferentes </w:t>
      </w:r>
      <w:r w:rsidRPr="003F1A52">
        <w:rPr>
          <w:i/>
          <w:iCs/>
        </w:rPr>
        <w:t>stakeholders</w:t>
      </w:r>
      <w:r w:rsidRPr="003F1A52">
        <w:t>.</w:t>
      </w:r>
    </w:p>
    <w:p w14:paraId="2ECB73A2" w14:textId="3F18F697" w:rsidR="005D734C" w:rsidRPr="003F1A52" w:rsidRDefault="005D734C" w:rsidP="00862FF0">
      <w:pPr>
        <w:spacing w:before="119" w:line="250" w:lineRule="auto"/>
        <w:ind w:left="102" w:right="96"/>
      </w:pPr>
      <w:r w:rsidRPr="003F1A52">
        <w:t xml:space="preserve">Outros autores apresentam a GC com uma abordagem sistêmica e transdisciplinar, como </w:t>
      </w:r>
      <w:proofErr w:type="spellStart"/>
      <w:r w:rsidRPr="003F1A52">
        <w:rPr>
          <w:bCs/>
        </w:rPr>
        <w:t>Haynes</w:t>
      </w:r>
      <w:proofErr w:type="spellEnd"/>
      <w:r w:rsidRPr="003F1A52">
        <w:rPr>
          <w:bCs/>
        </w:rPr>
        <w:t xml:space="preserve"> </w:t>
      </w:r>
      <w:r w:rsidRPr="0056586E">
        <w:rPr>
          <w:bCs/>
          <w:i/>
        </w:rPr>
        <w:t>et al</w:t>
      </w:r>
      <w:r w:rsidRPr="003F1A52">
        <w:rPr>
          <w:bCs/>
        </w:rPr>
        <w:t>. (2020)</w:t>
      </w:r>
      <w:r w:rsidR="00CD5B55">
        <w:rPr>
          <w:bCs/>
        </w:rPr>
        <w:t>,</w:t>
      </w:r>
      <w:r w:rsidRPr="003F1A52">
        <w:t xml:space="preserve"> destacando o pensamento sistêmico como um aprimoramento da GC, pois integra diversos conhecimentos e aborda a dinâmica de poder para lidar com problemas perversos de saúde pública. De forma semelhante, a pesquisa de </w:t>
      </w:r>
      <w:r w:rsidR="0056586E">
        <w:t>V</w:t>
      </w:r>
      <w:r w:rsidRPr="003F1A52">
        <w:rPr>
          <w:bCs/>
        </w:rPr>
        <w:t xml:space="preserve">an </w:t>
      </w:r>
      <w:proofErr w:type="spellStart"/>
      <w:r w:rsidRPr="003F1A52">
        <w:rPr>
          <w:bCs/>
        </w:rPr>
        <w:t>Kerkhoff</w:t>
      </w:r>
      <w:proofErr w:type="spellEnd"/>
      <w:r w:rsidRPr="003F1A52">
        <w:rPr>
          <w:bCs/>
        </w:rPr>
        <w:t xml:space="preserve"> e </w:t>
      </w:r>
      <w:proofErr w:type="spellStart"/>
      <w:r w:rsidRPr="003F1A52">
        <w:rPr>
          <w:bCs/>
        </w:rPr>
        <w:t>Szlezák</w:t>
      </w:r>
      <w:proofErr w:type="spellEnd"/>
      <w:r w:rsidRPr="003F1A52">
        <w:rPr>
          <w:bCs/>
        </w:rPr>
        <w:t xml:space="preserve"> (2016)</w:t>
      </w:r>
      <w:r w:rsidRPr="003F1A52">
        <w:t xml:space="preserve"> utiliza uma abordagem centrada no ator, </w:t>
      </w:r>
      <w:r w:rsidR="00BD47BD">
        <w:t>em que</w:t>
      </w:r>
      <w:r w:rsidRPr="003F1A52">
        <w:t xml:space="preserve"> o conhecimento é considerado incorporado por atores dentro de um sistema, essencial para o desenvolvimento sustentável.</w:t>
      </w:r>
    </w:p>
    <w:p w14:paraId="4E1FDE40" w14:textId="77777777" w:rsidR="005D734C" w:rsidRPr="003F1A52" w:rsidRDefault="005D734C" w:rsidP="00862FF0">
      <w:pPr>
        <w:spacing w:before="119" w:line="250" w:lineRule="auto"/>
        <w:ind w:left="102" w:right="96"/>
      </w:pPr>
      <w:r w:rsidRPr="003F1A52">
        <w:t>A GC é reconhecida por sua capacidade de valorizar conhecimentos que escapam de abordagens formais (conhecimento expl</w:t>
      </w:r>
      <w:r w:rsidR="008F0A5C">
        <w:t>íc</w:t>
      </w:r>
      <w:r w:rsidRPr="003F1A52">
        <w:t xml:space="preserve">ito). </w:t>
      </w:r>
      <w:r w:rsidRPr="003F1A52">
        <w:rPr>
          <w:bCs/>
        </w:rPr>
        <w:t xml:space="preserve">López </w:t>
      </w:r>
      <w:r w:rsidRPr="0056586E">
        <w:rPr>
          <w:bCs/>
          <w:i/>
        </w:rPr>
        <w:t>et al</w:t>
      </w:r>
      <w:r w:rsidRPr="003F1A52">
        <w:rPr>
          <w:bCs/>
        </w:rPr>
        <w:t>. (2022)</w:t>
      </w:r>
      <w:r w:rsidRPr="003F1A52">
        <w:t xml:space="preserve"> observaram que a GC é o principal insumo para entender ambientes complexos na saúde pública, especialmente por meio da participação social. No contexto da sustentabilidade, </w:t>
      </w:r>
      <w:proofErr w:type="spellStart"/>
      <w:r w:rsidRPr="003F1A52">
        <w:rPr>
          <w:bCs/>
        </w:rPr>
        <w:t>Hollander</w:t>
      </w:r>
      <w:proofErr w:type="spellEnd"/>
      <w:r w:rsidRPr="003F1A52">
        <w:rPr>
          <w:bCs/>
        </w:rPr>
        <w:t xml:space="preserve"> </w:t>
      </w:r>
      <w:r w:rsidRPr="0056586E">
        <w:rPr>
          <w:bCs/>
          <w:i/>
        </w:rPr>
        <w:t>et al</w:t>
      </w:r>
      <w:r w:rsidRPr="003F1A52">
        <w:rPr>
          <w:bCs/>
        </w:rPr>
        <w:t>. (2023)</w:t>
      </w:r>
      <w:r w:rsidRPr="003F1A52">
        <w:t xml:space="preserve"> reforçam a necessidade de uma abordagem </w:t>
      </w:r>
      <w:proofErr w:type="spellStart"/>
      <w:r w:rsidRPr="0056586E">
        <w:rPr>
          <w:i/>
          <w:iCs/>
        </w:rPr>
        <w:t>bottom</w:t>
      </w:r>
      <w:proofErr w:type="spellEnd"/>
      <w:r w:rsidRPr="0056586E">
        <w:rPr>
          <w:i/>
          <w:iCs/>
        </w:rPr>
        <w:t>-up</w:t>
      </w:r>
      <w:r w:rsidRPr="003F1A52">
        <w:t xml:space="preserve">, que valoriza o conhecimento local na gestão de recursos em vez de impor soluções </w:t>
      </w:r>
      <w:r w:rsidRPr="003F1A52">
        <w:rPr>
          <w:i/>
          <w:iCs/>
        </w:rPr>
        <w:t>top-</w:t>
      </w:r>
      <w:proofErr w:type="spellStart"/>
      <w:r w:rsidRPr="003F1A52">
        <w:rPr>
          <w:i/>
          <w:iCs/>
        </w:rPr>
        <w:t>down</w:t>
      </w:r>
      <w:proofErr w:type="spellEnd"/>
      <w:r w:rsidRPr="003F1A52">
        <w:t>.</w:t>
      </w:r>
    </w:p>
    <w:p w14:paraId="379E1345" w14:textId="77777777" w:rsidR="005D734C" w:rsidRDefault="005D734C" w:rsidP="00862FF0">
      <w:pPr>
        <w:spacing w:before="119" w:line="250" w:lineRule="auto"/>
        <w:ind w:left="102" w:right="96"/>
      </w:pPr>
      <w:r w:rsidRPr="003F1A52">
        <w:t>A resolução de problemas complexos exige redes, múltiplos atores e conhecimentos interdisciplinares, que dependem fundamentalmente de uma governança eficaz e de uma comunicação estratégica.</w:t>
      </w:r>
    </w:p>
    <w:p w14:paraId="4AEF1596" w14:textId="77777777" w:rsidR="00097067" w:rsidRPr="003F1A52" w:rsidRDefault="00097067" w:rsidP="00862FF0">
      <w:pPr>
        <w:spacing w:before="119" w:line="250" w:lineRule="auto"/>
        <w:ind w:left="102" w:right="96"/>
      </w:pPr>
    </w:p>
    <w:p w14:paraId="3064B992" w14:textId="232FF5F3" w:rsidR="000826B9" w:rsidRPr="00124FAB" w:rsidRDefault="00124FAB" w:rsidP="00124FAB">
      <w:pPr>
        <w:ind w:firstLine="0"/>
        <w:jc w:val="left"/>
        <w:rPr>
          <w:b/>
        </w:rPr>
      </w:pPr>
      <w:r w:rsidRPr="00124FAB">
        <w:rPr>
          <w:b/>
        </w:rPr>
        <w:t>2.3 Governança do conhecimento</w:t>
      </w:r>
    </w:p>
    <w:p w14:paraId="620EACB5" w14:textId="45240BA7" w:rsidR="00142B31" w:rsidRPr="00097067" w:rsidRDefault="00142B31" w:rsidP="006D7A90">
      <w:pPr>
        <w:widowControl w:val="0"/>
        <w:spacing w:before="123" w:line="250" w:lineRule="auto"/>
        <w:ind w:left="102" w:right="96" w:firstLine="0"/>
      </w:pPr>
      <w:r>
        <w:t>A fragmentação do conhecimento e a má coordenação são mais do que meros desafios; são, na verdade, sintomas da ausência ou ineficácia de governança em problemas complexos (</w:t>
      </w:r>
      <w:proofErr w:type="spellStart"/>
      <w:r w:rsidR="00BA1D4D" w:rsidRPr="00097067">
        <w:t>M</w:t>
      </w:r>
      <w:r w:rsidR="00225671" w:rsidRPr="00097067">
        <w:t>iković</w:t>
      </w:r>
      <w:proofErr w:type="spellEnd"/>
      <w:r w:rsidRPr="00097067">
        <w:t xml:space="preserve"> </w:t>
      </w:r>
      <w:r w:rsidRPr="00097067">
        <w:rPr>
          <w:i/>
        </w:rPr>
        <w:t>et al</w:t>
      </w:r>
      <w:r w:rsidRPr="00097067">
        <w:t>., 2020). A recorrência de informações fragmentadas e ineficiências no compartilhamento de conhecimento e a má gestão de vínculos sociais não são apenas questões isoladas, mas consequências diretas da falta de mecanismos de governança abrangentes que poderiam, de outra forma, facilitar a colaboração estruturada, o fluxo de informações e o alinhamento de recursos (</w:t>
      </w:r>
      <w:proofErr w:type="spellStart"/>
      <w:r w:rsidR="00BA1D4D" w:rsidRPr="00097067">
        <w:t>V</w:t>
      </w:r>
      <w:r w:rsidR="00225671" w:rsidRPr="00097067">
        <w:t>alujeva</w:t>
      </w:r>
      <w:proofErr w:type="spellEnd"/>
      <w:r w:rsidRPr="00097067">
        <w:t>, 2023). A questão não é apenas que o conhecimento está fragmentado, mas por que ele está desconectado nas redes, e a governança surge como o elo crucial para conectar esforços díspares. Sem uma governança adequada, o conhecimento permanece em silos, e o potencial colaborativo não se concretiza, levando a ineficiências sistêmicas.</w:t>
      </w:r>
    </w:p>
    <w:p w14:paraId="680481BB" w14:textId="3A45BB22" w:rsidR="00142B31" w:rsidRPr="00097067" w:rsidRDefault="00142B31" w:rsidP="006D7A90">
      <w:pPr>
        <w:widowControl w:val="0"/>
        <w:spacing w:before="119" w:line="250" w:lineRule="auto"/>
        <w:ind w:left="102" w:right="96"/>
      </w:pPr>
      <w:r w:rsidRPr="00097067">
        <w:t>Canais de compartilhamento do conhecimento são cruciais para a governança do</w:t>
      </w:r>
      <w:r w:rsidR="000629EF">
        <w:t xml:space="preserve"> </w:t>
      </w:r>
      <w:r w:rsidRPr="00097067">
        <w:t>conhecimento</w:t>
      </w:r>
      <w:r w:rsidR="000629EF">
        <w:t xml:space="preserve"> </w:t>
      </w:r>
      <w:r w:rsidRPr="00097067">
        <w:t>(</w:t>
      </w:r>
      <w:r w:rsidR="00BA1D4D" w:rsidRPr="00097067">
        <w:t>F</w:t>
      </w:r>
      <w:r w:rsidR="00225671" w:rsidRPr="00097067">
        <w:t>reire</w:t>
      </w:r>
      <w:r w:rsidR="00BA1D4D" w:rsidRPr="00097067">
        <w:t>; S</w:t>
      </w:r>
      <w:r w:rsidR="00225671" w:rsidRPr="00097067">
        <w:t>ilva</w:t>
      </w:r>
      <w:r w:rsidR="00BA1D4D" w:rsidRPr="00097067">
        <w:t>; S</w:t>
      </w:r>
      <w:r w:rsidR="00225671" w:rsidRPr="00097067">
        <w:t>ilva</w:t>
      </w:r>
      <w:r w:rsidRPr="00097067">
        <w:t xml:space="preserve">, 2021). Nesse cenário, as redes surgem como ferramentas inteligentes, superando barreiras organizacionais e departamentais. Elas promovem o diálogo, a aprendizagem e a transferência de conhecimentos entre diversos atores, inclusive em estruturas hierárquicas. </w:t>
      </w:r>
    </w:p>
    <w:p w14:paraId="491D1B81" w14:textId="4751F453" w:rsidR="00B76F88" w:rsidRDefault="00142B31" w:rsidP="00097067">
      <w:pPr>
        <w:widowControl w:val="0"/>
        <w:spacing w:before="119" w:line="250" w:lineRule="auto"/>
        <w:ind w:left="102" w:right="96"/>
      </w:pPr>
      <w:r w:rsidRPr="00097067">
        <w:t>A integração de ideias, interesses e expectativas de atores em interação assimétrica, porém coordenada, estimula a participação individual e beneficia o coletivo (</w:t>
      </w:r>
      <w:proofErr w:type="spellStart"/>
      <w:r w:rsidR="00BA1D4D" w:rsidRPr="00097067">
        <w:t>K</w:t>
      </w:r>
      <w:r w:rsidR="00225671" w:rsidRPr="00097067">
        <w:t>empner</w:t>
      </w:r>
      <w:proofErr w:type="spellEnd"/>
      <w:r w:rsidR="00BA1D4D" w:rsidRPr="00097067">
        <w:t>-M</w:t>
      </w:r>
      <w:r w:rsidR="00225671" w:rsidRPr="00097067">
        <w:t>oreira</w:t>
      </w:r>
      <w:r w:rsidR="00BA1D4D" w:rsidRPr="00097067">
        <w:t>; F</w:t>
      </w:r>
      <w:r w:rsidR="00225671" w:rsidRPr="00097067">
        <w:t>reire</w:t>
      </w:r>
      <w:r w:rsidRPr="00097067">
        <w:t>, 2021).</w:t>
      </w:r>
    </w:p>
    <w:p w14:paraId="7CB5086A" w14:textId="77777777" w:rsidR="00286058" w:rsidRDefault="00142B31" w:rsidP="00286058">
      <w:pPr>
        <w:pStyle w:val="Ttulo1"/>
        <w:keepNext w:val="0"/>
        <w:keepLines w:val="0"/>
        <w:widowControl w:val="0"/>
        <w:numPr>
          <w:ilvl w:val="0"/>
          <w:numId w:val="1"/>
        </w:numPr>
        <w:tabs>
          <w:tab w:val="left" w:pos="415"/>
        </w:tabs>
        <w:spacing w:before="207" w:line="240" w:lineRule="auto"/>
        <w:ind w:hanging="315"/>
        <w:jc w:val="both"/>
        <w:rPr>
          <w:sz w:val="26"/>
          <w:szCs w:val="26"/>
        </w:rPr>
      </w:pPr>
      <w:r w:rsidRPr="00BA1D4D">
        <w:rPr>
          <w:sz w:val="26"/>
          <w:szCs w:val="26"/>
        </w:rPr>
        <w:t>Metodologia</w:t>
      </w:r>
    </w:p>
    <w:p w14:paraId="4810C192" w14:textId="77777777" w:rsidR="00286058" w:rsidRPr="00286058" w:rsidRDefault="00286058" w:rsidP="006D7A90">
      <w:pPr>
        <w:spacing w:before="123" w:line="250" w:lineRule="auto"/>
        <w:ind w:left="102" w:right="96" w:firstLine="0"/>
        <w:jc w:val="left"/>
      </w:pPr>
      <w:r>
        <w:t>A</w:t>
      </w:r>
      <w:r w:rsidRPr="00142B31">
        <w:t>presenta-se o procedimento metodológico empregado na revisão de literatura e na análise de conteúdo</w:t>
      </w:r>
      <w:r>
        <w:t>.</w:t>
      </w:r>
    </w:p>
    <w:p w14:paraId="45DEC9A4" w14:textId="77777777" w:rsidR="00142B31" w:rsidRPr="00142B31" w:rsidRDefault="00142B31" w:rsidP="00142B31">
      <w:pPr>
        <w:widowControl w:val="0"/>
        <w:spacing w:before="61" w:line="249" w:lineRule="auto"/>
        <w:ind w:left="100" w:right="98" w:firstLine="0"/>
        <w:rPr>
          <w:b/>
        </w:rPr>
      </w:pPr>
      <w:r w:rsidRPr="00142B31">
        <w:rPr>
          <w:b/>
        </w:rPr>
        <w:lastRenderedPageBreak/>
        <w:t>3.1 Revisão sistemática da literatura</w:t>
      </w:r>
    </w:p>
    <w:p w14:paraId="0EEA7CFC" w14:textId="637A89A1" w:rsidR="00142B31" w:rsidRDefault="00142B31" w:rsidP="006D7A90">
      <w:pPr>
        <w:widowControl w:val="0"/>
        <w:spacing w:before="123" w:line="250" w:lineRule="auto"/>
        <w:ind w:left="102" w:right="96" w:firstLine="0"/>
      </w:pPr>
      <w:r>
        <w:t>Existem diferentes formas de se realizar uma revisão da literatura. Segundo Botelho, Cunha e Macedo (2011), elas baseiam-se tanto em revisões narrativas (não sistematizadas), caracterizadas pela ausência de critérios explícitos para a seleção dos artigos, quanto em revisões com etapas claras e critérios explícitos para seleção, avaliação e análise dos estudos (sistematizadas). Essa última se subdivide em quatro outros métodos: meta-análise, revisão sistemática, revisão qualitativa e revisão integrativa (</w:t>
      </w:r>
      <w:r w:rsidR="0056586E">
        <w:t>B</w:t>
      </w:r>
      <w:r w:rsidR="00225671">
        <w:t>otelho</w:t>
      </w:r>
      <w:r w:rsidR="0056586E">
        <w:t>; C</w:t>
      </w:r>
      <w:r w:rsidR="00225671">
        <w:t>unha</w:t>
      </w:r>
      <w:r w:rsidR="0056586E">
        <w:t>; M</w:t>
      </w:r>
      <w:r w:rsidR="00225671">
        <w:t>acedo</w:t>
      </w:r>
      <w:r>
        <w:t>, 2011).</w:t>
      </w:r>
    </w:p>
    <w:p w14:paraId="54C9924F" w14:textId="77777777" w:rsidR="00142B31" w:rsidRDefault="00142B31" w:rsidP="006D7A90">
      <w:pPr>
        <w:widowControl w:val="0"/>
        <w:spacing w:before="119" w:line="250" w:lineRule="auto"/>
        <w:ind w:left="102" w:right="96"/>
      </w:pPr>
      <w:r>
        <w:t xml:space="preserve">A presente pesquisa é uma revisão sistemática da literatura. Segundo </w:t>
      </w:r>
      <w:r w:rsidRPr="00BE35BB">
        <w:t>Castro (2006),</w:t>
      </w:r>
      <w:r>
        <w:t xml:space="preserve"> a revisão bibliográfica sistemática é planejada para responder a uma pergunta específica e utiliza métodos explícitos e sistemáticos para identificar, selecionar e avaliar criticamente os estudos, bem como para coletar e analisar dados desses estudos incluídos na revisão</w:t>
      </w:r>
      <w:r w:rsidR="00286058">
        <w:t>.</w:t>
      </w:r>
    </w:p>
    <w:p w14:paraId="53FEB478" w14:textId="2D22CED3" w:rsidR="00142B31" w:rsidRDefault="00142B31" w:rsidP="006D7A90">
      <w:pPr>
        <w:widowControl w:val="0"/>
        <w:spacing w:before="119" w:line="250" w:lineRule="auto"/>
        <w:ind w:left="102" w:right="96"/>
      </w:pPr>
      <w:r>
        <w:t>Além disso, há necessidade de dois ou mais pesquisadores; todos devem ler todos os artigos e discutir quais artigos entram ou não no portfólio bibliográfico, seguindo, portanto, um protocolo de pesquisa (H</w:t>
      </w:r>
      <w:r w:rsidR="00225671">
        <w:t>iggins</w:t>
      </w:r>
      <w:r>
        <w:t>; G</w:t>
      </w:r>
      <w:r w:rsidR="00225671">
        <w:t>reen</w:t>
      </w:r>
      <w:r w:rsidR="008F0A5C">
        <w:t xml:space="preserve">, </w:t>
      </w:r>
      <w:r>
        <w:t xml:space="preserve">2011; </w:t>
      </w:r>
      <w:proofErr w:type="spellStart"/>
      <w:r>
        <w:t>F</w:t>
      </w:r>
      <w:r w:rsidR="00225671">
        <w:t>erenhof</w:t>
      </w:r>
      <w:proofErr w:type="spellEnd"/>
      <w:r>
        <w:t>; F</w:t>
      </w:r>
      <w:r w:rsidR="00225671">
        <w:t>ernandes</w:t>
      </w:r>
      <w:r w:rsidR="008F0A5C">
        <w:t xml:space="preserve">, </w:t>
      </w:r>
      <w:r>
        <w:t>2016</w:t>
      </w:r>
      <w:r w:rsidR="008F0A5C">
        <w:t>)</w:t>
      </w:r>
      <w:r>
        <w:t>.</w:t>
      </w:r>
    </w:p>
    <w:p w14:paraId="6D5E3C47" w14:textId="77777777" w:rsidR="00286058" w:rsidRDefault="00142B31" w:rsidP="006D7A90">
      <w:pPr>
        <w:widowControl w:val="0"/>
        <w:spacing w:before="119" w:line="250" w:lineRule="auto"/>
        <w:ind w:left="102" w:right="96"/>
      </w:pPr>
      <w:r>
        <w:t xml:space="preserve">Para </w:t>
      </w:r>
      <w:proofErr w:type="spellStart"/>
      <w:r>
        <w:t>Ferenhof</w:t>
      </w:r>
      <w:proofErr w:type="spellEnd"/>
      <w:r>
        <w:t xml:space="preserve"> e Fernandes (2016), a revisão sistemática é um método de investigação científica com um processo rigoroso e explícito para identificar, selecionar, coletar dados, analisar e descrever as contribuições relevantes à pesquisa.  A presente revisão teve como base o método proposto pelos autores, chamado </w:t>
      </w:r>
      <w:proofErr w:type="spellStart"/>
      <w:r w:rsidRPr="005D11EE">
        <w:rPr>
          <w:i/>
        </w:rPr>
        <w:t>Systematic</w:t>
      </w:r>
      <w:proofErr w:type="spellEnd"/>
      <w:r w:rsidRPr="005D11EE">
        <w:rPr>
          <w:i/>
        </w:rPr>
        <w:t xml:space="preserve"> Search </w:t>
      </w:r>
      <w:proofErr w:type="spellStart"/>
      <w:r w:rsidRPr="005D11EE">
        <w:rPr>
          <w:i/>
        </w:rPr>
        <w:t>Flow</w:t>
      </w:r>
      <w:proofErr w:type="spellEnd"/>
      <w:r>
        <w:t xml:space="preserve"> (SSF), que é composto por quatro fases e oito atividades. </w:t>
      </w:r>
    </w:p>
    <w:p w14:paraId="533B6415" w14:textId="77777777" w:rsidR="00B76F88" w:rsidRDefault="00142B31" w:rsidP="00142B31">
      <w:pPr>
        <w:widowControl w:val="0"/>
        <w:spacing w:before="61" w:line="249" w:lineRule="auto"/>
        <w:ind w:left="100" w:right="98" w:firstLine="620"/>
      </w:pPr>
      <w:r>
        <w:t>A seguir, serão descritas as etapas do método e sua respectiva aplicação nesta pesquisa</w:t>
      </w:r>
      <w:r w:rsidRPr="00142B31">
        <w:t>.</w:t>
      </w:r>
    </w:p>
    <w:p w14:paraId="287B4FE0" w14:textId="77777777" w:rsidR="00286058" w:rsidRDefault="00286058" w:rsidP="00142B31">
      <w:pPr>
        <w:widowControl w:val="0"/>
        <w:spacing w:before="61" w:line="249" w:lineRule="auto"/>
        <w:ind w:left="100" w:right="98" w:firstLine="620"/>
      </w:pPr>
      <w:r w:rsidRPr="0056586E">
        <w:t xml:space="preserve">Fase </w:t>
      </w:r>
      <w:r w:rsidR="00603B5A" w:rsidRPr="0056586E">
        <w:t>1</w:t>
      </w:r>
      <w:r>
        <w:rPr>
          <w:b/>
        </w:rPr>
        <w:t xml:space="preserve"> -</w:t>
      </w:r>
      <w:r>
        <w:t xml:space="preserve"> Protocolo de pesquisa. Essa fase é composta por cinco atividades</w:t>
      </w:r>
      <w:r w:rsidR="00D67A81">
        <w:t>.</w:t>
      </w:r>
    </w:p>
    <w:p w14:paraId="1DB3FA7A" w14:textId="77777777" w:rsidR="00D67A81" w:rsidRPr="0056586E" w:rsidRDefault="00603B5A" w:rsidP="0056586E">
      <w:pPr>
        <w:widowControl w:val="0"/>
        <w:spacing w:before="120" w:after="120" w:line="240" w:lineRule="auto"/>
        <w:ind w:left="102" w:right="96" w:firstLine="0"/>
        <w:jc w:val="center"/>
        <w:rPr>
          <w:rFonts w:ascii="Helvetica" w:hAnsi="Helvetica"/>
          <w:b/>
          <w:sz w:val="20"/>
          <w:szCs w:val="20"/>
        </w:rPr>
      </w:pPr>
      <w:r w:rsidRPr="0056586E">
        <w:rPr>
          <w:rFonts w:ascii="Helvetica" w:hAnsi="Helvetica"/>
          <w:b/>
          <w:sz w:val="20"/>
          <w:szCs w:val="20"/>
        </w:rPr>
        <w:t xml:space="preserve">Quadro </w:t>
      </w:r>
      <w:r w:rsidR="00D67A81" w:rsidRPr="0056586E">
        <w:rPr>
          <w:rFonts w:ascii="Helvetica" w:hAnsi="Helvetica"/>
          <w:b/>
          <w:sz w:val="20"/>
          <w:szCs w:val="20"/>
        </w:rPr>
        <w:t>1 –</w:t>
      </w:r>
      <w:r w:rsidRPr="0056586E">
        <w:rPr>
          <w:rFonts w:ascii="Helvetica" w:hAnsi="Helvetica"/>
          <w:b/>
          <w:sz w:val="20"/>
          <w:szCs w:val="20"/>
        </w:rPr>
        <w:t xml:space="preserve"> P</w:t>
      </w:r>
      <w:r w:rsidR="00D67A81" w:rsidRPr="0056586E">
        <w:rPr>
          <w:rFonts w:ascii="Helvetica" w:hAnsi="Helvetica"/>
          <w:b/>
          <w:sz w:val="20"/>
          <w:szCs w:val="20"/>
        </w:rPr>
        <w:t>rotocolo de pesquisa</w:t>
      </w:r>
    </w:p>
    <w:tbl>
      <w:tblPr>
        <w:tblStyle w:val="Tabelacomgrade"/>
        <w:tblW w:w="0" w:type="auto"/>
        <w:tblInd w:w="100" w:type="dxa"/>
        <w:tblLook w:val="04A0" w:firstRow="1" w:lastRow="0" w:firstColumn="1" w:lastColumn="0" w:noHBand="0" w:noVBand="1"/>
      </w:tblPr>
      <w:tblGrid>
        <w:gridCol w:w="2730"/>
        <w:gridCol w:w="6180"/>
      </w:tblGrid>
      <w:tr w:rsidR="00BA1D4D" w:rsidRPr="00BA1D4D" w14:paraId="787059F4" w14:textId="77777777" w:rsidTr="00A16797">
        <w:tc>
          <w:tcPr>
            <w:tcW w:w="8910" w:type="dxa"/>
            <w:gridSpan w:val="2"/>
          </w:tcPr>
          <w:p w14:paraId="47649336" w14:textId="77777777" w:rsidR="00BA1D4D" w:rsidRPr="00BA1D4D" w:rsidRDefault="00BA1D4D" w:rsidP="00BA1D4D">
            <w:pPr>
              <w:widowControl w:val="0"/>
              <w:spacing w:before="61" w:line="249" w:lineRule="auto"/>
              <w:ind w:right="98" w:firstLine="0"/>
              <w:rPr>
                <w:sz w:val="20"/>
                <w:szCs w:val="20"/>
              </w:rPr>
            </w:pPr>
            <w:r w:rsidRPr="00BA1D4D">
              <w:rPr>
                <w:sz w:val="20"/>
                <w:szCs w:val="20"/>
              </w:rPr>
              <w:t>Fase 1 – definição do protocolo de pesquisa</w:t>
            </w:r>
          </w:p>
        </w:tc>
      </w:tr>
      <w:tr w:rsidR="00BA1D4D" w:rsidRPr="00BA1D4D" w14:paraId="1BE561AF" w14:textId="77777777" w:rsidTr="00BA1D4D">
        <w:tc>
          <w:tcPr>
            <w:tcW w:w="2730" w:type="dxa"/>
          </w:tcPr>
          <w:p w14:paraId="0937CF98" w14:textId="77777777" w:rsidR="00BA1D4D" w:rsidRPr="00BA1D4D" w:rsidRDefault="00BA1D4D" w:rsidP="00BA1D4D">
            <w:pPr>
              <w:widowControl w:val="0"/>
              <w:spacing w:before="61" w:line="249" w:lineRule="auto"/>
              <w:ind w:right="98" w:firstLine="0"/>
              <w:rPr>
                <w:sz w:val="20"/>
                <w:szCs w:val="20"/>
              </w:rPr>
            </w:pPr>
            <w:r w:rsidRPr="00BA1D4D">
              <w:rPr>
                <w:sz w:val="20"/>
                <w:szCs w:val="20"/>
              </w:rPr>
              <w:t>1.1 Estratégia de busca</w:t>
            </w:r>
          </w:p>
        </w:tc>
        <w:tc>
          <w:tcPr>
            <w:tcW w:w="6180" w:type="dxa"/>
          </w:tcPr>
          <w:p w14:paraId="3D23A7B3" w14:textId="25D4E6D4" w:rsidR="00BA1D4D" w:rsidRPr="00BA1D4D" w:rsidRDefault="00BA1D4D" w:rsidP="00750D5D">
            <w:pPr>
              <w:widowControl w:val="0"/>
              <w:spacing w:before="61" w:line="249" w:lineRule="auto"/>
              <w:ind w:right="98" w:firstLine="0"/>
              <w:rPr>
                <w:sz w:val="20"/>
                <w:szCs w:val="20"/>
              </w:rPr>
            </w:pPr>
            <w:proofErr w:type="spellStart"/>
            <w:r w:rsidRPr="00225671">
              <w:rPr>
                <w:sz w:val="20"/>
                <w:szCs w:val="20"/>
                <w:lang w:val="en-US"/>
              </w:rPr>
              <w:t>Foi</w:t>
            </w:r>
            <w:proofErr w:type="spellEnd"/>
            <w:r w:rsidRPr="00225671">
              <w:rPr>
                <w:sz w:val="20"/>
                <w:szCs w:val="20"/>
                <w:lang w:val="en-US"/>
              </w:rPr>
              <w:t xml:space="preserve"> </w:t>
            </w:r>
            <w:proofErr w:type="spellStart"/>
            <w:r w:rsidRPr="00225671">
              <w:rPr>
                <w:sz w:val="20"/>
                <w:szCs w:val="20"/>
                <w:lang w:val="en-US"/>
              </w:rPr>
              <w:t>utilizada</w:t>
            </w:r>
            <w:proofErr w:type="spellEnd"/>
            <w:r w:rsidRPr="00225671">
              <w:rPr>
                <w:sz w:val="20"/>
                <w:szCs w:val="20"/>
                <w:lang w:val="en-US"/>
              </w:rPr>
              <w:t xml:space="preserve"> a </w:t>
            </w:r>
            <w:proofErr w:type="spellStart"/>
            <w:r w:rsidRPr="00225671">
              <w:rPr>
                <w:sz w:val="20"/>
                <w:szCs w:val="20"/>
                <w:lang w:val="en-US"/>
              </w:rPr>
              <w:t>seguinte</w:t>
            </w:r>
            <w:proofErr w:type="spellEnd"/>
            <w:r w:rsidRPr="00225671">
              <w:rPr>
                <w:sz w:val="20"/>
                <w:szCs w:val="20"/>
                <w:lang w:val="en-US"/>
              </w:rPr>
              <w:t xml:space="preserve"> </w:t>
            </w:r>
            <w:r w:rsidRPr="00225671">
              <w:rPr>
                <w:i/>
                <w:sz w:val="20"/>
                <w:szCs w:val="20"/>
                <w:lang w:val="en-US"/>
              </w:rPr>
              <w:t>string</w:t>
            </w:r>
            <w:r w:rsidRPr="00225671">
              <w:rPr>
                <w:sz w:val="20"/>
                <w:szCs w:val="20"/>
                <w:lang w:val="en-US"/>
              </w:rPr>
              <w:t xml:space="preserve"> de </w:t>
            </w:r>
            <w:proofErr w:type="spellStart"/>
            <w:r w:rsidRPr="00225671">
              <w:rPr>
                <w:sz w:val="20"/>
                <w:szCs w:val="20"/>
                <w:lang w:val="en-US"/>
              </w:rPr>
              <w:t>busca</w:t>
            </w:r>
            <w:proofErr w:type="spellEnd"/>
            <w:r w:rsidRPr="00225671">
              <w:rPr>
                <w:sz w:val="20"/>
                <w:szCs w:val="20"/>
                <w:lang w:val="en-US"/>
              </w:rPr>
              <w:t>: ("</w:t>
            </w:r>
            <w:r w:rsidRPr="00225671">
              <w:rPr>
                <w:i/>
                <w:sz w:val="20"/>
                <w:szCs w:val="20"/>
                <w:lang w:val="en-US"/>
              </w:rPr>
              <w:t>Knowledge Management" OR "KM") AND ("Wicked Problems" OR "Complex Problems" OR "Societal Challenges") OR ("KM application" AND "solving wicked problems</w:t>
            </w:r>
            <w:r w:rsidRPr="00225671">
              <w:rPr>
                <w:sz w:val="20"/>
                <w:szCs w:val="20"/>
                <w:lang w:val="en-US"/>
              </w:rPr>
              <w:t xml:space="preserve">"). </w:t>
            </w:r>
            <w:r w:rsidRPr="00BA1D4D">
              <w:rPr>
                <w:sz w:val="20"/>
                <w:szCs w:val="20"/>
              </w:rPr>
              <w:t xml:space="preserve">A chave de busca foi aplicada no título, resumo e palavras-chave ou no tópico de cada base de dados e foram selecionados somente artigos científicos com acesso aberto dentro de um lapso temporal de 10 anos (2015 até 06/2025), sem restrição </w:t>
            </w:r>
            <w:r w:rsidR="00750D5D">
              <w:rPr>
                <w:sz w:val="20"/>
                <w:szCs w:val="20"/>
              </w:rPr>
              <w:t xml:space="preserve">de </w:t>
            </w:r>
            <w:r w:rsidRPr="00BA1D4D">
              <w:rPr>
                <w:sz w:val="20"/>
                <w:szCs w:val="20"/>
              </w:rPr>
              <w:t>idiomas</w:t>
            </w:r>
            <w:r>
              <w:rPr>
                <w:sz w:val="20"/>
                <w:szCs w:val="20"/>
              </w:rPr>
              <w:t>.</w:t>
            </w:r>
          </w:p>
        </w:tc>
      </w:tr>
      <w:tr w:rsidR="00BA1D4D" w:rsidRPr="00BA1D4D" w14:paraId="12546D80" w14:textId="77777777" w:rsidTr="00BA1D4D">
        <w:tc>
          <w:tcPr>
            <w:tcW w:w="2730" w:type="dxa"/>
          </w:tcPr>
          <w:p w14:paraId="49E14061" w14:textId="77777777" w:rsidR="00BA1D4D" w:rsidRPr="00BA1D4D" w:rsidRDefault="00BA1D4D" w:rsidP="00142B31">
            <w:pPr>
              <w:widowControl w:val="0"/>
              <w:spacing w:before="61" w:line="249" w:lineRule="auto"/>
              <w:ind w:right="98" w:firstLine="0"/>
              <w:rPr>
                <w:sz w:val="20"/>
                <w:szCs w:val="20"/>
              </w:rPr>
            </w:pPr>
            <w:r>
              <w:rPr>
                <w:sz w:val="20"/>
                <w:szCs w:val="20"/>
              </w:rPr>
              <w:t>1.2 Consulta em bases de dados</w:t>
            </w:r>
          </w:p>
        </w:tc>
        <w:tc>
          <w:tcPr>
            <w:tcW w:w="6180" w:type="dxa"/>
          </w:tcPr>
          <w:p w14:paraId="616F9FDB" w14:textId="77777777" w:rsidR="00BA1D4D" w:rsidRPr="00BA1D4D" w:rsidRDefault="00D67A81" w:rsidP="00142B31">
            <w:pPr>
              <w:widowControl w:val="0"/>
              <w:spacing w:before="61" w:line="249" w:lineRule="auto"/>
              <w:ind w:right="98" w:firstLine="0"/>
              <w:rPr>
                <w:sz w:val="20"/>
                <w:szCs w:val="20"/>
              </w:rPr>
            </w:pPr>
            <w:r w:rsidRPr="00D67A81">
              <w:rPr>
                <w:sz w:val="20"/>
                <w:szCs w:val="20"/>
              </w:rPr>
              <w:t xml:space="preserve">Foram selecionadas as bases de dados </w:t>
            </w:r>
            <w:r w:rsidRPr="00750D5D">
              <w:rPr>
                <w:sz w:val="20"/>
                <w:szCs w:val="20"/>
              </w:rPr>
              <w:t xml:space="preserve">Web </w:t>
            </w:r>
            <w:proofErr w:type="spellStart"/>
            <w:r w:rsidRPr="00750D5D">
              <w:rPr>
                <w:sz w:val="20"/>
                <w:szCs w:val="20"/>
              </w:rPr>
              <w:t>of</w:t>
            </w:r>
            <w:proofErr w:type="spellEnd"/>
            <w:r w:rsidRPr="00750D5D">
              <w:rPr>
                <w:sz w:val="20"/>
                <w:szCs w:val="20"/>
              </w:rPr>
              <w:t xml:space="preserve"> Science (WOS), Scopus</w:t>
            </w:r>
            <w:r w:rsidRPr="00D67A81">
              <w:rPr>
                <w:sz w:val="20"/>
                <w:szCs w:val="20"/>
              </w:rPr>
              <w:t xml:space="preserve"> e Scielo</w:t>
            </w:r>
            <w:r>
              <w:rPr>
                <w:sz w:val="20"/>
                <w:szCs w:val="20"/>
              </w:rPr>
              <w:t>.org</w:t>
            </w:r>
            <w:r w:rsidRPr="00D67A81">
              <w:rPr>
                <w:sz w:val="20"/>
                <w:szCs w:val="20"/>
              </w:rPr>
              <w:t>. A busca foi realizada de maio a junho de 2025 e resultou em um total de 44, 57 e 118 publicações, respectivamente, seguindo os parâmetros anteriormente especificados</w:t>
            </w:r>
            <w:r>
              <w:rPr>
                <w:sz w:val="20"/>
                <w:szCs w:val="20"/>
              </w:rPr>
              <w:t>.</w:t>
            </w:r>
          </w:p>
        </w:tc>
      </w:tr>
      <w:tr w:rsidR="00BA1D4D" w:rsidRPr="00BA1D4D" w14:paraId="46915129" w14:textId="77777777" w:rsidTr="00BA1D4D">
        <w:tc>
          <w:tcPr>
            <w:tcW w:w="2730" w:type="dxa"/>
          </w:tcPr>
          <w:p w14:paraId="4BF99247" w14:textId="77777777" w:rsidR="00BA1D4D" w:rsidRPr="00BA1D4D" w:rsidRDefault="00D67A81" w:rsidP="00D67A81">
            <w:pPr>
              <w:widowControl w:val="0"/>
              <w:spacing w:before="61" w:line="249" w:lineRule="auto"/>
              <w:ind w:right="98" w:firstLine="0"/>
              <w:rPr>
                <w:sz w:val="20"/>
                <w:szCs w:val="20"/>
              </w:rPr>
            </w:pPr>
            <w:r>
              <w:rPr>
                <w:sz w:val="20"/>
                <w:szCs w:val="20"/>
              </w:rPr>
              <w:t>1.3 Organização da bibliografia</w:t>
            </w:r>
          </w:p>
        </w:tc>
        <w:tc>
          <w:tcPr>
            <w:tcW w:w="6180" w:type="dxa"/>
          </w:tcPr>
          <w:p w14:paraId="406D9246" w14:textId="77777777" w:rsidR="00BA1D4D" w:rsidRPr="00BA1D4D" w:rsidRDefault="00D67A81" w:rsidP="00142B31">
            <w:pPr>
              <w:widowControl w:val="0"/>
              <w:spacing w:before="61" w:line="249" w:lineRule="auto"/>
              <w:ind w:right="98" w:firstLine="0"/>
              <w:rPr>
                <w:sz w:val="20"/>
                <w:szCs w:val="20"/>
              </w:rPr>
            </w:pPr>
            <w:r>
              <w:rPr>
                <w:sz w:val="20"/>
                <w:szCs w:val="20"/>
              </w:rPr>
              <w:t>N</w:t>
            </w:r>
            <w:r w:rsidRPr="00D67A81">
              <w:rPr>
                <w:sz w:val="20"/>
                <w:szCs w:val="20"/>
              </w:rPr>
              <w:t xml:space="preserve">essa fase ocorre a organização do portfólio por meio de um software organizador de bibliografias e referências, automatizando e agilizando o processo de procura, filtro, contagem e armazenagem. Dessa forma, os artigos foram exportados para o software </w:t>
            </w:r>
            <w:proofErr w:type="spellStart"/>
            <w:r w:rsidRPr="00750D5D">
              <w:rPr>
                <w:i/>
                <w:sz w:val="20"/>
                <w:szCs w:val="20"/>
              </w:rPr>
              <w:t>Mendeley</w:t>
            </w:r>
            <w:proofErr w:type="spellEnd"/>
            <w:r w:rsidRPr="00D67A81">
              <w:rPr>
                <w:sz w:val="20"/>
                <w:szCs w:val="20"/>
              </w:rPr>
              <w:t xml:space="preserve"> com o intuito de facilitar a leitura dos títulos, resumos e palavras-chave</w:t>
            </w:r>
            <w:r>
              <w:rPr>
                <w:sz w:val="20"/>
                <w:szCs w:val="20"/>
              </w:rPr>
              <w:t>.</w:t>
            </w:r>
          </w:p>
        </w:tc>
      </w:tr>
      <w:tr w:rsidR="00BA1D4D" w:rsidRPr="00BA1D4D" w14:paraId="6DC9AE5A" w14:textId="77777777" w:rsidTr="00BA1D4D">
        <w:tc>
          <w:tcPr>
            <w:tcW w:w="2730" w:type="dxa"/>
          </w:tcPr>
          <w:p w14:paraId="4FE3618B" w14:textId="77777777" w:rsidR="00BA1D4D" w:rsidRPr="00BA1D4D" w:rsidRDefault="00D67A81" w:rsidP="00D67A81">
            <w:pPr>
              <w:widowControl w:val="0"/>
              <w:spacing w:before="61" w:line="249" w:lineRule="auto"/>
              <w:ind w:right="98" w:firstLine="0"/>
              <w:rPr>
                <w:sz w:val="20"/>
                <w:szCs w:val="20"/>
              </w:rPr>
            </w:pPr>
            <w:r>
              <w:rPr>
                <w:sz w:val="20"/>
                <w:szCs w:val="20"/>
              </w:rPr>
              <w:t>1.4 Padronização da seleção de artigos</w:t>
            </w:r>
          </w:p>
        </w:tc>
        <w:tc>
          <w:tcPr>
            <w:tcW w:w="6180" w:type="dxa"/>
          </w:tcPr>
          <w:p w14:paraId="6121EE8E" w14:textId="3BB8D58C" w:rsidR="00BA1D4D" w:rsidRPr="00BA1D4D" w:rsidRDefault="00D67A81" w:rsidP="00BD47BD">
            <w:pPr>
              <w:widowControl w:val="0"/>
              <w:spacing w:before="61" w:line="249" w:lineRule="auto"/>
              <w:ind w:right="98" w:firstLine="0"/>
              <w:rPr>
                <w:sz w:val="20"/>
                <w:szCs w:val="20"/>
              </w:rPr>
            </w:pPr>
            <w:r w:rsidRPr="00D67A81">
              <w:rPr>
                <w:sz w:val="20"/>
                <w:szCs w:val="20"/>
              </w:rPr>
              <w:t>Nesta fase ocorre a leitura dos títulos, resumos (abstract) e palavras-chave de cada artigo, levando à escolha daqueles que estejam alinhados com o tema da busca</w:t>
            </w:r>
            <w:r>
              <w:rPr>
                <w:sz w:val="20"/>
                <w:szCs w:val="20"/>
              </w:rPr>
              <w:t xml:space="preserve">. </w:t>
            </w:r>
            <w:r w:rsidRPr="00D67A81">
              <w:rPr>
                <w:sz w:val="20"/>
                <w:szCs w:val="20"/>
              </w:rPr>
              <w:t>Após a devida filtragem, obteve-se o resultado de 16 (WOS), 28 (Scopus) e 8 (</w:t>
            </w:r>
            <w:proofErr w:type="spellStart"/>
            <w:r w:rsidRPr="00D67A81">
              <w:rPr>
                <w:sz w:val="20"/>
                <w:szCs w:val="20"/>
              </w:rPr>
              <w:t>Scielo</w:t>
            </w:r>
            <w:proofErr w:type="spellEnd"/>
            <w:r w:rsidRPr="00D67A81">
              <w:rPr>
                <w:sz w:val="20"/>
                <w:szCs w:val="20"/>
              </w:rPr>
              <w:t xml:space="preserve">), totalizando 52 artigos. Dos artigos selecionados, </w:t>
            </w:r>
            <w:r w:rsidR="00CD5B55">
              <w:rPr>
                <w:sz w:val="20"/>
                <w:szCs w:val="20"/>
              </w:rPr>
              <w:t>sete</w:t>
            </w:r>
            <w:r w:rsidR="00CD5B55" w:rsidRPr="00D67A81">
              <w:rPr>
                <w:sz w:val="20"/>
                <w:szCs w:val="20"/>
              </w:rPr>
              <w:t xml:space="preserve"> </w:t>
            </w:r>
            <w:r w:rsidRPr="00D67A81">
              <w:rPr>
                <w:sz w:val="20"/>
                <w:szCs w:val="20"/>
              </w:rPr>
              <w:t xml:space="preserve">estavam em duplicidade e </w:t>
            </w:r>
            <w:r w:rsidR="00CD5B55">
              <w:rPr>
                <w:sz w:val="20"/>
                <w:szCs w:val="20"/>
              </w:rPr>
              <w:t>três</w:t>
            </w:r>
            <w:r w:rsidR="00750D5D">
              <w:rPr>
                <w:sz w:val="20"/>
                <w:szCs w:val="20"/>
              </w:rPr>
              <w:t xml:space="preserve"> </w:t>
            </w:r>
            <w:r w:rsidRPr="00D67A81">
              <w:rPr>
                <w:sz w:val="20"/>
                <w:szCs w:val="20"/>
              </w:rPr>
              <w:t>tiveram acesso restrito, portanto, resultou em 42 publicações</w:t>
            </w:r>
            <w:r>
              <w:rPr>
                <w:sz w:val="20"/>
                <w:szCs w:val="20"/>
              </w:rPr>
              <w:t>.</w:t>
            </w:r>
          </w:p>
        </w:tc>
      </w:tr>
      <w:tr w:rsidR="00BA1D4D" w:rsidRPr="00BA1D4D" w14:paraId="557936D9" w14:textId="77777777" w:rsidTr="00BA1D4D">
        <w:tc>
          <w:tcPr>
            <w:tcW w:w="2730" w:type="dxa"/>
          </w:tcPr>
          <w:p w14:paraId="6D329AB1" w14:textId="77777777" w:rsidR="00BA1D4D" w:rsidRPr="00BA1D4D" w:rsidRDefault="00D67A81" w:rsidP="00D67A81">
            <w:pPr>
              <w:widowControl w:val="0"/>
              <w:spacing w:before="61" w:line="249" w:lineRule="auto"/>
              <w:ind w:right="98" w:firstLine="0"/>
              <w:rPr>
                <w:sz w:val="20"/>
                <w:szCs w:val="20"/>
              </w:rPr>
            </w:pPr>
            <w:r>
              <w:rPr>
                <w:sz w:val="20"/>
                <w:szCs w:val="20"/>
              </w:rPr>
              <w:lastRenderedPageBreak/>
              <w:t xml:space="preserve">1.5 Composição do portfólio </w:t>
            </w:r>
          </w:p>
        </w:tc>
        <w:tc>
          <w:tcPr>
            <w:tcW w:w="6180" w:type="dxa"/>
          </w:tcPr>
          <w:p w14:paraId="49657D00" w14:textId="4132BB39" w:rsidR="00BA1D4D" w:rsidRPr="00BA1D4D" w:rsidRDefault="00D67A81" w:rsidP="00BD47BD">
            <w:pPr>
              <w:widowControl w:val="0"/>
              <w:spacing w:before="61" w:line="249" w:lineRule="auto"/>
              <w:ind w:right="98" w:firstLine="0"/>
              <w:rPr>
                <w:sz w:val="20"/>
                <w:szCs w:val="20"/>
              </w:rPr>
            </w:pPr>
            <w:r w:rsidRPr="00D67A81">
              <w:rPr>
                <w:sz w:val="20"/>
                <w:szCs w:val="20"/>
              </w:rPr>
              <w:t>Busca-se eliminar algum documento que foi indicado na fase anterior por possuir algum termo que remetesse ao tema pesquisado</w:t>
            </w:r>
            <w:r>
              <w:rPr>
                <w:sz w:val="20"/>
                <w:szCs w:val="20"/>
              </w:rPr>
              <w:t>,</w:t>
            </w:r>
            <w:r>
              <w:t xml:space="preserve"> </w:t>
            </w:r>
            <w:r w:rsidRPr="00D67A81">
              <w:rPr>
                <w:sz w:val="20"/>
                <w:szCs w:val="20"/>
              </w:rPr>
              <w:t xml:space="preserve">mas que não estava relacionado ao objetivo desta pesquisa. Dessa forma, após realizar a leitura dos artigos na íntegra, resultou em </w:t>
            </w:r>
            <w:r w:rsidR="00B83521">
              <w:rPr>
                <w:sz w:val="20"/>
                <w:szCs w:val="20"/>
              </w:rPr>
              <w:t>19</w:t>
            </w:r>
            <w:r w:rsidRPr="00D67A81">
              <w:rPr>
                <w:sz w:val="20"/>
                <w:szCs w:val="20"/>
              </w:rPr>
              <w:t xml:space="preserve"> artigos</w:t>
            </w:r>
            <w:r w:rsidR="00B83521">
              <w:rPr>
                <w:sz w:val="20"/>
                <w:szCs w:val="20"/>
              </w:rPr>
              <w:t>.</w:t>
            </w:r>
            <w:r w:rsidRPr="00D67A81">
              <w:rPr>
                <w:sz w:val="20"/>
                <w:szCs w:val="20"/>
              </w:rPr>
              <w:t xml:space="preserve"> </w:t>
            </w:r>
          </w:p>
        </w:tc>
      </w:tr>
    </w:tbl>
    <w:p w14:paraId="263A1879" w14:textId="4B3A0FD0" w:rsidR="00BA1D4D" w:rsidRDefault="00346F24" w:rsidP="0056586E">
      <w:pPr>
        <w:widowControl w:val="0"/>
        <w:spacing w:before="61" w:line="249" w:lineRule="auto"/>
        <w:ind w:left="100" w:right="98" w:firstLine="620"/>
        <w:jc w:val="center"/>
        <w:rPr>
          <w:sz w:val="20"/>
          <w:szCs w:val="20"/>
        </w:rPr>
      </w:pPr>
      <w:r>
        <w:rPr>
          <w:sz w:val="20"/>
          <w:szCs w:val="20"/>
        </w:rPr>
        <w:t>Fonte: Elaborado pelas autoras (2025)</w:t>
      </w:r>
      <w:r w:rsidR="005D4A8C">
        <w:rPr>
          <w:sz w:val="20"/>
          <w:szCs w:val="20"/>
        </w:rPr>
        <w:t>.</w:t>
      </w:r>
    </w:p>
    <w:p w14:paraId="1DC9942E" w14:textId="77777777" w:rsidR="00346F24" w:rsidRDefault="00346F24" w:rsidP="00142B31">
      <w:pPr>
        <w:widowControl w:val="0"/>
        <w:spacing w:before="61" w:line="249" w:lineRule="auto"/>
        <w:ind w:left="100" w:right="98" w:firstLine="620"/>
        <w:rPr>
          <w:sz w:val="20"/>
          <w:szCs w:val="20"/>
        </w:rPr>
      </w:pPr>
    </w:p>
    <w:p w14:paraId="5946615B" w14:textId="77777777" w:rsidR="00603B5A" w:rsidRDefault="00603B5A" w:rsidP="006D7A90">
      <w:pPr>
        <w:widowControl w:val="0"/>
        <w:spacing w:before="119" w:line="250" w:lineRule="auto"/>
        <w:ind w:left="102" w:right="96"/>
      </w:pPr>
      <w:r>
        <w:t xml:space="preserve">Fase 2 - Atividade VI - Análise dos dados: foram realizadas as consolidações dos dados e utilizou-se como ferramenta uma matriz de síntese organizada com o auxílio da IA generativa </w:t>
      </w:r>
      <w:proofErr w:type="spellStart"/>
      <w:r w:rsidRPr="000629EF">
        <w:rPr>
          <w:i/>
        </w:rPr>
        <w:t>Scispace</w:t>
      </w:r>
      <w:proofErr w:type="spellEnd"/>
      <w:r>
        <w:t xml:space="preserve">. Segundo </w:t>
      </w:r>
      <w:proofErr w:type="spellStart"/>
      <w:r>
        <w:t>Ferenhof</w:t>
      </w:r>
      <w:proofErr w:type="spellEnd"/>
      <w:r>
        <w:t xml:space="preserve"> e Fernandes (2025, p. 19), “a IA Generativa pode ajudar na elaboração de relatórios, oferecendo sugestões para organizar os dados de forma clara e lógica, criar um esboço das seções do relatório, ou até mesmo gerar textos que resumem as principais descobertas da revisão”. </w:t>
      </w:r>
    </w:p>
    <w:p w14:paraId="7C11C62F" w14:textId="77777777" w:rsidR="00603B5A" w:rsidRDefault="00603B5A" w:rsidP="006D7A90">
      <w:pPr>
        <w:widowControl w:val="0"/>
        <w:spacing w:before="119" w:line="250" w:lineRule="auto"/>
        <w:ind w:left="102" w:right="96"/>
      </w:pPr>
      <w:r>
        <w:t xml:space="preserve">Fase 3 - Atividade VII - Síntese: utilizou-se como base a Matriz do Conhecimento, uma ferramenta desenvolvida por </w:t>
      </w:r>
      <w:proofErr w:type="spellStart"/>
      <w:r>
        <w:t>Ferenhof</w:t>
      </w:r>
      <w:proofErr w:type="spellEnd"/>
      <w:r>
        <w:t xml:space="preserve"> e Fernandes (2014), a qual se destina a extrair e organizar os dados oriundos da análise dos artigos. Assim, foram extraídos os principais dados para análise e categorização dos artigos e elaborada a matriz de síntese. </w:t>
      </w:r>
    </w:p>
    <w:p w14:paraId="50ECE904" w14:textId="77777777" w:rsidR="00346F24" w:rsidRDefault="00603B5A" w:rsidP="006D7A90">
      <w:pPr>
        <w:widowControl w:val="0"/>
        <w:spacing w:before="119" w:line="250" w:lineRule="auto"/>
        <w:ind w:left="102" w:right="96"/>
      </w:pPr>
      <w:r>
        <w:t>Fase 4 - Atividade VIII - Escrita: por fim, os resultados foram consolidados por meio da escrita científica, considerando o objetivo da pesquisa e a matriz de síntese elaborada.</w:t>
      </w:r>
    </w:p>
    <w:p w14:paraId="2BB426AE" w14:textId="77777777" w:rsidR="00603B5A" w:rsidRDefault="00603B5A" w:rsidP="00603B5A">
      <w:pPr>
        <w:widowControl w:val="0"/>
        <w:spacing w:before="61" w:line="249" w:lineRule="auto"/>
        <w:ind w:left="100" w:right="98" w:firstLine="620"/>
      </w:pPr>
    </w:p>
    <w:p w14:paraId="393CAE17" w14:textId="77777777" w:rsidR="00603B5A" w:rsidRDefault="00603B5A" w:rsidP="006D7A90">
      <w:pPr>
        <w:widowControl w:val="0"/>
        <w:spacing w:before="123" w:line="250" w:lineRule="auto"/>
        <w:ind w:right="96" w:firstLine="0"/>
        <w:jc w:val="left"/>
        <w:rPr>
          <w:b/>
        </w:rPr>
      </w:pPr>
      <w:r>
        <w:rPr>
          <w:b/>
        </w:rPr>
        <w:t xml:space="preserve">3.2 </w:t>
      </w:r>
      <w:r w:rsidRPr="00603B5A">
        <w:rPr>
          <w:b/>
        </w:rPr>
        <w:t xml:space="preserve">Análise de conteúdo </w:t>
      </w:r>
    </w:p>
    <w:p w14:paraId="67EF69C4" w14:textId="77777777" w:rsidR="00603B5A" w:rsidRDefault="00603B5A" w:rsidP="006D7A90">
      <w:pPr>
        <w:widowControl w:val="0"/>
        <w:spacing w:before="123" w:line="250" w:lineRule="auto"/>
        <w:ind w:left="102" w:right="96" w:firstLine="0"/>
      </w:pPr>
      <w:r>
        <w:t xml:space="preserve">A partir do portfólio resultante da revisão de literatura, optou-se por tomar como balizador a técnica proposta por Bardin (2010) em Análise de Conteúdo. Essas etapas são organizadas em três fases: I - </w:t>
      </w:r>
      <w:proofErr w:type="spellStart"/>
      <w:r>
        <w:t>pré-análise</w:t>
      </w:r>
      <w:proofErr w:type="spellEnd"/>
      <w:r>
        <w:t>, II - exploração do material e tratamento dos resultados, e III - inferência e interpretação.</w:t>
      </w:r>
    </w:p>
    <w:p w14:paraId="66B973FE" w14:textId="77777777" w:rsidR="00603B5A" w:rsidRDefault="00603B5A" w:rsidP="006D7A90">
      <w:pPr>
        <w:widowControl w:val="0"/>
        <w:spacing w:before="119" w:line="250" w:lineRule="auto"/>
        <w:ind w:left="102" w:right="96"/>
      </w:pPr>
      <w:r>
        <w:t xml:space="preserve">I- </w:t>
      </w:r>
      <w:proofErr w:type="spellStart"/>
      <w:r>
        <w:t>Pré-análise</w:t>
      </w:r>
      <w:proofErr w:type="spellEnd"/>
      <w:r>
        <w:t xml:space="preserve"> - A fase compreende a leitura geral do material eleito para a análise. Dessa forma, efetua-se a organização do material a ser investigado e tal sistematização serve para que o analista possa conduzir as operações sucessivas de análise. O Quadro 2 demonstra as atividades realizadas nessa fase e sua respectiva aplicação na pesquisa</w:t>
      </w:r>
      <w:r w:rsidR="003075AA">
        <w:t>.</w:t>
      </w:r>
    </w:p>
    <w:p w14:paraId="73A3D7C6" w14:textId="77777777" w:rsidR="00603B5A" w:rsidRPr="0056586E" w:rsidRDefault="003075AA" w:rsidP="0056586E">
      <w:pPr>
        <w:spacing w:before="120" w:after="120" w:line="240" w:lineRule="auto"/>
        <w:jc w:val="center"/>
        <w:rPr>
          <w:rFonts w:ascii="Helvetica" w:hAnsi="Helvetica"/>
          <w:b/>
        </w:rPr>
      </w:pPr>
      <w:r w:rsidRPr="0056586E">
        <w:rPr>
          <w:rFonts w:ascii="Helvetica" w:hAnsi="Helvetica"/>
          <w:b/>
          <w:sz w:val="20"/>
          <w:szCs w:val="20"/>
        </w:rPr>
        <w:t>Quadro 2 - Fase I da análise de conteúdo</w:t>
      </w:r>
    </w:p>
    <w:tbl>
      <w:tblPr>
        <w:tblStyle w:val="Tabelacomgrade"/>
        <w:tblW w:w="0" w:type="auto"/>
        <w:jc w:val="center"/>
        <w:tblLook w:val="04A0" w:firstRow="1" w:lastRow="0" w:firstColumn="1" w:lastColumn="0" w:noHBand="0" w:noVBand="1"/>
      </w:tblPr>
      <w:tblGrid>
        <w:gridCol w:w="3277"/>
        <w:gridCol w:w="4880"/>
      </w:tblGrid>
      <w:tr w:rsidR="003075AA" w14:paraId="777CC19B" w14:textId="77777777" w:rsidTr="003075AA">
        <w:trPr>
          <w:trHeight w:val="228"/>
          <w:jc w:val="center"/>
        </w:trPr>
        <w:tc>
          <w:tcPr>
            <w:tcW w:w="3277" w:type="dxa"/>
          </w:tcPr>
          <w:p w14:paraId="6F99B479" w14:textId="77777777" w:rsidR="003075AA" w:rsidRDefault="003075AA" w:rsidP="003075AA">
            <w:pPr>
              <w:widowControl w:val="0"/>
              <w:pBdr>
                <w:top w:val="nil"/>
                <w:left w:val="nil"/>
                <w:bottom w:val="nil"/>
                <w:right w:val="nil"/>
                <w:between w:val="nil"/>
              </w:pBdr>
              <w:jc w:val="center"/>
              <w:rPr>
                <w:sz w:val="20"/>
                <w:szCs w:val="20"/>
              </w:rPr>
            </w:pPr>
            <w:proofErr w:type="spellStart"/>
            <w:r>
              <w:rPr>
                <w:sz w:val="20"/>
                <w:szCs w:val="20"/>
              </w:rPr>
              <w:t>Pré-Análise</w:t>
            </w:r>
            <w:proofErr w:type="spellEnd"/>
          </w:p>
        </w:tc>
        <w:tc>
          <w:tcPr>
            <w:tcW w:w="4880" w:type="dxa"/>
          </w:tcPr>
          <w:p w14:paraId="76AD755F" w14:textId="77777777" w:rsidR="003075AA" w:rsidRDefault="003075AA" w:rsidP="003075AA">
            <w:pPr>
              <w:widowControl w:val="0"/>
              <w:pBdr>
                <w:top w:val="nil"/>
                <w:left w:val="nil"/>
                <w:bottom w:val="nil"/>
                <w:right w:val="nil"/>
                <w:between w:val="nil"/>
              </w:pBdr>
              <w:jc w:val="center"/>
              <w:rPr>
                <w:sz w:val="20"/>
                <w:szCs w:val="20"/>
              </w:rPr>
            </w:pPr>
            <w:r>
              <w:rPr>
                <w:sz w:val="20"/>
                <w:szCs w:val="20"/>
              </w:rPr>
              <w:t>Contexto da pesquisa</w:t>
            </w:r>
          </w:p>
        </w:tc>
      </w:tr>
      <w:tr w:rsidR="003075AA" w14:paraId="2B727C7B" w14:textId="77777777" w:rsidTr="00993DC5">
        <w:trPr>
          <w:trHeight w:val="684"/>
          <w:jc w:val="center"/>
        </w:trPr>
        <w:tc>
          <w:tcPr>
            <w:tcW w:w="3277" w:type="dxa"/>
            <w:vAlign w:val="center"/>
          </w:tcPr>
          <w:p w14:paraId="081C6082" w14:textId="77777777" w:rsidR="003075AA" w:rsidRDefault="003075AA" w:rsidP="00993DC5">
            <w:pPr>
              <w:widowControl w:val="0"/>
              <w:ind w:firstLine="0"/>
              <w:jc w:val="left"/>
              <w:rPr>
                <w:sz w:val="20"/>
                <w:szCs w:val="20"/>
              </w:rPr>
            </w:pPr>
            <w:r>
              <w:rPr>
                <w:sz w:val="20"/>
                <w:szCs w:val="20"/>
              </w:rPr>
              <w:t>Leitura flutuante: primeiro contato com os documentos da coleta de dados</w:t>
            </w:r>
          </w:p>
        </w:tc>
        <w:tc>
          <w:tcPr>
            <w:tcW w:w="4880" w:type="dxa"/>
            <w:vAlign w:val="center"/>
          </w:tcPr>
          <w:p w14:paraId="43AEFED1" w14:textId="717DF793" w:rsidR="003075AA" w:rsidRDefault="003075AA" w:rsidP="00012A9E">
            <w:pPr>
              <w:widowControl w:val="0"/>
              <w:pBdr>
                <w:top w:val="nil"/>
                <w:left w:val="nil"/>
                <w:bottom w:val="nil"/>
                <w:right w:val="nil"/>
                <w:between w:val="nil"/>
              </w:pBdr>
              <w:ind w:firstLine="0"/>
              <w:jc w:val="left"/>
              <w:rPr>
                <w:sz w:val="20"/>
                <w:szCs w:val="20"/>
              </w:rPr>
            </w:pPr>
            <w:r>
              <w:rPr>
                <w:sz w:val="20"/>
                <w:szCs w:val="20"/>
              </w:rPr>
              <w:t xml:space="preserve">Leitura do total dos </w:t>
            </w:r>
            <w:r w:rsidR="00012A9E">
              <w:rPr>
                <w:sz w:val="20"/>
                <w:szCs w:val="20"/>
              </w:rPr>
              <w:t>19</w:t>
            </w:r>
            <w:r>
              <w:rPr>
                <w:sz w:val="20"/>
                <w:szCs w:val="20"/>
              </w:rPr>
              <w:t xml:space="preserve"> artigos do portfólio inicial</w:t>
            </w:r>
          </w:p>
        </w:tc>
      </w:tr>
      <w:tr w:rsidR="003075AA" w14:paraId="6477616C" w14:textId="77777777" w:rsidTr="00993DC5">
        <w:trPr>
          <w:trHeight w:val="456"/>
          <w:jc w:val="center"/>
        </w:trPr>
        <w:tc>
          <w:tcPr>
            <w:tcW w:w="3277" w:type="dxa"/>
            <w:vAlign w:val="center"/>
          </w:tcPr>
          <w:p w14:paraId="621E4B61" w14:textId="77777777" w:rsidR="003075AA" w:rsidRDefault="003075AA" w:rsidP="00993DC5">
            <w:pPr>
              <w:widowControl w:val="0"/>
              <w:ind w:firstLine="0"/>
              <w:jc w:val="left"/>
              <w:rPr>
                <w:sz w:val="20"/>
                <w:szCs w:val="20"/>
              </w:rPr>
            </w:pPr>
            <w:r>
              <w:rPr>
                <w:sz w:val="20"/>
                <w:szCs w:val="20"/>
              </w:rPr>
              <w:t>Escolha dos documentos: definição do corpus de análise</w:t>
            </w:r>
          </w:p>
        </w:tc>
        <w:tc>
          <w:tcPr>
            <w:tcW w:w="4880" w:type="dxa"/>
            <w:vAlign w:val="center"/>
          </w:tcPr>
          <w:p w14:paraId="3F3EBA21" w14:textId="77777777" w:rsidR="003075AA" w:rsidRDefault="003075AA" w:rsidP="00993DC5">
            <w:pPr>
              <w:widowControl w:val="0"/>
              <w:ind w:firstLine="0"/>
              <w:jc w:val="left"/>
              <w:rPr>
                <w:sz w:val="20"/>
                <w:szCs w:val="20"/>
              </w:rPr>
            </w:pPr>
            <w:r>
              <w:rPr>
                <w:sz w:val="20"/>
                <w:szCs w:val="20"/>
              </w:rPr>
              <w:t>A escolha ocorreu pela presença ou não da relação de GC e problemas complexos ou perversos.</w:t>
            </w:r>
          </w:p>
        </w:tc>
      </w:tr>
      <w:tr w:rsidR="003075AA" w14:paraId="360A0DDB" w14:textId="77777777" w:rsidTr="00993DC5">
        <w:trPr>
          <w:trHeight w:val="923"/>
          <w:jc w:val="center"/>
        </w:trPr>
        <w:tc>
          <w:tcPr>
            <w:tcW w:w="3277" w:type="dxa"/>
            <w:vAlign w:val="center"/>
          </w:tcPr>
          <w:p w14:paraId="52E1597B" w14:textId="77777777" w:rsidR="003075AA" w:rsidRDefault="003075AA" w:rsidP="00993DC5">
            <w:pPr>
              <w:widowControl w:val="0"/>
              <w:ind w:firstLine="0"/>
              <w:jc w:val="left"/>
              <w:rPr>
                <w:sz w:val="20"/>
                <w:szCs w:val="20"/>
              </w:rPr>
            </w:pPr>
            <w:r>
              <w:rPr>
                <w:sz w:val="20"/>
                <w:szCs w:val="20"/>
              </w:rPr>
              <w:t>Formulação das hipóteses e objetivo</w:t>
            </w:r>
          </w:p>
        </w:tc>
        <w:tc>
          <w:tcPr>
            <w:tcW w:w="4880" w:type="dxa"/>
            <w:vAlign w:val="center"/>
          </w:tcPr>
          <w:p w14:paraId="2A329715" w14:textId="082E21D1" w:rsidR="003075AA" w:rsidRDefault="003075AA" w:rsidP="00993DC5">
            <w:pPr>
              <w:widowControl w:val="0"/>
              <w:pBdr>
                <w:top w:val="nil"/>
                <w:left w:val="nil"/>
                <w:bottom w:val="nil"/>
                <w:right w:val="nil"/>
                <w:between w:val="nil"/>
              </w:pBdr>
              <w:ind w:firstLine="0"/>
              <w:jc w:val="left"/>
              <w:rPr>
                <w:sz w:val="20"/>
                <w:szCs w:val="20"/>
              </w:rPr>
            </w:pPr>
            <w:r>
              <w:rPr>
                <w:sz w:val="20"/>
                <w:szCs w:val="20"/>
              </w:rPr>
              <w:t>Hipótese 1ª - a GC</w:t>
            </w:r>
            <w:r w:rsidR="00225671">
              <w:rPr>
                <w:sz w:val="20"/>
                <w:szCs w:val="20"/>
              </w:rPr>
              <w:t xml:space="preserve"> </w:t>
            </w:r>
            <w:r>
              <w:rPr>
                <w:sz w:val="20"/>
                <w:szCs w:val="20"/>
              </w:rPr>
              <w:t xml:space="preserve">é estratégia para lidar com problemas complexos; </w:t>
            </w:r>
          </w:p>
          <w:p w14:paraId="71DABA79" w14:textId="77777777" w:rsidR="003075AA" w:rsidRDefault="003075AA" w:rsidP="00993DC5">
            <w:pPr>
              <w:widowControl w:val="0"/>
              <w:pBdr>
                <w:top w:val="nil"/>
                <w:left w:val="nil"/>
                <w:bottom w:val="nil"/>
                <w:right w:val="nil"/>
                <w:between w:val="nil"/>
              </w:pBdr>
              <w:ind w:firstLine="0"/>
              <w:jc w:val="left"/>
              <w:rPr>
                <w:sz w:val="20"/>
                <w:szCs w:val="20"/>
              </w:rPr>
            </w:pPr>
            <w:r>
              <w:rPr>
                <w:sz w:val="20"/>
                <w:szCs w:val="20"/>
              </w:rPr>
              <w:t xml:space="preserve">Hipótese 2ª - espaços colaborativos e comunidades de práticas são fatores de sucesso para resolução dos problemas. </w:t>
            </w:r>
          </w:p>
          <w:p w14:paraId="6F30967C" w14:textId="77777777" w:rsidR="003075AA" w:rsidRDefault="003075AA" w:rsidP="00993DC5">
            <w:pPr>
              <w:widowControl w:val="0"/>
              <w:pBdr>
                <w:top w:val="nil"/>
                <w:left w:val="nil"/>
                <w:bottom w:val="nil"/>
                <w:right w:val="nil"/>
                <w:between w:val="nil"/>
              </w:pBdr>
              <w:ind w:firstLine="0"/>
              <w:jc w:val="left"/>
              <w:rPr>
                <w:sz w:val="20"/>
                <w:szCs w:val="20"/>
              </w:rPr>
            </w:pPr>
            <w:r>
              <w:rPr>
                <w:sz w:val="20"/>
                <w:szCs w:val="20"/>
              </w:rPr>
              <w:t xml:space="preserve">Objetivo - identificar estudos que tenham usado a GC para resolução de problemas complexos. </w:t>
            </w:r>
          </w:p>
        </w:tc>
      </w:tr>
      <w:tr w:rsidR="003075AA" w14:paraId="7A5C8394" w14:textId="77777777" w:rsidTr="00993DC5">
        <w:trPr>
          <w:trHeight w:val="456"/>
          <w:jc w:val="center"/>
        </w:trPr>
        <w:tc>
          <w:tcPr>
            <w:tcW w:w="3277" w:type="dxa"/>
            <w:vAlign w:val="center"/>
          </w:tcPr>
          <w:p w14:paraId="3AC2594F" w14:textId="77777777" w:rsidR="003075AA" w:rsidRDefault="003075AA" w:rsidP="00993DC5">
            <w:pPr>
              <w:widowControl w:val="0"/>
              <w:ind w:firstLine="0"/>
              <w:jc w:val="left"/>
              <w:rPr>
                <w:sz w:val="20"/>
                <w:szCs w:val="20"/>
              </w:rPr>
            </w:pPr>
            <w:r>
              <w:rPr>
                <w:sz w:val="20"/>
                <w:szCs w:val="20"/>
              </w:rPr>
              <w:t xml:space="preserve">Preparação do material </w:t>
            </w:r>
          </w:p>
          <w:p w14:paraId="4CE901DE" w14:textId="77777777" w:rsidR="003075AA" w:rsidRDefault="003075AA" w:rsidP="003075AA">
            <w:pPr>
              <w:widowControl w:val="0"/>
              <w:pBdr>
                <w:top w:val="nil"/>
                <w:left w:val="nil"/>
                <w:bottom w:val="nil"/>
                <w:right w:val="nil"/>
                <w:between w:val="nil"/>
              </w:pBdr>
              <w:jc w:val="left"/>
              <w:rPr>
                <w:sz w:val="20"/>
                <w:szCs w:val="20"/>
              </w:rPr>
            </w:pPr>
          </w:p>
        </w:tc>
        <w:tc>
          <w:tcPr>
            <w:tcW w:w="4880" w:type="dxa"/>
            <w:vAlign w:val="center"/>
          </w:tcPr>
          <w:p w14:paraId="21F97725" w14:textId="77777777" w:rsidR="003075AA" w:rsidRDefault="003075AA" w:rsidP="00993DC5">
            <w:pPr>
              <w:widowControl w:val="0"/>
              <w:pBdr>
                <w:top w:val="nil"/>
                <w:left w:val="nil"/>
                <w:bottom w:val="nil"/>
                <w:right w:val="nil"/>
                <w:between w:val="nil"/>
              </w:pBdr>
              <w:ind w:firstLine="0"/>
              <w:jc w:val="left"/>
              <w:rPr>
                <w:sz w:val="20"/>
                <w:szCs w:val="20"/>
              </w:rPr>
            </w:pPr>
            <w:r>
              <w:rPr>
                <w:sz w:val="20"/>
                <w:szCs w:val="20"/>
              </w:rPr>
              <w:t>Elaboração da matriz de síntese dos artigos</w:t>
            </w:r>
          </w:p>
        </w:tc>
      </w:tr>
    </w:tbl>
    <w:p w14:paraId="4A30CD5C" w14:textId="77777777" w:rsidR="003075AA" w:rsidRPr="00CD5B55" w:rsidRDefault="003075AA" w:rsidP="0056586E">
      <w:pPr>
        <w:spacing w:before="120" w:after="120" w:line="240" w:lineRule="auto"/>
        <w:ind w:firstLine="0"/>
        <w:jc w:val="center"/>
        <w:rPr>
          <w:sz w:val="20"/>
          <w:szCs w:val="20"/>
        </w:rPr>
      </w:pPr>
      <w:r w:rsidRPr="00993DC5">
        <w:rPr>
          <w:sz w:val="20"/>
          <w:szCs w:val="20"/>
        </w:rPr>
        <w:t>Fonte: Elaborado pelas autoras (2025</w:t>
      </w:r>
      <w:r w:rsidRPr="00CD5B55">
        <w:rPr>
          <w:sz w:val="20"/>
          <w:szCs w:val="20"/>
        </w:rPr>
        <w:t>).</w:t>
      </w:r>
    </w:p>
    <w:p w14:paraId="4D43215B" w14:textId="1226A70D" w:rsidR="00B83521" w:rsidRPr="00B83521" w:rsidRDefault="00B83521" w:rsidP="00B83521">
      <w:pPr>
        <w:spacing w:before="119" w:line="250" w:lineRule="auto"/>
        <w:ind w:left="102" w:right="96"/>
      </w:pPr>
      <w:r w:rsidRPr="00B83521">
        <w:lastRenderedPageBreak/>
        <w:t>II - Exploração do material - Esta fase consiste na construção das operações de codificação, considerando os recortes dos textos em unidades de registros (palavras, frases ou parágrafos), a classificação e agregação das informações em categorias simbólicas ou temáticas (S</w:t>
      </w:r>
      <w:r w:rsidR="00225671" w:rsidRPr="00B83521">
        <w:t>ilva</w:t>
      </w:r>
      <w:r>
        <w:t>;</w:t>
      </w:r>
      <w:r w:rsidRPr="00B83521">
        <w:t xml:space="preserve"> F</w:t>
      </w:r>
      <w:r w:rsidR="00225671" w:rsidRPr="00B83521">
        <w:t>ossa</w:t>
      </w:r>
      <w:r w:rsidRPr="00B83521">
        <w:t>, 2015</w:t>
      </w:r>
      <w:r>
        <w:t>)</w:t>
      </w:r>
      <w:r w:rsidRPr="00B83521">
        <w:t>.</w:t>
      </w:r>
    </w:p>
    <w:p w14:paraId="23637F38" w14:textId="2BF57043" w:rsidR="00B83521" w:rsidRPr="00B83521" w:rsidRDefault="00B83521" w:rsidP="006D7A90">
      <w:pPr>
        <w:spacing w:before="119" w:line="250" w:lineRule="auto"/>
        <w:ind w:left="102" w:right="96"/>
      </w:pPr>
      <w:r w:rsidRPr="00B83521">
        <w:t xml:space="preserve">Para Bardin (2010), a unidade de registro (UR) é a unidade de significação a codificar, a unidade base, visando à categorização e </w:t>
      </w:r>
      <w:r w:rsidR="00BD47BD">
        <w:t>à</w:t>
      </w:r>
      <w:r w:rsidRPr="00B83521">
        <w:t xml:space="preserve"> contagem de frequência. Já a unidade de contexto (UC) é a dimensão em que a unidade de registro está inserida. A análise categorial consiste no desmembramento do texto em categorias agrupadas analogicamente. Sendo assim, o recorte é feito em unidades de registro e contexto, agrupadas tematicamente em categorias, as quais possibilitam as inferências (</w:t>
      </w:r>
      <w:r w:rsidR="00225671" w:rsidRPr="00B83521">
        <w:t>Silva</w:t>
      </w:r>
      <w:r w:rsidR="00225671">
        <w:t>;</w:t>
      </w:r>
      <w:r w:rsidR="00225671" w:rsidRPr="00B83521">
        <w:t xml:space="preserve"> Fossa, 2015</w:t>
      </w:r>
      <w:r w:rsidRPr="00B83521">
        <w:t>).</w:t>
      </w:r>
    </w:p>
    <w:p w14:paraId="3B14550C" w14:textId="1E3D0A6C" w:rsidR="00B83521" w:rsidRPr="00B83521" w:rsidRDefault="00B83521" w:rsidP="006D7A90">
      <w:pPr>
        <w:spacing w:before="119" w:line="250" w:lineRule="auto"/>
        <w:ind w:left="102" w:right="96"/>
      </w:pPr>
      <w:r w:rsidRPr="00B83521">
        <w:t>III - Tratamento dos resultados, inferências e interpretação da análise de conteúdo - A análise de conteúdo constitui um bom instrumento de indução para investigar as causas (variáveis inferidas) a partir dos efeitos (variáveis de inferência). A inferência, operação lógica pela qual se admite uma proposição em virtude da sua ligação com outras proposições já aceitas como verdadeiras, é praticamente o objetivo da análise de conteúdo (B</w:t>
      </w:r>
      <w:r w:rsidR="00225671" w:rsidRPr="00B83521">
        <w:t>ardin</w:t>
      </w:r>
      <w:r w:rsidRPr="00B83521">
        <w:t>, 1977; 2010).</w:t>
      </w:r>
    </w:p>
    <w:p w14:paraId="160F6EB3" w14:textId="77777777" w:rsidR="00B83521" w:rsidRPr="00B83521" w:rsidRDefault="00B83521" w:rsidP="00B83521">
      <w:pPr>
        <w:spacing w:before="119" w:line="250" w:lineRule="auto"/>
        <w:ind w:left="102" w:right="96"/>
      </w:pPr>
      <w:r w:rsidRPr="00B83521">
        <w:t>A análise de conteúdo, enquanto conjunto de técnicas de análise das comunicações, pode contar com o auxílio de computadores e softwares de análise textual. Bardin (2010), em seu livro ‘Análise de Conteúdo’, dedica um capítulo inteiro para falar sobre a informatização da análise de comunicações (capítulo V), o que é possível ou não fazer. Segundo a autora, favorece a rapidez, o rigor na organização da investigação, a manipulação de dados complexos, facilita o banco de dados e o tratamento de textos (frequência, classificações, ordenações em gráficos, tabelas e cálculos estatísticos); mas o seu uso só é possível se o pesquisador conhecer suficientemente os dados e o contexto dos textos analisados.</w:t>
      </w:r>
    </w:p>
    <w:p w14:paraId="69168B7D" w14:textId="342FFF92" w:rsidR="00B83521" w:rsidRPr="00B83521" w:rsidRDefault="00B83521" w:rsidP="00B83521">
      <w:pPr>
        <w:spacing w:before="119" w:line="250" w:lineRule="auto"/>
        <w:ind w:left="102" w:right="96"/>
      </w:pPr>
      <w:r w:rsidRPr="00B83521">
        <w:t xml:space="preserve">Nesta fase, utilizamos a ferramenta de inteligência artificial </w:t>
      </w:r>
      <w:r w:rsidRPr="008F0A5C">
        <w:rPr>
          <w:i/>
        </w:rPr>
        <w:t>Gemini</w:t>
      </w:r>
      <w:r w:rsidRPr="00B83521">
        <w:t xml:space="preserve"> para auxiliar na análise semântica da matriz de síntese. Dos 19 artigos do portfólio inicial, três artigos tratavam de GC e de problemas complexos, mas de forma teórica e conceitual. Com isso, foram excluídos do portfólio de categorização, mas utilizados no embasamento teórico da pesquisa.</w:t>
      </w:r>
    </w:p>
    <w:p w14:paraId="20F218AC" w14:textId="58C59466" w:rsidR="003075AA" w:rsidRPr="00B83521" w:rsidRDefault="00B83521" w:rsidP="006D7A90">
      <w:pPr>
        <w:spacing w:before="119" w:line="250" w:lineRule="auto"/>
        <w:ind w:left="102" w:right="96"/>
      </w:pPr>
      <w:r w:rsidRPr="00B83521">
        <w:t xml:space="preserve">O portfólio final foi revisado para identificar artigos que explicitamente declaram uma metodologia empírica ou teórico-empírica (estudos de caso, </w:t>
      </w:r>
      <w:proofErr w:type="spellStart"/>
      <w:r w:rsidRPr="008F0A5C">
        <w:rPr>
          <w:i/>
        </w:rPr>
        <w:t>surveys</w:t>
      </w:r>
      <w:proofErr w:type="spellEnd"/>
      <w:r w:rsidRPr="00B83521">
        <w:t>, análise de conteúdo aplicada a dados, métodos mistos,</w:t>
      </w:r>
      <w:r w:rsidRPr="00B83521">
        <w:rPr>
          <w:sz w:val="20"/>
          <w:szCs w:val="20"/>
        </w:rPr>
        <w:t xml:space="preserve"> </w:t>
      </w:r>
      <w:r w:rsidRPr="00B83521">
        <w:t>etc.). Artigos puramente teóricos, conceituais ou de revisão bibliométrica sem aplicação empírica direta a um problema complexo específico foram excluídos da análise primária para a categorização dos problemas. Essa seleção visa garantir que o foco do relatório seja em problemas complexos que foram de fato investigados no mundo real por meio de métodos empíricos. Com isso, o portfólio final que fo</w:t>
      </w:r>
      <w:r w:rsidR="00BD47BD">
        <w:t>i</w:t>
      </w:r>
      <w:r w:rsidRPr="00B83521">
        <w:t xml:space="preserve"> categorizado totalizou 16 artigos com referências empíricas na abordagem dos problemas complexos e a GC.</w:t>
      </w:r>
    </w:p>
    <w:p w14:paraId="02A9454C" w14:textId="77777777" w:rsidR="00B83521" w:rsidRDefault="00B83521" w:rsidP="003075AA">
      <w:pPr>
        <w:jc w:val="left"/>
        <w:rPr>
          <w:sz w:val="20"/>
          <w:szCs w:val="20"/>
        </w:rPr>
      </w:pPr>
    </w:p>
    <w:p w14:paraId="32D41AAD" w14:textId="77777777" w:rsidR="00B83521" w:rsidRDefault="00B83521" w:rsidP="006D7A90">
      <w:pPr>
        <w:spacing w:line="276" w:lineRule="auto"/>
        <w:ind w:firstLine="0"/>
        <w:rPr>
          <w:b/>
          <w:color w:val="000000"/>
        </w:rPr>
      </w:pPr>
      <w:r>
        <w:rPr>
          <w:b/>
          <w:color w:val="000000"/>
        </w:rPr>
        <w:t xml:space="preserve">4. </w:t>
      </w:r>
      <w:r w:rsidRPr="00B83521">
        <w:rPr>
          <w:b/>
          <w:color w:val="000000"/>
          <w:sz w:val="26"/>
          <w:szCs w:val="26"/>
        </w:rPr>
        <w:t xml:space="preserve">Apresentação dos </w:t>
      </w:r>
      <w:r w:rsidR="0053555A">
        <w:rPr>
          <w:b/>
          <w:color w:val="000000"/>
          <w:sz w:val="26"/>
          <w:szCs w:val="26"/>
        </w:rPr>
        <w:t>d</w:t>
      </w:r>
      <w:r w:rsidRPr="00B83521">
        <w:rPr>
          <w:b/>
          <w:color w:val="000000"/>
          <w:sz w:val="26"/>
          <w:szCs w:val="26"/>
        </w:rPr>
        <w:t>ados</w:t>
      </w:r>
      <w:r>
        <w:rPr>
          <w:b/>
          <w:color w:val="000000"/>
        </w:rPr>
        <w:t xml:space="preserve"> </w:t>
      </w:r>
      <w:r w:rsidR="0053555A" w:rsidRPr="0053555A">
        <w:rPr>
          <w:b/>
          <w:color w:val="000000"/>
          <w:sz w:val="26"/>
          <w:szCs w:val="26"/>
        </w:rPr>
        <w:t>e análise</w:t>
      </w:r>
    </w:p>
    <w:p w14:paraId="0E101CD2" w14:textId="77777777" w:rsidR="00E97218" w:rsidRPr="00E97218" w:rsidRDefault="00E97218" w:rsidP="006D7A90">
      <w:pPr>
        <w:spacing w:before="119" w:line="250" w:lineRule="auto"/>
        <w:ind w:left="102" w:right="96" w:firstLine="0"/>
        <w:rPr>
          <w:color w:val="000000"/>
        </w:rPr>
      </w:pPr>
      <w:r w:rsidRPr="00E97218">
        <w:rPr>
          <w:color w:val="000000"/>
        </w:rPr>
        <w:t xml:space="preserve">Para a aplicação da análise de conteúdo, foram definidas as seguintes unidades de análise: Unidade de Registro (UR), que se refere à menor porção de conteúdo a ser analisada no </w:t>
      </w:r>
      <w:r w:rsidRPr="00E97218">
        <w:rPr>
          <w:color w:val="000000"/>
        </w:rPr>
        <w:lastRenderedPageBreak/>
        <w:t xml:space="preserve">tratamento do problema. No caso, o conteúdo está diretamente relacionado à descrição dos problemas encontrados para a resolução dos problemas complexos. </w:t>
      </w:r>
    </w:p>
    <w:p w14:paraId="1B2E50B9" w14:textId="77777777" w:rsidR="00AE6729" w:rsidRDefault="00E97218" w:rsidP="006D7A90">
      <w:pPr>
        <w:spacing w:before="119" w:line="250" w:lineRule="auto"/>
        <w:ind w:left="102" w:right="96"/>
        <w:rPr>
          <w:color w:val="000000"/>
        </w:rPr>
      </w:pPr>
      <w:r w:rsidRPr="00E97218">
        <w:rPr>
          <w:color w:val="000000"/>
        </w:rPr>
        <w:t>Já a Unidade de Contexto (UC) é a porção maior da mensagem que fornece o contexto para a unidade de registro, permitindo a compreensão do significado da UR. Por fim, as Categorias Finais</w:t>
      </w:r>
      <w:r w:rsidR="00AE6729">
        <w:rPr>
          <w:color w:val="000000"/>
        </w:rPr>
        <w:t xml:space="preserve"> (CF)</w:t>
      </w:r>
      <w:r w:rsidRPr="00E97218">
        <w:rPr>
          <w:color w:val="000000"/>
        </w:rPr>
        <w:t xml:space="preserve"> na resolução dos Problemas Complexos são os agrupamentos temáticos que emergem da análise das URs e UCs, representando os problemas centrais da GC na resolução dos problemas complexos, abordados empiricamente. </w:t>
      </w:r>
    </w:p>
    <w:p w14:paraId="5ADB9808" w14:textId="230EA2FB" w:rsidR="00AE6729" w:rsidRDefault="00E97218" w:rsidP="006D7A90">
      <w:pPr>
        <w:spacing w:before="119" w:line="250" w:lineRule="auto"/>
        <w:ind w:left="102" w:right="96"/>
        <w:rPr>
          <w:color w:val="000000"/>
        </w:rPr>
      </w:pPr>
      <w:r w:rsidRPr="00E97218">
        <w:rPr>
          <w:color w:val="000000"/>
        </w:rPr>
        <w:t>A categorização foi realizada de forma indutiva, permitindo que as categorias surgissem dos dados, com</w:t>
      </w:r>
      <w:r w:rsidR="00AE6729">
        <w:rPr>
          <w:color w:val="000000"/>
        </w:rPr>
        <w:t xml:space="preserve"> base na</w:t>
      </w:r>
      <w:r w:rsidRPr="00E97218">
        <w:rPr>
          <w:color w:val="000000"/>
        </w:rPr>
        <w:t xml:space="preserve"> </w:t>
      </w:r>
      <w:proofErr w:type="spellStart"/>
      <w:r w:rsidRPr="00E97218">
        <w:rPr>
          <w:color w:val="000000"/>
        </w:rPr>
        <w:t>pré-análise</w:t>
      </w:r>
      <w:proofErr w:type="spellEnd"/>
      <w:r w:rsidRPr="00E97218">
        <w:rPr>
          <w:color w:val="000000"/>
        </w:rPr>
        <w:t xml:space="preserve"> identificad</w:t>
      </w:r>
      <w:r w:rsidR="00BD47BD">
        <w:rPr>
          <w:color w:val="000000"/>
        </w:rPr>
        <w:t>a</w:t>
      </w:r>
      <w:r w:rsidRPr="00E97218">
        <w:rPr>
          <w:color w:val="000000"/>
        </w:rPr>
        <w:t xml:space="preserve"> na triagem inicial. </w:t>
      </w:r>
    </w:p>
    <w:p w14:paraId="3564480B" w14:textId="77777777" w:rsidR="00B83521" w:rsidRDefault="00E97218" w:rsidP="006D7A90">
      <w:pPr>
        <w:spacing w:before="119" w:line="250" w:lineRule="auto"/>
        <w:ind w:left="102" w:right="96"/>
        <w:rPr>
          <w:color w:val="000000"/>
        </w:rPr>
      </w:pPr>
      <w:r w:rsidRPr="00E97218">
        <w:rPr>
          <w:color w:val="000000"/>
        </w:rPr>
        <w:t xml:space="preserve">No caso de </w:t>
      </w:r>
      <w:proofErr w:type="spellStart"/>
      <w:r w:rsidRPr="00E97218">
        <w:rPr>
          <w:color w:val="000000"/>
        </w:rPr>
        <w:t>Miković</w:t>
      </w:r>
      <w:proofErr w:type="spellEnd"/>
      <w:r w:rsidRPr="00E97218">
        <w:rPr>
          <w:color w:val="000000"/>
        </w:rPr>
        <w:t xml:space="preserve"> </w:t>
      </w:r>
      <w:r w:rsidRPr="00AE6729">
        <w:rPr>
          <w:i/>
          <w:color w:val="000000"/>
        </w:rPr>
        <w:t>et al</w:t>
      </w:r>
      <w:r w:rsidRPr="00E97218">
        <w:rPr>
          <w:color w:val="000000"/>
        </w:rPr>
        <w:t>. (2020), foi categorizado como Governança e Coordenação em Sistemas Complexos</w:t>
      </w:r>
      <w:r w:rsidR="00AE6729">
        <w:rPr>
          <w:color w:val="000000"/>
        </w:rPr>
        <w:t>.</w:t>
      </w:r>
    </w:p>
    <w:p w14:paraId="41DD0EC6" w14:textId="77777777" w:rsidR="00EB39F4" w:rsidRDefault="00EB39F4" w:rsidP="0056586E">
      <w:pPr>
        <w:spacing w:before="120" w:after="120" w:line="240" w:lineRule="auto"/>
        <w:ind w:firstLine="0"/>
        <w:jc w:val="center"/>
        <w:rPr>
          <w:rFonts w:ascii="Helvetica" w:hAnsi="Helvetica"/>
          <w:b/>
          <w:color w:val="000000"/>
          <w:sz w:val="20"/>
          <w:szCs w:val="20"/>
        </w:rPr>
      </w:pPr>
    </w:p>
    <w:p w14:paraId="41EABD07" w14:textId="77777777" w:rsidR="003075AA" w:rsidRPr="0056586E" w:rsidRDefault="00AE6729" w:rsidP="0056586E">
      <w:pPr>
        <w:spacing w:before="120" w:after="120" w:line="240" w:lineRule="auto"/>
        <w:ind w:firstLine="0"/>
        <w:jc w:val="center"/>
        <w:rPr>
          <w:rFonts w:ascii="Helvetica" w:hAnsi="Helvetica"/>
          <w:b/>
          <w:sz w:val="20"/>
          <w:szCs w:val="20"/>
        </w:rPr>
      </w:pPr>
      <w:r w:rsidRPr="0056586E">
        <w:rPr>
          <w:rFonts w:ascii="Helvetica" w:hAnsi="Helvetica"/>
          <w:b/>
          <w:color w:val="000000"/>
          <w:sz w:val="20"/>
          <w:szCs w:val="20"/>
        </w:rPr>
        <w:t>Quadro 3 – UR, UC e CF</w:t>
      </w:r>
    </w:p>
    <w:tbl>
      <w:tblPr>
        <w:tblStyle w:val="StGen1"/>
        <w:tblW w:w="4771" w:type="pct"/>
        <w:jc w:val="center"/>
        <w:tblInd w:w="0" w:type="dxa"/>
        <w:tblLook w:val="04A0" w:firstRow="1" w:lastRow="0" w:firstColumn="1" w:lastColumn="0" w:noHBand="0" w:noVBand="1"/>
      </w:tblPr>
      <w:tblGrid>
        <w:gridCol w:w="1365"/>
        <w:gridCol w:w="1774"/>
        <w:gridCol w:w="2381"/>
        <w:gridCol w:w="1682"/>
        <w:gridCol w:w="1596"/>
      </w:tblGrid>
      <w:tr w:rsidR="00AE6729" w:rsidRPr="003E54AC" w14:paraId="5379A7A6" w14:textId="77777777" w:rsidTr="00AE6729">
        <w:trPr>
          <w:trHeight w:val="392"/>
          <w:jc w:val="center"/>
        </w:trPr>
        <w:tc>
          <w:tcPr>
            <w:tcW w:w="77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5629440" w14:textId="77777777" w:rsidR="00E97218" w:rsidRPr="003E54AC" w:rsidRDefault="00E97218" w:rsidP="00E97218">
            <w:pPr>
              <w:spacing w:line="276" w:lineRule="auto"/>
              <w:jc w:val="center"/>
              <w:rPr>
                <w:rFonts w:ascii="Times New Roman" w:hAnsi="Times New Roman" w:cs="Times New Roman"/>
                <w:sz w:val="20"/>
                <w:szCs w:val="20"/>
              </w:rPr>
            </w:pPr>
            <w:r w:rsidRPr="003E54AC">
              <w:rPr>
                <w:rFonts w:ascii="Times New Roman" w:hAnsi="Times New Roman" w:cs="Times New Roman"/>
                <w:sz w:val="20"/>
                <w:szCs w:val="20"/>
              </w:rPr>
              <w:t>Autor</w:t>
            </w:r>
          </w:p>
        </w:tc>
        <w:tc>
          <w:tcPr>
            <w:tcW w:w="100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1DE4BDF" w14:textId="77777777" w:rsidR="00E97218" w:rsidRPr="003E54AC" w:rsidRDefault="00E97218" w:rsidP="00E97218">
            <w:pPr>
              <w:spacing w:line="276" w:lineRule="auto"/>
              <w:jc w:val="center"/>
              <w:rPr>
                <w:rFonts w:ascii="Times New Roman" w:hAnsi="Times New Roman" w:cs="Times New Roman"/>
                <w:sz w:val="20"/>
                <w:szCs w:val="20"/>
              </w:rPr>
            </w:pPr>
            <w:r w:rsidRPr="003E54AC">
              <w:rPr>
                <w:rFonts w:ascii="Times New Roman" w:hAnsi="Times New Roman" w:cs="Times New Roman"/>
                <w:sz w:val="20"/>
                <w:szCs w:val="20"/>
              </w:rPr>
              <w:t>Problemas Perversos abordados</w:t>
            </w:r>
          </w:p>
        </w:tc>
        <w:tc>
          <w:tcPr>
            <w:tcW w:w="135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8115DB7" w14:textId="77777777" w:rsidR="00E97218" w:rsidRPr="003E54AC" w:rsidRDefault="00E97218" w:rsidP="00E97218">
            <w:pPr>
              <w:spacing w:line="276" w:lineRule="auto"/>
              <w:jc w:val="center"/>
              <w:rPr>
                <w:rFonts w:ascii="Times New Roman" w:hAnsi="Times New Roman" w:cs="Times New Roman"/>
                <w:sz w:val="20"/>
                <w:szCs w:val="20"/>
              </w:rPr>
            </w:pPr>
            <w:r w:rsidRPr="003E54AC">
              <w:rPr>
                <w:rFonts w:ascii="Times New Roman" w:hAnsi="Times New Roman" w:cs="Times New Roman"/>
                <w:sz w:val="20"/>
                <w:szCs w:val="20"/>
              </w:rPr>
              <w:t xml:space="preserve">Unidades de Registro (UR) </w:t>
            </w:r>
          </w:p>
        </w:tc>
        <w:tc>
          <w:tcPr>
            <w:tcW w:w="95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D44F5B1" w14:textId="77777777" w:rsidR="00E97218" w:rsidRPr="003E54AC" w:rsidRDefault="00E97218" w:rsidP="00E97218">
            <w:pPr>
              <w:spacing w:line="276" w:lineRule="auto"/>
              <w:jc w:val="center"/>
              <w:rPr>
                <w:rFonts w:ascii="Times New Roman" w:hAnsi="Times New Roman" w:cs="Times New Roman"/>
                <w:sz w:val="20"/>
                <w:szCs w:val="20"/>
              </w:rPr>
            </w:pPr>
            <w:r w:rsidRPr="003E54AC">
              <w:rPr>
                <w:rFonts w:ascii="Times New Roman" w:hAnsi="Times New Roman" w:cs="Times New Roman"/>
                <w:sz w:val="20"/>
                <w:szCs w:val="20"/>
              </w:rPr>
              <w:t>Unidades de Contexto (UC)</w:t>
            </w:r>
          </w:p>
        </w:tc>
        <w:tc>
          <w:tcPr>
            <w:tcW w:w="907" w:type="pct"/>
            <w:tcBorders>
              <w:top w:val="single" w:sz="8" w:space="0" w:color="000000"/>
              <w:left w:val="none" w:sz="4" w:space="0" w:color="000000"/>
              <w:bottom w:val="single" w:sz="8" w:space="0" w:color="000000"/>
              <w:right w:val="single" w:sz="8" w:space="0" w:color="000000"/>
            </w:tcBorders>
            <w:tcMar>
              <w:top w:w="0" w:type="dxa"/>
              <w:left w:w="100" w:type="dxa"/>
              <w:bottom w:w="0" w:type="dxa"/>
              <w:right w:w="100" w:type="dxa"/>
            </w:tcMar>
          </w:tcPr>
          <w:p w14:paraId="09927AB2" w14:textId="77777777" w:rsidR="00E97218" w:rsidRPr="003E54AC" w:rsidRDefault="00E97218" w:rsidP="00E97218">
            <w:pPr>
              <w:spacing w:line="276" w:lineRule="auto"/>
              <w:jc w:val="center"/>
              <w:rPr>
                <w:rFonts w:ascii="Times New Roman" w:hAnsi="Times New Roman" w:cs="Times New Roman"/>
                <w:sz w:val="20"/>
                <w:szCs w:val="20"/>
              </w:rPr>
            </w:pPr>
            <w:r w:rsidRPr="003E54AC">
              <w:rPr>
                <w:rFonts w:ascii="Times New Roman" w:hAnsi="Times New Roman" w:cs="Times New Roman"/>
                <w:sz w:val="20"/>
                <w:szCs w:val="20"/>
              </w:rPr>
              <w:t>Categoria Final Problema Complexo e GC</w:t>
            </w:r>
          </w:p>
        </w:tc>
      </w:tr>
      <w:tr w:rsidR="00E97218" w:rsidRPr="003E54AC" w14:paraId="2419E858" w14:textId="77777777" w:rsidTr="00AE6729">
        <w:trPr>
          <w:trHeight w:val="392"/>
          <w:jc w:val="center"/>
        </w:trPr>
        <w:tc>
          <w:tcPr>
            <w:tcW w:w="77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D2172DA" w14:textId="77777777" w:rsidR="00E97218" w:rsidRPr="003E54AC" w:rsidRDefault="00E97218" w:rsidP="00E97218">
            <w:pPr>
              <w:spacing w:line="276" w:lineRule="auto"/>
              <w:jc w:val="center"/>
              <w:rPr>
                <w:rFonts w:ascii="Times New Roman" w:hAnsi="Times New Roman" w:cs="Times New Roman"/>
                <w:sz w:val="20"/>
                <w:szCs w:val="20"/>
              </w:rPr>
            </w:pPr>
            <w:proofErr w:type="spellStart"/>
            <w:r w:rsidRPr="003E54AC">
              <w:rPr>
                <w:rFonts w:ascii="Times New Roman" w:hAnsi="Times New Roman" w:cs="Times New Roman"/>
                <w:color w:val="000000"/>
                <w:sz w:val="20"/>
                <w:szCs w:val="20"/>
              </w:rPr>
              <w:t>Miković</w:t>
            </w:r>
            <w:proofErr w:type="spellEnd"/>
            <w:r w:rsidRPr="003E54AC">
              <w:rPr>
                <w:rFonts w:ascii="Times New Roman" w:hAnsi="Times New Roman" w:cs="Times New Roman"/>
                <w:color w:val="000000"/>
                <w:sz w:val="20"/>
                <w:szCs w:val="20"/>
              </w:rPr>
              <w:t xml:space="preserve"> </w:t>
            </w:r>
            <w:r w:rsidRPr="003E54AC">
              <w:rPr>
                <w:rFonts w:ascii="Times New Roman" w:hAnsi="Times New Roman" w:cs="Times New Roman"/>
                <w:i/>
                <w:color w:val="000000"/>
                <w:sz w:val="20"/>
                <w:szCs w:val="20"/>
              </w:rPr>
              <w:t>et al</w:t>
            </w:r>
            <w:r w:rsidRPr="003E54AC">
              <w:rPr>
                <w:rFonts w:ascii="Times New Roman" w:hAnsi="Times New Roman" w:cs="Times New Roman"/>
                <w:color w:val="000000"/>
                <w:sz w:val="20"/>
                <w:szCs w:val="20"/>
              </w:rPr>
              <w:t>. (2020)</w:t>
            </w:r>
          </w:p>
        </w:tc>
        <w:tc>
          <w:tcPr>
            <w:tcW w:w="100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7401673" w14:textId="77777777" w:rsidR="00E97218" w:rsidRPr="003E54AC" w:rsidRDefault="00E97218" w:rsidP="00E97218">
            <w:pPr>
              <w:rPr>
                <w:rFonts w:ascii="Times New Roman" w:hAnsi="Times New Roman" w:cs="Times New Roman"/>
                <w:sz w:val="20"/>
                <w:szCs w:val="20"/>
              </w:rPr>
            </w:pPr>
            <w:r w:rsidRPr="003E54AC">
              <w:rPr>
                <w:rFonts w:ascii="Times New Roman" w:hAnsi="Times New Roman" w:cs="Times New Roman"/>
                <w:sz w:val="20"/>
                <w:szCs w:val="20"/>
              </w:rPr>
              <w:t>Populações vulneráveis</w:t>
            </w:r>
          </w:p>
        </w:tc>
        <w:tc>
          <w:tcPr>
            <w:tcW w:w="135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0A9F9FE" w14:textId="77777777" w:rsidR="00E97218" w:rsidRPr="003E54AC" w:rsidRDefault="00E97218" w:rsidP="00E97218">
            <w:pPr>
              <w:spacing w:line="276" w:lineRule="auto"/>
              <w:jc w:val="center"/>
              <w:rPr>
                <w:rFonts w:ascii="Times New Roman" w:hAnsi="Times New Roman" w:cs="Times New Roman"/>
                <w:sz w:val="20"/>
                <w:szCs w:val="20"/>
              </w:rPr>
            </w:pPr>
            <w:r w:rsidRPr="003E54AC">
              <w:rPr>
                <w:rFonts w:ascii="Times New Roman" w:hAnsi="Times New Roman" w:cs="Times New Roman"/>
                <w:sz w:val="20"/>
                <w:szCs w:val="20"/>
              </w:rPr>
              <w:t xml:space="preserve">Má gestão de vínculos sociais e recursos de conhecimento; baixa entrega de resultados dos </w:t>
            </w:r>
            <w:r w:rsidRPr="003E54AC">
              <w:rPr>
                <w:rFonts w:ascii="Times New Roman" w:hAnsi="Times New Roman" w:cs="Times New Roman"/>
                <w:color w:val="000000"/>
                <w:sz w:val="20"/>
                <w:szCs w:val="20"/>
              </w:rPr>
              <w:t>projetos de desenvolvimento internacional (DI)</w:t>
            </w:r>
          </w:p>
        </w:tc>
        <w:tc>
          <w:tcPr>
            <w:tcW w:w="956"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3E8524D" w14:textId="77777777" w:rsidR="00E97218" w:rsidRPr="003E54AC" w:rsidRDefault="00E97218" w:rsidP="00E97218">
            <w:pPr>
              <w:spacing w:line="276" w:lineRule="auto"/>
              <w:jc w:val="center"/>
              <w:rPr>
                <w:rFonts w:ascii="Times New Roman" w:hAnsi="Times New Roman" w:cs="Times New Roman"/>
                <w:sz w:val="20"/>
                <w:szCs w:val="20"/>
              </w:rPr>
            </w:pPr>
            <w:r w:rsidRPr="003E54AC">
              <w:rPr>
                <w:rFonts w:ascii="Times New Roman" w:hAnsi="Times New Roman" w:cs="Times New Roman"/>
                <w:sz w:val="20"/>
                <w:szCs w:val="20"/>
              </w:rPr>
              <w:t>ONGs de desenvolvimento internacional (DI)</w:t>
            </w:r>
          </w:p>
        </w:tc>
        <w:tc>
          <w:tcPr>
            <w:tcW w:w="907" w:type="pct"/>
            <w:tcBorders>
              <w:top w:val="single" w:sz="8" w:space="0" w:color="000000"/>
              <w:left w:val="none" w:sz="4" w:space="0" w:color="000000"/>
              <w:bottom w:val="single" w:sz="8" w:space="0" w:color="000000"/>
              <w:right w:val="single" w:sz="8" w:space="0" w:color="000000"/>
            </w:tcBorders>
            <w:tcMar>
              <w:top w:w="0" w:type="dxa"/>
              <w:left w:w="100" w:type="dxa"/>
              <w:bottom w:w="0" w:type="dxa"/>
              <w:right w:w="100" w:type="dxa"/>
            </w:tcMar>
          </w:tcPr>
          <w:p w14:paraId="12AA2353" w14:textId="77777777" w:rsidR="00E97218" w:rsidRPr="003E54AC" w:rsidRDefault="00E97218" w:rsidP="00E97218">
            <w:pPr>
              <w:spacing w:line="276" w:lineRule="auto"/>
              <w:jc w:val="center"/>
              <w:rPr>
                <w:rFonts w:ascii="Times New Roman" w:hAnsi="Times New Roman" w:cs="Times New Roman"/>
                <w:sz w:val="20"/>
                <w:szCs w:val="20"/>
              </w:rPr>
            </w:pPr>
            <w:r w:rsidRPr="003E54AC">
              <w:rPr>
                <w:rFonts w:ascii="Times New Roman" w:hAnsi="Times New Roman" w:cs="Times New Roman"/>
                <w:color w:val="000000"/>
                <w:sz w:val="20"/>
                <w:szCs w:val="20"/>
              </w:rPr>
              <w:t>Governança e Coordenação em Sistemas Complexos</w:t>
            </w:r>
          </w:p>
        </w:tc>
      </w:tr>
    </w:tbl>
    <w:p w14:paraId="10F32C7F" w14:textId="77777777" w:rsidR="003075AA" w:rsidRPr="00993DC5" w:rsidRDefault="00AE6729" w:rsidP="0056586E">
      <w:pPr>
        <w:spacing w:before="120" w:after="120" w:line="240" w:lineRule="auto"/>
        <w:ind w:firstLine="0"/>
        <w:jc w:val="center"/>
        <w:rPr>
          <w:sz w:val="20"/>
          <w:szCs w:val="20"/>
        </w:rPr>
      </w:pPr>
      <w:r w:rsidRPr="00993DC5">
        <w:rPr>
          <w:sz w:val="20"/>
          <w:szCs w:val="20"/>
        </w:rPr>
        <w:t>Fonte: Elaborado pelas autoras</w:t>
      </w:r>
    </w:p>
    <w:p w14:paraId="5BFEC446" w14:textId="77777777" w:rsidR="00AE6729" w:rsidRDefault="00AE6729" w:rsidP="006D7A90">
      <w:pPr>
        <w:widowControl w:val="0"/>
        <w:spacing w:before="119" w:line="250" w:lineRule="auto"/>
        <w:ind w:left="102" w:right="96" w:firstLine="618"/>
      </w:pPr>
      <w:r>
        <w:t>Seguindo esse protocolo,</w:t>
      </w:r>
      <w:r w:rsidRPr="00AE6729">
        <w:t xml:space="preserve"> os estudos empíricos que relacionam resoluções de problemas complexos com a GC foram agrupados sob as seguintes categorias de análise: I - Governança e Coordenação em Sistemas Complexos; II - Sustentabilidade Socioambiental e Gestão de Recursos; III - Inovação e Desenvolvimento Social Inclusivo; e IV - Gestão de Crises e Resiliência Comunitária. </w:t>
      </w:r>
    </w:p>
    <w:p w14:paraId="57BC9DDA" w14:textId="77777777" w:rsidR="00AE6729" w:rsidRDefault="00AE6729" w:rsidP="006D7A90">
      <w:pPr>
        <w:widowControl w:val="0"/>
        <w:spacing w:before="119" w:line="250" w:lineRule="auto"/>
        <w:ind w:left="102" w:right="96" w:firstLine="618"/>
      </w:pPr>
      <w:r w:rsidRPr="00AE6729">
        <w:t>A classificação dos artigos foi realizada com base nas UR e UC, agrupadas de acordo com a temática predominante de cada pesquisa. Embora alguns estudos abranjam mais de um tema relacionado a problemas perversos, optou-se por enquadrá-los na categoria que se mostrou mais relevante em cada caso</w:t>
      </w:r>
      <w:r>
        <w:t>.</w:t>
      </w:r>
    </w:p>
    <w:p w14:paraId="25622974" w14:textId="77777777" w:rsidR="00EB39F4" w:rsidRDefault="00EB39F4" w:rsidP="003E54AC">
      <w:pPr>
        <w:widowControl w:val="0"/>
        <w:spacing w:before="120" w:after="120" w:line="240" w:lineRule="auto"/>
        <w:ind w:left="102" w:right="96" w:firstLine="0"/>
        <w:jc w:val="center"/>
        <w:rPr>
          <w:rFonts w:ascii="Helvetica" w:hAnsi="Helvetica"/>
          <w:b/>
          <w:sz w:val="20"/>
          <w:szCs w:val="20"/>
        </w:rPr>
      </w:pPr>
    </w:p>
    <w:p w14:paraId="7A0087AA" w14:textId="77777777" w:rsidR="00AE6729" w:rsidRPr="003E54AC" w:rsidRDefault="00A62EF7" w:rsidP="003E54AC">
      <w:pPr>
        <w:widowControl w:val="0"/>
        <w:spacing w:before="120" w:after="120" w:line="240" w:lineRule="auto"/>
        <w:ind w:left="102" w:right="96" w:firstLine="0"/>
        <w:jc w:val="center"/>
        <w:rPr>
          <w:rFonts w:ascii="Helvetica" w:hAnsi="Helvetica"/>
          <w:b/>
          <w:sz w:val="20"/>
          <w:szCs w:val="20"/>
        </w:rPr>
      </w:pPr>
      <w:r w:rsidRPr="003E54AC">
        <w:rPr>
          <w:rFonts w:ascii="Helvetica" w:hAnsi="Helvetica"/>
          <w:b/>
          <w:sz w:val="20"/>
          <w:szCs w:val="20"/>
        </w:rPr>
        <w:t xml:space="preserve">Quadro 4 - </w:t>
      </w:r>
      <w:r w:rsidR="00C77E15" w:rsidRPr="003E54AC">
        <w:rPr>
          <w:rFonts w:ascii="Helvetica" w:hAnsi="Helvetica"/>
          <w:b/>
          <w:sz w:val="20"/>
          <w:szCs w:val="20"/>
        </w:rPr>
        <w:t>Categorização dos estudos empíricos</w:t>
      </w:r>
    </w:p>
    <w:tbl>
      <w:tblPr>
        <w:tblStyle w:val="StGen1"/>
        <w:tblW w:w="0" w:type="auto"/>
        <w:jc w:val="center"/>
        <w:tblInd w:w="0" w:type="dxa"/>
        <w:tblLook w:val="04A0" w:firstRow="1" w:lastRow="0" w:firstColumn="1" w:lastColumn="0" w:noHBand="0" w:noVBand="1"/>
      </w:tblPr>
      <w:tblGrid>
        <w:gridCol w:w="1382"/>
        <w:gridCol w:w="1807"/>
        <w:gridCol w:w="2452"/>
        <w:gridCol w:w="1889"/>
        <w:gridCol w:w="1690"/>
      </w:tblGrid>
      <w:tr w:rsidR="00B242D9" w:rsidRPr="003E54AC" w14:paraId="47EABF8B" w14:textId="77777777" w:rsidTr="000F0C27">
        <w:trPr>
          <w:trHeight w:val="542"/>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1616BF0" w14:textId="77777777" w:rsidR="00A62EF7" w:rsidRPr="003E54AC" w:rsidRDefault="00A62EF7" w:rsidP="00A16797">
            <w:pPr>
              <w:spacing w:after="0" w:line="276" w:lineRule="auto"/>
              <w:jc w:val="center"/>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Autores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1768E50" w14:textId="77777777" w:rsidR="00A62EF7" w:rsidRPr="003E54AC" w:rsidRDefault="00A62EF7" w:rsidP="00A16797">
            <w:pPr>
              <w:spacing w:after="0" w:line="276" w:lineRule="auto"/>
              <w:jc w:val="center"/>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Problemas Perversos abordados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C3E486B" w14:textId="77777777" w:rsidR="00A62EF7" w:rsidRPr="003E54AC" w:rsidRDefault="00A62EF7" w:rsidP="00A16797">
            <w:pPr>
              <w:spacing w:after="0" w:line="276" w:lineRule="auto"/>
              <w:jc w:val="center"/>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 xml:space="preserve">Unidades de Registro (UR)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C6CD613" w14:textId="77777777" w:rsidR="00A62EF7" w:rsidRPr="003E54AC" w:rsidRDefault="00A62EF7" w:rsidP="00A16797">
            <w:pPr>
              <w:spacing w:after="0" w:line="276" w:lineRule="auto"/>
              <w:jc w:val="center"/>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Unidades de Contexto (UC)</w:t>
            </w:r>
          </w:p>
        </w:tc>
        <w:tc>
          <w:tcPr>
            <w:tcW w:w="0" w:type="auto"/>
            <w:tcBorders>
              <w:top w:val="single" w:sz="8" w:space="0" w:color="000000"/>
              <w:left w:val="none" w:sz="4" w:space="0" w:color="000000"/>
              <w:bottom w:val="single" w:sz="8" w:space="0" w:color="000000"/>
              <w:right w:val="single" w:sz="8" w:space="0" w:color="000000"/>
            </w:tcBorders>
            <w:tcMar>
              <w:top w:w="0" w:type="dxa"/>
              <w:left w:w="100" w:type="dxa"/>
              <w:bottom w:w="0" w:type="dxa"/>
              <w:right w:w="100" w:type="dxa"/>
            </w:tcMar>
          </w:tcPr>
          <w:p w14:paraId="065D64A5" w14:textId="77777777" w:rsidR="00A62EF7" w:rsidRPr="003E54AC" w:rsidRDefault="00A62EF7" w:rsidP="00A16797">
            <w:pPr>
              <w:spacing w:after="0" w:line="276" w:lineRule="auto"/>
              <w:jc w:val="center"/>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Categoria Final Problema Complexo e GC</w:t>
            </w:r>
          </w:p>
        </w:tc>
      </w:tr>
      <w:tr w:rsidR="00B242D9" w:rsidRPr="003E54AC" w14:paraId="49BA8861" w14:textId="77777777" w:rsidTr="000F0C27">
        <w:trPr>
          <w:trHeight w:val="443"/>
          <w:jc w:val="center"/>
        </w:trPr>
        <w:tc>
          <w:tcPr>
            <w:tcW w:w="0" w:type="auto"/>
            <w:tcBorders>
              <w:top w:val="non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3C31AC7" w14:textId="1D3E8513" w:rsidR="00A62EF7" w:rsidRPr="003E54AC" w:rsidRDefault="00A62EF7" w:rsidP="00F27E45">
            <w:pPr>
              <w:keepNext/>
              <w:spacing w:after="0" w:line="240" w:lineRule="auto"/>
              <w:rPr>
                <w:rFonts w:ascii="Times New Roman" w:eastAsia="Times New Roman" w:hAnsi="Times New Roman" w:cs="Times New Roman"/>
                <w:sz w:val="20"/>
                <w:szCs w:val="20"/>
              </w:rPr>
            </w:pPr>
            <w:proofErr w:type="spellStart"/>
            <w:r w:rsidRPr="003E54AC">
              <w:rPr>
                <w:rFonts w:ascii="Times New Roman" w:eastAsia="Times New Roman" w:hAnsi="Times New Roman" w:cs="Times New Roman"/>
                <w:sz w:val="20"/>
                <w:szCs w:val="20"/>
              </w:rPr>
              <w:lastRenderedPageBreak/>
              <w:t>Miković</w:t>
            </w:r>
            <w:proofErr w:type="spellEnd"/>
            <w:r w:rsidRPr="003E54AC">
              <w:rPr>
                <w:rFonts w:ascii="Times New Roman" w:eastAsia="Times New Roman" w:hAnsi="Times New Roman" w:cs="Times New Roman"/>
                <w:sz w:val="20"/>
                <w:szCs w:val="20"/>
              </w:rPr>
              <w:t xml:space="preserve"> </w:t>
            </w:r>
            <w:r w:rsidRPr="003E54AC">
              <w:rPr>
                <w:rFonts w:ascii="Times New Roman" w:eastAsia="Times New Roman" w:hAnsi="Times New Roman" w:cs="Times New Roman"/>
                <w:i/>
                <w:sz w:val="20"/>
                <w:szCs w:val="20"/>
              </w:rPr>
              <w:t>et al.</w:t>
            </w:r>
            <w:r w:rsidRPr="003E54AC">
              <w:rPr>
                <w:rFonts w:ascii="Times New Roman" w:eastAsia="Times New Roman" w:hAnsi="Times New Roman" w:cs="Times New Roman"/>
                <w:sz w:val="20"/>
                <w:szCs w:val="20"/>
              </w:rPr>
              <w:t xml:space="preserve">, 2020; </w:t>
            </w:r>
            <w:proofErr w:type="spellStart"/>
            <w:r w:rsidRPr="003E54AC">
              <w:rPr>
                <w:rFonts w:ascii="Times New Roman" w:eastAsia="Times New Roman" w:hAnsi="Times New Roman" w:cs="Times New Roman"/>
                <w:sz w:val="20"/>
                <w:szCs w:val="20"/>
              </w:rPr>
              <w:t>Haynes</w:t>
            </w:r>
            <w:proofErr w:type="spellEnd"/>
            <w:r w:rsidRPr="003E54AC">
              <w:rPr>
                <w:rFonts w:ascii="Times New Roman" w:eastAsia="Times New Roman" w:hAnsi="Times New Roman" w:cs="Times New Roman"/>
                <w:sz w:val="20"/>
                <w:szCs w:val="20"/>
              </w:rPr>
              <w:t xml:space="preserve"> </w:t>
            </w:r>
            <w:r w:rsidRPr="003E54AC">
              <w:rPr>
                <w:rFonts w:ascii="Times New Roman" w:eastAsia="Times New Roman" w:hAnsi="Times New Roman" w:cs="Times New Roman"/>
                <w:i/>
                <w:sz w:val="20"/>
                <w:szCs w:val="20"/>
              </w:rPr>
              <w:t>et al</w:t>
            </w:r>
            <w:r w:rsidRPr="003E54AC">
              <w:rPr>
                <w:rFonts w:ascii="Times New Roman" w:eastAsia="Times New Roman" w:hAnsi="Times New Roman" w:cs="Times New Roman"/>
                <w:sz w:val="20"/>
                <w:szCs w:val="20"/>
              </w:rPr>
              <w:t xml:space="preserve">., 2020; Martínez-Herrera </w:t>
            </w:r>
            <w:r w:rsidRPr="003E54AC">
              <w:rPr>
                <w:rFonts w:ascii="Times New Roman" w:eastAsia="Times New Roman" w:hAnsi="Times New Roman" w:cs="Times New Roman"/>
                <w:i/>
                <w:sz w:val="20"/>
                <w:szCs w:val="20"/>
              </w:rPr>
              <w:t>et al.</w:t>
            </w:r>
            <w:r w:rsidRPr="003E54AC">
              <w:rPr>
                <w:rFonts w:ascii="Times New Roman" w:eastAsia="Times New Roman" w:hAnsi="Times New Roman" w:cs="Times New Roman"/>
                <w:sz w:val="20"/>
                <w:szCs w:val="20"/>
              </w:rPr>
              <w:t xml:space="preserve">, 2015; </w:t>
            </w:r>
            <w:proofErr w:type="spellStart"/>
            <w:r w:rsidRPr="003E54AC">
              <w:rPr>
                <w:rFonts w:ascii="Times New Roman" w:eastAsia="Times New Roman" w:hAnsi="Times New Roman" w:cs="Times New Roman"/>
                <w:sz w:val="20"/>
                <w:szCs w:val="20"/>
                <w:highlight w:val="white"/>
              </w:rPr>
              <w:t>Valujeva</w:t>
            </w:r>
            <w:proofErr w:type="spellEnd"/>
            <w:r w:rsidRPr="003E54AC">
              <w:rPr>
                <w:rFonts w:ascii="Times New Roman" w:eastAsia="Times New Roman" w:hAnsi="Times New Roman" w:cs="Times New Roman"/>
                <w:sz w:val="20"/>
                <w:szCs w:val="20"/>
                <w:highlight w:val="white"/>
              </w:rPr>
              <w:t xml:space="preserve"> </w:t>
            </w:r>
            <w:r w:rsidRPr="003E54AC">
              <w:rPr>
                <w:rFonts w:ascii="Times New Roman" w:eastAsia="Times New Roman" w:hAnsi="Times New Roman" w:cs="Times New Roman"/>
                <w:i/>
                <w:sz w:val="20"/>
                <w:szCs w:val="20"/>
                <w:highlight w:val="white"/>
              </w:rPr>
              <w:t>et al.</w:t>
            </w:r>
            <w:r w:rsidRPr="003E54AC">
              <w:rPr>
                <w:rFonts w:ascii="Times New Roman" w:eastAsia="Times New Roman" w:hAnsi="Times New Roman" w:cs="Times New Roman"/>
                <w:sz w:val="20"/>
                <w:szCs w:val="20"/>
                <w:highlight w:val="white"/>
              </w:rPr>
              <w:t xml:space="preserve">, 2023; </w:t>
            </w:r>
            <w:proofErr w:type="spellStart"/>
            <w:r w:rsidRPr="003E54AC">
              <w:rPr>
                <w:rFonts w:ascii="Times New Roman" w:eastAsia="Times New Roman" w:hAnsi="Times New Roman" w:cs="Times New Roman"/>
                <w:sz w:val="20"/>
                <w:szCs w:val="20"/>
              </w:rPr>
              <w:t>Wutzke</w:t>
            </w:r>
            <w:proofErr w:type="spellEnd"/>
            <w:r w:rsidRPr="003E54AC">
              <w:rPr>
                <w:rFonts w:ascii="Times New Roman" w:eastAsia="Times New Roman" w:hAnsi="Times New Roman" w:cs="Times New Roman"/>
                <w:sz w:val="20"/>
                <w:szCs w:val="20"/>
              </w:rPr>
              <w:t xml:space="preserve"> </w:t>
            </w:r>
            <w:r w:rsidRPr="003E54AC">
              <w:rPr>
                <w:rFonts w:ascii="Times New Roman" w:eastAsia="Times New Roman" w:hAnsi="Times New Roman" w:cs="Times New Roman"/>
                <w:i/>
                <w:sz w:val="20"/>
                <w:szCs w:val="20"/>
              </w:rPr>
              <w:t>et al.</w:t>
            </w:r>
            <w:r w:rsidRPr="003E54AC">
              <w:rPr>
                <w:rFonts w:ascii="Times New Roman" w:eastAsia="Times New Roman" w:hAnsi="Times New Roman" w:cs="Times New Roman"/>
                <w:sz w:val="20"/>
                <w:szCs w:val="20"/>
              </w:rPr>
              <w:t xml:space="preserve">, 2018; Johnson </w:t>
            </w:r>
            <w:r w:rsidRPr="003E54AC">
              <w:rPr>
                <w:rFonts w:ascii="Times New Roman" w:eastAsia="Times New Roman" w:hAnsi="Times New Roman" w:cs="Times New Roman"/>
                <w:i/>
                <w:sz w:val="20"/>
                <w:szCs w:val="20"/>
              </w:rPr>
              <w:t>et al.</w:t>
            </w:r>
            <w:r w:rsidRPr="003E54AC">
              <w:rPr>
                <w:rFonts w:ascii="Times New Roman" w:eastAsia="Times New Roman" w:hAnsi="Times New Roman" w:cs="Times New Roman"/>
                <w:sz w:val="20"/>
                <w:szCs w:val="20"/>
              </w:rPr>
              <w:t>, 2018</w:t>
            </w:r>
          </w:p>
        </w:tc>
        <w:tc>
          <w:tcPr>
            <w:tcW w:w="0" w:type="auto"/>
            <w:tcBorders>
              <w:top w:val="non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EE7119F" w14:textId="77777777" w:rsidR="000F0C27" w:rsidRPr="003E54AC" w:rsidRDefault="00A62EF7" w:rsidP="00E705EF">
            <w:pPr>
              <w:keepNext/>
              <w:spacing w:after="0" w:line="240" w:lineRule="auto"/>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Populações vulneráveis;</w:t>
            </w:r>
          </w:p>
          <w:p w14:paraId="419BC59F" w14:textId="77777777" w:rsidR="00F27E45" w:rsidRPr="003E54AC" w:rsidRDefault="00A62EF7" w:rsidP="00E705EF">
            <w:pPr>
              <w:keepNext/>
              <w:spacing w:after="0" w:line="240" w:lineRule="auto"/>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 xml:space="preserve"> Saúde pública e crises sanitárias; </w:t>
            </w:r>
            <w:r w:rsidRPr="003E54AC">
              <w:rPr>
                <w:rFonts w:ascii="Times New Roman" w:eastAsia="Times New Roman" w:hAnsi="Times New Roman" w:cs="Times New Roman"/>
                <w:sz w:val="20"/>
                <w:szCs w:val="20"/>
                <w:highlight w:val="white"/>
              </w:rPr>
              <w:t>Manejo sustentável da terra: regulação de carbono e biodiversidade; Doenças Crônicas; Programa nacional de saúde</w:t>
            </w:r>
            <w:r w:rsidR="00F27E45" w:rsidRPr="003E54AC">
              <w:rPr>
                <w:rFonts w:ascii="Times New Roman" w:eastAsia="Times New Roman" w:hAnsi="Times New Roman" w:cs="Times New Roman"/>
                <w:sz w:val="20"/>
                <w:szCs w:val="20"/>
              </w:rPr>
              <w:t xml:space="preserve">; </w:t>
            </w:r>
          </w:p>
          <w:p w14:paraId="0FF93BD5" w14:textId="77777777" w:rsidR="00A62EF7" w:rsidRPr="003E54AC" w:rsidRDefault="00F27E45" w:rsidP="00E705EF">
            <w:pPr>
              <w:keepNext/>
              <w:spacing w:after="0" w:line="240" w:lineRule="auto"/>
              <w:rPr>
                <w:rFonts w:ascii="Times New Roman" w:eastAsia="Times New Roman" w:hAnsi="Times New Roman" w:cs="Times New Roman"/>
                <w:b/>
                <w:sz w:val="20"/>
                <w:szCs w:val="20"/>
              </w:rPr>
            </w:pPr>
            <w:r w:rsidRPr="003E54AC">
              <w:rPr>
                <w:rFonts w:ascii="Times New Roman" w:hAnsi="Times New Roman" w:cs="Times New Roman"/>
                <w:sz w:val="20"/>
                <w:szCs w:val="20"/>
              </w:rPr>
              <w:t>crianças com câncer e suas famílias</w:t>
            </w:r>
            <w:r w:rsidRPr="003E54AC">
              <w:rPr>
                <w:rFonts w:ascii="Times New Roman" w:eastAsia="Times New Roman" w:hAnsi="Times New Roman" w:cs="Times New Roman"/>
                <w:sz w:val="20"/>
                <w:szCs w:val="20"/>
              </w:rPr>
              <w:t>.</w:t>
            </w:r>
          </w:p>
        </w:tc>
        <w:tc>
          <w:tcPr>
            <w:tcW w:w="0" w:type="auto"/>
            <w:tcBorders>
              <w:top w:val="non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7791066" w14:textId="77777777" w:rsidR="00A62EF7" w:rsidRPr="003E54AC" w:rsidRDefault="00E705EF" w:rsidP="00F27E45">
            <w:pPr>
              <w:spacing w:after="0" w:line="240" w:lineRule="auto"/>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C</w:t>
            </w:r>
            <w:r w:rsidR="00A62EF7" w:rsidRPr="003E54AC">
              <w:rPr>
                <w:rFonts w:ascii="Times New Roman" w:eastAsia="Times New Roman" w:hAnsi="Times New Roman" w:cs="Times New Roman"/>
                <w:sz w:val="20"/>
                <w:szCs w:val="20"/>
              </w:rPr>
              <w:t>omunicação fragmentada</w:t>
            </w:r>
            <w:r w:rsidRPr="003E54AC">
              <w:rPr>
                <w:rFonts w:ascii="Times New Roman" w:eastAsia="Times New Roman" w:hAnsi="Times New Roman" w:cs="Times New Roman"/>
                <w:sz w:val="20"/>
                <w:szCs w:val="20"/>
              </w:rPr>
              <w:t xml:space="preserve"> e </w:t>
            </w:r>
            <w:r w:rsidR="00A62EF7" w:rsidRPr="003E54AC">
              <w:rPr>
                <w:rFonts w:ascii="Times New Roman" w:eastAsia="Times New Roman" w:hAnsi="Times New Roman" w:cs="Times New Roman"/>
                <w:sz w:val="20"/>
                <w:szCs w:val="20"/>
              </w:rPr>
              <w:t>ineficiência</w:t>
            </w:r>
            <w:r w:rsidRPr="003E54AC">
              <w:rPr>
                <w:rFonts w:ascii="Times New Roman" w:eastAsia="Times New Roman" w:hAnsi="Times New Roman" w:cs="Times New Roman"/>
                <w:sz w:val="20"/>
                <w:szCs w:val="20"/>
              </w:rPr>
              <w:t xml:space="preserve"> </w:t>
            </w:r>
            <w:r w:rsidR="00A62EF7" w:rsidRPr="003E54AC">
              <w:rPr>
                <w:rFonts w:ascii="Times New Roman" w:eastAsia="Times New Roman" w:hAnsi="Times New Roman" w:cs="Times New Roman"/>
                <w:sz w:val="20"/>
                <w:szCs w:val="20"/>
              </w:rPr>
              <w:t xml:space="preserve">no compartilhamento de conhecimento; </w:t>
            </w:r>
            <w:r w:rsidRPr="003E54AC">
              <w:rPr>
                <w:rFonts w:ascii="Times New Roman" w:eastAsia="Times New Roman" w:hAnsi="Times New Roman" w:cs="Times New Roman"/>
                <w:sz w:val="20"/>
                <w:szCs w:val="20"/>
              </w:rPr>
              <w:t xml:space="preserve">problemas de saúde caracterizados por visões conflitantes e </w:t>
            </w:r>
            <w:r w:rsidR="00A62EF7" w:rsidRPr="003E54AC">
              <w:rPr>
                <w:rFonts w:ascii="Times New Roman" w:eastAsia="Times New Roman" w:hAnsi="Times New Roman" w:cs="Times New Roman"/>
                <w:sz w:val="20"/>
                <w:szCs w:val="20"/>
              </w:rPr>
              <w:t xml:space="preserve">desequilíbrios de poder; </w:t>
            </w:r>
            <w:r w:rsidR="000F0C27" w:rsidRPr="003E54AC">
              <w:rPr>
                <w:rFonts w:ascii="Times New Roman" w:eastAsia="Times New Roman" w:hAnsi="Times New Roman" w:cs="Times New Roman"/>
                <w:sz w:val="20"/>
                <w:szCs w:val="20"/>
              </w:rPr>
              <w:t>rede colombiana de pesquisa em saúde; desafios da política agroambiental;</w:t>
            </w:r>
            <w:r w:rsidR="00A62EF7" w:rsidRPr="003E54AC">
              <w:rPr>
                <w:rFonts w:ascii="Times New Roman" w:eastAsia="Times New Roman" w:hAnsi="Times New Roman" w:cs="Times New Roman"/>
                <w:sz w:val="20"/>
                <w:szCs w:val="20"/>
              </w:rPr>
              <w:t xml:space="preserve"> </w:t>
            </w:r>
            <w:r w:rsidR="00F27E45" w:rsidRPr="003E54AC">
              <w:rPr>
                <w:rFonts w:ascii="Times New Roman" w:eastAsia="Times New Roman" w:hAnsi="Times New Roman" w:cs="Times New Roman"/>
                <w:sz w:val="20"/>
                <w:szCs w:val="20"/>
              </w:rPr>
              <w:t xml:space="preserve">estratégias de mobilização de conhecimento nos centros/redes; compartilhamento de informações críticas entre os principais atores do sistema de saúde; </w:t>
            </w:r>
            <w:r w:rsidR="00A62EF7" w:rsidRPr="003E54AC">
              <w:rPr>
                <w:rFonts w:ascii="Times New Roman" w:eastAsia="Times New Roman" w:hAnsi="Times New Roman" w:cs="Times New Roman"/>
                <w:sz w:val="20"/>
                <w:szCs w:val="20"/>
              </w:rPr>
              <w:t>ambientes políticos complexos e dissociação entre formulação de políticas e práticas operacionais</w:t>
            </w:r>
            <w:r w:rsidR="00F27E45" w:rsidRPr="003E54AC">
              <w:rPr>
                <w:rFonts w:ascii="Times New Roman" w:eastAsia="Times New Roman" w:hAnsi="Times New Roman" w:cs="Times New Roman"/>
                <w:sz w:val="20"/>
                <w:szCs w:val="20"/>
              </w:rPr>
              <w:t>.</w:t>
            </w:r>
          </w:p>
        </w:tc>
        <w:tc>
          <w:tcPr>
            <w:tcW w:w="0" w:type="auto"/>
            <w:tcBorders>
              <w:top w:val="non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A7717D6" w14:textId="77777777" w:rsidR="001C664E" w:rsidRPr="003E54AC" w:rsidRDefault="00A62EF7" w:rsidP="00F27E45">
            <w:pPr>
              <w:spacing w:after="0" w:line="240" w:lineRule="auto"/>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ONGs de desenvolvimento internacional (DI)</w:t>
            </w:r>
            <w:r w:rsidR="00E705EF" w:rsidRPr="003E54AC">
              <w:rPr>
                <w:rFonts w:ascii="Times New Roman" w:eastAsia="Times New Roman" w:hAnsi="Times New Roman" w:cs="Times New Roman"/>
                <w:sz w:val="20"/>
                <w:szCs w:val="20"/>
              </w:rPr>
              <w:t xml:space="preserve"> e</w:t>
            </w:r>
            <w:r w:rsidRPr="003E54AC">
              <w:rPr>
                <w:rFonts w:ascii="Times New Roman" w:eastAsia="Times New Roman" w:hAnsi="Times New Roman" w:cs="Times New Roman"/>
                <w:sz w:val="20"/>
                <w:szCs w:val="20"/>
              </w:rPr>
              <w:t xml:space="preserve"> populações vulneráveis;</w:t>
            </w:r>
          </w:p>
          <w:p w14:paraId="35DA2D1B" w14:textId="01D16189" w:rsidR="001C664E" w:rsidRPr="003E54AC" w:rsidRDefault="00E705EF" w:rsidP="00F27E45">
            <w:pPr>
              <w:spacing w:after="0" w:line="240" w:lineRule="auto"/>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 xml:space="preserve">saúde </w:t>
            </w:r>
            <w:r w:rsidR="00A62EF7" w:rsidRPr="003E54AC">
              <w:rPr>
                <w:rFonts w:ascii="Times New Roman" w:eastAsia="Times New Roman" w:hAnsi="Times New Roman" w:cs="Times New Roman"/>
                <w:sz w:val="20"/>
                <w:szCs w:val="20"/>
              </w:rPr>
              <w:t xml:space="preserve">pública e governança; </w:t>
            </w:r>
            <w:r w:rsidRPr="003E54AC">
              <w:rPr>
                <w:rFonts w:ascii="Times New Roman" w:eastAsia="Times New Roman" w:hAnsi="Times New Roman" w:cs="Times New Roman"/>
                <w:sz w:val="20"/>
                <w:szCs w:val="20"/>
              </w:rPr>
              <w:t xml:space="preserve">observatório do direito à saúde; </w:t>
            </w:r>
          </w:p>
          <w:p w14:paraId="0E013FC6" w14:textId="77777777" w:rsidR="001C664E" w:rsidRPr="003E54AC" w:rsidRDefault="000F0C27" w:rsidP="00F27E45">
            <w:pPr>
              <w:spacing w:after="0" w:line="240" w:lineRule="auto"/>
              <w:rPr>
                <w:rFonts w:ascii="Times New Roman" w:hAnsi="Times New Roman" w:cs="Times New Roman"/>
                <w:sz w:val="20"/>
                <w:szCs w:val="20"/>
              </w:rPr>
            </w:pPr>
            <w:r w:rsidRPr="003E54AC">
              <w:rPr>
                <w:rFonts w:ascii="Times New Roman" w:eastAsia="Times New Roman" w:hAnsi="Times New Roman" w:cs="Times New Roman"/>
                <w:sz w:val="20"/>
                <w:szCs w:val="20"/>
              </w:rPr>
              <w:t>Sistema de Inovação do Conhecimento Agrícola;</w:t>
            </w:r>
            <w:r w:rsidRPr="003E54AC">
              <w:rPr>
                <w:rFonts w:ascii="Times New Roman" w:hAnsi="Times New Roman" w:cs="Times New Roman"/>
                <w:sz w:val="20"/>
                <w:szCs w:val="20"/>
              </w:rPr>
              <w:t xml:space="preserve"> </w:t>
            </w:r>
          </w:p>
          <w:p w14:paraId="60F85609" w14:textId="77777777" w:rsidR="001C664E" w:rsidRPr="003E54AC" w:rsidRDefault="000F0C27" w:rsidP="00F27E45">
            <w:pPr>
              <w:spacing w:after="0" w:line="240" w:lineRule="auto"/>
              <w:rPr>
                <w:rFonts w:ascii="Times New Roman" w:eastAsia="Times New Roman" w:hAnsi="Times New Roman" w:cs="Times New Roman"/>
                <w:sz w:val="20"/>
                <w:szCs w:val="20"/>
              </w:rPr>
            </w:pPr>
            <w:r w:rsidRPr="003E54AC">
              <w:rPr>
                <w:rFonts w:ascii="Times New Roman" w:hAnsi="Times New Roman" w:cs="Times New Roman"/>
                <w:sz w:val="20"/>
                <w:szCs w:val="20"/>
              </w:rPr>
              <w:t>Centro Australiano de Parceria para a Prevenção</w:t>
            </w:r>
            <w:r w:rsidRPr="003E54AC">
              <w:rPr>
                <w:rFonts w:ascii="Times New Roman" w:eastAsia="Times New Roman" w:hAnsi="Times New Roman" w:cs="Times New Roman"/>
                <w:sz w:val="20"/>
                <w:szCs w:val="20"/>
              </w:rPr>
              <w:t xml:space="preserve"> de doenças crônicas;</w:t>
            </w:r>
          </w:p>
          <w:p w14:paraId="32097F92" w14:textId="77777777" w:rsidR="001C664E" w:rsidRPr="003E54AC" w:rsidRDefault="00A62EF7" w:rsidP="00F27E45">
            <w:pPr>
              <w:spacing w:after="0" w:line="240" w:lineRule="auto"/>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 xml:space="preserve"> </w:t>
            </w:r>
            <w:r w:rsidR="00F27E45" w:rsidRPr="003E54AC">
              <w:rPr>
                <w:rFonts w:ascii="Times New Roman" w:hAnsi="Times New Roman" w:cs="Times New Roman"/>
                <w:sz w:val="20"/>
                <w:szCs w:val="20"/>
              </w:rPr>
              <w:t>Ministério da Saúde e Meio Ambiente de Dominica</w:t>
            </w:r>
            <w:r w:rsidR="00F27E45" w:rsidRPr="003E54AC">
              <w:rPr>
                <w:rFonts w:ascii="Times New Roman" w:eastAsia="Times New Roman" w:hAnsi="Times New Roman" w:cs="Times New Roman"/>
                <w:sz w:val="20"/>
                <w:szCs w:val="20"/>
              </w:rPr>
              <w:t xml:space="preserve">; </w:t>
            </w:r>
          </w:p>
          <w:p w14:paraId="316FD7E3" w14:textId="77777777" w:rsidR="00A62EF7" w:rsidRPr="003E54AC" w:rsidRDefault="00F27E45" w:rsidP="00F27E45">
            <w:pPr>
              <w:spacing w:after="0" w:line="240" w:lineRule="auto"/>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 xml:space="preserve">ONG </w:t>
            </w:r>
            <w:r w:rsidRPr="003E54AC">
              <w:rPr>
                <w:rFonts w:ascii="Times New Roman" w:hAnsi="Times New Roman" w:cs="Times New Roman"/>
                <w:sz w:val="20"/>
                <w:szCs w:val="20"/>
              </w:rPr>
              <w:t xml:space="preserve">Fundação Carlos Portela em Valle </w:t>
            </w:r>
            <w:proofErr w:type="spellStart"/>
            <w:r w:rsidRPr="003E54AC">
              <w:rPr>
                <w:rFonts w:ascii="Times New Roman" w:hAnsi="Times New Roman" w:cs="Times New Roman"/>
                <w:sz w:val="20"/>
                <w:szCs w:val="20"/>
              </w:rPr>
              <w:t>del</w:t>
            </w:r>
            <w:proofErr w:type="spellEnd"/>
            <w:r w:rsidRPr="003E54AC">
              <w:rPr>
                <w:rFonts w:ascii="Times New Roman" w:hAnsi="Times New Roman" w:cs="Times New Roman"/>
                <w:sz w:val="20"/>
                <w:szCs w:val="20"/>
              </w:rPr>
              <w:t xml:space="preserve"> Cauca, Colômbia</w:t>
            </w:r>
          </w:p>
        </w:tc>
        <w:tc>
          <w:tcPr>
            <w:tcW w:w="0" w:type="auto"/>
            <w:tcBorders>
              <w:top w:val="none" w:sz="4" w:space="0" w:color="000000"/>
              <w:left w:val="none" w:sz="4" w:space="0" w:color="000000"/>
              <w:bottom w:val="single" w:sz="8" w:space="0" w:color="000000"/>
              <w:right w:val="single" w:sz="8" w:space="0" w:color="000000"/>
            </w:tcBorders>
            <w:tcMar>
              <w:top w:w="0" w:type="dxa"/>
              <w:left w:w="100" w:type="dxa"/>
              <w:bottom w:w="0" w:type="dxa"/>
              <w:right w:w="100" w:type="dxa"/>
            </w:tcMar>
          </w:tcPr>
          <w:p w14:paraId="2AB9DCC2" w14:textId="77777777" w:rsidR="00A62EF7" w:rsidRPr="003E54AC" w:rsidRDefault="00A62EF7" w:rsidP="00A16797">
            <w:pPr>
              <w:keepNext/>
              <w:spacing w:after="0" w:line="240" w:lineRule="auto"/>
              <w:jc w:val="center"/>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 xml:space="preserve"> </w:t>
            </w:r>
          </w:p>
          <w:p w14:paraId="3756C848" w14:textId="77777777" w:rsidR="001C664E" w:rsidRPr="003E54AC" w:rsidRDefault="00A62EF7" w:rsidP="00A16797">
            <w:pPr>
              <w:keepNext/>
              <w:spacing w:after="0" w:line="240" w:lineRule="auto"/>
              <w:jc w:val="center"/>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 xml:space="preserve"> </w:t>
            </w:r>
          </w:p>
          <w:p w14:paraId="174E48C7" w14:textId="77777777" w:rsidR="001C664E" w:rsidRPr="003E54AC" w:rsidRDefault="001C664E" w:rsidP="00A16797">
            <w:pPr>
              <w:keepNext/>
              <w:spacing w:after="0" w:line="240" w:lineRule="auto"/>
              <w:jc w:val="center"/>
              <w:rPr>
                <w:rFonts w:ascii="Times New Roman" w:eastAsia="Times New Roman" w:hAnsi="Times New Roman" w:cs="Times New Roman"/>
                <w:sz w:val="20"/>
                <w:szCs w:val="20"/>
              </w:rPr>
            </w:pPr>
          </w:p>
          <w:p w14:paraId="314AACDF" w14:textId="77777777" w:rsidR="001C664E" w:rsidRPr="003E54AC" w:rsidRDefault="001C664E" w:rsidP="00A16797">
            <w:pPr>
              <w:keepNext/>
              <w:spacing w:after="0" w:line="240" w:lineRule="auto"/>
              <w:jc w:val="center"/>
              <w:rPr>
                <w:rFonts w:ascii="Times New Roman" w:eastAsia="Times New Roman" w:hAnsi="Times New Roman" w:cs="Times New Roman"/>
                <w:sz w:val="20"/>
                <w:szCs w:val="20"/>
              </w:rPr>
            </w:pPr>
          </w:p>
          <w:p w14:paraId="18D6B1CB" w14:textId="77777777" w:rsidR="001C664E" w:rsidRPr="003E54AC" w:rsidRDefault="001C664E" w:rsidP="00A16797">
            <w:pPr>
              <w:keepNext/>
              <w:spacing w:after="0" w:line="240" w:lineRule="auto"/>
              <w:jc w:val="center"/>
              <w:rPr>
                <w:rFonts w:ascii="Times New Roman" w:eastAsia="Times New Roman" w:hAnsi="Times New Roman" w:cs="Times New Roman"/>
                <w:sz w:val="20"/>
                <w:szCs w:val="20"/>
              </w:rPr>
            </w:pPr>
          </w:p>
          <w:p w14:paraId="7F6F76DC" w14:textId="77777777" w:rsidR="001C664E" w:rsidRPr="003E54AC" w:rsidRDefault="001C664E" w:rsidP="00A16797">
            <w:pPr>
              <w:keepNext/>
              <w:spacing w:after="0" w:line="240" w:lineRule="auto"/>
              <w:jc w:val="center"/>
              <w:rPr>
                <w:rFonts w:ascii="Times New Roman" w:eastAsia="Times New Roman" w:hAnsi="Times New Roman" w:cs="Times New Roman"/>
                <w:sz w:val="20"/>
                <w:szCs w:val="20"/>
              </w:rPr>
            </w:pPr>
          </w:p>
          <w:p w14:paraId="722FC603" w14:textId="77777777" w:rsidR="001C664E" w:rsidRPr="003E54AC" w:rsidRDefault="001C664E" w:rsidP="00A16797">
            <w:pPr>
              <w:keepNext/>
              <w:spacing w:after="0" w:line="240" w:lineRule="auto"/>
              <w:jc w:val="center"/>
              <w:rPr>
                <w:rFonts w:ascii="Times New Roman" w:eastAsia="Times New Roman" w:hAnsi="Times New Roman" w:cs="Times New Roman"/>
                <w:sz w:val="20"/>
                <w:szCs w:val="20"/>
              </w:rPr>
            </w:pPr>
          </w:p>
          <w:p w14:paraId="2DCC571A" w14:textId="77777777" w:rsidR="001C664E" w:rsidRPr="003E54AC" w:rsidRDefault="001C664E" w:rsidP="00A16797">
            <w:pPr>
              <w:keepNext/>
              <w:spacing w:after="0" w:line="240" w:lineRule="auto"/>
              <w:jc w:val="center"/>
              <w:rPr>
                <w:rFonts w:ascii="Times New Roman" w:eastAsia="Times New Roman" w:hAnsi="Times New Roman" w:cs="Times New Roman"/>
                <w:sz w:val="20"/>
                <w:szCs w:val="20"/>
              </w:rPr>
            </w:pPr>
          </w:p>
          <w:p w14:paraId="13365D96" w14:textId="77777777" w:rsidR="001C664E" w:rsidRPr="003E54AC" w:rsidRDefault="001C664E" w:rsidP="00A16797">
            <w:pPr>
              <w:keepNext/>
              <w:spacing w:after="0" w:line="240" w:lineRule="auto"/>
              <w:jc w:val="center"/>
              <w:rPr>
                <w:rFonts w:ascii="Times New Roman" w:eastAsia="Times New Roman" w:hAnsi="Times New Roman" w:cs="Times New Roman"/>
                <w:sz w:val="20"/>
                <w:szCs w:val="20"/>
              </w:rPr>
            </w:pPr>
          </w:p>
          <w:p w14:paraId="27B0EE81" w14:textId="77777777" w:rsidR="00A62EF7" w:rsidRPr="003E54AC" w:rsidRDefault="00A62EF7" w:rsidP="00A16797">
            <w:pPr>
              <w:keepNext/>
              <w:spacing w:after="0" w:line="240" w:lineRule="auto"/>
              <w:jc w:val="center"/>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Governança e Coordenação em Sistemas Complexos</w:t>
            </w:r>
          </w:p>
        </w:tc>
      </w:tr>
      <w:tr w:rsidR="00B242D9" w:rsidRPr="003E54AC" w14:paraId="5CCFC9EB" w14:textId="77777777" w:rsidTr="000F0C27">
        <w:trPr>
          <w:trHeight w:val="787"/>
          <w:jc w:val="center"/>
        </w:trPr>
        <w:tc>
          <w:tcPr>
            <w:tcW w:w="0" w:type="auto"/>
            <w:tcBorders>
              <w:top w:val="non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40ECFF3" w14:textId="77777777" w:rsidR="00A62EF7" w:rsidRPr="003E54AC" w:rsidRDefault="00A62EF7" w:rsidP="003952FF">
            <w:pPr>
              <w:spacing w:after="0" w:line="276" w:lineRule="auto"/>
              <w:rPr>
                <w:rFonts w:ascii="Times New Roman" w:eastAsia="Times New Roman" w:hAnsi="Times New Roman" w:cs="Times New Roman"/>
                <w:sz w:val="20"/>
                <w:szCs w:val="20"/>
              </w:rPr>
            </w:pPr>
            <w:proofErr w:type="spellStart"/>
            <w:r w:rsidRPr="003E54AC">
              <w:rPr>
                <w:rFonts w:ascii="Times New Roman" w:eastAsia="Times New Roman" w:hAnsi="Times New Roman" w:cs="Times New Roman"/>
                <w:sz w:val="20"/>
                <w:szCs w:val="20"/>
              </w:rPr>
              <w:t>Hollander</w:t>
            </w:r>
            <w:proofErr w:type="spellEnd"/>
            <w:r w:rsidRPr="003E54AC">
              <w:rPr>
                <w:rFonts w:ascii="Times New Roman" w:eastAsia="Times New Roman" w:hAnsi="Times New Roman" w:cs="Times New Roman"/>
                <w:sz w:val="20"/>
                <w:szCs w:val="20"/>
              </w:rPr>
              <w:t xml:space="preserve"> </w:t>
            </w:r>
            <w:r w:rsidRPr="003E54AC">
              <w:rPr>
                <w:rFonts w:ascii="Times New Roman" w:eastAsia="Times New Roman" w:hAnsi="Times New Roman" w:cs="Times New Roman"/>
                <w:i/>
                <w:sz w:val="20"/>
                <w:szCs w:val="20"/>
              </w:rPr>
              <w:t>et al.</w:t>
            </w:r>
            <w:r w:rsidRPr="003E54AC">
              <w:rPr>
                <w:rFonts w:ascii="Times New Roman" w:eastAsia="Times New Roman" w:hAnsi="Times New Roman" w:cs="Times New Roman"/>
                <w:sz w:val="20"/>
                <w:szCs w:val="20"/>
              </w:rPr>
              <w:t xml:space="preserve">, 2023; Feliciano </w:t>
            </w:r>
            <w:r w:rsidRPr="003E54AC">
              <w:rPr>
                <w:rFonts w:ascii="Times New Roman" w:eastAsia="Times New Roman" w:hAnsi="Times New Roman" w:cs="Times New Roman"/>
                <w:i/>
                <w:sz w:val="20"/>
                <w:szCs w:val="20"/>
              </w:rPr>
              <w:t>et al.</w:t>
            </w:r>
            <w:r w:rsidRPr="003E54AC">
              <w:rPr>
                <w:rFonts w:ascii="Times New Roman" w:eastAsia="Times New Roman" w:hAnsi="Times New Roman" w:cs="Times New Roman"/>
                <w:sz w:val="20"/>
                <w:szCs w:val="20"/>
              </w:rPr>
              <w:t xml:space="preserve">, 2019; Cruz Rodríguez </w:t>
            </w:r>
            <w:r w:rsidR="003952FF" w:rsidRPr="003E54AC">
              <w:rPr>
                <w:rFonts w:ascii="Times New Roman" w:eastAsia="Times New Roman" w:hAnsi="Times New Roman" w:cs="Times New Roman"/>
                <w:sz w:val="20"/>
                <w:szCs w:val="20"/>
              </w:rPr>
              <w:t>e</w:t>
            </w:r>
            <w:r w:rsidRPr="003E54AC">
              <w:rPr>
                <w:rFonts w:ascii="Times New Roman" w:eastAsia="Times New Roman" w:hAnsi="Times New Roman" w:cs="Times New Roman"/>
                <w:sz w:val="20"/>
                <w:szCs w:val="20"/>
              </w:rPr>
              <w:t xml:space="preserve"> Bautista Rodríguez, </w:t>
            </w:r>
            <w:r w:rsidR="003952FF" w:rsidRPr="003E54AC">
              <w:rPr>
                <w:rFonts w:ascii="Times New Roman" w:eastAsia="Times New Roman" w:hAnsi="Times New Roman" w:cs="Times New Roman"/>
                <w:sz w:val="20"/>
                <w:szCs w:val="20"/>
              </w:rPr>
              <w:t>2018</w:t>
            </w:r>
          </w:p>
        </w:tc>
        <w:tc>
          <w:tcPr>
            <w:tcW w:w="0" w:type="auto"/>
            <w:tcBorders>
              <w:top w:val="non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74C6789" w14:textId="77777777" w:rsidR="00A62EF7" w:rsidRPr="003E54AC" w:rsidRDefault="0099127F" w:rsidP="003952FF">
            <w:pPr>
              <w:spacing w:after="0" w:line="276" w:lineRule="auto"/>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S</w:t>
            </w:r>
            <w:r w:rsidR="00A62EF7" w:rsidRPr="003E54AC">
              <w:rPr>
                <w:rFonts w:ascii="Times New Roman" w:eastAsia="Times New Roman" w:hAnsi="Times New Roman" w:cs="Times New Roman"/>
                <w:sz w:val="20"/>
                <w:szCs w:val="20"/>
              </w:rPr>
              <w:t>ustentabilidade do sistema alimentar; propriedade e gestão florestal; problemas Ambientais e agroindústria</w:t>
            </w:r>
          </w:p>
        </w:tc>
        <w:tc>
          <w:tcPr>
            <w:tcW w:w="0" w:type="auto"/>
            <w:tcBorders>
              <w:top w:val="non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92CA678" w14:textId="77777777" w:rsidR="00A62EF7" w:rsidRPr="003E54AC" w:rsidRDefault="003952FF" w:rsidP="003952FF">
            <w:pPr>
              <w:spacing w:after="0" w:line="240" w:lineRule="auto"/>
              <w:rPr>
                <w:rFonts w:ascii="Times New Roman" w:eastAsia="Times New Roman" w:hAnsi="Times New Roman" w:cs="Times New Roman"/>
                <w:sz w:val="20"/>
                <w:szCs w:val="20"/>
              </w:rPr>
            </w:pPr>
            <w:r w:rsidRPr="003E54AC">
              <w:rPr>
                <w:rFonts w:ascii="Times New Roman" w:hAnsi="Times New Roman" w:cs="Times New Roman"/>
                <w:sz w:val="20"/>
                <w:szCs w:val="20"/>
              </w:rPr>
              <w:t xml:space="preserve"> </w:t>
            </w:r>
            <w:r w:rsidRPr="003E54AC">
              <w:rPr>
                <w:rFonts w:ascii="Times New Roman" w:eastAsia="Times New Roman" w:hAnsi="Times New Roman" w:cs="Times New Roman"/>
                <w:sz w:val="20"/>
                <w:szCs w:val="20"/>
              </w:rPr>
              <w:t xml:space="preserve">Vulnerabilidades nas cadeias de abastecimento alimentar (pós-COVID-19); </w:t>
            </w:r>
            <w:r w:rsidRPr="003E54AC">
              <w:rPr>
                <w:rFonts w:ascii="Times New Roman" w:hAnsi="Times New Roman" w:cs="Times New Roman"/>
                <w:sz w:val="20"/>
                <w:szCs w:val="20"/>
              </w:rPr>
              <w:t xml:space="preserve">Gestão de recursos naturais e a aprendizagem social; </w:t>
            </w:r>
            <w:r w:rsidRPr="003E54AC">
              <w:rPr>
                <w:rFonts w:ascii="Times New Roman" w:eastAsia="Times New Roman" w:hAnsi="Times New Roman" w:cs="Times New Roman"/>
                <w:sz w:val="20"/>
                <w:szCs w:val="20"/>
              </w:rPr>
              <w:t>degradação da terra e d</w:t>
            </w:r>
            <w:r w:rsidR="00A62EF7" w:rsidRPr="003E54AC">
              <w:rPr>
                <w:rFonts w:ascii="Times New Roman" w:eastAsia="Times New Roman" w:hAnsi="Times New Roman" w:cs="Times New Roman"/>
                <w:sz w:val="20"/>
                <w:szCs w:val="20"/>
              </w:rPr>
              <w:t>esafios ambientais complexos</w:t>
            </w:r>
            <w:r w:rsidRPr="003E54AC">
              <w:rPr>
                <w:rFonts w:ascii="Times New Roman" w:eastAsia="Times New Roman" w:hAnsi="Times New Roman" w:cs="Times New Roman"/>
                <w:sz w:val="20"/>
                <w:szCs w:val="20"/>
              </w:rPr>
              <w:t>.</w:t>
            </w:r>
          </w:p>
        </w:tc>
        <w:tc>
          <w:tcPr>
            <w:tcW w:w="0" w:type="auto"/>
            <w:tcBorders>
              <w:top w:val="non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FB302B" w14:textId="2ABA7712" w:rsidR="00A62EF7" w:rsidRPr="003E54AC" w:rsidRDefault="003952FF" w:rsidP="000629EF">
            <w:pPr>
              <w:spacing w:after="0" w:line="240" w:lineRule="auto"/>
              <w:rPr>
                <w:rFonts w:ascii="Times New Roman" w:eastAsia="Times New Roman" w:hAnsi="Times New Roman" w:cs="Times New Roman"/>
                <w:sz w:val="20"/>
                <w:szCs w:val="20"/>
              </w:rPr>
            </w:pPr>
            <w:r w:rsidRPr="003E54AC">
              <w:rPr>
                <w:rFonts w:ascii="Times New Roman" w:hAnsi="Times New Roman" w:cs="Times New Roman"/>
                <w:sz w:val="20"/>
                <w:szCs w:val="20"/>
              </w:rPr>
              <w:t>Sistemas alimentares, cadeias de suprimentos</w:t>
            </w:r>
            <w:r w:rsidR="00A62EF7" w:rsidRPr="003E54AC">
              <w:rPr>
                <w:rFonts w:ascii="Times New Roman" w:eastAsia="Times New Roman" w:hAnsi="Times New Roman" w:cs="Times New Roman"/>
                <w:sz w:val="20"/>
                <w:szCs w:val="20"/>
              </w:rPr>
              <w:t xml:space="preserve">; </w:t>
            </w:r>
            <w:r w:rsidRPr="003E54AC">
              <w:rPr>
                <w:rFonts w:ascii="Times New Roman" w:eastAsia="Times New Roman" w:hAnsi="Times New Roman" w:cs="Times New Roman"/>
                <w:sz w:val="20"/>
                <w:szCs w:val="20"/>
              </w:rPr>
              <w:t xml:space="preserve">gestão florestal sustentável; </w:t>
            </w:r>
            <w:r w:rsidR="00A62EF7" w:rsidRPr="003E54AC">
              <w:rPr>
                <w:rFonts w:ascii="Times New Roman" w:eastAsia="Times New Roman" w:hAnsi="Times New Roman" w:cs="Times New Roman"/>
                <w:sz w:val="20"/>
                <w:szCs w:val="20"/>
              </w:rPr>
              <w:t xml:space="preserve">setor de mineração; </w:t>
            </w:r>
            <w:r w:rsidRPr="003E54AC">
              <w:rPr>
                <w:rFonts w:ascii="Times New Roman" w:hAnsi="Times New Roman" w:cs="Times New Roman"/>
                <w:sz w:val="20"/>
                <w:szCs w:val="20"/>
              </w:rPr>
              <w:t>Gestão do Conhecimento Ambiental para o setor paneleiro Agroind</w:t>
            </w:r>
            <w:r w:rsidR="000629EF">
              <w:rPr>
                <w:rFonts w:ascii="Times New Roman" w:hAnsi="Times New Roman" w:cs="Times New Roman"/>
                <w:sz w:val="20"/>
                <w:szCs w:val="20"/>
              </w:rPr>
              <w:t>u</w:t>
            </w:r>
            <w:r w:rsidRPr="003E54AC">
              <w:rPr>
                <w:rFonts w:ascii="Times New Roman" w:hAnsi="Times New Roman" w:cs="Times New Roman"/>
                <w:sz w:val="20"/>
                <w:szCs w:val="20"/>
              </w:rPr>
              <w:t>strial</w:t>
            </w:r>
            <w:r w:rsidR="001C664E" w:rsidRPr="003E54AC">
              <w:rPr>
                <w:rFonts w:ascii="Times New Roman" w:hAnsi="Times New Roman" w:cs="Times New Roman"/>
                <w:sz w:val="20"/>
                <w:szCs w:val="20"/>
              </w:rPr>
              <w:t xml:space="preserve"> </w:t>
            </w:r>
          </w:p>
        </w:tc>
        <w:tc>
          <w:tcPr>
            <w:tcW w:w="0" w:type="auto"/>
            <w:tcBorders>
              <w:top w:val="none" w:sz="4" w:space="0" w:color="000000"/>
              <w:left w:val="none" w:sz="4" w:space="0" w:color="000000"/>
              <w:bottom w:val="single" w:sz="8" w:space="0" w:color="000000"/>
              <w:right w:val="single" w:sz="8" w:space="0" w:color="000000"/>
            </w:tcBorders>
            <w:tcMar>
              <w:top w:w="0" w:type="dxa"/>
              <w:left w:w="100" w:type="dxa"/>
              <w:bottom w:w="0" w:type="dxa"/>
              <w:right w:w="100" w:type="dxa"/>
            </w:tcMar>
          </w:tcPr>
          <w:p w14:paraId="6F73D502" w14:textId="77777777" w:rsidR="001C664E" w:rsidRPr="003E54AC" w:rsidRDefault="00A62EF7" w:rsidP="00A16797">
            <w:pPr>
              <w:spacing w:after="0" w:line="276" w:lineRule="auto"/>
              <w:jc w:val="center"/>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 xml:space="preserve">  </w:t>
            </w:r>
          </w:p>
          <w:p w14:paraId="49BFA370" w14:textId="77777777" w:rsidR="001C664E" w:rsidRPr="003E54AC" w:rsidRDefault="001C664E" w:rsidP="00A16797">
            <w:pPr>
              <w:spacing w:after="0" w:line="276" w:lineRule="auto"/>
              <w:jc w:val="center"/>
              <w:rPr>
                <w:rFonts w:ascii="Times New Roman" w:eastAsia="Times New Roman" w:hAnsi="Times New Roman" w:cs="Times New Roman"/>
                <w:sz w:val="20"/>
                <w:szCs w:val="20"/>
              </w:rPr>
            </w:pPr>
          </w:p>
          <w:p w14:paraId="57EDE750" w14:textId="77777777" w:rsidR="00A62EF7" w:rsidRPr="003E54AC" w:rsidRDefault="00A62EF7" w:rsidP="00A16797">
            <w:pPr>
              <w:spacing w:after="0" w:line="276" w:lineRule="auto"/>
              <w:jc w:val="center"/>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Sustentabilidade Socioambiental e Gestão de Recursos</w:t>
            </w:r>
          </w:p>
        </w:tc>
      </w:tr>
      <w:tr w:rsidR="00B242D9" w:rsidRPr="003E54AC" w14:paraId="15FE5014" w14:textId="77777777" w:rsidTr="000F0C27">
        <w:trPr>
          <w:trHeight w:val="681"/>
          <w:jc w:val="center"/>
        </w:trPr>
        <w:tc>
          <w:tcPr>
            <w:tcW w:w="0" w:type="auto"/>
            <w:tcBorders>
              <w:top w:val="non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A821EC1" w14:textId="1281DC80" w:rsidR="00A62EF7" w:rsidRPr="003E54AC" w:rsidRDefault="00A62EF7" w:rsidP="00A16797">
            <w:pPr>
              <w:spacing w:after="0" w:line="276" w:lineRule="auto"/>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 xml:space="preserve">Van </w:t>
            </w:r>
            <w:proofErr w:type="spellStart"/>
            <w:r w:rsidRPr="003E54AC">
              <w:rPr>
                <w:rFonts w:ascii="Times New Roman" w:eastAsia="Times New Roman" w:hAnsi="Times New Roman" w:cs="Times New Roman"/>
                <w:sz w:val="20"/>
                <w:szCs w:val="20"/>
              </w:rPr>
              <w:t>Kerkhoffa</w:t>
            </w:r>
            <w:proofErr w:type="spellEnd"/>
            <w:r w:rsidRPr="003E54AC">
              <w:rPr>
                <w:rFonts w:ascii="Times New Roman" w:eastAsia="Times New Roman" w:hAnsi="Times New Roman" w:cs="Times New Roman"/>
                <w:sz w:val="20"/>
                <w:szCs w:val="20"/>
              </w:rPr>
              <w:t xml:space="preserve"> </w:t>
            </w:r>
            <w:r w:rsidR="001C664E" w:rsidRPr="003E54AC">
              <w:rPr>
                <w:rFonts w:ascii="Times New Roman" w:eastAsia="Times New Roman" w:hAnsi="Times New Roman" w:cs="Times New Roman"/>
                <w:sz w:val="20"/>
                <w:szCs w:val="20"/>
              </w:rPr>
              <w:t>e</w:t>
            </w:r>
            <w:r w:rsidRPr="003E54AC">
              <w:rPr>
                <w:rFonts w:ascii="Times New Roman" w:eastAsia="Times New Roman" w:hAnsi="Times New Roman" w:cs="Times New Roman"/>
                <w:sz w:val="20"/>
                <w:szCs w:val="20"/>
              </w:rPr>
              <w:t xml:space="preserve"> </w:t>
            </w:r>
            <w:proofErr w:type="spellStart"/>
            <w:r w:rsidRPr="003E54AC">
              <w:rPr>
                <w:rFonts w:ascii="Times New Roman" w:eastAsia="Times New Roman" w:hAnsi="Times New Roman" w:cs="Times New Roman"/>
                <w:sz w:val="20"/>
                <w:szCs w:val="20"/>
              </w:rPr>
              <w:t>Szlezák</w:t>
            </w:r>
            <w:proofErr w:type="spellEnd"/>
            <w:r w:rsidRPr="003E54AC">
              <w:rPr>
                <w:rFonts w:ascii="Times New Roman" w:eastAsia="Times New Roman" w:hAnsi="Times New Roman" w:cs="Times New Roman"/>
                <w:sz w:val="20"/>
                <w:szCs w:val="20"/>
              </w:rPr>
              <w:t xml:space="preserve">, 2016; </w:t>
            </w:r>
            <w:proofErr w:type="spellStart"/>
            <w:r w:rsidRPr="003E54AC">
              <w:rPr>
                <w:rFonts w:ascii="Times New Roman" w:eastAsia="Times New Roman" w:hAnsi="Times New Roman" w:cs="Times New Roman"/>
                <w:sz w:val="20"/>
                <w:szCs w:val="20"/>
              </w:rPr>
              <w:t>Ranabahu</w:t>
            </w:r>
            <w:proofErr w:type="spellEnd"/>
            <w:r w:rsidRPr="003E54AC">
              <w:rPr>
                <w:rFonts w:ascii="Times New Roman" w:eastAsia="Times New Roman" w:hAnsi="Times New Roman" w:cs="Times New Roman"/>
                <w:sz w:val="20"/>
                <w:szCs w:val="20"/>
              </w:rPr>
              <w:t xml:space="preserve">, 2020; </w:t>
            </w:r>
            <w:proofErr w:type="spellStart"/>
            <w:r w:rsidRPr="003E54AC">
              <w:rPr>
                <w:rFonts w:ascii="Times New Roman" w:eastAsia="Times New Roman" w:hAnsi="Times New Roman" w:cs="Times New Roman"/>
                <w:sz w:val="20"/>
                <w:szCs w:val="20"/>
              </w:rPr>
              <w:t>Agyemang</w:t>
            </w:r>
            <w:proofErr w:type="spellEnd"/>
            <w:r w:rsidRPr="003E54AC">
              <w:rPr>
                <w:rFonts w:ascii="Times New Roman" w:eastAsia="Times New Roman" w:hAnsi="Times New Roman" w:cs="Times New Roman"/>
                <w:sz w:val="20"/>
                <w:szCs w:val="20"/>
              </w:rPr>
              <w:t xml:space="preserve"> </w:t>
            </w:r>
            <w:r w:rsidRPr="003E54AC">
              <w:rPr>
                <w:rFonts w:ascii="Times New Roman" w:eastAsia="Times New Roman" w:hAnsi="Times New Roman" w:cs="Times New Roman"/>
                <w:i/>
                <w:sz w:val="20"/>
                <w:szCs w:val="20"/>
              </w:rPr>
              <w:t>et al.</w:t>
            </w:r>
            <w:r w:rsidRPr="003E54AC">
              <w:rPr>
                <w:rFonts w:ascii="Times New Roman" w:eastAsia="Times New Roman" w:hAnsi="Times New Roman" w:cs="Times New Roman"/>
                <w:sz w:val="20"/>
                <w:szCs w:val="20"/>
              </w:rPr>
              <w:t>, 2019</w:t>
            </w:r>
            <w:r w:rsidR="002E435A">
              <w:rPr>
                <w:rFonts w:ascii="Times New Roman" w:eastAsia="Times New Roman" w:hAnsi="Times New Roman" w:cs="Times New Roman"/>
                <w:sz w:val="20"/>
                <w:szCs w:val="20"/>
              </w:rPr>
              <w:t xml:space="preserve">; </w:t>
            </w:r>
            <w:r w:rsidR="002E435A" w:rsidRPr="002E435A">
              <w:rPr>
                <w:rFonts w:ascii="Times New Roman" w:eastAsia="Times New Roman" w:hAnsi="Times New Roman" w:cs="Times New Roman"/>
                <w:sz w:val="20"/>
                <w:szCs w:val="20"/>
              </w:rPr>
              <w:t>Aguilera; Asprilla, 2019</w:t>
            </w:r>
          </w:p>
          <w:p w14:paraId="5CE2988B" w14:textId="77777777" w:rsidR="00A62EF7" w:rsidRPr="003E54AC" w:rsidRDefault="00A62EF7" w:rsidP="00A16797">
            <w:pPr>
              <w:spacing w:after="0" w:line="276" w:lineRule="auto"/>
              <w:rPr>
                <w:rFonts w:ascii="Times New Roman" w:eastAsia="Times New Roman" w:hAnsi="Times New Roman" w:cs="Times New Roman"/>
                <w:sz w:val="20"/>
                <w:szCs w:val="20"/>
              </w:rPr>
            </w:pPr>
          </w:p>
        </w:tc>
        <w:tc>
          <w:tcPr>
            <w:tcW w:w="0" w:type="auto"/>
            <w:tcBorders>
              <w:top w:val="non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C0302CE" w14:textId="77777777" w:rsidR="00A62EF7" w:rsidRPr="003E54AC" w:rsidRDefault="00A62EF7" w:rsidP="001C664E">
            <w:pPr>
              <w:spacing w:after="0" w:line="276" w:lineRule="auto"/>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Saúde global</w:t>
            </w:r>
            <w:r w:rsidR="001C664E" w:rsidRPr="003E54AC">
              <w:rPr>
                <w:rFonts w:ascii="Times New Roman" w:eastAsia="Times New Roman" w:hAnsi="Times New Roman" w:cs="Times New Roman"/>
                <w:sz w:val="20"/>
                <w:szCs w:val="20"/>
              </w:rPr>
              <w:t>,</w:t>
            </w:r>
            <w:r w:rsidRPr="003E54AC">
              <w:rPr>
                <w:rFonts w:ascii="Times New Roman" w:eastAsia="Times New Roman" w:hAnsi="Times New Roman" w:cs="Times New Roman"/>
                <w:sz w:val="20"/>
                <w:szCs w:val="20"/>
              </w:rPr>
              <w:t xml:space="preserve"> Erradicação da pobreza</w:t>
            </w:r>
            <w:r w:rsidR="001C664E" w:rsidRPr="003E54AC">
              <w:rPr>
                <w:rFonts w:ascii="Times New Roman" w:eastAsia="Times New Roman" w:hAnsi="Times New Roman" w:cs="Times New Roman"/>
                <w:sz w:val="20"/>
                <w:szCs w:val="20"/>
              </w:rPr>
              <w:t>,</w:t>
            </w:r>
            <w:r w:rsidRPr="003E54AC">
              <w:rPr>
                <w:rFonts w:ascii="Times New Roman" w:eastAsia="Times New Roman" w:hAnsi="Times New Roman" w:cs="Times New Roman"/>
                <w:sz w:val="20"/>
                <w:szCs w:val="20"/>
              </w:rPr>
              <w:t xml:space="preserve"> saúde e bem-estar e energia limpa e acessível; Valorização de saberes locais: Conhecimento indígena</w:t>
            </w:r>
          </w:p>
        </w:tc>
        <w:tc>
          <w:tcPr>
            <w:tcW w:w="0" w:type="auto"/>
            <w:tcBorders>
              <w:top w:val="non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A8F91C6" w14:textId="77777777" w:rsidR="00A62EF7" w:rsidRPr="003E54AC" w:rsidRDefault="001C664E" w:rsidP="00782865">
            <w:pPr>
              <w:spacing w:after="0" w:line="240" w:lineRule="auto"/>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 xml:space="preserve">Arranjos institucionais inovadores, dinâmica do compartilhamento e aplicação do conhecimento; inovação responsável em empresas sociais e o </w:t>
            </w:r>
            <w:r w:rsidRPr="000629EF">
              <w:rPr>
                <w:rFonts w:ascii="Times New Roman" w:eastAsia="Times New Roman" w:hAnsi="Times New Roman" w:cs="Times New Roman"/>
                <w:i/>
                <w:sz w:val="20"/>
                <w:szCs w:val="20"/>
              </w:rPr>
              <w:t xml:space="preserve">design </w:t>
            </w:r>
            <w:proofErr w:type="spellStart"/>
            <w:r w:rsidRPr="000629EF">
              <w:rPr>
                <w:rFonts w:ascii="Times New Roman" w:eastAsia="Times New Roman" w:hAnsi="Times New Roman" w:cs="Times New Roman"/>
                <w:i/>
                <w:sz w:val="20"/>
                <w:szCs w:val="20"/>
              </w:rPr>
              <w:t>thinking</w:t>
            </w:r>
            <w:proofErr w:type="spellEnd"/>
            <w:r w:rsidRPr="003E54AC">
              <w:rPr>
                <w:rFonts w:ascii="Times New Roman" w:eastAsia="Times New Roman" w:hAnsi="Times New Roman" w:cs="Times New Roman"/>
                <w:sz w:val="20"/>
                <w:szCs w:val="20"/>
              </w:rPr>
              <w:t>;</w:t>
            </w:r>
            <w:r w:rsidR="00782865" w:rsidRPr="003E54AC">
              <w:rPr>
                <w:rFonts w:ascii="Times New Roman" w:eastAsia="Times New Roman" w:hAnsi="Times New Roman" w:cs="Times New Roman"/>
                <w:sz w:val="20"/>
                <w:szCs w:val="20"/>
              </w:rPr>
              <w:t xml:space="preserve"> </w:t>
            </w:r>
            <w:r w:rsidR="00A62EF7" w:rsidRPr="003E54AC">
              <w:rPr>
                <w:rFonts w:ascii="Times New Roman" w:eastAsia="Times New Roman" w:hAnsi="Times New Roman" w:cs="Times New Roman"/>
                <w:sz w:val="20"/>
                <w:szCs w:val="20"/>
              </w:rPr>
              <w:t>desigualdade no acesso ao conhecimento</w:t>
            </w:r>
            <w:r w:rsidR="00782865" w:rsidRPr="003E54AC">
              <w:rPr>
                <w:rFonts w:ascii="Times New Roman" w:eastAsia="Times New Roman" w:hAnsi="Times New Roman" w:cs="Times New Roman"/>
                <w:sz w:val="20"/>
                <w:szCs w:val="20"/>
              </w:rPr>
              <w:t xml:space="preserve"> </w:t>
            </w:r>
            <w:r w:rsidR="00A62EF7" w:rsidRPr="003E54AC">
              <w:rPr>
                <w:rFonts w:ascii="Times New Roman" w:eastAsia="Times New Roman" w:hAnsi="Times New Roman" w:cs="Times New Roman"/>
                <w:sz w:val="20"/>
                <w:szCs w:val="20"/>
              </w:rPr>
              <w:t xml:space="preserve">e </w:t>
            </w:r>
            <w:r w:rsidR="00782865" w:rsidRPr="003E54AC">
              <w:rPr>
                <w:rFonts w:ascii="Times New Roman" w:eastAsia="Times New Roman" w:hAnsi="Times New Roman" w:cs="Times New Roman"/>
                <w:sz w:val="20"/>
                <w:szCs w:val="20"/>
              </w:rPr>
              <w:t xml:space="preserve">preservação do conhecimento indígena </w:t>
            </w:r>
          </w:p>
        </w:tc>
        <w:tc>
          <w:tcPr>
            <w:tcW w:w="0" w:type="auto"/>
            <w:tcBorders>
              <w:top w:val="non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425A6F4" w14:textId="77777777" w:rsidR="00A62EF7" w:rsidRDefault="001C664E" w:rsidP="00782865">
            <w:pPr>
              <w:spacing w:after="0" w:line="276" w:lineRule="auto"/>
              <w:rPr>
                <w:rFonts w:ascii="Times New Roman" w:hAnsi="Times New Roman" w:cs="Times New Roman"/>
                <w:sz w:val="20"/>
                <w:szCs w:val="20"/>
              </w:rPr>
            </w:pPr>
            <w:r w:rsidRPr="003E54AC">
              <w:rPr>
                <w:rFonts w:ascii="Times New Roman" w:eastAsia="Times New Roman" w:hAnsi="Times New Roman" w:cs="Times New Roman"/>
                <w:sz w:val="20"/>
                <w:szCs w:val="20"/>
              </w:rPr>
              <w:t xml:space="preserve">O Fundo Global de Combate à AIDS, Tuberculose e Malária; </w:t>
            </w:r>
            <w:r w:rsidR="0099127F" w:rsidRPr="003E54AC">
              <w:rPr>
                <w:rFonts w:ascii="Times New Roman" w:eastAsia="Times New Roman" w:hAnsi="Times New Roman" w:cs="Times New Roman"/>
                <w:sz w:val="20"/>
                <w:szCs w:val="20"/>
              </w:rPr>
              <w:t>E</w:t>
            </w:r>
            <w:r w:rsidR="00A62EF7" w:rsidRPr="003E54AC">
              <w:rPr>
                <w:rFonts w:ascii="Times New Roman" w:eastAsia="Times New Roman" w:hAnsi="Times New Roman" w:cs="Times New Roman"/>
                <w:sz w:val="20"/>
                <w:szCs w:val="20"/>
              </w:rPr>
              <w:t>mpresas sociais</w:t>
            </w:r>
            <w:r w:rsidR="00782865" w:rsidRPr="003E54AC">
              <w:rPr>
                <w:rFonts w:ascii="Times New Roman" w:eastAsia="Times New Roman" w:hAnsi="Times New Roman" w:cs="Times New Roman"/>
                <w:sz w:val="20"/>
                <w:szCs w:val="20"/>
              </w:rPr>
              <w:t xml:space="preserve"> e</w:t>
            </w:r>
            <w:r w:rsidR="00A62EF7" w:rsidRPr="003E54AC">
              <w:rPr>
                <w:rFonts w:ascii="Times New Roman" w:eastAsia="Times New Roman" w:hAnsi="Times New Roman" w:cs="Times New Roman"/>
                <w:sz w:val="20"/>
                <w:szCs w:val="20"/>
              </w:rPr>
              <w:t xml:space="preserve"> terceiro setor; </w:t>
            </w:r>
            <w:r w:rsidR="00782865" w:rsidRPr="003E54AC">
              <w:rPr>
                <w:rFonts w:ascii="Times New Roman" w:hAnsi="Times New Roman" w:cs="Times New Roman"/>
                <w:sz w:val="20"/>
                <w:szCs w:val="20"/>
              </w:rPr>
              <w:t xml:space="preserve">Comunidades </w:t>
            </w:r>
            <w:proofErr w:type="spellStart"/>
            <w:r w:rsidR="00782865" w:rsidRPr="003E54AC">
              <w:rPr>
                <w:rFonts w:ascii="Times New Roman" w:hAnsi="Times New Roman" w:cs="Times New Roman"/>
                <w:sz w:val="20"/>
                <w:szCs w:val="20"/>
              </w:rPr>
              <w:t>Krobo</w:t>
            </w:r>
            <w:proofErr w:type="spellEnd"/>
            <w:r w:rsidR="00782865" w:rsidRPr="003E54AC">
              <w:rPr>
                <w:rFonts w:ascii="Times New Roman" w:hAnsi="Times New Roman" w:cs="Times New Roman"/>
                <w:sz w:val="20"/>
                <w:szCs w:val="20"/>
              </w:rPr>
              <w:t xml:space="preserve"> (Gana) </w:t>
            </w:r>
          </w:p>
          <w:p w14:paraId="10D81301" w14:textId="60A8623F" w:rsidR="002E435A" w:rsidRPr="003E54AC" w:rsidRDefault="002E435A" w:rsidP="00782865">
            <w:pPr>
              <w:spacing w:after="0" w:line="276" w:lineRule="auto"/>
              <w:rPr>
                <w:rFonts w:ascii="Times New Roman" w:eastAsia="Times New Roman" w:hAnsi="Times New Roman" w:cs="Times New Roman"/>
                <w:sz w:val="20"/>
                <w:szCs w:val="20"/>
              </w:rPr>
            </w:pPr>
          </w:p>
        </w:tc>
        <w:tc>
          <w:tcPr>
            <w:tcW w:w="0" w:type="auto"/>
            <w:tcBorders>
              <w:top w:val="non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C5DB812" w14:textId="77777777" w:rsidR="001C664E" w:rsidRPr="003E54AC" w:rsidRDefault="001C664E" w:rsidP="00A16797">
            <w:pPr>
              <w:spacing w:after="0" w:line="276" w:lineRule="auto"/>
              <w:jc w:val="center"/>
              <w:rPr>
                <w:rFonts w:ascii="Times New Roman" w:eastAsia="Times New Roman" w:hAnsi="Times New Roman" w:cs="Times New Roman"/>
                <w:sz w:val="20"/>
                <w:szCs w:val="20"/>
              </w:rPr>
            </w:pPr>
          </w:p>
          <w:p w14:paraId="426B78E9" w14:textId="77777777" w:rsidR="001C664E" w:rsidRPr="003E54AC" w:rsidRDefault="001C664E" w:rsidP="00A16797">
            <w:pPr>
              <w:spacing w:after="0" w:line="276" w:lineRule="auto"/>
              <w:jc w:val="center"/>
              <w:rPr>
                <w:rFonts w:ascii="Times New Roman" w:eastAsia="Times New Roman" w:hAnsi="Times New Roman" w:cs="Times New Roman"/>
                <w:sz w:val="20"/>
                <w:szCs w:val="20"/>
              </w:rPr>
            </w:pPr>
          </w:p>
          <w:p w14:paraId="300A4B7A" w14:textId="1175F18A" w:rsidR="00A62EF7" w:rsidRPr="003E54AC" w:rsidRDefault="00A62EF7" w:rsidP="000629EF">
            <w:pPr>
              <w:spacing w:after="0" w:line="276" w:lineRule="auto"/>
              <w:jc w:val="center"/>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Inovação e Desenvolvimento</w:t>
            </w:r>
            <w:r w:rsidR="000629EF">
              <w:rPr>
                <w:rFonts w:ascii="Times New Roman" w:eastAsia="Times New Roman" w:hAnsi="Times New Roman" w:cs="Times New Roman"/>
                <w:sz w:val="20"/>
                <w:szCs w:val="20"/>
              </w:rPr>
              <w:t xml:space="preserve"> </w:t>
            </w:r>
            <w:r w:rsidRPr="003E54AC">
              <w:rPr>
                <w:rFonts w:ascii="Times New Roman" w:eastAsia="Times New Roman" w:hAnsi="Times New Roman" w:cs="Times New Roman"/>
                <w:sz w:val="20"/>
                <w:szCs w:val="20"/>
              </w:rPr>
              <w:t>Social Comunitário</w:t>
            </w:r>
          </w:p>
        </w:tc>
      </w:tr>
      <w:tr w:rsidR="00B242D9" w:rsidRPr="003E54AC" w14:paraId="373D82C5" w14:textId="77777777" w:rsidTr="000F0C27">
        <w:trPr>
          <w:trHeight w:val="819"/>
          <w:jc w:val="center"/>
        </w:trPr>
        <w:tc>
          <w:tcPr>
            <w:tcW w:w="0" w:type="auto"/>
            <w:tcBorders>
              <w:top w:val="non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852D10D" w14:textId="77777777" w:rsidR="00B242D9" w:rsidRPr="003E54AC" w:rsidRDefault="00A62EF7" w:rsidP="00A16797">
            <w:pPr>
              <w:spacing w:after="0" w:line="240" w:lineRule="auto"/>
              <w:rPr>
                <w:rFonts w:ascii="Times New Roman" w:eastAsia="Times New Roman" w:hAnsi="Times New Roman" w:cs="Times New Roman"/>
                <w:sz w:val="20"/>
                <w:szCs w:val="20"/>
              </w:rPr>
            </w:pPr>
            <w:proofErr w:type="spellStart"/>
            <w:r w:rsidRPr="003E54AC">
              <w:rPr>
                <w:rFonts w:ascii="Times New Roman" w:eastAsia="Times New Roman" w:hAnsi="Times New Roman" w:cs="Times New Roman"/>
                <w:sz w:val="20"/>
                <w:szCs w:val="20"/>
              </w:rPr>
              <w:t>Matekenya</w:t>
            </w:r>
            <w:proofErr w:type="spellEnd"/>
            <w:r w:rsidRPr="003E54AC">
              <w:rPr>
                <w:rFonts w:ascii="Times New Roman" w:eastAsia="Times New Roman" w:hAnsi="Times New Roman" w:cs="Times New Roman"/>
                <w:sz w:val="20"/>
                <w:szCs w:val="20"/>
              </w:rPr>
              <w:t xml:space="preserve"> &amp; </w:t>
            </w:r>
            <w:proofErr w:type="spellStart"/>
            <w:r w:rsidRPr="003E54AC">
              <w:rPr>
                <w:rFonts w:ascii="Times New Roman" w:eastAsia="Times New Roman" w:hAnsi="Times New Roman" w:cs="Times New Roman"/>
                <w:sz w:val="20"/>
                <w:szCs w:val="20"/>
              </w:rPr>
              <w:t>Ruhode</w:t>
            </w:r>
            <w:proofErr w:type="spellEnd"/>
            <w:r w:rsidRPr="003E54AC">
              <w:rPr>
                <w:rFonts w:ascii="Times New Roman" w:eastAsia="Times New Roman" w:hAnsi="Times New Roman" w:cs="Times New Roman"/>
                <w:sz w:val="20"/>
                <w:szCs w:val="20"/>
              </w:rPr>
              <w:t xml:space="preserve">, 2025; </w:t>
            </w:r>
          </w:p>
          <w:p w14:paraId="7C2ACBFE" w14:textId="77777777" w:rsidR="00B242D9" w:rsidRPr="003E54AC" w:rsidRDefault="00A62EF7" w:rsidP="00A16797">
            <w:pPr>
              <w:spacing w:after="0" w:line="240" w:lineRule="auto"/>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 xml:space="preserve">López &amp; </w:t>
            </w:r>
            <w:proofErr w:type="spellStart"/>
            <w:r w:rsidRPr="003E54AC">
              <w:rPr>
                <w:rFonts w:ascii="Times New Roman" w:eastAsia="Times New Roman" w:hAnsi="Times New Roman" w:cs="Times New Roman"/>
                <w:sz w:val="20"/>
                <w:szCs w:val="20"/>
              </w:rPr>
              <w:t>Marulanda</w:t>
            </w:r>
            <w:proofErr w:type="spellEnd"/>
            <w:r w:rsidRPr="003E54AC">
              <w:rPr>
                <w:rFonts w:ascii="Times New Roman" w:eastAsia="Times New Roman" w:hAnsi="Times New Roman" w:cs="Times New Roman"/>
                <w:sz w:val="20"/>
                <w:szCs w:val="20"/>
              </w:rPr>
              <w:t>, 2022;</w:t>
            </w:r>
          </w:p>
          <w:p w14:paraId="10E0BB2C" w14:textId="696787EC" w:rsidR="00A62EF7" w:rsidRPr="003E54AC" w:rsidRDefault="00A62EF7" w:rsidP="00A16797">
            <w:pPr>
              <w:spacing w:after="0" w:line="240" w:lineRule="auto"/>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 xml:space="preserve"> </w:t>
            </w:r>
            <w:proofErr w:type="spellStart"/>
            <w:r w:rsidRPr="003E54AC">
              <w:rPr>
                <w:rFonts w:ascii="Times New Roman" w:eastAsia="Times New Roman" w:hAnsi="Times New Roman" w:cs="Times New Roman"/>
                <w:sz w:val="20"/>
                <w:szCs w:val="20"/>
              </w:rPr>
              <w:t>Docal</w:t>
            </w:r>
            <w:proofErr w:type="spellEnd"/>
            <w:r w:rsidRPr="003E54AC">
              <w:rPr>
                <w:rFonts w:ascii="Times New Roman" w:eastAsia="Times New Roman" w:hAnsi="Times New Roman" w:cs="Times New Roman"/>
                <w:sz w:val="20"/>
                <w:szCs w:val="20"/>
              </w:rPr>
              <w:t xml:space="preserve"> </w:t>
            </w:r>
            <w:r w:rsidRPr="003E54AC">
              <w:rPr>
                <w:rFonts w:ascii="Times New Roman" w:eastAsia="Times New Roman" w:hAnsi="Times New Roman" w:cs="Times New Roman"/>
                <w:i/>
                <w:sz w:val="20"/>
                <w:szCs w:val="20"/>
              </w:rPr>
              <w:t>et al.</w:t>
            </w:r>
            <w:r w:rsidRPr="003E54AC">
              <w:rPr>
                <w:rFonts w:ascii="Times New Roman" w:eastAsia="Times New Roman" w:hAnsi="Times New Roman" w:cs="Times New Roman"/>
                <w:sz w:val="20"/>
                <w:szCs w:val="20"/>
              </w:rPr>
              <w:t>,</w:t>
            </w:r>
            <w:r w:rsidR="002E435A">
              <w:rPr>
                <w:rFonts w:ascii="Times New Roman" w:eastAsia="Times New Roman" w:hAnsi="Times New Roman" w:cs="Times New Roman"/>
                <w:sz w:val="20"/>
                <w:szCs w:val="20"/>
              </w:rPr>
              <w:t xml:space="preserve"> </w:t>
            </w:r>
            <w:r w:rsidRPr="003E54AC">
              <w:rPr>
                <w:rFonts w:ascii="Times New Roman" w:eastAsia="Times New Roman" w:hAnsi="Times New Roman" w:cs="Times New Roman"/>
                <w:sz w:val="20"/>
                <w:szCs w:val="20"/>
              </w:rPr>
              <w:t>2025</w:t>
            </w:r>
          </w:p>
          <w:p w14:paraId="1879500B" w14:textId="77777777" w:rsidR="00A62EF7" w:rsidRPr="003E54AC" w:rsidRDefault="00A62EF7" w:rsidP="00A16797">
            <w:pPr>
              <w:spacing w:after="0" w:line="240" w:lineRule="auto"/>
              <w:rPr>
                <w:rFonts w:ascii="Times New Roman" w:eastAsia="Times New Roman" w:hAnsi="Times New Roman" w:cs="Times New Roman"/>
                <w:sz w:val="20"/>
                <w:szCs w:val="20"/>
              </w:rPr>
            </w:pPr>
          </w:p>
        </w:tc>
        <w:tc>
          <w:tcPr>
            <w:tcW w:w="0" w:type="auto"/>
            <w:tcBorders>
              <w:top w:val="non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1006D4C" w14:textId="77777777" w:rsidR="00A62EF7" w:rsidRPr="003E54AC" w:rsidRDefault="00A62EF7" w:rsidP="00A16797">
            <w:pPr>
              <w:spacing w:after="0" w:line="240" w:lineRule="auto"/>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Desastres Naturais; Reconstrução do tecido social em zonas pós-conflito na Colômbia; Saúde Global</w:t>
            </w:r>
          </w:p>
        </w:tc>
        <w:tc>
          <w:tcPr>
            <w:tcW w:w="0" w:type="auto"/>
            <w:tcBorders>
              <w:top w:val="non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86DB209" w14:textId="77777777" w:rsidR="00A62EF7" w:rsidRPr="003E54AC" w:rsidRDefault="00782865" w:rsidP="00B242D9">
            <w:pPr>
              <w:spacing w:after="0" w:line="240" w:lineRule="auto"/>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O</w:t>
            </w:r>
            <w:r w:rsidR="00A62EF7" w:rsidRPr="003E54AC">
              <w:rPr>
                <w:rFonts w:ascii="Times New Roman" w:eastAsia="Times New Roman" w:hAnsi="Times New Roman" w:cs="Times New Roman"/>
                <w:sz w:val="20"/>
                <w:szCs w:val="20"/>
              </w:rPr>
              <w:t>perações de resposta a desastres</w:t>
            </w:r>
            <w:r w:rsidRPr="003E54AC">
              <w:rPr>
                <w:rFonts w:ascii="Times New Roman" w:eastAsia="Times New Roman" w:hAnsi="Times New Roman" w:cs="Times New Roman"/>
                <w:sz w:val="20"/>
                <w:szCs w:val="20"/>
              </w:rPr>
              <w:t xml:space="preserve">: integração do conhecimento </w:t>
            </w:r>
            <w:r w:rsidR="00B242D9" w:rsidRPr="003E54AC">
              <w:rPr>
                <w:rFonts w:ascii="Times New Roman" w:eastAsia="Times New Roman" w:hAnsi="Times New Roman" w:cs="Times New Roman"/>
                <w:sz w:val="20"/>
                <w:szCs w:val="20"/>
              </w:rPr>
              <w:t>indígena ou comunitário;</w:t>
            </w:r>
            <w:r w:rsidR="00A62EF7" w:rsidRPr="003E54AC">
              <w:rPr>
                <w:rFonts w:ascii="Times New Roman" w:eastAsia="Times New Roman" w:hAnsi="Times New Roman" w:cs="Times New Roman"/>
                <w:sz w:val="20"/>
                <w:szCs w:val="20"/>
              </w:rPr>
              <w:t xml:space="preserve"> reconstrução do tecido social em zonas pós-conflito</w:t>
            </w:r>
            <w:r w:rsidR="00B242D9" w:rsidRPr="003E54AC">
              <w:rPr>
                <w:rFonts w:ascii="Times New Roman" w:eastAsia="Times New Roman" w:hAnsi="Times New Roman" w:cs="Times New Roman"/>
                <w:sz w:val="20"/>
                <w:szCs w:val="20"/>
              </w:rPr>
              <w:t>; plataformas para p</w:t>
            </w:r>
            <w:r w:rsidR="00B242D9" w:rsidRPr="003E54AC">
              <w:rPr>
                <w:rFonts w:ascii="Times New Roman" w:hAnsi="Times New Roman" w:cs="Times New Roman"/>
                <w:sz w:val="20"/>
                <w:szCs w:val="20"/>
              </w:rPr>
              <w:t>rática de enfermagem e obstetrícia.</w:t>
            </w:r>
          </w:p>
        </w:tc>
        <w:tc>
          <w:tcPr>
            <w:tcW w:w="0" w:type="auto"/>
            <w:tcBorders>
              <w:top w:val="non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353CA4D" w14:textId="73FA9189" w:rsidR="00A62EF7" w:rsidRPr="003E54AC" w:rsidRDefault="00782865" w:rsidP="00A16797">
            <w:pPr>
              <w:spacing w:after="0" w:line="240" w:lineRule="auto"/>
              <w:rPr>
                <w:rFonts w:ascii="Times New Roman" w:eastAsia="Times New Roman" w:hAnsi="Times New Roman" w:cs="Times New Roman"/>
                <w:sz w:val="20"/>
                <w:szCs w:val="20"/>
              </w:rPr>
            </w:pPr>
            <w:r w:rsidRPr="003E54AC">
              <w:rPr>
                <w:rFonts w:ascii="Times New Roman" w:hAnsi="Times New Roman" w:cs="Times New Roman"/>
                <w:sz w:val="20"/>
                <w:szCs w:val="20"/>
              </w:rPr>
              <w:t xml:space="preserve">Operações de resposta a desastres (Zimbábue); </w:t>
            </w:r>
            <w:r w:rsidR="00A62EF7" w:rsidRPr="003E54AC">
              <w:rPr>
                <w:rFonts w:ascii="Times New Roman" w:eastAsia="Times New Roman" w:hAnsi="Times New Roman" w:cs="Times New Roman"/>
                <w:sz w:val="20"/>
                <w:szCs w:val="20"/>
              </w:rPr>
              <w:t>zonas pós-conflito</w:t>
            </w:r>
            <w:r w:rsidR="00B242D9" w:rsidRPr="003E54AC">
              <w:rPr>
                <w:rFonts w:ascii="Times New Roman" w:eastAsia="Times New Roman" w:hAnsi="Times New Roman" w:cs="Times New Roman"/>
                <w:sz w:val="20"/>
                <w:szCs w:val="20"/>
              </w:rPr>
              <w:t xml:space="preserve"> (Col</w:t>
            </w:r>
            <w:r w:rsidR="000629EF">
              <w:rPr>
                <w:rFonts w:ascii="Times New Roman" w:eastAsia="Times New Roman" w:hAnsi="Times New Roman" w:cs="Times New Roman"/>
                <w:sz w:val="20"/>
                <w:szCs w:val="20"/>
              </w:rPr>
              <w:t>ô</w:t>
            </w:r>
            <w:r w:rsidR="00B242D9" w:rsidRPr="003E54AC">
              <w:rPr>
                <w:rFonts w:ascii="Times New Roman" w:eastAsia="Times New Roman" w:hAnsi="Times New Roman" w:cs="Times New Roman"/>
                <w:sz w:val="20"/>
                <w:szCs w:val="20"/>
              </w:rPr>
              <w:t>mbia);</w:t>
            </w:r>
            <w:r w:rsidR="00A62EF7" w:rsidRPr="003E54AC">
              <w:rPr>
                <w:rFonts w:ascii="Times New Roman" w:eastAsia="Times New Roman" w:hAnsi="Times New Roman" w:cs="Times New Roman"/>
                <w:sz w:val="20"/>
                <w:szCs w:val="20"/>
              </w:rPr>
              <w:t xml:space="preserve"> </w:t>
            </w:r>
            <w:r w:rsidR="00B242D9" w:rsidRPr="003E54AC">
              <w:rPr>
                <w:rFonts w:ascii="Times New Roman" w:hAnsi="Times New Roman" w:cs="Times New Roman"/>
                <w:sz w:val="20"/>
                <w:szCs w:val="20"/>
              </w:rPr>
              <w:t>Aliança Global para Enfermagem e Obstetrícia:</w:t>
            </w:r>
            <w:r w:rsidR="00A62EF7" w:rsidRPr="003E54AC">
              <w:rPr>
                <w:rFonts w:ascii="Times New Roman" w:eastAsia="Times New Roman" w:hAnsi="Times New Roman" w:cs="Times New Roman"/>
                <w:sz w:val="20"/>
                <w:szCs w:val="20"/>
              </w:rPr>
              <w:t xml:space="preserve"> pandemia. </w:t>
            </w:r>
          </w:p>
          <w:p w14:paraId="7084D8CE" w14:textId="77777777" w:rsidR="00A62EF7" w:rsidRPr="003E54AC" w:rsidRDefault="00A62EF7" w:rsidP="00A16797">
            <w:pPr>
              <w:spacing w:after="0" w:line="240" w:lineRule="auto"/>
              <w:rPr>
                <w:rFonts w:ascii="Times New Roman" w:eastAsia="Times New Roman" w:hAnsi="Times New Roman" w:cs="Times New Roman"/>
                <w:sz w:val="20"/>
                <w:szCs w:val="20"/>
              </w:rPr>
            </w:pPr>
          </w:p>
        </w:tc>
        <w:tc>
          <w:tcPr>
            <w:tcW w:w="0" w:type="auto"/>
            <w:tcBorders>
              <w:top w:val="none" w:sz="4"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37E3D90" w14:textId="77777777" w:rsidR="00B242D9" w:rsidRPr="003E54AC" w:rsidRDefault="00B242D9" w:rsidP="00A16797">
            <w:pPr>
              <w:spacing w:after="0" w:line="240" w:lineRule="auto"/>
              <w:jc w:val="center"/>
              <w:rPr>
                <w:rFonts w:ascii="Times New Roman" w:eastAsia="Times New Roman" w:hAnsi="Times New Roman" w:cs="Times New Roman"/>
                <w:sz w:val="20"/>
                <w:szCs w:val="20"/>
              </w:rPr>
            </w:pPr>
          </w:p>
          <w:p w14:paraId="0D0C985B" w14:textId="77777777" w:rsidR="00A62EF7" w:rsidRPr="003E54AC" w:rsidRDefault="00A62EF7" w:rsidP="00A16797">
            <w:pPr>
              <w:spacing w:after="0" w:line="240" w:lineRule="auto"/>
              <w:jc w:val="center"/>
              <w:rPr>
                <w:rFonts w:ascii="Times New Roman" w:eastAsia="Times New Roman" w:hAnsi="Times New Roman" w:cs="Times New Roman"/>
                <w:sz w:val="20"/>
                <w:szCs w:val="20"/>
              </w:rPr>
            </w:pPr>
            <w:r w:rsidRPr="003E54AC">
              <w:rPr>
                <w:rFonts w:ascii="Times New Roman" w:eastAsia="Times New Roman" w:hAnsi="Times New Roman" w:cs="Times New Roman"/>
                <w:sz w:val="20"/>
                <w:szCs w:val="20"/>
              </w:rPr>
              <w:t xml:space="preserve">Gestão de Crises e Resiliência Comunitária </w:t>
            </w:r>
          </w:p>
        </w:tc>
      </w:tr>
    </w:tbl>
    <w:p w14:paraId="4DCEA3BF" w14:textId="77777777" w:rsidR="00A16797" w:rsidRPr="003E54AC" w:rsidRDefault="00A16797" w:rsidP="003E54AC">
      <w:pPr>
        <w:spacing w:before="120" w:after="120" w:line="240" w:lineRule="auto"/>
        <w:jc w:val="center"/>
        <w:rPr>
          <w:rFonts w:ascii="Helvetica" w:hAnsi="Helvetica"/>
          <w:sz w:val="20"/>
          <w:szCs w:val="20"/>
        </w:rPr>
      </w:pPr>
      <w:r w:rsidRPr="00993DC5">
        <w:rPr>
          <w:sz w:val="20"/>
          <w:szCs w:val="20"/>
        </w:rPr>
        <w:t>Fonte: Elaborado pelas autoras com base nos artigos</w:t>
      </w:r>
      <w:r w:rsidRPr="003E54AC">
        <w:rPr>
          <w:rFonts w:ascii="Helvetica" w:hAnsi="Helvetica"/>
          <w:sz w:val="20"/>
          <w:szCs w:val="20"/>
        </w:rPr>
        <w:t>.</w:t>
      </w:r>
    </w:p>
    <w:p w14:paraId="0B6CAA9C" w14:textId="77777777" w:rsidR="008D1720" w:rsidRDefault="004912D9" w:rsidP="00027C5B">
      <w:pPr>
        <w:spacing w:before="119" w:line="250" w:lineRule="auto"/>
        <w:ind w:left="102" w:right="96"/>
      </w:pPr>
      <w:r w:rsidRPr="004912D9">
        <w:lastRenderedPageBreak/>
        <w:t>Para identificar a relação entre os problemas abordados nos artigos e os ODS, os estudos analisados foram organizados em quatro eixos temáticos: Saúde, Meio Ambiente, Social e Sistemas Alimentares e Produção. Essa categorização permitiu agrupar os diferentes tipos de problemas complexos discutidos na literatura, estabelecendo conexões diretas com os ODS correspondentes.</w:t>
      </w:r>
    </w:p>
    <w:p w14:paraId="588C99C8" w14:textId="77777777" w:rsidR="00EB39F4" w:rsidRDefault="00EB39F4" w:rsidP="000826B9">
      <w:pPr>
        <w:spacing w:before="120" w:after="120" w:line="240" w:lineRule="auto"/>
        <w:ind w:firstLine="0"/>
        <w:jc w:val="center"/>
        <w:rPr>
          <w:rFonts w:ascii="Helvetica" w:hAnsi="Helvetica"/>
          <w:b/>
          <w:sz w:val="20"/>
          <w:szCs w:val="20"/>
        </w:rPr>
      </w:pPr>
    </w:p>
    <w:p w14:paraId="5AEAB69D" w14:textId="236126AC" w:rsidR="00AE6729" w:rsidRDefault="008D1720" w:rsidP="000826B9">
      <w:pPr>
        <w:spacing w:before="120" w:after="120" w:line="240" w:lineRule="auto"/>
        <w:ind w:firstLine="0"/>
        <w:jc w:val="center"/>
      </w:pPr>
      <w:r w:rsidRPr="003E54AC">
        <w:rPr>
          <w:rFonts w:ascii="Helvetica" w:hAnsi="Helvetica"/>
          <w:b/>
          <w:sz w:val="20"/>
          <w:szCs w:val="20"/>
        </w:rPr>
        <w:t>Quadro 5 – Eixos dos problemas relacionados aos ODS</w:t>
      </w:r>
    </w:p>
    <w:tbl>
      <w:tblPr>
        <w:tblStyle w:val="Tabelacomgrade1"/>
        <w:tblW w:w="0" w:type="auto"/>
        <w:jc w:val="center"/>
        <w:tblLook w:val="04A0" w:firstRow="1" w:lastRow="0" w:firstColumn="1" w:lastColumn="0" w:noHBand="0" w:noVBand="1"/>
      </w:tblPr>
      <w:tblGrid>
        <w:gridCol w:w="3002"/>
        <w:gridCol w:w="3004"/>
        <w:gridCol w:w="3004"/>
      </w:tblGrid>
      <w:tr w:rsidR="0099127F" w:rsidRPr="003E54AC" w14:paraId="4FAD1253" w14:textId="77777777" w:rsidTr="008D1720">
        <w:trPr>
          <w:jc w:val="center"/>
        </w:trPr>
        <w:tc>
          <w:tcPr>
            <w:tcW w:w="3002" w:type="dxa"/>
          </w:tcPr>
          <w:p w14:paraId="796C7D86" w14:textId="77777777" w:rsidR="0099127F" w:rsidRPr="00993DC5" w:rsidRDefault="0099127F" w:rsidP="0099127F">
            <w:pPr>
              <w:jc w:val="center"/>
              <w:rPr>
                <w:rFonts w:ascii="Times New Roman" w:hAnsi="Times New Roman" w:cs="Times New Roman"/>
                <w:sz w:val="20"/>
                <w:szCs w:val="20"/>
              </w:rPr>
            </w:pPr>
            <w:r w:rsidRPr="00993DC5">
              <w:rPr>
                <w:rFonts w:ascii="Times New Roman" w:hAnsi="Times New Roman" w:cs="Times New Roman"/>
                <w:sz w:val="20"/>
                <w:szCs w:val="20"/>
              </w:rPr>
              <w:t>Eixo do Problema Complexo</w:t>
            </w:r>
          </w:p>
        </w:tc>
        <w:tc>
          <w:tcPr>
            <w:tcW w:w="3004" w:type="dxa"/>
          </w:tcPr>
          <w:p w14:paraId="52186B60" w14:textId="77777777" w:rsidR="0099127F" w:rsidRPr="00993DC5" w:rsidRDefault="0099127F" w:rsidP="0099127F">
            <w:pPr>
              <w:jc w:val="center"/>
              <w:rPr>
                <w:rFonts w:ascii="Times New Roman" w:hAnsi="Times New Roman" w:cs="Times New Roman"/>
                <w:sz w:val="20"/>
                <w:szCs w:val="20"/>
              </w:rPr>
            </w:pPr>
            <w:r w:rsidRPr="00993DC5">
              <w:rPr>
                <w:rFonts w:ascii="Times New Roman" w:hAnsi="Times New Roman" w:cs="Times New Roman"/>
                <w:sz w:val="20"/>
                <w:szCs w:val="20"/>
              </w:rPr>
              <w:t>Problemas Complexos</w:t>
            </w:r>
          </w:p>
        </w:tc>
        <w:tc>
          <w:tcPr>
            <w:tcW w:w="3004" w:type="dxa"/>
          </w:tcPr>
          <w:p w14:paraId="0DDC18B8" w14:textId="77777777" w:rsidR="0099127F" w:rsidRPr="00993DC5" w:rsidRDefault="0099127F" w:rsidP="0099127F">
            <w:pPr>
              <w:jc w:val="center"/>
              <w:rPr>
                <w:rFonts w:ascii="Times New Roman" w:hAnsi="Times New Roman" w:cs="Times New Roman"/>
                <w:sz w:val="20"/>
                <w:szCs w:val="20"/>
              </w:rPr>
            </w:pPr>
            <w:r w:rsidRPr="00993DC5">
              <w:rPr>
                <w:rFonts w:ascii="Times New Roman" w:hAnsi="Times New Roman" w:cs="Times New Roman"/>
                <w:sz w:val="20"/>
                <w:szCs w:val="20"/>
              </w:rPr>
              <w:t>ODS Relacionados</w:t>
            </w:r>
          </w:p>
        </w:tc>
      </w:tr>
      <w:tr w:rsidR="0099127F" w:rsidRPr="003E54AC" w14:paraId="5BAE46E2" w14:textId="77777777" w:rsidTr="008D1720">
        <w:trPr>
          <w:jc w:val="center"/>
        </w:trPr>
        <w:tc>
          <w:tcPr>
            <w:tcW w:w="3002" w:type="dxa"/>
            <w:vMerge w:val="restart"/>
          </w:tcPr>
          <w:p w14:paraId="3DA4DEEE" w14:textId="77777777" w:rsidR="0099127F" w:rsidRPr="003E54AC" w:rsidRDefault="0099127F" w:rsidP="0099127F">
            <w:pPr>
              <w:jc w:val="center"/>
              <w:rPr>
                <w:rFonts w:ascii="Times New Roman" w:hAnsi="Times New Roman" w:cs="Times New Roman"/>
                <w:sz w:val="20"/>
                <w:szCs w:val="20"/>
              </w:rPr>
            </w:pPr>
          </w:p>
          <w:p w14:paraId="7909360F" w14:textId="77777777" w:rsidR="0099127F" w:rsidRPr="003E54AC" w:rsidRDefault="0099127F" w:rsidP="0099127F">
            <w:pPr>
              <w:jc w:val="center"/>
              <w:rPr>
                <w:rFonts w:ascii="Times New Roman" w:hAnsi="Times New Roman" w:cs="Times New Roman"/>
                <w:sz w:val="20"/>
                <w:szCs w:val="20"/>
              </w:rPr>
            </w:pPr>
            <w:r w:rsidRPr="003E54AC">
              <w:rPr>
                <w:rFonts w:ascii="Times New Roman" w:hAnsi="Times New Roman" w:cs="Times New Roman"/>
                <w:sz w:val="20"/>
                <w:szCs w:val="20"/>
              </w:rPr>
              <w:t>Saúde</w:t>
            </w:r>
          </w:p>
        </w:tc>
        <w:tc>
          <w:tcPr>
            <w:tcW w:w="3004" w:type="dxa"/>
          </w:tcPr>
          <w:p w14:paraId="716BE956"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Doenças crônicas</w:t>
            </w:r>
          </w:p>
        </w:tc>
        <w:tc>
          <w:tcPr>
            <w:tcW w:w="3004" w:type="dxa"/>
          </w:tcPr>
          <w:p w14:paraId="53E38D3D"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ODS 3: Saúde e Bem-Estar</w:t>
            </w:r>
          </w:p>
        </w:tc>
      </w:tr>
      <w:tr w:rsidR="0099127F" w:rsidRPr="003E54AC" w14:paraId="6EE28FEC" w14:textId="77777777" w:rsidTr="008D1720">
        <w:trPr>
          <w:jc w:val="center"/>
        </w:trPr>
        <w:tc>
          <w:tcPr>
            <w:tcW w:w="3002" w:type="dxa"/>
            <w:vMerge/>
          </w:tcPr>
          <w:p w14:paraId="47E23141" w14:textId="77777777" w:rsidR="0099127F" w:rsidRPr="003E54AC" w:rsidRDefault="0099127F" w:rsidP="0099127F">
            <w:pPr>
              <w:rPr>
                <w:rFonts w:ascii="Times New Roman" w:hAnsi="Times New Roman" w:cs="Times New Roman"/>
                <w:sz w:val="20"/>
                <w:szCs w:val="20"/>
              </w:rPr>
            </w:pPr>
          </w:p>
        </w:tc>
        <w:tc>
          <w:tcPr>
            <w:tcW w:w="3004" w:type="dxa"/>
          </w:tcPr>
          <w:p w14:paraId="4B886CB2"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Crises sanitárias</w:t>
            </w:r>
          </w:p>
        </w:tc>
        <w:tc>
          <w:tcPr>
            <w:tcW w:w="3004" w:type="dxa"/>
          </w:tcPr>
          <w:p w14:paraId="4BBEB996"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ODS 3: Saúde e Bem-Estar</w:t>
            </w:r>
          </w:p>
        </w:tc>
      </w:tr>
      <w:tr w:rsidR="0099127F" w:rsidRPr="003E54AC" w14:paraId="3D7E7C59" w14:textId="77777777" w:rsidTr="008D1720">
        <w:trPr>
          <w:jc w:val="center"/>
        </w:trPr>
        <w:tc>
          <w:tcPr>
            <w:tcW w:w="3002" w:type="dxa"/>
            <w:vMerge/>
          </w:tcPr>
          <w:p w14:paraId="04B8482D" w14:textId="77777777" w:rsidR="0099127F" w:rsidRPr="003E54AC" w:rsidRDefault="0099127F" w:rsidP="0099127F">
            <w:pPr>
              <w:rPr>
                <w:rFonts w:ascii="Times New Roman" w:hAnsi="Times New Roman" w:cs="Times New Roman"/>
                <w:sz w:val="20"/>
                <w:szCs w:val="20"/>
              </w:rPr>
            </w:pPr>
          </w:p>
        </w:tc>
        <w:tc>
          <w:tcPr>
            <w:tcW w:w="3004" w:type="dxa"/>
          </w:tcPr>
          <w:p w14:paraId="2CB58824"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Crianças com câncer</w:t>
            </w:r>
          </w:p>
        </w:tc>
        <w:tc>
          <w:tcPr>
            <w:tcW w:w="3004" w:type="dxa"/>
          </w:tcPr>
          <w:p w14:paraId="4B34A3D8"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ODS 3: Saúde e Bem-Estar</w:t>
            </w:r>
          </w:p>
        </w:tc>
      </w:tr>
      <w:tr w:rsidR="0099127F" w:rsidRPr="003E54AC" w14:paraId="2E085967" w14:textId="77777777" w:rsidTr="008D1720">
        <w:trPr>
          <w:jc w:val="center"/>
        </w:trPr>
        <w:tc>
          <w:tcPr>
            <w:tcW w:w="3002" w:type="dxa"/>
            <w:vMerge/>
          </w:tcPr>
          <w:p w14:paraId="387524DF" w14:textId="77777777" w:rsidR="0099127F" w:rsidRPr="003E54AC" w:rsidRDefault="0099127F" w:rsidP="0099127F">
            <w:pPr>
              <w:rPr>
                <w:rFonts w:ascii="Times New Roman" w:hAnsi="Times New Roman" w:cs="Times New Roman"/>
                <w:sz w:val="20"/>
                <w:szCs w:val="20"/>
              </w:rPr>
            </w:pPr>
          </w:p>
        </w:tc>
        <w:tc>
          <w:tcPr>
            <w:tcW w:w="3004" w:type="dxa"/>
          </w:tcPr>
          <w:p w14:paraId="01143DE1"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Programa nacional de saúde</w:t>
            </w:r>
          </w:p>
        </w:tc>
        <w:tc>
          <w:tcPr>
            <w:tcW w:w="3004" w:type="dxa"/>
          </w:tcPr>
          <w:p w14:paraId="0096A36E"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ODS 3: Saúde e Bem-Estar</w:t>
            </w:r>
          </w:p>
        </w:tc>
      </w:tr>
      <w:tr w:rsidR="0099127F" w:rsidRPr="003E54AC" w14:paraId="299F70B8" w14:textId="77777777" w:rsidTr="008D1720">
        <w:trPr>
          <w:jc w:val="center"/>
        </w:trPr>
        <w:tc>
          <w:tcPr>
            <w:tcW w:w="3002" w:type="dxa"/>
            <w:vMerge w:val="restart"/>
          </w:tcPr>
          <w:p w14:paraId="115A8A5D" w14:textId="77777777" w:rsidR="0099127F" w:rsidRPr="003E54AC" w:rsidRDefault="0099127F" w:rsidP="0099127F">
            <w:pPr>
              <w:jc w:val="center"/>
              <w:rPr>
                <w:rFonts w:ascii="Times New Roman" w:hAnsi="Times New Roman" w:cs="Times New Roman"/>
                <w:sz w:val="20"/>
                <w:szCs w:val="20"/>
              </w:rPr>
            </w:pPr>
          </w:p>
          <w:p w14:paraId="597AD6FB" w14:textId="77777777" w:rsidR="0099127F" w:rsidRPr="003E54AC" w:rsidRDefault="0099127F" w:rsidP="0099127F">
            <w:pPr>
              <w:jc w:val="center"/>
              <w:rPr>
                <w:rFonts w:ascii="Times New Roman" w:hAnsi="Times New Roman" w:cs="Times New Roman"/>
                <w:sz w:val="20"/>
                <w:szCs w:val="20"/>
              </w:rPr>
            </w:pPr>
          </w:p>
          <w:p w14:paraId="58963E6D" w14:textId="77777777" w:rsidR="0099127F" w:rsidRPr="003E54AC" w:rsidRDefault="0099127F" w:rsidP="0099127F">
            <w:pPr>
              <w:jc w:val="center"/>
              <w:rPr>
                <w:rFonts w:ascii="Times New Roman" w:hAnsi="Times New Roman" w:cs="Times New Roman"/>
                <w:sz w:val="20"/>
                <w:szCs w:val="20"/>
              </w:rPr>
            </w:pPr>
          </w:p>
          <w:p w14:paraId="16E5B8A9" w14:textId="77777777" w:rsidR="0099127F" w:rsidRPr="003E54AC" w:rsidRDefault="0099127F" w:rsidP="0099127F">
            <w:pPr>
              <w:jc w:val="center"/>
              <w:rPr>
                <w:rFonts w:ascii="Times New Roman" w:hAnsi="Times New Roman" w:cs="Times New Roman"/>
                <w:sz w:val="20"/>
                <w:szCs w:val="20"/>
              </w:rPr>
            </w:pPr>
          </w:p>
          <w:p w14:paraId="05E9F5CD" w14:textId="77777777" w:rsidR="0099127F" w:rsidRPr="003E54AC" w:rsidRDefault="0099127F" w:rsidP="0099127F">
            <w:pPr>
              <w:jc w:val="center"/>
              <w:rPr>
                <w:rFonts w:ascii="Times New Roman" w:hAnsi="Times New Roman" w:cs="Times New Roman"/>
                <w:sz w:val="20"/>
                <w:szCs w:val="20"/>
              </w:rPr>
            </w:pPr>
          </w:p>
          <w:p w14:paraId="7B877B1B" w14:textId="77777777" w:rsidR="0099127F" w:rsidRPr="003E54AC" w:rsidRDefault="0099127F" w:rsidP="0099127F">
            <w:pPr>
              <w:jc w:val="center"/>
              <w:rPr>
                <w:rFonts w:ascii="Times New Roman" w:hAnsi="Times New Roman" w:cs="Times New Roman"/>
                <w:sz w:val="20"/>
                <w:szCs w:val="20"/>
              </w:rPr>
            </w:pPr>
          </w:p>
          <w:p w14:paraId="178ABF82" w14:textId="77777777" w:rsidR="0099127F" w:rsidRPr="003E54AC" w:rsidRDefault="0099127F" w:rsidP="0099127F">
            <w:pPr>
              <w:jc w:val="center"/>
              <w:rPr>
                <w:rFonts w:ascii="Times New Roman" w:hAnsi="Times New Roman" w:cs="Times New Roman"/>
                <w:sz w:val="20"/>
                <w:szCs w:val="20"/>
              </w:rPr>
            </w:pPr>
            <w:r w:rsidRPr="003E54AC">
              <w:rPr>
                <w:rFonts w:ascii="Times New Roman" w:hAnsi="Times New Roman" w:cs="Times New Roman"/>
                <w:sz w:val="20"/>
                <w:szCs w:val="20"/>
              </w:rPr>
              <w:t>Meio Ambiente</w:t>
            </w:r>
          </w:p>
        </w:tc>
        <w:tc>
          <w:tcPr>
            <w:tcW w:w="3004" w:type="dxa"/>
          </w:tcPr>
          <w:p w14:paraId="40E1AC14"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Regulação de carbono</w:t>
            </w:r>
          </w:p>
        </w:tc>
        <w:tc>
          <w:tcPr>
            <w:tcW w:w="3004" w:type="dxa"/>
          </w:tcPr>
          <w:p w14:paraId="2C934A8B"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ODS 13: Ação Contra a Mudança Global do Clima</w:t>
            </w:r>
          </w:p>
        </w:tc>
      </w:tr>
      <w:tr w:rsidR="0099127F" w:rsidRPr="003E54AC" w14:paraId="2748B932" w14:textId="77777777" w:rsidTr="008D1720">
        <w:trPr>
          <w:jc w:val="center"/>
        </w:trPr>
        <w:tc>
          <w:tcPr>
            <w:tcW w:w="3002" w:type="dxa"/>
            <w:vMerge/>
          </w:tcPr>
          <w:p w14:paraId="64B3FB7D" w14:textId="77777777" w:rsidR="0099127F" w:rsidRPr="003E54AC" w:rsidRDefault="0099127F" w:rsidP="0099127F">
            <w:pPr>
              <w:rPr>
                <w:rFonts w:ascii="Times New Roman" w:hAnsi="Times New Roman" w:cs="Times New Roman"/>
                <w:sz w:val="20"/>
                <w:szCs w:val="20"/>
              </w:rPr>
            </w:pPr>
          </w:p>
        </w:tc>
        <w:tc>
          <w:tcPr>
            <w:tcW w:w="3004" w:type="dxa"/>
          </w:tcPr>
          <w:p w14:paraId="67C3D089"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Biodiversidade</w:t>
            </w:r>
          </w:p>
        </w:tc>
        <w:tc>
          <w:tcPr>
            <w:tcW w:w="3004" w:type="dxa"/>
          </w:tcPr>
          <w:p w14:paraId="5E2407B6"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ODS 15: Vida Terrestre</w:t>
            </w:r>
          </w:p>
        </w:tc>
      </w:tr>
      <w:tr w:rsidR="0099127F" w:rsidRPr="003E54AC" w14:paraId="2BF04BD5" w14:textId="77777777" w:rsidTr="008D1720">
        <w:trPr>
          <w:jc w:val="center"/>
        </w:trPr>
        <w:tc>
          <w:tcPr>
            <w:tcW w:w="3002" w:type="dxa"/>
            <w:vMerge/>
          </w:tcPr>
          <w:p w14:paraId="2BF5721B" w14:textId="77777777" w:rsidR="0099127F" w:rsidRPr="003E54AC" w:rsidRDefault="0099127F" w:rsidP="0099127F">
            <w:pPr>
              <w:rPr>
                <w:rFonts w:ascii="Times New Roman" w:hAnsi="Times New Roman" w:cs="Times New Roman"/>
                <w:sz w:val="20"/>
                <w:szCs w:val="20"/>
              </w:rPr>
            </w:pPr>
          </w:p>
        </w:tc>
        <w:tc>
          <w:tcPr>
            <w:tcW w:w="3004" w:type="dxa"/>
          </w:tcPr>
          <w:p w14:paraId="02273F78"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Manejo sustentável da terra</w:t>
            </w:r>
          </w:p>
        </w:tc>
        <w:tc>
          <w:tcPr>
            <w:tcW w:w="3004" w:type="dxa"/>
          </w:tcPr>
          <w:p w14:paraId="36BA80E9"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ODS 15: Vida Terrestre</w:t>
            </w:r>
          </w:p>
        </w:tc>
      </w:tr>
      <w:tr w:rsidR="0099127F" w:rsidRPr="003E54AC" w14:paraId="16A0BC6C" w14:textId="77777777" w:rsidTr="008D1720">
        <w:trPr>
          <w:jc w:val="center"/>
        </w:trPr>
        <w:tc>
          <w:tcPr>
            <w:tcW w:w="3002" w:type="dxa"/>
            <w:vMerge/>
          </w:tcPr>
          <w:p w14:paraId="3C99E50C" w14:textId="77777777" w:rsidR="0099127F" w:rsidRPr="003E54AC" w:rsidRDefault="0099127F" w:rsidP="0099127F">
            <w:pPr>
              <w:rPr>
                <w:rFonts w:ascii="Times New Roman" w:hAnsi="Times New Roman" w:cs="Times New Roman"/>
                <w:sz w:val="20"/>
                <w:szCs w:val="20"/>
              </w:rPr>
            </w:pPr>
          </w:p>
        </w:tc>
        <w:tc>
          <w:tcPr>
            <w:tcW w:w="3004" w:type="dxa"/>
          </w:tcPr>
          <w:p w14:paraId="76F4DFD0"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Gestão florestal</w:t>
            </w:r>
          </w:p>
        </w:tc>
        <w:tc>
          <w:tcPr>
            <w:tcW w:w="3004" w:type="dxa"/>
          </w:tcPr>
          <w:p w14:paraId="2B3B2254"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ODS 15: Vida Terrestre</w:t>
            </w:r>
          </w:p>
        </w:tc>
      </w:tr>
      <w:tr w:rsidR="0099127F" w:rsidRPr="003E54AC" w14:paraId="7B07A581" w14:textId="77777777" w:rsidTr="008D1720">
        <w:trPr>
          <w:jc w:val="center"/>
        </w:trPr>
        <w:tc>
          <w:tcPr>
            <w:tcW w:w="3002" w:type="dxa"/>
            <w:vMerge/>
          </w:tcPr>
          <w:p w14:paraId="2F692EC9" w14:textId="77777777" w:rsidR="0099127F" w:rsidRPr="003E54AC" w:rsidRDefault="0099127F" w:rsidP="0099127F">
            <w:pPr>
              <w:rPr>
                <w:rFonts w:ascii="Times New Roman" w:hAnsi="Times New Roman" w:cs="Times New Roman"/>
                <w:sz w:val="20"/>
                <w:szCs w:val="20"/>
              </w:rPr>
            </w:pPr>
          </w:p>
        </w:tc>
        <w:tc>
          <w:tcPr>
            <w:tcW w:w="3004" w:type="dxa"/>
          </w:tcPr>
          <w:p w14:paraId="7134ADA8"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Problemas ambientais</w:t>
            </w:r>
          </w:p>
        </w:tc>
        <w:tc>
          <w:tcPr>
            <w:tcW w:w="3004" w:type="dxa"/>
          </w:tcPr>
          <w:p w14:paraId="0CF701AB"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ODS 13; ODS 15: Vida Terrestre</w:t>
            </w:r>
          </w:p>
        </w:tc>
      </w:tr>
      <w:tr w:rsidR="0099127F" w:rsidRPr="003E54AC" w14:paraId="68DC3BA5" w14:textId="77777777" w:rsidTr="008D1720">
        <w:trPr>
          <w:jc w:val="center"/>
        </w:trPr>
        <w:tc>
          <w:tcPr>
            <w:tcW w:w="3002" w:type="dxa"/>
            <w:vMerge/>
          </w:tcPr>
          <w:p w14:paraId="6F654264" w14:textId="77777777" w:rsidR="0099127F" w:rsidRPr="003E54AC" w:rsidRDefault="0099127F" w:rsidP="0099127F">
            <w:pPr>
              <w:rPr>
                <w:rFonts w:ascii="Times New Roman" w:hAnsi="Times New Roman" w:cs="Times New Roman"/>
                <w:sz w:val="20"/>
                <w:szCs w:val="20"/>
              </w:rPr>
            </w:pPr>
          </w:p>
        </w:tc>
        <w:tc>
          <w:tcPr>
            <w:tcW w:w="3004" w:type="dxa"/>
          </w:tcPr>
          <w:p w14:paraId="1AB0F256"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Energia limpa</w:t>
            </w:r>
          </w:p>
        </w:tc>
        <w:tc>
          <w:tcPr>
            <w:tcW w:w="3004" w:type="dxa"/>
          </w:tcPr>
          <w:p w14:paraId="114D9866"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ODS 7: Energia Limpa e Acessível</w:t>
            </w:r>
          </w:p>
        </w:tc>
      </w:tr>
      <w:tr w:rsidR="0099127F" w:rsidRPr="003E54AC" w14:paraId="5FEDD5C9" w14:textId="77777777" w:rsidTr="008D1720">
        <w:trPr>
          <w:jc w:val="center"/>
        </w:trPr>
        <w:tc>
          <w:tcPr>
            <w:tcW w:w="3002" w:type="dxa"/>
            <w:vMerge/>
          </w:tcPr>
          <w:p w14:paraId="63E92ACA" w14:textId="77777777" w:rsidR="0099127F" w:rsidRPr="003E54AC" w:rsidRDefault="0099127F" w:rsidP="0099127F">
            <w:pPr>
              <w:rPr>
                <w:rFonts w:ascii="Times New Roman" w:hAnsi="Times New Roman" w:cs="Times New Roman"/>
                <w:sz w:val="20"/>
                <w:szCs w:val="20"/>
              </w:rPr>
            </w:pPr>
          </w:p>
        </w:tc>
        <w:tc>
          <w:tcPr>
            <w:tcW w:w="3004" w:type="dxa"/>
          </w:tcPr>
          <w:p w14:paraId="031B7F46"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Desastres naturais</w:t>
            </w:r>
          </w:p>
        </w:tc>
        <w:tc>
          <w:tcPr>
            <w:tcW w:w="3004" w:type="dxa"/>
          </w:tcPr>
          <w:p w14:paraId="50EE4585"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ODS 13: Ação Contra a Mudança Global do Clima</w:t>
            </w:r>
          </w:p>
        </w:tc>
      </w:tr>
      <w:tr w:rsidR="0099127F" w:rsidRPr="003E54AC" w14:paraId="672002FF" w14:textId="77777777" w:rsidTr="008D1720">
        <w:trPr>
          <w:jc w:val="center"/>
        </w:trPr>
        <w:tc>
          <w:tcPr>
            <w:tcW w:w="3002" w:type="dxa"/>
            <w:vMerge/>
          </w:tcPr>
          <w:p w14:paraId="422F6207" w14:textId="77777777" w:rsidR="0099127F" w:rsidRPr="003E54AC" w:rsidRDefault="0099127F" w:rsidP="0099127F">
            <w:pPr>
              <w:rPr>
                <w:rFonts w:ascii="Times New Roman" w:hAnsi="Times New Roman" w:cs="Times New Roman"/>
                <w:sz w:val="20"/>
                <w:szCs w:val="20"/>
              </w:rPr>
            </w:pPr>
          </w:p>
        </w:tc>
        <w:tc>
          <w:tcPr>
            <w:tcW w:w="3004" w:type="dxa"/>
          </w:tcPr>
          <w:p w14:paraId="2ED07080"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Sustentabilidade</w:t>
            </w:r>
          </w:p>
        </w:tc>
        <w:tc>
          <w:tcPr>
            <w:tcW w:w="3004" w:type="dxa"/>
          </w:tcPr>
          <w:p w14:paraId="0D789CB2"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ODS 17: Parcerias e Meios de Implementação</w:t>
            </w:r>
          </w:p>
        </w:tc>
      </w:tr>
      <w:tr w:rsidR="0099127F" w:rsidRPr="003E54AC" w14:paraId="78079436" w14:textId="77777777" w:rsidTr="008D1720">
        <w:trPr>
          <w:jc w:val="center"/>
        </w:trPr>
        <w:tc>
          <w:tcPr>
            <w:tcW w:w="3002" w:type="dxa"/>
            <w:vMerge w:val="restart"/>
          </w:tcPr>
          <w:p w14:paraId="521FE287" w14:textId="77777777" w:rsidR="0099127F" w:rsidRPr="003E54AC" w:rsidRDefault="0099127F" w:rsidP="0099127F">
            <w:pPr>
              <w:jc w:val="center"/>
              <w:rPr>
                <w:rFonts w:ascii="Times New Roman" w:hAnsi="Times New Roman" w:cs="Times New Roman"/>
                <w:sz w:val="20"/>
                <w:szCs w:val="20"/>
              </w:rPr>
            </w:pPr>
          </w:p>
          <w:p w14:paraId="2C42327B" w14:textId="77777777" w:rsidR="0099127F" w:rsidRPr="003E54AC" w:rsidRDefault="0099127F" w:rsidP="0099127F">
            <w:pPr>
              <w:jc w:val="center"/>
              <w:rPr>
                <w:rFonts w:ascii="Times New Roman" w:hAnsi="Times New Roman" w:cs="Times New Roman"/>
                <w:sz w:val="20"/>
                <w:szCs w:val="20"/>
              </w:rPr>
            </w:pPr>
          </w:p>
          <w:p w14:paraId="02975F92" w14:textId="77777777" w:rsidR="0099127F" w:rsidRPr="003E54AC" w:rsidRDefault="0099127F" w:rsidP="0099127F">
            <w:pPr>
              <w:jc w:val="center"/>
              <w:rPr>
                <w:rFonts w:ascii="Times New Roman" w:hAnsi="Times New Roman" w:cs="Times New Roman"/>
                <w:sz w:val="20"/>
                <w:szCs w:val="20"/>
              </w:rPr>
            </w:pPr>
          </w:p>
          <w:p w14:paraId="043A1113" w14:textId="77777777" w:rsidR="0099127F" w:rsidRPr="003E54AC" w:rsidRDefault="0099127F" w:rsidP="0099127F">
            <w:pPr>
              <w:jc w:val="center"/>
              <w:rPr>
                <w:rFonts w:ascii="Times New Roman" w:hAnsi="Times New Roman" w:cs="Times New Roman"/>
                <w:sz w:val="20"/>
                <w:szCs w:val="20"/>
              </w:rPr>
            </w:pPr>
          </w:p>
          <w:p w14:paraId="42ADBFC0" w14:textId="77777777" w:rsidR="0099127F" w:rsidRPr="003E54AC" w:rsidRDefault="0099127F" w:rsidP="0099127F">
            <w:pPr>
              <w:jc w:val="center"/>
              <w:rPr>
                <w:rFonts w:ascii="Times New Roman" w:hAnsi="Times New Roman" w:cs="Times New Roman"/>
                <w:sz w:val="20"/>
                <w:szCs w:val="20"/>
              </w:rPr>
            </w:pPr>
          </w:p>
          <w:p w14:paraId="1EA1FBEA" w14:textId="77777777" w:rsidR="0099127F" w:rsidRPr="003E54AC" w:rsidRDefault="0099127F" w:rsidP="0099127F">
            <w:pPr>
              <w:jc w:val="center"/>
              <w:rPr>
                <w:rFonts w:ascii="Times New Roman" w:hAnsi="Times New Roman" w:cs="Times New Roman"/>
                <w:sz w:val="20"/>
                <w:szCs w:val="20"/>
              </w:rPr>
            </w:pPr>
          </w:p>
          <w:p w14:paraId="4749FC06" w14:textId="77777777" w:rsidR="0099127F" w:rsidRPr="003E54AC" w:rsidRDefault="0099127F" w:rsidP="0099127F">
            <w:pPr>
              <w:jc w:val="center"/>
              <w:rPr>
                <w:rFonts w:ascii="Times New Roman" w:hAnsi="Times New Roman" w:cs="Times New Roman"/>
                <w:sz w:val="20"/>
                <w:szCs w:val="20"/>
              </w:rPr>
            </w:pPr>
            <w:r w:rsidRPr="003E54AC">
              <w:rPr>
                <w:rFonts w:ascii="Times New Roman" w:hAnsi="Times New Roman" w:cs="Times New Roman"/>
                <w:sz w:val="20"/>
                <w:szCs w:val="20"/>
              </w:rPr>
              <w:t>Social</w:t>
            </w:r>
          </w:p>
        </w:tc>
        <w:tc>
          <w:tcPr>
            <w:tcW w:w="3004" w:type="dxa"/>
          </w:tcPr>
          <w:p w14:paraId="7C565EF9"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Bem-estar</w:t>
            </w:r>
          </w:p>
        </w:tc>
        <w:tc>
          <w:tcPr>
            <w:tcW w:w="3004" w:type="dxa"/>
          </w:tcPr>
          <w:p w14:paraId="18866CC6"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ODS 3: Saúde e Bem-Estar</w:t>
            </w:r>
          </w:p>
        </w:tc>
      </w:tr>
      <w:tr w:rsidR="0099127F" w:rsidRPr="003E54AC" w14:paraId="6F4D16F6" w14:textId="77777777" w:rsidTr="008D1720">
        <w:trPr>
          <w:jc w:val="center"/>
        </w:trPr>
        <w:tc>
          <w:tcPr>
            <w:tcW w:w="3002" w:type="dxa"/>
            <w:vMerge/>
          </w:tcPr>
          <w:p w14:paraId="55CDC2DE" w14:textId="77777777" w:rsidR="0099127F" w:rsidRPr="003E54AC" w:rsidRDefault="0099127F" w:rsidP="0099127F">
            <w:pPr>
              <w:rPr>
                <w:rFonts w:ascii="Times New Roman" w:hAnsi="Times New Roman" w:cs="Times New Roman"/>
                <w:sz w:val="20"/>
                <w:szCs w:val="20"/>
              </w:rPr>
            </w:pPr>
          </w:p>
        </w:tc>
        <w:tc>
          <w:tcPr>
            <w:tcW w:w="3004" w:type="dxa"/>
          </w:tcPr>
          <w:p w14:paraId="51B9A42D"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Saberes locais</w:t>
            </w:r>
          </w:p>
        </w:tc>
        <w:tc>
          <w:tcPr>
            <w:tcW w:w="3004" w:type="dxa"/>
          </w:tcPr>
          <w:p w14:paraId="59DC30E8"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ODS 4: Educação de Qualidade; ODS 10: Redução das Desigualdades</w:t>
            </w:r>
          </w:p>
        </w:tc>
      </w:tr>
      <w:tr w:rsidR="0099127F" w:rsidRPr="003E54AC" w14:paraId="4871746B" w14:textId="77777777" w:rsidTr="008D1720">
        <w:trPr>
          <w:jc w:val="center"/>
        </w:trPr>
        <w:tc>
          <w:tcPr>
            <w:tcW w:w="3002" w:type="dxa"/>
            <w:vMerge/>
          </w:tcPr>
          <w:p w14:paraId="7B76BDAB" w14:textId="77777777" w:rsidR="0099127F" w:rsidRPr="003E54AC" w:rsidRDefault="0099127F" w:rsidP="0099127F">
            <w:pPr>
              <w:rPr>
                <w:rFonts w:ascii="Times New Roman" w:hAnsi="Times New Roman" w:cs="Times New Roman"/>
                <w:sz w:val="20"/>
                <w:szCs w:val="20"/>
              </w:rPr>
            </w:pPr>
          </w:p>
        </w:tc>
        <w:tc>
          <w:tcPr>
            <w:tcW w:w="3004" w:type="dxa"/>
          </w:tcPr>
          <w:p w14:paraId="15575551"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Pobreza</w:t>
            </w:r>
          </w:p>
        </w:tc>
        <w:tc>
          <w:tcPr>
            <w:tcW w:w="3004" w:type="dxa"/>
          </w:tcPr>
          <w:p w14:paraId="5270B235"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ODS 1: Erradicação da Pobreza</w:t>
            </w:r>
          </w:p>
        </w:tc>
      </w:tr>
      <w:tr w:rsidR="0099127F" w:rsidRPr="003E54AC" w14:paraId="1E69FD0C" w14:textId="77777777" w:rsidTr="008D1720">
        <w:trPr>
          <w:jc w:val="center"/>
        </w:trPr>
        <w:tc>
          <w:tcPr>
            <w:tcW w:w="3002" w:type="dxa"/>
            <w:vMerge/>
          </w:tcPr>
          <w:p w14:paraId="438C0C8E" w14:textId="77777777" w:rsidR="0099127F" w:rsidRPr="003E54AC" w:rsidRDefault="0099127F" w:rsidP="0099127F">
            <w:pPr>
              <w:rPr>
                <w:rFonts w:ascii="Times New Roman" w:hAnsi="Times New Roman" w:cs="Times New Roman"/>
                <w:sz w:val="20"/>
                <w:szCs w:val="20"/>
              </w:rPr>
            </w:pPr>
          </w:p>
        </w:tc>
        <w:tc>
          <w:tcPr>
            <w:tcW w:w="3004" w:type="dxa"/>
          </w:tcPr>
          <w:p w14:paraId="6ECA7BB3"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Populações vulneráveis</w:t>
            </w:r>
          </w:p>
        </w:tc>
        <w:tc>
          <w:tcPr>
            <w:tcW w:w="3004" w:type="dxa"/>
          </w:tcPr>
          <w:p w14:paraId="68F8733E"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ODS 1: Erradicação da Pobreza; ODS 10: Redução das Desigualdades</w:t>
            </w:r>
          </w:p>
        </w:tc>
      </w:tr>
      <w:tr w:rsidR="0099127F" w:rsidRPr="003E54AC" w14:paraId="00E66BB6" w14:textId="77777777" w:rsidTr="008D1720">
        <w:trPr>
          <w:jc w:val="center"/>
        </w:trPr>
        <w:tc>
          <w:tcPr>
            <w:tcW w:w="3002" w:type="dxa"/>
            <w:vMerge/>
          </w:tcPr>
          <w:p w14:paraId="631D81EF" w14:textId="77777777" w:rsidR="0099127F" w:rsidRPr="003E54AC" w:rsidRDefault="0099127F" w:rsidP="0099127F">
            <w:pPr>
              <w:rPr>
                <w:rFonts w:ascii="Times New Roman" w:hAnsi="Times New Roman" w:cs="Times New Roman"/>
                <w:sz w:val="20"/>
                <w:szCs w:val="20"/>
              </w:rPr>
            </w:pPr>
          </w:p>
        </w:tc>
        <w:tc>
          <w:tcPr>
            <w:tcW w:w="3004" w:type="dxa"/>
          </w:tcPr>
          <w:p w14:paraId="7E0EA016"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Reconstrução tecido social</w:t>
            </w:r>
          </w:p>
        </w:tc>
        <w:tc>
          <w:tcPr>
            <w:tcW w:w="3004" w:type="dxa"/>
          </w:tcPr>
          <w:p w14:paraId="12206C46"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ODS 16: Paz, Justiça e Instituições Eficazes</w:t>
            </w:r>
          </w:p>
        </w:tc>
      </w:tr>
      <w:tr w:rsidR="0099127F" w:rsidRPr="003E54AC" w14:paraId="7AF05658" w14:textId="77777777" w:rsidTr="008D1720">
        <w:trPr>
          <w:jc w:val="center"/>
        </w:trPr>
        <w:tc>
          <w:tcPr>
            <w:tcW w:w="3002" w:type="dxa"/>
            <w:vMerge/>
          </w:tcPr>
          <w:p w14:paraId="22BED406" w14:textId="77777777" w:rsidR="0099127F" w:rsidRPr="003E54AC" w:rsidRDefault="0099127F" w:rsidP="0099127F">
            <w:pPr>
              <w:rPr>
                <w:rFonts w:ascii="Times New Roman" w:hAnsi="Times New Roman" w:cs="Times New Roman"/>
                <w:sz w:val="20"/>
                <w:szCs w:val="20"/>
              </w:rPr>
            </w:pPr>
          </w:p>
        </w:tc>
        <w:tc>
          <w:tcPr>
            <w:tcW w:w="3004" w:type="dxa"/>
          </w:tcPr>
          <w:p w14:paraId="0DD8B8C9"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Zonas pós-conflito</w:t>
            </w:r>
          </w:p>
        </w:tc>
        <w:tc>
          <w:tcPr>
            <w:tcW w:w="3004" w:type="dxa"/>
          </w:tcPr>
          <w:p w14:paraId="4E35A463"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ODS 16: Paz, Justiça e Instituições Eficazes</w:t>
            </w:r>
          </w:p>
        </w:tc>
      </w:tr>
      <w:tr w:rsidR="0099127F" w:rsidRPr="003E54AC" w14:paraId="04ACCBC1" w14:textId="77777777" w:rsidTr="008D1720">
        <w:trPr>
          <w:jc w:val="center"/>
        </w:trPr>
        <w:tc>
          <w:tcPr>
            <w:tcW w:w="3002" w:type="dxa"/>
            <w:vMerge/>
          </w:tcPr>
          <w:p w14:paraId="712D7789" w14:textId="77777777" w:rsidR="0099127F" w:rsidRPr="003E54AC" w:rsidRDefault="0099127F" w:rsidP="0099127F">
            <w:pPr>
              <w:rPr>
                <w:rFonts w:ascii="Times New Roman" w:hAnsi="Times New Roman" w:cs="Times New Roman"/>
                <w:sz w:val="20"/>
                <w:szCs w:val="20"/>
              </w:rPr>
            </w:pPr>
          </w:p>
        </w:tc>
        <w:tc>
          <w:tcPr>
            <w:tcW w:w="3004" w:type="dxa"/>
          </w:tcPr>
          <w:p w14:paraId="784FAF7D"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Conhecimento indígena</w:t>
            </w:r>
          </w:p>
        </w:tc>
        <w:tc>
          <w:tcPr>
            <w:tcW w:w="3004" w:type="dxa"/>
          </w:tcPr>
          <w:p w14:paraId="240C3DD5"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ODS 4: Educação de Qualidade; ODS 10: Redução das Desigualdades</w:t>
            </w:r>
          </w:p>
        </w:tc>
      </w:tr>
      <w:tr w:rsidR="0099127F" w:rsidRPr="003E54AC" w14:paraId="5F5ED4DD" w14:textId="77777777" w:rsidTr="008D1720">
        <w:trPr>
          <w:jc w:val="center"/>
        </w:trPr>
        <w:tc>
          <w:tcPr>
            <w:tcW w:w="3002" w:type="dxa"/>
            <w:vMerge w:val="restart"/>
          </w:tcPr>
          <w:p w14:paraId="74116781" w14:textId="77777777" w:rsidR="0099127F" w:rsidRPr="003E54AC" w:rsidRDefault="0099127F" w:rsidP="0099127F">
            <w:pPr>
              <w:jc w:val="center"/>
              <w:rPr>
                <w:rFonts w:ascii="Times New Roman" w:hAnsi="Times New Roman" w:cs="Times New Roman"/>
                <w:sz w:val="20"/>
                <w:szCs w:val="20"/>
              </w:rPr>
            </w:pPr>
          </w:p>
          <w:p w14:paraId="5ABCA923" w14:textId="77777777" w:rsidR="0099127F" w:rsidRPr="003E54AC" w:rsidRDefault="0099127F" w:rsidP="0099127F">
            <w:pPr>
              <w:jc w:val="center"/>
              <w:rPr>
                <w:rFonts w:ascii="Times New Roman" w:hAnsi="Times New Roman" w:cs="Times New Roman"/>
                <w:sz w:val="20"/>
                <w:szCs w:val="20"/>
              </w:rPr>
            </w:pPr>
            <w:r w:rsidRPr="003E54AC">
              <w:rPr>
                <w:rFonts w:ascii="Times New Roman" w:hAnsi="Times New Roman" w:cs="Times New Roman"/>
                <w:sz w:val="20"/>
                <w:szCs w:val="20"/>
              </w:rPr>
              <w:t>Sistemas Alimentares e Produção</w:t>
            </w:r>
          </w:p>
        </w:tc>
        <w:tc>
          <w:tcPr>
            <w:tcW w:w="3004" w:type="dxa"/>
          </w:tcPr>
          <w:p w14:paraId="12B18580"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Produção agroindustrial</w:t>
            </w:r>
          </w:p>
          <w:p w14:paraId="3F5B348D" w14:textId="77777777" w:rsidR="0099127F" w:rsidRPr="003E54AC" w:rsidRDefault="0099127F" w:rsidP="0099127F">
            <w:pPr>
              <w:rPr>
                <w:rFonts w:ascii="Times New Roman" w:hAnsi="Times New Roman" w:cs="Times New Roman"/>
                <w:sz w:val="20"/>
                <w:szCs w:val="20"/>
              </w:rPr>
            </w:pPr>
          </w:p>
        </w:tc>
        <w:tc>
          <w:tcPr>
            <w:tcW w:w="3004" w:type="dxa"/>
          </w:tcPr>
          <w:p w14:paraId="28FBCFC7"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ODS 2: Fome Zero e Agricultura Sustentável</w:t>
            </w:r>
          </w:p>
        </w:tc>
      </w:tr>
      <w:tr w:rsidR="0099127F" w:rsidRPr="003E54AC" w14:paraId="41BBE5E7" w14:textId="77777777" w:rsidTr="008D1720">
        <w:trPr>
          <w:jc w:val="center"/>
        </w:trPr>
        <w:tc>
          <w:tcPr>
            <w:tcW w:w="3002" w:type="dxa"/>
            <w:vMerge/>
          </w:tcPr>
          <w:p w14:paraId="54191EBD" w14:textId="77777777" w:rsidR="0099127F" w:rsidRPr="003E54AC" w:rsidRDefault="0099127F" w:rsidP="0099127F">
            <w:pPr>
              <w:rPr>
                <w:rFonts w:ascii="Times New Roman" w:hAnsi="Times New Roman" w:cs="Times New Roman"/>
                <w:sz w:val="20"/>
                <w:szCs w:val="20"/>
              </w:rPr>
            </w:pPr>
          </w:p>
        </w:tc>
        <w:tc>
          <w:tcPr>
            <w:tcW w:w="3004" w:type="dxa"/>
          </w:tcPr>
          <w:p w14:paraId="62BD2D8C"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Sistema alimentar</w:t>
            </w:r>
          </w:p>
        </w:tc>
        <w:tc>
          <w:tcPr>
            <w:tcW w:w="3004" w:type="dxa"/>
          </w:tcPr>
          <w:p w14:paraId="0E893B7D" w14:textId="77777777" w:rsidR="0099127F" w:rsidRPr="003E54AC" w:rsidRDefault="0099127F" w:rsidP="0099127F">
            <w:pPr>
              <w:rPr>
                <w:rFonts w:ascii="Times New Roman" w:hAnsi="Times New Roman" w:cs="Times New Roman"/>
                <w:sz w:val="20"/>
                <w:szCs w:val="20"/>
              </w:rPr>
            </w:pPr>
            <w:r w:rsidRPr="003E54AC">
              <w:rPr>
                <w:rFonts w:ascii="Times New Roman" w:hAnsi="Times New Roman" w:cs="Times New Roman"/>
                <w:sz w:val="20"/>
                <w:szCs w:val="20"/>
              </w:rPr>
              <w:t>ODS 2: Fome Zero e Agricultura Sustentável</w:t>
            </w:r>
          </w:p>
        </w:tc>
      </w:tr>
    </w:tbl>
    <w:p w14:paraId="606FB14C" w14:textId="77777777" w:rsidR="00AE6729" w:rsidRPr="00993DC5" w:rsidRDefault="008D1720" w:rsidP="003E54AC">
      <w:pPr>
        <w:widowControl w:val="0"/>
        <w:spacing w:before="119" w:line="250" w:lineRule="auto"/>
        <w:ind w:left="102" w:right="96" w:firstLine="618"/>
        <w:jc w:val="center"/>
        <w:rPr>
          <w:rStyle w:val="Hyperlink"/>
          <w:color w:val="auto"/>
          <w:sz w:val="20"/>
          <w:szCs w:val="20"/>
          <w:u w:val="none"/>
        </w:rPr>
      </w:pPr>
      <w:r w:rsidRPr="00993DC5">
        <w:rPr>
          <w:sz w:val="20"/>
          <w:szCs w:val="20"/>
        </w:rPr>
        <w:t xml:space="preserve">Fonte: Elaborado pelas autoras com base em </w:t>
      </w:r>
      <w:r w:rsidRPr="000629EF">
        <w:rPr>
          <w:rStyle w:val="Hyperlink"/>
          <w:i/>
          <w:color w:val="auto"/>
          <w:sz w:val="20"/>
          <w:szCs w:val="20"/>
          <w:u w:val="none"/>
        </w:rPr>
        <w:t xml:space="preserve">United </w:t>
      </w:r>
      <w:proofErr w:type="spellStart"/>
      <w:r w:rsidRPr="000629EF">
        <w:rPr>
          <w:rStyle w:val="Hyperlink"/>
          <w:i/>
          <w:color w:val="auto"/>
          <w:sz w:val="20"/>
          <w:szCs w:val="20"/>
          <w:u w:val="none"/>
        </w:rPr>
        <w:t>Nations</w:t>
      </w:r>
      <w:proofErr w:type="spellEnd"/>
    </w:p>
    <w:p w14:paraId="37F19D68" w14:textId="77777777" w:rsidR="008D1720" w:rsidRPr="008D1720" w:rsidRDefault="00B242D9" w:rsidP="00603B5A">
      <w:pPr>
        <w:widowControl w:val="0"/>
        <w:spacing w:before="119" w:line="250" w:lineRule="auto"/>
        <w:ind w:left="102" w:right="96" w:firstLine="618"/>
        <w:rPr>
          <w:rStyle w:val="Hyperlink"/>
          <w:color w:val="auto"/>
          <w:u w:val="none"/>
        </w:rPr>
      </w:pPr>
      <w:r>
        <w:rPr>
          <w:rStyle w:val="Hyperlink"/>
          <w:color w:val="auto"/>
          <w:u w:val="none"/>
        </w:rPr>
        <w:t>Na sequência, apresenta-se de forma descritiva a</w:t>
      </w:r>
      <w:r w:rsidR="008D1720" w:rsidRPr="008D1720">
        <w:rPr>
          <w:rStyle w:val="Hyperlink"/>
          <w:color w:val="auto"/>
          <w:u w:val="none"/>
        </w:rPr>
        <w:t xml:space="preserve"> categorização </w:t>
      </w:r>
      <w:r>
        <w:rPr>
          <w:rStyle w:val="Hyperlink"/>
          <w:color w:val="auto"/>
          <w:u w:val="none"/>
        </w:rPr>
        <w:t>dos artigos</w:t>
      </w:r>
      <w:r w:rsidR="009D1008">
        <w:rPr>
          <w:rStyle w:val="Hyperlink"/>
          <w:color w:val="auto"/>
          <w:u w:val="none"/>
        </w:rPr>
        <w:t xml:space="preserve"> conforme a abordagem dos problemas perversos.</w:t>
      </w:r>
    </w:p>
    <w:p w14:paraId="4B306EBB" w14:textId="77777777" w:rsidR="008D1720" w:rsidRPr="008D1720" w:rsidRDefault="008D1720" w:rsidP="00027C5B">
      <w:pPr>
        <w:widowControl w:val="0"/>
        <w:spacing w:before="119" w:line="250" w:lineRule="auto"/>
        <w:ind w:right="96" w:firstLine="0"/>
        <w:jc w:val="left"/>
        <w:rPr>
          <w:rStyle w:val="Hyperlink"/>
          <w:b/>
          <w:color w:val="auto"/>
          <w:u w:val="none"/>
        </w:rPr>
      </w:pPr>
      <w:r w:rsidRPr="008D1720">
        <w:rPr>
          <w:rStyle w:val="Hyperlink"/>
          <w:b/>
          <w:color w:val="auto"/>
          <w:u w:val="none"/>
        </w:rPr>
        <w:t xml:space="preserve">4.1 Categorias de Análise - Resoluções de problemas complexos com a GC </w:t>
      </w:r>
    </w:p>
    <w:p w14:paraId="1C14CE82" w14:textId="2810A7A1" w:rsidR="008D1720" w:rsidRPr="008D1720" w:rsidRDefault="008D1720" w:rsidP="00027C5B">
      <w:pPr>
        <w:widowControl w:val="0"/>
        <w:spacing w:before="123" w:line="250" w:lineRule="auto"/>
        <w:ind w:left="102" w:right="96" w:firstLine="0"/>
        <w:rPr>
          <w:rStyle w:val="Hyperlink"/>
          <w:color w:val="auto"/>
          <w:u w:val="none"/>
        </w:rPr>
      </w:pPr>
      <w:r w:rsidRPr="008D1720">
        <w:rPr>
          <w:rStyle w:val="Hyperlink"/>
          <w:color w:val="auto"/>
          <w:u w:val="none"/>
        </w:rPr>
        <w:t xml:space="preserve">Esta seção descreve as categorias identificadas a partir da análise de conteúdo, explora os desafios associados à resolução dos problemas perversos e </w:t>
      </w:r>
      <w:r w:rsidR="00AB22F3">
        <w:rPr>
          <w:rStyle w:val="Hyperlink"/>
          <w:color w:val="auto"/>
          <w:u w:val="none"/>
        </w:rPr>
        <w:t>à</w:t>
      </w:r>
      <w:r w:rsidRPr="008D1720">
        <w:rPr>
          <w:rStyle w:val="Hyperlink"/>
          <w:color w:val="auto"/>
          <w:u w:val="none"/>
        </w:rPr>
        <w:t xml:space="preserve"> GC, e analisa as contribuições dos estudos empíricos como possíveis respostas.</w:t>
      </w:r>
    </w:p>
    <w:p w14:paraId="65430B25" w14:textId="77777777" w:rsidR="008D1720" w:rsidRPr="008D1720" w:rsidRDefault="008D1720" w:rsidP="00027C5B">
      <w:pPr>
        <w:widowControl w:val="0"/>
        <w:spacing w:before="119" w:line="250" w:lineRule="auto"/>
        <w:ind w:left="102" w:right="96" w:firstLine="0"/>
        <w:jc w:val="left"/>
        <w:rPr>
          <w:rStyle w:val="Hyperlink"/>
          <w:b/>
          <w:color w:val="auto"/>
          <w:u w:val="none"/>
        </w:rPr>
      </w:pPr>
      <w:r w:rsidRPr="008D1720">
        <w:rPr>
          <w:rStyle w:val="Hyperlink"/>
          <w:b/>
          <w:color w:val="auto"/>
          <w:u w:val="none"/>
        </w:rPr>
        <w:t xml:space="preserve">4.1.1 Governança e Coordenação em Sistemas Complexos </w:t>
      </w:r>
    </w:p>
    <w:p w14:paraId="580F73F0" w14:textId="087490D3" w:rsidR="008D1720" w:rsidRPr="008D1720" w:rsidRDefault="008D1720" w:rsidP="00027C5B">
      <w:pPr>
        <w:widowControl w:val="0"/>
        <w:spacing w:before="123" w:line="250" w:lineRule="auto"/>
        <w:ind w:left="102" w:right="96" w:firstLine="0"/>
        <w:rPr>
          <w:rStyle w:val="Hyperlink"/>
          <w:color w:val="auto"/>
          <w:u w:val="none"/>
        </w:rPr>
      </w:pPr>
      <w:r w:rsidRPr="008D1720">
        <w:rPr>
          <w:rStyle w:val="Hyperlink"/>
          <w:color w:val="auto"/>
          <w:u w:val="none"/>
        </w:rPr>
        <w:lastRenderedPageBreak/>
        <w:t>Esta categoria abrange problemas que envolvem múltiplos atores, incluindo governos, organizações internacionais, academia e sociedade civil, os quais enfrentam desafios de coordenação em ambientes multiculturais, tecnológicos e políticos. As soluções propostas fundamentam-se em princípios de colaboração, transparência e adaptação contínua, visando superar lacunas estruturais na governança. As pesquisas destacam as questões: fragmentação de esforços, descoordenação institucional, assimetrias de poder, deficiências na colaboração intersetorial e desalinhamento de linguagem como fatores que comprometem a tomada de decisões e a implementação de políticas públicas (</w:t>
      </w:r>
      <w:proofErr w:type="spellStart"/>
      <w:r w:rsidR="00334787" w:rsidRPr="008D1720">
        <w:rPr>
          <w:rStyle w:val="Hyperlink"/>
          <w:color w:val="auto"/>
          <w:u w:val="none"/>
        </w:rPr>
        <w:t>M</w:t>
      </w:r>
      <w:r w:rsidR="00225671" w:rsidRPr="008D1720">
        <w:rPr>
          <w:rStyle w:val="Hyperlink"/>
          <w:color w:val="auto"/>
          <w:u w:val="none"/>
        </w:rPr>
        <w:t>iković</w:t>
      </w:r>
      <w:proofErr w:type="spellEnd"/>
      <w:r w:rsidR="00334787" w:rsidRPr="008D1720">
        <w:rPr>
          <w:rStyle w:val="Hyperlink"/>
          <w:color w:val="auto"/>
          <w:u w:val="none"/>
        </w:rPr>
        <w:t xml:space="preserve"> </w:t>
      </w:r>
      <w:r w:rsidRPr="00334787">
        <w:rPr>
          <w:rStyle w:val="Hyperlink"/>
          <w:i/>
          <w:color w:val="auto"/>
          <w:u w:val="none"/>
        </w:rPr>
        <w:t>et al</w:t>
      </w:r>
      <w:r w:rsidRPr="008D1720">
        <w:rPr>
          <w:rStyle w:val="Hyperlink"/>
          <w:color w:val="auto"/>
          <w:u w:val="none"/>
        </w:rPr>
        <w:t xml:space="preserve">., 2020; </w:t>
      </w:r>
      <w:r w:rsidR="00A214EA" w:rsidRPr="00A214EA">
        <w:t>M</w:t>
      </w:r>
      <w:r w:rsidR="00225671" w:rsidRPr="00A214EA">
        <w:t>artínez</w:t>
      </w:r>
      <w:r w:rsidR="00A214EA" w:rsidRPr="00A214EA">
        <w:t>-H</w:t>
      </w:r>
      <w:r w:rsidR="00225671" w:rsidRPr="00A214EA">
        <w:t>errera</w:t>
      </w:r>
      <w:r w:rsidR="00A214EA" w:rsidRPr="00A214EA">
        <w:t xml:space="preserve"> </w:t>
      </w:r>
      <w:r w:rsidR="00A214EA" w:rsidRPr="00A214EA">
        <w:rPr>
          <w:i/>
        </w:rPr>
        <w:t>et al</w:t>
      </w:r>
      <w:r w:rsidR="00A214EA" w:rsidRPr="00A214EA">
        <w:t>., 2015</w:t>
      </w:r>
      <w:r w:rsidRPr="008D1720">
        <w:rPr>
          <w:rStyle w:val="Hyperlink"/>
          <w:color w:val="auto"/>
          <w:u w:val="none"/>
        </w:rPr>
        <w:t xml:space="preserve">; </w:t>
      </w:r>
      <w:r w:rsidR="00334787" w:rsidRPr="008D1720">
        <w:rPr>
          <w:rStyle w:val="Hyperlink"/>
          <w:color w:val="auto"/>
          <w:u w:val="none"/>
        </w:rPr>
        <w:t>J</w:t>
      </w:r>
      <w:r w:rsidR="00225671" w:rsidRPr="008D1720">
        <w:rPr>
          <w:rStyle w:val="Hyperlink"/>
          <w:color w:val="auto"/>
          <w:u w:val="none"/>
        </w:rPr>
        <w:t>ohnson</w:t>
      </w:r>
      <w:r w:rsidRPr="008D1720">
        <w:rPr>
          <w:rStyle w:val="Hyperlink"/>
          <w:color w:val="auto"/>
          <w:u w:val="none"/>
        </w:rPr>
        <w:t xml:space="preserve"> </w:t>
      </w:r>
      <w:r w:rsidRPr="00334787">
        <w:rPr>
          <w:rStyle w:val="Hyperlink"/>
          <w:i/>
          <w:color w:val="auto"/>
          <w:u w:val="none"/>
        </w:rPr>
        <w:t>et al</w:t>
      </w:r>
      <w:r w:rsidRPr="008D1720">
        <w:rPr>
          <w:rStyle w:val="Hyperlink"/>
          <w:color w:val="auto"/>
          <w:u w:val="none"/>
        </w:rPr>
        <w:t>., 201</w:t>
      </w:r>
      <w:r w:rsidR="00A214EA">
        <w:rPr>
          <w:rStyle w:val="Hyperlink"/>
          <w:color w:val="auto"/>
          <w:u w:val="none"/>
        </w:rPr>
        <w:t>8</w:t>
      </w:r>
      <w:r w:rsidRPr="008D1720">
        <w:rPr>
          <w:rStyle w:val="Hyperlink"/>
          <w:color w:val="auto"/>
          <w:u w:val="none"/>
        </w:rPr>
        <w:t xml:space="preserve">; </w:t>
      </w:r>
      <w:proofErr w:type="spellStart"/>
      <w:r w:rsidR="00334787" w:rsidRPr="008D1720">
        <w:rPr>
          <w:rStyle w:val="Hyperlink"/>
          <w:color w:val="auto"/>
          <w:u w:val="none"/>
        </w:rPr>
        <w:t>V</w:t>
      </w:r>
      <w:r w:rsidR="00225671" w:rsidRPr="008D1720">
        <w:rPr>
          <w:rStyle w:val="Hyperlink"/>
          <w:color w:val="auto"/>
          <w:u w:val="none"/>
        </w:rPr>
        <w:t>alujeva</w:t>
      </w:r>
      <w:proofErr w:type="spellEnd"/>
      <w:r w:rsidRPr="008D1720">
        <w:rPr>
          <w:rStyle w:val="Hyperlink"/>
          <w:color w:val="auto"/>
          <w:u w:val="none"/>
        </w:rPr>
        <w:t xml:space="preserve"> </w:t>
      </w:r>
      <w:r w:rsidRPr="00334787">
        <w:rPr>
          <w:rStyle w:val="Hyperlink"/>
          <w:i/>
          <w:color w:val="auto"/>
          <w:u w:val="none"/>
        </w:rPr>
        <w:t>et al</w:t>
      </w:r>
      <w:r w:rsidRPr="008D1720">
        <w:rPr>
          <w:rStyle w:val="Hyperlink"/>
          <w:color w:val="auto"/>
          <w:u w:val="none"/>
        </w:rPr>
        <w:t xml:space="preserve">., 2023; </w:t>
      </w:r>
      <w:proofErr w:type="spellStart"/>
      <w:r w:rsidR="00334787" w:rsidRPr="008D1720">
        <w:rPr>
          <w:rStyle w:val="Hyperlink"/>
          <w:color w:val="auto"/>
          <w:u w:val="none"/>
        </w:rPr>
        <w:t>W</w:t>
      </w:r>
      <w:r w:rsidR="00225671" w:rsidRPr="008D1720">
        <w:rPr>
          <w:rStyle w:val="Hyperlink"/>
          <w:color w:val="auto"/>
          <w:u w:val="none"/>
        </w:rPr>
        <w:t>utzke</w:t>
      </w:r>
      <w:proofErr w:type="spellEnd"/>
      <w:r w:rsidR="00334787" w:rsidRPr="008D1720">
        <w:rPr>
          <w:rStyle w:val="Hyperlink"/>
          <w:color w:val="auto"/>
          <w:u w:val="none"/>
        </w:rPr>
        <w:t xml:space="preserve"> </w:t>
      </w:r>
      <w:r w:rsidRPr="00334787">
        <w:rPr>
          <w:rStyle w:val="Hyperlink"/>
          <w:i/>
          <w:color w:val="auto"/>
          <w:u w:val="none"/>
        </w:rPr>
        <w:t>et al</w:t>
      </w:r>
      <w:r w:rsidRPr="008D1720">
        <w:rPr>
          <w:rStyle w:val="Hyperlink"/>
          <w:color w:val="auto"/>
          <w:u w:val="none"/>
        </w:rPr>
        <w:t>., 2018).</w:t>
      </w:r>
    </w:p>
    <w:p w14:paraId="63DFB4CC" w14:textId="77777777" w:rsidR="008D1720" w:rsidRPr="008D1720" w:rsidRDefault="008D1720" w:rsidP="00027C5B">
      <w:pPr>
        <w:widowControl w:val="0"/>
        <w:spacing w:before="119" w:line="250" w:lineRule="auto"/>
        <w:ind w:left="102" w:right="96" w:firstLine="618"/>
        <w:rPr>
          <w:rStyle w:val="Hyperlink"/>
          <w:color w:val="auto"/>
          <w:u w:val="none"/>
        </w:rPr>
      </w:pPr>
      <w:r w:rsidRPr="008D1720">
        <w:rPr>
          <w:rStyle w:val="Hyperlink"/>
          <w:color w:val="auto"/>
          <w:u w:val="none"/>
        </w:rPr>
        <w:t xml:space="preserve">O modelo proposto por </w:t>
      </w:r>
      <w:proofErr w:type="spellStart"/>
      <w:r w:rsidRPr="008D1720">
        <w:rPr>
          <w:rStyle w:val="Hyperlink"/>
          <w:color w:val="auto"/>
          <w:u w:val="none"/>
        </w:rPr>
        <w:t>Miković</w:t>
      </w:r>
      <w:proofErr w:type="spellEnd"/>
      <w:r w:rsidRPr="008D1720">
        <w:rPr>
          <w:rStyle w:val="Hyperlink"/>
          <w:color w:val="auto"/>
          <w:u w:val="none"/>
        </w:rPr>
        <w:t xml:space="preserve"> </w:t>
      </w:r>
      <w:r w:rsidRPr="00334787">
        <w:rPr>
          <w:rStyle w:val="Hyperlink"/>
          <w:i/>
          <w:color w:val="auto"/>
          <w:u w:val="none"/>
        </w:rPr>
        <w:t>et al</w:t>
      </w:r>
      <w:r w:rsidRPr="008D1720">
        <w:rPr>
          <w:rStyle w:val="Hyperlink"/>
          <w:color w:val="auto"/>
          <w:u w:val="none"/>
        </w:rPr>
        <w:t xml:space="preserve">. (2020) pretende converter tensões </w:t>
      </w:r>
      <w:proofErr w:type="spellStart"/>
      <w:r w:rsidRPr="008D1720">
        <w:rPr>
          <w:rStyle w:val="Hyperlink"/>
          <w:color w:val="auto"/>
          <w:u w:val="none"/>
        </w:rPr>
        <w:t>interorganizacionais</w:t>
      </w:r>
      <w:proofErr w:type="spellEnd"/>
      <w:r w:rsidRPr="008D1720">
        <w:rPr>
          <w:rStyle w:val="Hyperlink"/>
          <w:color w:val="auto"/>
          <w:u w:val="none"/>
        </w:rPr>
        <w:t xml:space="preserve"> em oportunidades de inovação institucional. Os autores discutem a necessidade de colaboração não apenas intraorganizacional, mas também entre parceiros externos, reforçando o papel do capital social (redes, confiança e normas) como elemento central para a coordenação eficaz, contribuindo em contextos onde a rigidez burocrática tradicional limita a capacidade de resposta </w:t>
      </w:r>
      <w:r w:rsidR="009D1008">
        <w:rPr>
          <w:rStyle w:val="Hyperlink"/>
          <w:color w:val="auto"/>
          <w:u w:val="none"/>
        </w:rPr>
        <w:t>a</w:t>
      </w:r>
      <w:r w:rsidRPr="008D1720">
        <w:rPr>
          <w:rStyle w:val="Hyperlink"/>
          <w:color w:val="auto"/>
          <w:u w:val="none"/>
        </w:rPr>
        <w:t xml:space="preserve"> mudanças bruscas.</w:t>
      </w:r>
    </w:p>
    <w:p w14:paraId="1827E48E" w14:textId="77777777" w:rsidR="008D1720" w:rsidRPr="008D1720" w:rsidRDefault="008D1720" w:rsidP="00027C5B">
      <w:pPr>
        <w:widowControl w:val="0"/>
        <w:spacing w:before="119" w:line="250" w:lineRule="auto"/>
        <w:ind w:left="102" w:right="96" w:firstLine="618"/>
        <w:rPr>
          <w:rStyle w:val="Hyperlink"/>
          <w:color w:val="auto"/>
          <w:u w:val="none"/>
        </w:rPr>
      </w:pPr>
      <w:r w:rsidRPr="008D1720">
        <w:rPr>
          <w:rStyle w:val="Hyperlink"/>
          <w:color w:val="auto"/>
          <w:u w:val="none"/>
        </w:rPr>
        <w:t xml:space="preserve">Além disso, o alinhamento em terminologias é proposto por </w:t>
      </w:r>
      <w:proofErr w:type="spellStart"/>
      <w:r w:rsidRPr="008D1720">
        <w:rPr>
          <w:rStyle w:val="Hyperlink"/>
          <w:color w:val="auto"/>
          <w:u w:val="none"/>
        </w:rPr>
        <w:t>Valujeva</w:t>
      </w:r>
      <w:proofErr w:type="spellEnd"/>
      <w:r w:rsidRPr="008D1720">
        <w:rPr>
          <w:rStyle w:val="Hyperlink"/>
          <w:color w:val="auto"/>
          <w:u w:val="none"/>
        </w:rPr>
        <w:t xml:space="preserve"> </w:t>
      </w:r>
      <w:r w:rsidRPr="008F0A5C">
        <w:rPr>
          <w:rStyle w:val="Hyperlink"/>
          <w:i/>
          <w:color w:val="auto"/>
          <w:u w:val="none"/>
        </w:rPr>
        <w:t>et al</w:t>
      </w:r>
      <w:r w:rsidRPr="008D1720">
        <w:rPr>
          <w:rStyle w:val="Hyperlink"/>
          <w:color w:val="auto"/>
          <w:u w:val="none"/>
        </w:rPr>
        <w:t xml:space="preserve">. (2023), por meio de um framework que avança além das abordagens convencionais ao estabelecer um sistema integrado de tradução de conhecimentos. Seu modelo opera em três níveis complementares: (1) tradução terminológica entre especialistas e atores locais; (2) plataformas digitais para codificação de saberes tácitos; e (3) laboratórios de </w:t>
      </w:r>
      <w:proofErr w:type="spellStart"/>
      <w:r w:rsidRPr="008D1720">
        <w:rPr>
          <w:rStyle w:val="Hyperlink"/>
          <w:color w:val="auto"/>
          <w:u w:val="none"/>
        </w:rPr>
        <w:t>cocriação</w:t>
      </w:r>
      <w:proofErr w:type="spellEnd"/>
      <w:r w:rsidRPr="008D1720">
        <w:rPr>
          <w:rStyle w:val="Hyperlink"/>
          <w:color w:val="auto"/>
          <w:u w:val="none"/>
        </w:rPr>
        <w:t xml:space="preserve"> para ressignificação de problemas. </w:t>
      </w:r>
    </w:p>
    <w:p w14:paraId="4D77EB62" w14:textId="126B8B80" w:rsidR="008D1720" w:rsidRPr="008D1720" w:rsidRDefault="008D1720" w:rsidP="00027C5B">
      <w:pPr>
        <w:widowControl w:val="0"/>
        <w:spacing w:before="119" w:line="250" w:lineRule="auto"/>
        <w:ind w:left="102" w:right="96" w:firstLine="618"/>
        <w:rPr>
          <w:rStyle w:val="Hyperlink"/>
          <w:color w:val="auto"/>
          <w:u w:val="none"/>
        </w:rPr>
      </w:pPr>
      <w:r w:rsidRPr="008D1720">
        <w:rPr>
          <w:rStyle w:val="Hyperlink"/>
          <w:color w:val="auto"/>
          <w:u w:val="none"/>
        </w:rPr>
        <w:t>As pesquisas destacam também a necessidade de colaboração multidisciplinar envolvendo pesquisadores, formuladores de políticas e profissionais da área correspondente (</w:t>
      </w:r>
      <w:proofErr w:type="spellStart"/>
      <w:r w:rsidR="009D1008" w:rsidRPr="008D1720">
        <w:rPr>
          <w:rStyle w:val="Hyperlink"/>
          <w:color w:val="auto"/>
          <w:u w:val="none"/>
        </w:rPr>
        <w:t>W</w:t>
      </w:r>
      <w:r w:rsidR="00225671" w:rsidRPr="008D1720">
        <w:rPr>
          <w:rStyle w:val="Hyperlink"/>
          <w:color w:val="auto"/>
          <w:u w:val="none"/>
        </w:rPr>
        <w:t>utzke</w:t>
      </w:r>
      <w:proofErr w:type="spellEnd"/>
      <w:r w:rsidRPr="008D1720">
        <w:rPr>
          <w:rStyle w:val="Hyperlink"/>
          <w:color w:val="auto"/>
          <w:u w:val="none"/>
        </w:rPr>
        <w:t xml:space="preserve"> </w:t>
      </w:r>
      <w:r w:rsidRPr="009D1008">
        <w:rPr>
          <w:rStyle w:val="Hyperlink"/>
          <w:i/>
          <w:color w:val="auto"/>
          <w:u w:val="none"/>
        </w:rPr>
        <w:t>et al</w:t>
      </w:r>
      <w:r w:rsidRPr="008D1720">
        <w:rPr>
          <w:rStyle w:val="Hyperlink"/>
          <w:color w:val="auto"/>
          <w:u w:val="none"/>
        </w:rPr>
        <w:t xml:space="preserve">., 2018; </w:t>
      </w:r>
      <w:r w:rsidR="009D1008" w:rsidRPr="008D1720">
        <w:rPr>
          <w:rStyle w:val="Hyperlink"/>
          <w:color w:val="auto"/>
          <w:u w:val="none"/>
        </w:rPr>
        <w:t>J</w:t>
      </w:r>
      <w:r w:rsidR="00225671" w:rsidRPr="008D1720">
        <w:rPr>
          <w:rStyle w:val="Hyperlink"/>
          <w:color w:val="auto"/>
          <w:u w:val="none"/>
        </w:rPr>
        <w:t xml:space="preserve">ohnson </w:t>
      </w:r>
      <w:r w:rsidRPr="009D1008">
        <w:rPr>
          <w:rStyle w:val="Hyperlink"/>
          <w:i/>
          <w:color w:val="auto"/>
          <w:u w:val="none"/>
        </w:rPr>
        <w:t>et al</w:t>
      </w:r>
      <w:r w:rsidRPr="008D1720">
        <w:rPr>
          <w:rStyle w:val="Hyperlink"/>
          <w:color w:val="auto"/>
          <w:u w:val="none"/>
        </w:rPr>
        <w:t xml:space="preserve">., 2018; </w:t>
      </w:r>
      <w:proofErr w:type="spellStart"/>
      <w:r w:rsidR="009D1008" w:rsidRPr="008D1720">
        <w:rPr>
          <w:rStyle w:val="Hyperlink"/>
          <w:color w:val="auto"/>
          <w:u w:val="none"/>
        </w:rPr>
        <w:t>M</w:t>
      </w:r>
      <w:r w:rsidR="00225671" w:rsidRPr="008D1720">
        <w:rPr>
          <w:rStyle w:val="Hyperlink"/>
          <w:color w:val="auto"/>
          <w:u w:val="none"/>
        </w:rPr>
        <w:t>iković</w:t>
      </w:r>
      <w:proofErr w:type="spellEnd"/>
      <w:r w:rsidRPr="008D1720">
        <w:rPr>
          <w:rStyle w:val="Hyperlink"/>
          <w:color w:val="auto"/>
          <w:u w:val="none"/>
        </w:rPr>
        <w:t xml:space="preserve"> </w:t>
      </w:r>
      <w:r w:rsidRPr="00334787">
        <w:rPr>
          <w:rStyle w:val="Hyperlink"/>
          <w:i/>
          <w:color w:val="auto"/>
          <w:u w:val="none"/>
        </w:rPr>
        <w:t>et al</w:t>
      </w:r>
      <w:r w:rsidRPr="008D1720">
        <w:rPr>
          <w:rStyle w:val="Hyperlink"/>
          <w:color w:val="auto"/>
          <w:u w:val="none"/>
        </w:rPr>
        <w:t>., 2020).  A importância da liderança, da confiança entre stakeholders e da transparência também foi evidenciada como fator relevante para superar os desafios típicos de sistemas fragmentados (</w:t>
      </w:r>
      <w:r w:rsidR="00A214EA" w:rsidRPr="0053555A">
        <w:rPr>
          <w:rStyle w:val="Hyperlink"/>
          <w:color w:val="auto"/>
          <w:u w:val="none"/>
        </w:rPr>
        <w:t>M</w:t>
      </w:r>
      <w:r w:rsidR="00225671" w:rsidRPr="0053555A">
        <w:rPr>
          <w:rStyle w:val="Hyperlink"/>
          <w:color w:val="auto"/>
          <w:u w:val="none"/>
        </w:rPr>
        <w:t>artínez</w:t>
      </w:r>
      <w:r w:rsidR="00A214EA" w:rsidRPr="0053555A">
        <w:rPr>
          <w:rStyle w:val="Hyperlink"/>
          <w:color w:val="auto"/>
          <w:u w:val="none"/>
        </w:rPr>
        <w:t>-H</w:t>
      </w:r>
      <w:r w:rsidR="00225671" w:rsidRPr="0053555A">
        <w:rPr>
          <w:rStyle w:val="Hyperlink"/>
          <w:color w:val="auto"/>
          <w:u w:val="none"/>
        </w:rPr>
        <w:t>errera</w:t>
      </w:r>
      <w:r w:rsidR="00A214EA" w:rsidRPr="0053555A">
        <w:rPr>
          <w:rStyle w:val="Hyperlink"/>
          <w:color w:val="auto"/>
          <w:u w:val="none"/>
        </w:rPr>
        <w:t xml:space="preserve"> </w:t>
      </w:r>
      <w:r w:rsidR="00A214EA" w:rsidRPr="00343B57">
        <w:rPr>
          <w:rStyle w:val="Hyperlink"/>
          <w:i/>
          <w:color w:val="auto"/>
          <w:u w:val="none"/>
        </w:rPr>
        <w:t>et al</w:t>
      </w:r>
      <w:r w:rsidR="00A214EA" w:rsidRPr="0053555A">
        <w:rPr>
          <w:rStyle w:val="Hyperlink"/>
          <w:color w:val="auto"/>
          <w:u w:val="none"/>
        </w:rPr>
        <w:t>., 2015</w:t>
      </w:r>
      <w:r w:rsidRPr="008D1720">
        <w:rPr>
          <w:rStyle w:val="Hyperlink"/>
          <w:color w:val="auto"/>
          <w:u w:val="none"/>
        </w:rPr>
        <w:t xml:space="preserve">). </w:t>
      </w:r>
    </w:p>
    <w:p w14:paraId="0C8DF99A" w14:textId="77777777" w:rsidR="008D1720" w:rsidRPr="008D1720" w:rsidRDefault="008D1720" w:rsidP="00027C5B">
      <w:pPr>
        <w:widowControl w:val="0"/>
        <w:spacing w:before="119" w:line="250" w:lineRule="auto"/>
        <w:ind w:left="102" w:right="96" w:firstLine="618"/>
        <w:rPr>
          <w:rStyle w:val="Hyperlink"/>
          <w:color w:val="auto"/>
          <w:u w:val="none"/>
        </w:rPr>
      </w:pPr>
      <w:r w:rsidRPr="008D1720">
        <w:rPr>
          <w:rStyle w:val="Hyperlink"/>
          <w:color w:val="auto"/>
          <w:u w:val="none"/>
        </w:rPr>
        <w:t xml:space="preserve">Assim, as pesquisas empíricas analisadas trouxeram contribuições importantes para a governança em sistemas perversos, evidenciando que a superação de desafios como fragmentação, descoordenação institucional e assimetrias de poder depende da adoção de modelos colaborativos e adaptativos. Além disso, a padronização terminológica, a </w:t>
      </w:r>
      <w:proofErr w:type="spellStart"/>
      <w:r w:rsidRPr="008D1720">
        <w:rPr>
          <w:rStyle w:val="Hyperlink"/>
          <w:color w:val="auto"/>
          <w:u w:val="none"/>
        </w:rPr>
        <w:t>cocriação</w:t>
      </w:r>
      <w:proofErr w:type="spellEnd"/>
      <w:r w:rsidRPr="008D1720">
        <w:rPr>
          <w:rStyle w:val="Hyperlink"/>
          <w:color w:val="auto"/>
          <w:u w:val="none"/>
        </w:rPr>
        <w:t xml:space="preserve"> de soluções e a transparência entre stakeholders surgem como elementos essenciais para alinhar esforços multissetoriais. Tais insights podem ser aplicados também em outros domínios, como gestão ambiental e respostas a crises, onde a coordenação entre múltiplos atores é essencial para resultados sustentáveis.</w:t>
      </w:r>
    </w:p>
    <w:p w14:paraId="3DAD4B1C" w14:textId="77777777" w:rsidR="008D1720" w:rsidRPr="008D1720" w:rsidRDefault="008D1720" w:rsidP="00027C5B">
      <w:pPr>
        <w:widowControl w:val="0"/>
        <w:spacing w:before="119" w:line="250" w:lineRule="auto"/>
        <w:ind w:left="102" w:right="96" w:firstLine="0"/>
        <w:rPr>
          <w:rStyle w:val="Hyperlink"/>
          <w:b/>
          <w:color w:val="auto"/>
          <w:u w:val="none"/>
        </w:rPr>
      </w:pPr>
      <w:r w:rsidRPr="008D1720">
        <w:rPr>
          <w:rStyle w:val="Hyperlink"/>
          <w:b/>
          <w:color w:val="auto"/>
          <w:u w:val="none"/>
        </w:rPr>
        <w:t>4.</w:t>
      </w:r>
      <w:r w:rsidR="0053555A">
        <w:rPr>
          <w:rStyle w:val="Hyperlink"/>
          <w:b/>
          <w:color w:val="auto"/>
          <w:u w:val="none"/>
        </w:rPr>
        <w:t>1</w:t>
      </w:r>
      <w:r w:rsidRPr="008D1720">
        <w:rPr>
          <w:rStyle w:val="Hyperlink"/>
          <w:b/>
          <w:color w:val="auto"/>
          <w:u w:val="none"/>
        </w:rPr>
        <w:t xml:space="preserve">.2 Sustentabilidade Socioambiental e Gestão de Recursos </w:t>
      </w:r>
    </w:p>
    <w:p w14:paraId="3C27338F" w14:textId="12A369AA" w:rsidR="008D1720" w:rsidRPr="008D1720" w:rsidRDefault="008D1720" w:rsidP="00027C5B">
      <w:pPr>
        <w:widowControl w:val="0"/>
        <w:spacing w:before="123" w:line="250" w:lineRule="auto"/>
        <w:ind w:left="102" w:right="96" w:firstLine="0"/>
        <w:rPr>
          <w:rStyle w:val="Hyperlink"/>
          <w:color w:val="auto"/>
          <w:u w:val="none"/>
        </w:rPr>
      </w:pPr>
      <w:r w:rsidRPr="008D1720">
        <w:rPr>
          <w:rStyle w:val="Hyperlink"/>
          <w:color w:val="auto"/>
          <w:u w:val="none"/>
        </w:rPr>
        <w:t>Esta categoria abrange os desafios complexos relacionados à gestão sustentável de recursos naturais, mitigação de impactos ambientais como degradação da terra, uso sustentável do solo, mudanças climáticas e a busca por um desenvolvimento que equilibre as dimensões econômica, social e ambiental (</w:t>
      </w:r>
      <w:proofErr w:type="spellStart"/>
      <w:r w:rsidR="009D1008" w:rsidRPr="008D1720">
        <w:rPr>
          <w:rStyle w:val="Hyperlink"/>
          <w:color w:val="auto"/>
          <w:u w:val="none"/>
        </w:rPr>
        <w:t>H</w:t>
      </w:r>
      <w:r w:rsidR="00225671" w:rsidRPr="008D1720">
        <w:rPr>
          <w:rStyle w:val="Hyperlink"/>
          <w:color w:val="auto"/>
          <w:u w:val="none"/>
        </w:rPr>
        <w:t>ollander</w:t>
      </w:r>
      <w:proofErr w:type="spellEnd"/>
      <w:r w:rsidRPr="008D1720">
        <w:rPr>
          <w:rStyle w:val="Hyperlink"/>
          <w:color w:val="auto"/>
          <w:u w:val="none"/>
        </w:rPr>
        <w:t xml:space="preserve"> </w:t>
      </w:r>
      <w:r w:rsidRPr="009D1008">
        <w:rPr>
          <w:rStyle w:val="Hyperlink"/>
          <w:i/>
          <w:color w:val="auto"/>
          <w:u w:val="none"/>
        </w:rPr>
        <w:t>et al</w:t>
      </w:r>
      <w:r w:rsidRPr="008D1720">
        <w:rPr>
          <w:rStyle w:val="Hyperlink"/>
          <w:color w:val="auto"/>
          <w:u w:val="none"/>
        </w:rPr>
        <w:t xml:space="preserve">., 2023; </w:t>
      </w:r>
      <w:r w:rsidR="009D1008" w:rsidRPr="008D1720">
        <w:rPr>
          <w:rStyle w:val="Hyperlink"/>
          <w:color w:val="auto"/>
          <w:u w:val="none"/>
        </w:rPr>
        <w:t>F</w:t>
      </w:r>
      <w:r w:rsidR="00225671" w:rsidRPr="008D1720">
        <w:rPr>
          <w:rStyle w:val="Hyperlink"/>
          <w:color w:val="auto"/>
          <w:u w:val="none"/>
        </w:rPr>
        <w:t>eliciano</w:t>
      </w:r>
      <w:r w:rsidRPr="008D1720">
        <w:rPr>
          <w:rStyle w:val="Hyperlink"/>
          <w:color w:val="auto"/>
          <w:u w:val="none"/>
        </w:rPr>
        <w:t xml:space="preserve"> </w:t>
      </w:r>
      <w:r w:rsidRPr="009D1008">
        <w:rPr>
          <w:rStyle w:val="Hyperlink"/>
          <w:i/>
          <w:color w:val="auto"/>
          <w:u w:val="none"/>
        </w:rPr>
        <w:t>et al</w:t>
      </w:r>
      <w:r w:rsidRPr="008D1720">
        <w:rPr>
          <w:rStyle w:val="Hyperlink"/>
          <w:color w:val="auto"/>
          <w:u w:val="none"/>
        </w:rPr>
        <w:t xml:space="preserve">., 2019; </w:t>
      </w:r>
      <w:r w:rsidR="008F0A5C" w:rsidRPr="008D1720">
        <w:rPr>
          <w:rStyle w:val="Hyperlink"/>
          <w:color w:val="auto"/>
          <w:u w:val="none"/>
        </w:rPr>
        <w:t>C</w:t>
      </w:r>
      <w:r w:rsidR="00225671" w:rsidRPr="008D1720">
        <w:rPr>
          <w:rStyle w:val="Hyperlink"/>
          <w:color w:val="auto"/>
          <w:u w:val="none"/>
        </w:rPr>
        <w:t>ruz</w:t>
      </w:r>
      <w:r w:rsidR="008F0A5C" w:rsidRPr="008D1720">
        <w:rPr>
          <w:rStyle w:val="Hyperlink"/>
          <w:color w:val="auto"/>
          <w:u w:val="none"/>
        </w:rPr>
        <w:t xml:space="preserve"> </w:t>
      </w:r>
      <w:r w:rsidR="009D1008" w:rsidRPr="008D1720">
        <w:rPr>
          <w:rStyle w:val="Hyperlink"/>
          <w:color w:val="auto"/>
          <w:u w:val="none"/>
        </w:rPr>
        <w:t>R</w:t>
      </w:r>
      <w:r w:rsidR="00225671" w:rsidRPr="008D1720">
        <w:rPr>
          <w:rStyle w:val="Hyperlink"/>
          <w:color w:val="auto"/>
          <w:u w:val="none"/>
        </w:rPr>
        <w:t>odríguez</w:t>
      </w:r>
      <w:r w:rsidR="009D1008">
        <w:rPr>
          <w:rStyle w:val="Hyperlink"/>
          <w:color w:val="auto"/>
          <w:u w:val="none"/>
        </w:rPr>
        <w:t xml:space="preserve">; </w:t>
      </w:r>
      <w:r w:rsidR="009D1008" w:rsidRPr="008D1720">
        <w:rPr>
          <w:rStyle w:val="Hyperlink"/>
          <w:color w:val="auto"/>
          <w:u w:val="none"/>
        </w:rPr>
        <w:t>B</w:t>
      </w:r>
      <w:r w:rsidR="00225671" w:rsidRPr="008D1720">
        <w:rPr>
          <w:rStyle w:val="Hyperlink"/>
          <w:color w:val="auto"/>
          <w:u w:val="none"/>
        </w:rPr>
        <w:t>autista</w:t>
      </w:r>
      <w:r w:rsidR="009D1008" w:rsidRPr="008D1720">
        <w:rPr>
          <w:rStyle w:val="Hyperlink"/>
          <w:color w:val="auto"/>
          <w:u w:val="none"/>
        </w:rPr>
        <w:t xml:space="preserve"> R</w:t>
      </w:r>
      <w:r w:rsidR="00225671" w:rsidRPr="008D1720">
        <w:rPr>
          <w:rStyle w:val="Hyperlink"/>
          <w:color w:val="auto"/>
          <w:u w:val="none"/>
        </w:rPr>
        <w:t>odríguez</w:t>
      </w:r>
      <w:r w:rsidRPr="008D1720">
        <w:rPr>
          <w:rStyle w:val="Hyperlink"/>
          <w:color w:val="auto"/>
          <w:u w:val="none"/>
        </w:rPr>
        <w:t xml:space="preserve">, 2021). A literatura aponta desafios para esta categoria, como divergências de interesses econômicos entre proprietários privados, governos e comunidades locais, bem como dificuldades em integrar conhecimento tradicional com ciência acadêmica. Além disso, os estudos indicam desalinhamento de políticas nacionais </w:t>
      </w:r>
      <w:r w:rsidRPr="008D1720">
        <w:rPr>
          <w:rStyle w:val="Hyperlink"/>
          <w:color w:val="auto"/>
          <w:u w:val="none"/>
        </w:rPr>
        <w:lastRenderedPageBreak/>
        <w:t xml:space="preserve">com realidades locais. </w:t>
      </w:r>
    </w:p>
    <w:p w14:paraId="46F1CC3E" w14:textId="0E8B199D" w:rsidR="008D1720" w:rsidRPr="008D1720" w:rsidRDefault="008D1720" w:rsidP="00027C5B">
      <w:pPr>
        <w:widowControl w:val="0"/>
        <w:spacing w:before="119" w:line="250" w:lineRule="auto"/>
        <w:ind w:left="102" w:right="96" w:firstLine="618"/>
        <w:rPr>
          <w:rStyle w:val="Hyperlink"/>
          <w:color w:val="auto"/>
          <w:u w:val="none"/>
        </w:rPr>
      </w:pPr>
      <w:r w:rsidRPr="008D1720">
        <w:rPr>
          <w:rStyle w:val="Hyperlink"/>
          <w:color w:val="auto"/>
          <w:u w:val="none"/>
        </w:rPr>
        <w:t xml:space="preserve"> Dessa forma, a integração de modelos estruturados de gestão do conhecimento tem se mostrado fundamental para avançar na resolução de desafios complexos associados à sustentabilidade e à gestão eficiente de recursos naturais. Ao facilitar a articulação entre conhecimentos científicos e saberes locais, tais modelos promovem a coprodução de soluções contextualizadas, capazes de harmonizar eficiência técnica com relevância socioambiental (</w:t>
      </w:r>
      <w:proofErr w:type="spellStart"/>
      <w:r w:rsidR="009D1008" w:rsidRPr="008D1720">
        <w:rPr>
          <w:rStyle w:val="Hyperlink"/>
          <w:color w:val="auto"/>
          <w:u w:val="none"/>
        </w:rPr>
        <w:t>H</w:t>
      </w:r>
      <w:r w:rsidR="00225671" w:rsidRPr="008D1720">
        <w:rPr>
          <w:rStyle w:val="Hyperlink"/>
          <w:color w:val="auto"/>
          <w:u w:val="none"/>
        </w:rPr>
        <w:t>ollander</w:t>
      </w:r>
      <w:proofErr w:type="spellEnd"/>
      <w:r w:rsidRPr="008D1720">
        <w:rPr>
          <w:rStyle w:val="Hyperlink"/>
          <w:color w:val="auto"/>
          <w:u w:val="none"/>
        </w:rPr>
        <w:t xml:space="preserve"> </w:t>
      </w:r>
      <w:r w:rsidRPr="009D1008">
        <w:rPr>
          <w:rStyle w:val="Hyperlink"/>
          <w:i/>
          <w:color w:val="auto"/>
          <w:u w:val="none"/>
        </w:rPr>
        <w:t>et al</w:t>
      </w:r>
      <w:r w:rsidRPr="008D1720">
        <w:rPr>
          <w:rStyle w:val="Hyperlink"/>
          <w:color w:val="auto"/>
          <w:u w:val="none"/>
        </w:rPr>
        <w:t xml:space="preserve">., 2023). A criação de espaços de </w:t>
      </w:r>
      <w:proofErr w:type="spellStart"/>
      <w:r w:rsidRPr="008D1720">
        <w:rPr>
          <w:rStyle w:val="Hyperlink"/>
          <w:color w:val="auto"/>
          <w:u w:val="none"/>
        </w:rPr>
        <w:t>cocriação</w:t>
      </w:r>
      <w:proofErr w:type="spellEnd"/>
      <w:r w:rsidRPr="008D1720">
        <w:rPr>
          <w:rStyle w:val="Hyperlink"/>
          <w:color w:val="auto"/>
          <w:u w:val="none"/>
        </w:rPr>
        <w:t xml:space="preserve">, como o </w:t>
      </w:r>
      <w:proofErr w:type="spellStart"/>
      <w:r w:rsidRPr="00A214EA">
        <w:rPr>
          <w:rStyle w:val="Hyperlink"/>
          <w:i/>
          <w:color w:val="auto"/>
          <w:u w:val="none"/>
        </w:rPr>
        <w:t>Travellab</w:t>
      </w:r>
      <w:proofErr w:type="spellEnd"/>
      <w:r w:rsidRPr="008D1720">
        <w:rPr>
          <w:rStyle w:val="Hyperlink"/>
          <w:color w:val="auto"/>
          <w:u w:val="none"/>
        </w:rPr>
        <w:t xml:space="preserve"> (</w:t>
      </w:r>
      <w:r w:rsidR="009D1008" w:rsidRPr="008D1720">
        <w:rPr>
          <w:rStyle w:val="Hyperlink"/>
          <w:color w:val="auto"/>
          <w:u w:val="none"/>
        </w:rPr>
        <w:t>F</w:t>
      </w:r>
      <w:r w:rsidR="00225671" w:rsidRPr="008D1720">
        <w:rPr>
          <w:rStyle w:val="Hyperlink"/>
          <w:color w:val="auto"/>
          <w:u w:val="none"/>
        </w:rPr>
        <w:t>eliciano</w:t>
      </w:r>
      <w:r w:rsidRPr="008D1720">
        <w:rPr>
          <w:rStyle w:val="Hyperlink"/>
          <w:color w:val="auto"/>
          <w:u w:val="none"/>
        </w:rPr>
        <w:t xml:space="preserve"> </w:t>
      </w:r>
      <w:r w:rsidRPr="009D1008">
        <w:rPr>
          <w:rStyle w:val="Hyperlink"/>
          <w:i/>
          <w:color w:val="auto"/>
          <w:u w:val="none"/>
        </w:rPr>
        <w:t>et al</w:t>
      </w:r>
      <w:r w:rsidRPr="008D1720">
        <w:rPr>
          <w:rStyle w:val="Hyperlink"/>
          <w:color w:val="auto"/>
          <w:u w:val="none"/>
        </w:rPr>
        <w:t>., 2019), exemplifica como a colaboração contínua entre academia, comunidades e formuladores de políticas pode gerar conhecimento aplicável, alinhando interesses muitas vezes divergentes. Tal iniciativa, aplicada na gestão florestal, contribui para a construção de políticas baseadas em evidências, ao mesmo tempo em que preserva a legitimidade das práticas tradicionais.</w:t>
      </w:r>
    </w:p>
    <w:p w14:paraId="45353174" w14:textId="7AF9CD48" w:rsidR="008D1720" w:rsidRPr="008D1720" w:rsidRDefault="008D1720" w:rsidP="00027C5B">
      <w:pPr>
        <w:widowControl w:val="0"/>
        <w:spacing w:before="119" w:line="250" w:lineRule="auto"/>
        <w:ind w:left="102" w:right="96" w:firstLine="618"/>
        <w:rPr>
          <w:rStyle w:val="Hyperlink"/>
          <w:color w:val="auto"/>
          <w:u w:val="none"/>
        </w:rPr>
      </w:pPr>
      <w:r w:rsidRPr="008D1720">
        <w:rPr>
          <w:rStyle w:val="Hyperlink"/>
          <w:color w:val="auto"/>
          <w:u w:val="none"/>
        </w:rPr>
        <w:t>Além disso, modelos que formalizam fluxos de conhecimento setoria</w:t>
      </w:r>
      <w:r w:rsidR="00AB22F3">
        <w:rPr>
          <w:rStyle w:val="Hyperlink"/>
          <w:color w:val="auto"/>
          <w:u w:val="none"/>
        </w:rPr>
        <w:t>is</w:t>
      </w:r>
      <w:r w:rsidR="009D1008">
        <w:rPr>
          <w:rStyle w:val="Hyperlink"/>
          <w:color w:val="auto"/>
          <w:u w:val="none"/>
        </w:rPr>
        <w:t>,</w:t>
      </w:r>
      <w:r w:rsidRPr="008D1720">
        <w:rPr>
          <w:rStyle w:val="Hyperlink"/>
          <w:color w:val="auto"/>
          <w:u w:val="none"/>
        </w:rPr>
        <w:t xml:space="preserve"> como o proposto por Cruz Rodríguez e Bautista Rodríguez (2021) para a agroindústria da rapadura</w:t>
      </w:r>
      <w:r w:rsidR="009D1008">
        <w:rPr>
          <w:rStyle w:val="Hyperlink"/>
          <w:color w:val="auto"/>
          <w:u w:val="none"/>
        </w:rPr>
        <w:t xml:space="preserve">, </w:t>
      </w:r>
      <w:r w:rsidRPr="008D1720">
        <w:rPr>
          <w:rStyle w:val="Hyperlink"/>
          <w:color w:val="auto"/>
          <w:u w:val="none"/>
        </w:rPr>
        <w:t xml:space="preserve">destacam-se por traduzir princípios teóricos em ganhos operacionais. Ao estruturar processos de aquisição, transformação e compartilhamento de conhecimento, esses modelos reduzem assimetrias informacionais, permitindo a adoção de tecnologias mais limpas e a racionalização no uso de insumos. </w:t>
      </w:r>
    </w:p>
    <w:p w14:paraId="24B6FB32" w14:textId="490A1C43" w:rsidR="008D1720" w:rsidRPr="008D1720" w:rsidRDefault="008D1720" w:rsidP="00027C5B">
      <w:pPr>
        <w:widowControl w:val="0"/>
        <w:spacing w:before="119" w:line="250" w:lineRule="auto"/>
        <w:ind w:left="102" w:right="96" w:firstLine="618"/>
        <w:rPr>
          <w:rStyle w:val="Hyperlink"/>
          <w:color w:val="auto"/>
          <w:u w:val="none"/>
        </w:rPr>
      </w:pPr>
      <w:r w:rsidRPr="008D1720">
        <w:rPr>
          <w:rStyle w:val="Hyperlink"/>
          <w:color w:val="auto"/>
          <w:u w:val="none"/>
        </w:rPr>
        <w:t>Assim, a criação de modelos que possam ser replicados oferece caminhos para avançar na integração de múltiplos saberes, com arranjos institucionais mais flexíveis (</w:t>
      </w:r>
      <w:proofErr w:type="spellStart"/>
      <w:r w:rsidR="009D1008" w:rsidRPr="008D1720">
        <w:rPr>
          <w:rStyle w:val="Hyperlink"/>
          <w:color w:val="auto"/>
          <w:u w:val="none"/>
        </w:rPr>
        <w:t>H</w:t>
      </w:r>
      <w:r w:rsidR="00225671" w:rsidRPr="008D1720">
        <w:rPr>
          <w:rStyle w:val="Hyperlink"/>
          <w:color w:val="auto"/>
          <w:u w:val="none"/>
        </w:rPr>
        <w:t>ollander</w:t>
      </w:r>
      <w:proofErr w:type="spellEnd"/>
      <w:r w:rsidRPr="008D1720">
        <w:rPr>
          <w:rStyle w:val="Hyperlink"/>
          <w:color w:val="auto"/>
          <w:u w:val="none"/>
        </w:rPr>
        <w:t xml:space="preserve"> </w:t>
      </w:r>
      <w:r w:rsidRPr="009D1008">
        <w:rPr>
          <w:rStyle w:val="Hyperlink"/>
          <w:i/>
          <w:color w:val="auto"/>
          <w:u w:val="none"/>
        </w:rPr>
        <w:t>et al</w:t>
      </w:r>
      <w:r w:rsidRPr="008D1720">
        <w:rPr>
          <w:rStyle w:val="Hyperlink"/>
          <w:color w:val="auto"/>
          <w:u w:val="none"/>
        </w:rPr>
        <w:t>., 2023), além de possibilitar a legitimação de saberes locais por meio de estruturas que codificam conhecimento tácito em protocolos replicáveis de conhecimento para a gestão de recursos (</w:t>
      </w:r>
      <w:r w:rsidR="008F0A5C" w:rsidRPr="008D1720">
        <w:rPr>
          <w:rStyle w:val="Hyperlink"/>
          <w:color w:val="auto"/>
          <w:u w:val="none"/>
        </w:rPr>
        <w:t>C</w:t>
      </w:r>
      <w:r w:rsidR="00225671" w:rsidRPr="008D1720">
        <w:rPr>
          <w:rStyle w:val="Hyperlink"/>
          <w:color w:val="auto"/>
          <w:u w:val="none"/>
        </w:rPr>
        <w:t>ruz</w:t>
      </w:r>
      <w:r w:rsidR="008F0A5C" w:rsidRPr="008D1720">
        <w:rPr>
          <w:rStyle w:val="Hyperlink"/>
          <w:color w:val="auto"/>
          <w:u w:val="none"/>
        </w:rPr>
        <w:t xml:space="preserve"> </w:t>
      </w:r>
      <w:r w:rsidR="009D1008" w:rsidRPr="008D1720">
        <w:rPr>
          <w:rStyle w:val="Hyperlink"/>
          <w:color w:val="auto"/>
          <w:u w:val="none"/>
        </w:rPr>
        <w:t>R</w:t>
      </w:r>
      <w:r w:rsidR="00225671" w:rsidRPr="008D1720">
        <w:rPr>
          <w:rStyle w:val="Hyperlink"/>
          <w:color w:val="auto"/>
          <w:u w:val="none"/>
        </w:rPr>
        <w:t>odríguez</w:t>
      </w:r>
      <w:r w:rsidR="009D1008">
        <w:rPr>
          <w:rStyle w:val="Hyperlink"/>
          <w:color w:val="auto"/>
          <w:u w:val="none"/>
        </w:rPr>
        <w:t>;</w:t>
      </w:r>
      <w:r w:rsidR="009D1008" w:rsidRPr="008D1720">
        <w:rPr>
          <w:rStyle w:val="Hyperlink"/>
          <w:color w:val="auto"/>
          <w:u w:val="none"/>
        </w:rPr>
        <w:t xml:space="preserve"> B</w:t>
      </w:r>
      <w:r w:rsidR="00225671" w:rsidRPr="008D1720">
        <w:rPr>
          <w:rStyle w:val="Hyperlink"/>
          <w:color w:val="auto"/>
          <w:u w:val="none"/>
        </w:rPr>
        <w:t>autista</w:t>
      </w:r>
      <w:r w:rsidR="009D1008" w:rsidRPr="008D1720">
        <w:rPr>
          <w:rStyle w:val="Hyperlink"/>
          <w:color w:val="auto"/>
          <w:u w:val="none"/>
        </w:rPr>
        <w:t xml:space="preserve"> R</w:t>
      </w:r>
      <w:r w:rsidR="00225671" w:rsidRPr="008D1720">
        <w:rPr>
          <w:rStyle w:val="Hyperlink"/>
          <w:color w:val="auto"/>
          <w:u w:val="none"/>
        </w:rPr>
        <w:t>odríguez</w:t>
      </w:r>
      <w:r w:rsidRPr="008D1720">
        <w:rPr>
          <w:rStyle w:val="Hyperlink"/>
          <w:color w:val="auto"/>
          <w:u w:val="none"/>
        </w:rPr>
        <w:t>, 2021).</w:t>
      </w:r>
    </w:p>
    <w:p w14:paraId="1ACF6EA7" w14:textId="77777777" w:rsidR="008D1720" w:rsidRPr="008D1720" w:rsidRDefault="008D1720" w:rsidP="00027C5B">
      <w:pPr>
        <w:widowControl w:val="0"/>
        <w:spacing w:before="119" w:line="250" w:lineRule="auto"/>
        <w:ind w:left="102" w:right="96" w:firstLine="0"/>
        <w:rPr>
          <w:rStyle w:val="Hyperlink"/>
          <w:b/>
          <w:color w:val="auto"/>
          <w:u w:val="none"/>
        </w:rPr>
      </w:pPr>
      <w:r w:rsidRPr="008D1720">
        <w:rPr>
          <w:rStyle w:val="Hyperlink"/>
          <w:b/>
          <w:color w:val="auto"/>
          <w:u w:val="none"/>
        </w:rPr>
        <w:t>4.</w:t>
      </w:r>
      <w:r w:rsidR="0053555A">
        <w:rPr>
          <w:rStyle w:val="Hyperlink"/>
          <w:b/>
          <w:color w:val="auto"/>
          <w:u w:val="none"/>
        </w:rPr>
        <w:t>1</w:t>
      </w:r>
      <w:r w:rsidRPr="008D1720">
        <w:rPr>
          <w:rStyle w:val="Hyperlink"/>
          <w:b/>
          <w:color w:val="auto"/>
          <w:u w:val="none"/>
        </w:rPr>
        <w:t xml:space="preserve">.3 Inovação e Desenvolvimento Social Comunitário </w:t>
      </w:r>
    </w:p>
    <w:p w14:paraId="22D4CD11" w14:textId="638585DE" w:rsidR="008D1720" w:rsidRPr="008D1720" w:rsidRDefault="008D1720" w:rsidP="00027C5B">
      <w:pPr>
        <w:widowControl w:val="0"/>
        <w:spacing w:before="123" w:line="250" w:lineRule="auto"/>
        <w:ind w:left="102" w:right="96" w:firstLine="0"/>
        <w:rPr>
          <w:rStyle w:val="Hyperlink"/>
          <w:color w:val="auto"/>
          <w:u w:val="none"/>
        </w:rPr>
      </w:pPr>
      <w:r w:rsidRPr="008D1720">
        <w:rPr>
          <w:rStyle w:val="Hyperlink"/>
          <w:color w:val="auto"/>
          <w:u w:val="none"/>
        </w:rPr>
        <w:t>Esta categoria aborda os desafios para a inovação de forma responsável e inclusiva para resolver problemas sociais profundos, como pobreza, desigualdade e acesso a serviços básicos. Envolve a superação de tensões entre visões individuais e colaborativas, além da integração de princípios éticos, valores sociais e saberes locais no processo de inovação (</w:t>
      </w:r>
      <w:r w:rsidR="00334787" w:rsidRPr="008D1720">
        <w:rPr>
          <w:rStyle w:val="Hyperlink"/>
          <w:color w:val="auto"/>
          <w:u w:val="none"/>
        </w:rPr>
        <w:t>A</w:t>
      </w:r>
      <w:r w:rsidR="00225671" w:rsidRPr="008D1720">
        <w:rPr>
          <w:rStyle w:val="Hyperlink"/>
          <w:color w:val="auto"/>
          <w:u w:val="none"/>
        </w:rPr>
        <w:t>guilera</w:t>
      </w:r>
      <w:r w:rsidR="00334787">
        <w:rPr>
          <w:rStyle w:val="Hyperlink"/>
          <w:color w:val="auto"/>
          <w:u w:val="none"/>
        </w:rPr>
        <w:t>;</w:t>
      </w:r>
      <w:r w:rsidR="00334787" w:rsidRPr="008D1720">
        <w:rPr>
          <w:rStyle w:val="Hyperlink"/>
          <w:color w:val="auto"/>
          <w:u w:val="none"/>
        </w:rPr>
        <w:t xml:space="preserve"> A</w:t>
      </w:r>
      <w:r w:rsidR="00225671" w:rsidRPr="008D1720">
        <w:rPr>
          <w:rStyle w:val="Hyperlink"/>
          <w:color w:val="auto"/>
          <w:u w:val="none"/>
        </w:rPr>
        <w:t>sprilla</w:t>
      </w:r>
      <w:r w:rsidRPr="008D1720">
        <w:rPr>
          <w:rStyle w:val="Hyperlink"/>
          <w:color w:val="auto"/>
          <w:u w:val="none"/>
        </w:rPr>
        <w:t xml:space="preserve">, 2019; </w:t>
      </w:r>
      <w:proofErr w:type="spellStart"/>
      <w:r w:rsidR="00334787" w:rsidRPr="008D1720">
        <w:rPr>
          <w:rStyle w:val="Hyperlink"/>
          <w:color w:val="auto"/>
          <w:u w:val="none"/>
        </w:rPr>
        <w:t>R</w:t>
      </w:r>
      <w:r w:rsidR="00225671" w:rsidRPr="008D1720">
        <w:rPr>
          <w:rStyle w:val="Hyperlink"/>
          <w:color w:val="auto"/>
          <w:u w:val="none"/>
        </w:rPr>
        <w:t>anabahu</w:t>
      </w:r>
      <w:proofErr w:type="spellEnd"/>
      <w:r w:rsidRPr="008D1720">
        <w:rPr>
          <w:rStyle w:val="Hyperlink"/>
          <w:color w:val="auto"/>
          <w:u w:val="none"/>
        </w:rPr>
        <w:t xml:space="preserve">, 2020; </w:t>
      </w:r>
      <w:r w:rsidR="00334787" w:rsidRPr="008D1720">
        <w:rPr>
          <w:rStyle w:val="Hyperlink"/>
          <w:color w:val="auto"/>
          <w:u w:val="none"/>
        </w:rPr>
        <w:t>V</w:t>
      </w:r>
      <w:r w:rsidR="00225671" w:rsidRPr="008D1720">
        <w:rPr>
          <w:rStyle w:val="Hyperlink"/>
          <w:color w:val="auto"/>
          <w:u w:val="none"/>
        </w:rPr>
        <w:t>an</w:t>
      </w:r>
      <w:r w:rsidR="00334787" w:rsidRPr="008D1720">
        <w:rPr>
          <w:rStyle w:val="Hyperlink"/>
          <w:color w:val="auto"/>
          <w:u w:val="none"/>
        </w:rPr>
        <w:t xml:space="preserve"> </w:t>
      </w:r>
      <w:proofErr w:type="spellStart"/>
      <w:r w:rsidR="00334787" w:rsidRPr="008D1720">
        <w:rPr>
          <w:rStyle w:val="Hyperlink"/>
          <w:color w:val="auto"/>
          <w:u w:val="none"/>
        </w:rPr>
        <w:t>K</w:t>
      </w:r>
      <w:r w:rsidR="00225671" w:rsidRPr="008D1720">
        <w:rPr>
          <w:rStyle w:val="Hyperlink"/>
          <w:color w:val="auto"/>
          <w:u w:val="none"/>
        </w:rPr>
        <w:t>erkhoffa</w:t>
      </w:r>
      <w:proofErr w:type="spellEnd"/>
      <w:r w:rsidR="00334787">
        <w:rPr>
          <w:rStyle w:val="Hyperlink"/>
          <w:color w:val="auto"/>
          <w:u w:val="none"/>
        </w:rPr>
        <w:t>;</w:t>
      </w:r>
      <w:r w:rsidR="00334787" w:rsidRPr="008D1720">
        <w:rPr>
          <w:rStyle w:val="Hyperlink"/>
          <w:color w:val="auto"/>
          <w:u w:val="none"/>
        </w:rPr>
        <w:t xml:space="preserve"> </w:t>
      </w:r>
      <w:proofErr w:type="spellStart"/>
      <w:r w:rsidR="00334787" w:rsidRPr="008D1720">
        <w:rPr>
          <w:rStyle w:val="Hyperlink"/>
          <w:color w:val="auto"/>
          <w:u w:val="none"/>
        </w:rPr>
        <w:t>S</w:t>
      </w:r>
      <w:r w:rsidR="00225671" w:rsidRPr="008D1720">
        <w:rPr>
          <w:rStyle w:val="Hyperlink"/>
          <w:color w:val="auto"/>
          <w:u w:val="none"/>
        </w:rPr>
        <w:t>zlezákb</w:t>
      </w:r>
      <w:proofErr w:type="spellEnd"/>
      <w:r w:rsidRPr="008D1720">
        <w:rPr>
          <w:rStyle w:val="Hyperlink"/>
          <w:color w:val="auto"/>
          <w:u w:val="none"/>
        </w:rPr>
        <w:t xml:space="preserve">, 2016; </w:t>
      </w:r>
      <w:proofErr w:type="spellStart"/>
      <w:r w:rsidR="00334787" w:rsidRPr="008D1720">
        <w:rPr>
          <w:rStyle w:val="Hyperlink"/>
          <w:color w:val="auto"/>
          <w:u w:val="none"/>
        </w:rPr>
        <w:t>A</w:t>
      </w:r>
      <w:r w:rsidR="00225671" w:rsidRPr="008D1720">
        <w:rPr>
          <w:rStyle w:val="Hyperlink"/>
          <w:color w:val="auto"/>
          <w:u w:val="none"/>
        </w:rPr>
        <w:t>gyemang</w:t>
      </w:r>
      <w:proofErr w:type="spellEnd"/>
      <w:r w:rsidR="00334787" w:rsidRPr="008D1720">
        <w:rPr>
          <w:rStyle w:val="Hyperlink"/>
          <w:color w:val="auto"/>
          <w:u w:val="none"/>
        </w:rPr>
        <w:t xml:space="preserve"> </w:t>
      </w:r>
      <w:r w:rsidRPr="00334787">
        <w:rPr>
          <w:rStyle w:val="Hyperlink"/>
          <w:i/>
          <w:color w:val="auto"/>
          <w:u w:val="none"/>
        </w:rPr>
        <w:t>et al</w:t>
      </w:r>
      <w:r w:rsidRPr="008D1720">
        <w:rPr>
          <w:rStyle w:val="Hyperlink"/>
          <w:color w:val="auto"/>
          <w:u w:val="none"/>
        </w:rPr>
        <w:t>., 2019).</w:t>
      </w:r>
    </w:p>
    <w:p w14:paraId="58CBDB31" w14:textId="77777777" w:rsidR="008D1720" w:rsidRPr="008D1720" w:rsidRDefault="008D1720" w:rsidP="00027C5B">
      <w:pPr>
        <w:widowControl w:val="0"/>
        <w:spacing w:before="119" w:line="250" w:lineRule="auto"/>
        <w:ind w:left="102" w:right="96"/>
        <w:rPr>
          <w:rStyle w:val="Hyperlink"/>
          <w:color w:val="auto"/>
          <w:u w:val="none"/>
        </w:rPr>
      </w:pPr>
      <w:r w:rsidRPr="008D1720">
        <w:rPr>
          <w:rStyle w:val="Hyperlink"/>
          <w:color w:val="auto"/>
          <w:u w:val="none"/>
        </w:rPr>
        <w:t xml:space="preserve">As pesquisas evidenciam como desafios para esta categoria: arranjos institucionais que alinhem demanda e capacidade de aprendizagem, evitando lições perdidas, profissionalização e formalização progressiva da GC para transformar conhecimento tácito em capital coletivo e escalável, estruturas processuais reflexivas e éticas que promovam inclusão e instrumentos que preservem e difundam conhecimentos tradicionais, sustentando meios de vida e identidade local.  </w:t>
      </w:r>
    </w:p>
    <w:p w14:paraId="1FA4D4B9" w14:textId="25F59419" w:rsidR="008D1720" w:rsidRPr="008D1720" w:rsidRDefault="008D1720" w:rsidP="00027C5B">
      <w:pPr>
        <w:widowControl w:val="0"/>
        <w:spacing w:before="119" w:line="250" w:lineRule="auto"/>
        <w:ind w:left="102" w:right="96"/>
        <w:rPr>
          <w:rStyle w:val="Hyperlink"/>
          <w:color w:val="auto"/>
          <w:u w:val="none"/>
        </w:rPr>
      </w:pPr>
      <w:r w:rsidRPr="008D1720">
        <w:rPr>
          <w:rStyle w:val="Hyperlink"/>
          <w:color w:val="auto"/>
          <w:u w:val="none"/>
        </w:rPr>
        <w:t>As organizações do terceiro setor ocupam um papel relevante neste cenário. Essas organizações dão cobertura às necessidades não atendidas por governos, promovendo solidariedade, ética e transformação social (</w:t>
      </w:r>
      <w:r w:rsidR="00334787" w:rsidRPr="008D1720">
        <w:rPr>
          <w:rStyle w:val="Hyperlink"/>
          <w:color w:val="auto"/>
          <w:u w:val="none"/>
        </w:rPr>
        <w:t>A</w:t>
      </w:r>
      <w:r w:rsidR="00225671" w:rsidRPr="008D1720">
        <w:rPr>
          <w:rStyle w:val="Hyperlink"/>
          <w:color w:val="auto"/>
          <w:u w:val="none"/>
        </w:rPr>
        <w:t>guilera</w:t>
      </w:r>
      <w:r w:rsidR="00334787">
        <w:rPr>
          <w:rStyle w:val="Hyperlink"/>
          <w:color w:val="auto"/>
          <w:u w:val="none"/>
        </w:rPr>
        <w:t xml:space="preserve">; </w:t>
      </w:r>
      <w:r w:rsidR="00334787" w:rsidRPr="008D1720">
        <w:rPr>
          <w:rStyle w:val="Hyperlink"/>
          <w:color w:val="auto"/>
          <w:u w:val="none"/>
        </w:rPr>
        <w:t>A</w:t>
      </w:r>
      <w:r w:rsidR="00225671" w:rsidRPr="008D1720">
        <w:rPr>
          <w:rStyle w:val="Hyperlink"/>
          <w:color w:val="auto"/>
          <w:u w:val="none"/>
        </w:rPr>
        <w:t>sprilla</w:t>
      </w:r>
      <w:r w:rsidRPr="008D1720">
        <w:rPr>
          <w:rStyle w:val="Hyperlink"/>
          <w:color w:val="auto"/>
          <w:u w:val="none"/>
        </w:rPr>
        <w:t xml:space="preserve">, 2019). Contudo, fragilidades estruturais, rotatividade de voluntários, informalidade de processos e pouca documentação restringem a retenção de conhecimento e, consequentemente, a perenidade e escalabilidade da inovação social. </w:t>
      </w:r>
      <w:proofErr w:type="spellStart"/>
      <w:r w:rsidR="00334787" w:rsidRPr="008D1720">
        <w:rPr>
          <w:rStyle w:val="Hyperlink"/>
          <w:color w:val="auto"/>
          <w:u w:val="none"/>
        </w:rPr>
        <w:t>R</w:t>
      </w:r>
      <w:r w:rsidR="00225671" w:rsidRPr="008D1720">
        <w:rPr>
          <w:rStyle w:val="Hyperlink"/>
          <w:color w:val="auto"/>
          <w:u w:val="none"/>
        </w:rPr>
        <w:t>anabahu</w:t>
      </w:r>
      <w:proofErr w:type="spellEnd"/>
      <w:r w:rsidRPr="008D1720">
        <w:rPr>
          <w:rStyle w:val="Hyperlink"/>
          <w:color w:val="auto"/>
          <w:u w:val="none"/>
        </w:rPr>
        <w:t xml:space="preserve"> (2020) demonstra no âmbito das empresas sociais um modelo que amplia gradualmente o alcance social e geográfico das soluções. </w:t>
      </w:r>
    </w:p>
    <w:p w14:paraId="11818298" w14:textId="499F7A24" w:rsidR="008D1720" w:rsidRPr="008D1720" w:rsidRDefault="008D1720" w:rsidP="00027C5B">
      <w:pPr>
        <w:widowControl w:val="0"/>
        <w:spacing w:before="119" w:line="250" w:lineRule="auto"/>
        <w:ind w:left="102" w:right="96"/>
        <w:rPr>
          <w:rStyle w:val="Hyperlink"/>
          <w:color w:val="auto"/>
          <w:u w:val="none"/>
        </w:rPr>
      </w:pPr>
      <w:r w:rsidRPr="008D1720">
        <w:rPr>
          <w:rStyle w:val="Hyperlink"/>
          <w:color w:val="auto"/>
          <w:u w:val="none"/>
        </w:rPr>
        <w:t xml:space="preserve">Paralelamente, Van </w:t>
      </w:r>
      <w:proofErr w:type="spellStart"/>
      <w:r w:rsidRPr="008D1720">
        <w:rPr>
          <w:rStyle w:val="Hyperlink"/>
          <w:color w:val="auto"/>
          <w:u w:val="none"/>
        </w:rPr>
        <w:t>Kerkhoff</w:t>
      </w:r>
      <w:proofErr w:type="spellEnd"/>
      <w:r w:rsidRPr="008D1720">
        <w:rPr>
          <w:rStyle w:val="Hyperlink"/>
          <w:color w:val="auto"/>
          <w:u w:val="none"/>
        </w:rPr>
        <w:t xml:space="preserve"> e </w:t>
      </w:r>
      <w:proofErr w:type="spellStart"/>
      <w:r w:rsidRPr="008D1720">
        <w:rPr>
          <w:rStyle w:val="Hyperlink"/>
          <w:color w:val="auto"/>
          <w:u w:val="none"/>
        </w:rPr>
        <w:t>Szlezák</w:t>
      </w:r>
      <w:proofErr w:type="spellEnd"/>
      <w:r w:rsidRPr="008D1720">
        <w:rPr>
          <w:rStyle w:val="Hyperlink"/>
          <w:color w:val="auto"/>
          <w:u w:val="none"/>
        </w:rPr>
        <w:t xml:space="preserve"> (2016) evidenciam que arranjos </w:t>
      </w:r>
      <w:r w:rsidRPr="008D1720">
        <w:rPr>
          <w:rStyle w:val="Hyperlink"/>
          <w:color w:val="auto"/>
          <w:u w:val="none"/>
        </w:rPr>
        <w:lastRenderedPageBreak/>
        <w:t xml:space="preserve">institucionais descentralizados em parcerias público-privadas de saúde global podem romper hierarquias tradicionais e favorecer a coordenação multissetorial. Os autores alertam a necessidade de convergência política mínima e comparação entre contextos para a tradução de diretrizes globais em práticas localmente pertinentes. Além disso, </w:t>
      </w:r>
      <w:proofErr w:type="spellStart"/>
      <w:r w:rsidRPr="008D1720">
        <w:rPr>
          <w:rStyle w:val="Hyperlink"/>
          <w:color w:val="auto"/>
          <w:u w:val="none"/>
        </w:rPr>
        <w:t>Agyemang</w:t>
      </w:r>
      <w:proofErr w:type="spellEnd"/>
      <w:r w:rsidRPr="008D1720">
        <w:rPr>
          <w:rStyle w:val="Hyperlink"/>
          <w:color w:val="auto"/>
          <w:u w:val="none"/>
        </w:rPr>
        <w:t xml:space="preserve"> </w:t>
      </w:r>
      <w:r w:rsidRPr="00334787">
        <w:rPr>
          <w:rStyle w:val="Hyperlink"/>
          <w:i/>
          <w:color w:val="auto"/>
          <w:u w:val="none"/>
        </w:rPr>
        <w:t>et al</w:t>
      </w:r>
      <w:r w:rsidRPr="008D1720">
        <w:rPr>
          <w:rStyle w:val="Hyperlink"/>
          <w:color w:val="auto"/>
          <w:u w:val="none"/>
        </w:rPr>
        <w:t>. (2019) aplicam métodos formais de GC, como o modelo SECI (Socialização, Externalização, Combinação, Internalização), para a redução do risco de erosão cultural e o fortalecimento de meios de vida e identidades coletivas, convertendo ativos culturais em capital cognitivo compartilhado.</w:t>
      </w:r>
    </w:p>
    <w:p w14:paraId="307BBC57" w14:textId="77777777" w:rsidR="008D1720" w:rsidRPr="008D1720" w:rsidRDefault="008D1720" w:rsidP="00027C5B">
      <w:pPr>
        <w:widowControl w:val="0"/>
        <w:spacing w:before="119" w:line="250" w:lineRule="auto"/>
        <w:ind w:left="102" w:right="96"/>
        <w:rPr>
          <w:rStyle w:val="Hyperlink"/>
          <w:color w:val="auto"/>
          <w:u w:val="none"/>
        </w:rPr>
      </w:pPr>
      <w:r w:rsidRPr="008D1720">
        <w:rPr>
          <w:rStyle w:val="Hyperlink"/>
          <w:color w:val="auto"/>
          <w:u w:val="none"/>
        </w:rPr>
        <w:t xml:space="preserve">Assim, os estudos empíricos analisados demonstram que a inovação e o desenvolvimento social comunitário exigem abordagens capazes de integrar saberes locais, princípios éticos e demandas sociais. As pesquisas evidenciam a importância de estruturas que evitem a perda de conhecimentos e promovam a profissionalização gradual da gestão comunitária para garantir a escalabilidade de soluções inovadoras alinhadas aos ODS. Além disso, a aplicação de metodologias estruturadas de gestão do conhecimento, como o modelo SECI, mostra-se eficaz para preservar identidades culturais e transformar ativos locais em capital coletivo. </w:t>
      </w:r>
    </w:p>
    <w:p w14:paraId="15F51526" w14:textId="77777777" w:rsidR="008D1720" w:rsidRPr="008D1720" w:rsidRDefault="008D1720" w:rsidP="00027C5B">
      <w:pPr>
        <w:widowControl w:val="0"/>
        <w:spacing w:before="119" w:line="250" w:lineRule="auto"/>
        <w:ind w:left="102" w:right="96" w:firstLine="0"/>
        <w:rPr>
          <w:rStyle w:val="Hyperlink"/>
          <w:b/>
          <w:color w:val="auto"/>
          <w:u w:val="none"/>
        </w:rPr>
      </w:pPr>
      <w:r w:rsidRPr="008D1720">
        <w:rPr>
          <w:rStyle w:val="Hyperlink"/>
          <w:b/>
          <w:color w:val="auto"/>
          <w:u w:val="none"/>
        </w:rPr>
        <w:t>4.</w:t>
      </w:r>
      <w:r w:rsidR="0053555A">
        <w:rPr>
          <w:rStyle w:val="Hyperlink"/>
          <w:b/>
          <w:color w:val="auto"/>
          <w:u w:val="none"/>
        </w:rPr>
        <w:t>1</w:t>
      </w:r>
      <w:r w:rsidRPr="008D1720">
        <w:rPr>
          <w:rStyle w:val="Hyperlink"/>
          <w:b/>
          <w:color w:val="auto"/>
          <w:u w:val="none"/>
        </w:rPr>
        <w:t xml:space="preserve">.4 Gestão de Crises e Resiliência Comunitária </w:t>
      </w:r>
    </w:p>
    <w:p w14:paraId="7639077A" w14:textId="464C2CA0" w:rsidR="008D1720" w:rsidRPr="008D1720" w:rsidRDefault="008D1720" w:rsidP="00027C5B">
      <w:pPr>
        <w:widowControl w:val="0"/>
        <w:spacing w:before="123" w:line="250" w:lineRule="auto"/>
        <w:ind w:left="102" w:right="96" w:firstLine="0"/>
        <w:rPr>
          <w:rStyle w:val="Hyperlink"/>
          <w:color w:val="auto"/>
          <w:u w:val="none"/>
        </w:rPr>
      </w:pPr>
      <w:r w:rsidRPr="008D1720">
        <w:rPr>
          <w:rStyle w:val="Hyperlink"/>
          <w:color w:val="auto"/>
          <w:u w:val="none"/>
        </w:rPr>
        <w:t>Esta categoria tem como foco os desafios enfrentados na resposta a eventos disruptivos (desastres naturais, pandemias, conflitos) e na construção da capacidade de comunidades e sistemas para se adaptarem e se recuperarem. Além da mobilização rápida de conhecimento e da colaboração em cenários de alta incerteza (</w:t>
      </w:r>
      <w:proofErr w:type="spellStart"/>
      <w:r w:rsidR="00334787" w:rsidRPr="008D1720">
        <w:rPr>
          <w:rStyle w:val="Hyperlink"/>
          <w:color w:val="auto"/>
          <w:u w:val="none"/>
        </w:rPr>
        <w:t>M</w:t>
      </w:r>
      <w:r w:rsidR="00225671" w:rsidRPr="008D1720">
        <w:rPr>
          <w:rStyle w:val="Hyperlink"/>
          <w:color w:val="auto"/>
          <w:u w:val="none"/>
        </w:rPr>
        <w:t>atekenya</w:t>
      </w:r>
      <w:proofErr w:type="spellEnd"/>
      <w:r w:rsidR="00334787">
        <w:rPr>
          <w:rStyle w:val="Hyperlink"/>
          <w:color w:val="auto"/>
          <w:u w:val="none"/>
        </w:rPr>
        <w:t>;</w:t>
      </w:r>
      <w:r w:rsidR="00334787" w:rsidRPr="008D1720">
        <w:rPr>
          <w:rStyle w:val="Hyperlink"/>
          <w:color w:val="auto"/>
          <w:u w:val="none"/>
        </w:rPr>
        <w:t xml:space="preserve"> </w:t>
      </w:r>
      <w:proofErr w:type="spellStart"/>
      <w:r w:rsidR="00334787" w:rsidRPr="008D1720">
        <w:rPr>
          <w:rStyle w:val="Hyperlink"/>
          <w:color w:val="auto"/>
          <w:u w:val="none"/>
        </w:rPr>
        <w:t>R</w:t>
      </w:r>
      <w:r w:rsidR="00225671" w:rsidRPr="008D1720">
        <w:rPr>
          <w:rStyle w:val="Hyperlink"/>
          <w:color w:val="auto"/>
          <w:u w:val="none"/>
        </w:rPr>
        <w:t>uhode</w:t>
      </w:r>
      <w:proofErr w:type="spellEnd"/>
      <w:r w:rsidRPr="008D1720">
        <w:rPr>
          <w:rStyle w:val="Hyperlink"/>
          <w:color w:val="auto"/>
          <w:u w:val="none"/>
        </w:rPr>
        <w:t xml:space="preserve">, 2025; </w:t>
      </w:r>
      <w:r w:rsidR="00334787" w:rsidRPr="008D1720">
        <w:rPr>
          <w:rStyle w:val="Hyperlink"/>
          <w:color w:val="auto"/>
          <w:u w:val="none"/>
        </w:rPr>
        <w:t>L</w:t>
      </w:r>
      <w:r w:rsidR="00225671" w:rsidRPr="008D1720">
        <w:rPr>
          <w:rStyle w:val="Hyperlink"/>
          <w:color w:val="auto"/>
          <w:u w:val="none"/>
        </w:rPr>
        <w:t>ópez</w:t>
      </w:r>
      <w:r w:rsidRPr="008D1720">
        <w:rPr>
          <w:rStyle w:val="Hyperlink"/>
          <w:color w:val="auto"/>
          <w:u w:val="none"/>
        </w:rPr>
        <w:t xml:space="preserve"> </w:t>
      </w:r>
      <w:r w:rsidRPr="00334787">
        <w:rPr>
          <w:rStyle w:val="Hyperlink"/>
          <w:i/>
          <w:color w:val="auto"/>
          <w:u w:val="none"/>
        </w:rPr>
        <w:t>et al</w:t>
      </w:r>
      <w:r w:rsidRPr="008D1720">
        <w:rPr>
          <w:rStyle w:val="Hyperlink"/>
          <w:color w:val="auto"/>
          <w:u w:val="none"/>
        </w:rPr>
        <w:t xml:space="preserve">., 2022).  Os estudos abordam desafios como: resiliência comunitária, que se refere à capacidade de mobilizar e valorizar saberes locais, investimentos em capacitação, tecnologias adaptativas, promoção de </w:t>
      </w:r>
      <w:proofErr w:type="spellStart"/>
      <w:r w:rsidRPr="008D1720">
        <w:rPr>
          <w:rStyle w:val="Hyperlink"/>
          <w:color w:val="auto"/>
          <w:u w:val="none"/>
        </w:rPr>
        <w:t>CoP</w:t>
      </w:r>
      <w:proofErr w:type="spellEnd"/>
      <w:r w:rsidRPr="008D1720">
        <w:rPr>
          <w:rStyle w:val="Hyperlink"/>
          <w:color w:val="auto"/>
          <w:u w:val="none"/>
        </w:rPr>
        <w:t xml:space="preserve"> e liderança participativa como elementos importantes para garantir que as comunidades não apenas resistam às crises, mas também se adaptem e se recuperem de forma sustentável. </w:t>
      </w:r>
    </w:p>
    <w:p w14:paraId="04E0C7C3" w14:textId="050C0BD5" w:rsidR="008D1720" w:rsidRPr="008D1720" w:rsidRDefault="008D1720" w:rsidP="00027C5B">
      <w:pPr>
        <w:widowControl w:val="0"/>
        <w:spacing w:before="119" w:line="250" w:lineRule="auto"/>
        <w:ind w:left="102" w:right="96"/>
        <w:rPr>
          <w:rStyle w:val="Hyperlink"/>
          <w:color w:val="auto"/>
          <w:u w:val="none"/>
        </w:rPr>
      </w:pPr>
      <w:proofErr w:type="spellStart"/>
      <w:r w:rsidRPr="008D1720">
        <w:rPr>
          <w:rStyle w:val="Hyperlink"/>
          <w:color w:val="auto"/>
          <w:u w:val="none"/>
        </w:rPr>
        <w:t>Matekenya</w:t>
      </w:r>
      <w:proofErr w:type="spellEnd"/>
      <w:r w:rsidRPr="008D1720">
        <w:rPr>
          <w:rStyle w:val="Hyperlink"/>
          <w:color w:val="auto"/>
          <w:u w:val="none"/>
        </w:rPr>
        <w:t xml:space="preserve"> e </w:t>
      </w:r>
      <w:proofErr w:type="spellStart"/>
      <w:r w:rsidRPr="008D1720">
        <w:rPr>
          <w:rStyle w:val="Hyperlink"/>
          <w:color w:val="auto"/>
          <w:u w:val="none"/>
        </w:rPr>
        <w:t>Ruhode</w:t>
      </w:r>
      <w:proofErr w:type="spellEnd"/>
      <w:r w:rsidRPr="008D1720">
        <w:rPr>
          <w:rStyle w:val="Hyperlink"/>
          <w:color w:val="auto"/>
          <w:u w:val="none"/>
        </w:rPr>
        <w:t xml:space="preserve"> (2025) discutem que operações de resposta a desastres são intrinsecamente complexas e exigem colaboração articulada entre agências governamentais, organizações não governamentais, equipes de emergência e comunidades locais, mas são frequentemente prejudicadas por comunicação fragmentada e informações isoladas, o que justifica a otimização sistemática de práticas de GC para reduzir ineficiências e sobreposições operacionais. A resiliência comunitária é abordada como um resultado direto da integração de conhecimentos locais e científicos, permitindo que as comunidades afetadas participem ativamente da preparação e resposta a desastres (</w:t>
      </w:r>
      <w:proofErr w:type="spellStart"/>
      <w:r w:rsidR="00334787" w:rsidRPr="008D1720">
        <w:rPr>
          <w:rStyle w:val="Hyperlink"/>
          <w:color w:val="auto"/>
          <w:u w:val="none"/>
        </w:rPr>
        <w:t>M</w:t>
      </w:r>
      <w:r w:rsidR="00225671" w:rsidRPr="008D1720">
        <w:rPr>
          <w:rStyle w:val="Hyperlink"/>
          <w:color w:val="auto"/>
          <w:u w:val="none"/>
        </w:rPr>
        <w:t>atekenya</w:t>
      </w:r>
      <w:proofErr w:type="spellEnd"/>
      <w:r w:rsidR="00334787">
        <w:rPr>
          <w:rStyle w:val="Hyperlink"/>
          <w:color w:val="auto"/>
          <w:u w:val="none"/>
        </w:rPr>
        <w:t>;</w:t>
      </w:r>
      <w:r w:rsidR="00334787" w:rsidRPr="008D1720">
        <w:rPr>
          <w:rStyle w:val="Hyperlink"/>
          <w:color w:val="auto"/>
          <w:u w:val="none"/>
        </w:rPr>
        <w:t xml:space="preserve"> </w:t>
      </w:r>
      <w:proofErr w:type="spellStart"/>
      <w:r w:rsidR="00334787" w:rsidRPr="008D1720">
        <w:rPr>
          <w:rStyle w:val="Hyperlink"/>
          <w:color w:val="auto"/>
          <w:u w:val="none"/>
        </w:rPr>
        <w:t>R</w:t>
      </w:r>
      <w:r w:rsidR="00225671" w:rsidRPr="008D1720">
        <w:rPr>
          <w:rStyle w:val="Hyperlink"/>
          <w:color w:val="auto"/>
          <w:u w:val="none"/>
        </w:rPr>
        <w:t>uhode</w:t>
      </w:r>
      <w:proofErr w:type="spellEnd"/>
      <w:r w:rsidRPr="008D1720">
        <w:rPr>
          <w:rStyle w:val="Hyperlink"/>
          <w:color w:val="auto"/>
          <w:u w:val="none"/>
        </w:rPr>
        <w:t xml:space="preserve">, 2025). </w:t>
      </w:r>
    </w:p>
    <w:p w14:paraId="3E5C41CE" w14:textId="61C6DABA" w:rsidR="008D1720" w:rsidRPr="008D1720" w:rsidRDefault="008D1720" w:rsidP="00027C5B">
      <w:pPr>
        <w:widowControl w:val="0"/>
        <w:spacing w:before="119" w:line="250" w:lineRule="auto"/>
        <w:ind w:left="102" w:right="96"/>
        <w:rPr>
          <w:rStyle w:val="Hyperlink"/>
          <w:color w:val="auto"/>
          <w:u w:val="none"/>
        </w:rPr>
      </w:pPr>
      <w:r w:rsidRPr="008D1720">
        <w:rPr>
          <w:rStyle w:val="Hyperlink"/>
          <w:color w:val="auto"/>
          <w:u w:val="none"/>
        </w:rPr>
        <w:t>Os estudos apontam a necessidade de investimentos em capacitação, tecnologias adaptativas e políticas inclusivas, que reconheçam e valorizem o conhecimento local como pilar fundamental para a redução de riscos e a recuperação pós-desastre (</w:t>
      </w:r>
      <w:proofErr w:type="spellStart"/>
      <w:r w:rsidR="00334787" w:rsidRPr="008D1720">
        <w:rPr>
          <w:rStyle w:val="Hyperlink"/>
          <w:color w:val="auto"/>
          <w:u w:val="none"/>
        </w:rPr>
        <w:t>M</w:t>
      </w:r>
      <w:r w:rsidR="00225671" w:rsidRPr="008D1720">
        <w:rPr>
          <w:rStyle w:val="Hyperlink"/>
          <w:color w:val="auto"/>
          <w:u w:val="none"/>
        </w:rPr>
        <w:t>atekenya</w:t>
      </w:r>
      <w:proofErr w:type="spellEnd"/>
      <w:r w:rsidR="00334787">
        <w:rPr>
          <w:rStyle w:val="Hyperlink"/>
          <w:color w:val="auto"/>
          <w:u w:val="none"/>
        </w:rPr>
        <w:t>;</w:t>
      </w:r>
      <w:r w:rsidR="00334787" w:rsidRPr="008D1720">
        <w:rPr>
          <w:rStyle w:val="Hyperlink"/>
          <w:color w:val="auto"/>
          <w:u w:val="none"/>
        </w:rPr>
        <w:t xml:space="preserve"> </w:t>
      </w:r>
      <w:proofErr w:type="spellStart"/>
      <w:r w:rsidR="00334787" w:rsidRPr="008D1720">
        <w:rPr>
          <w:rStyle w:val="Hyperlink"/>
          <w:color w:val="auto"/>
          <w:u w:val="none"/>
        </w:rPr>
        <w:t>R</w:t>
      </w:r>
      <w:r w:rsidR="00225671" w:rsidRPr="008D1720">
        <w:rPr>
          <w:rStyle w:val="Hyperlink"/>
          <w:color w:val="auto"/>
          <w:u w:val="none"/>
        </w:rPr>
        <w:t>uhode</w:t>
      </w:r>
      <w:proofErr w:type="spellEnd"/>
      <w:r w:rsidRPr="008D1720">
        <w:rPr>
          <w:rStyle w:val="Hyperlink"/>
          <w:color w:val="auto"/>
          <w:u w:val="none"/>
        </w:rPr>
        <w:t>, 2025). Além disso, destacam a relevância da liderança participativa e da comunicação eficaz para fortalecer a coesão social e a adaptabilidade em contextos de crise (</w:t>
      </w:r>
      <w:r w:rsidR="00334787" w:rsidRPr="008D1720">
        <w:rPr>
          <w:rStyle w:val="Hyperlink"/>
          <w:color w:val="auto"/>
          <w:u w:val="none"/>
        </w:rPr>
        <w:t>L</w:t>
      </w:r>
      <w:r w:rsidR="00225671" w:rsidRPr="008D1720">
        <w:rPr>
          <w:rStyle w:val="Hyperlink"/>
          <w:color w:val="auto"/>
          <w:u w:val="none"/>
        </w:rPr>
        <w:t>ópez</w:t>
      </w:r>
      <w:r w:rsidRPr="008D1720">
        <w:rPr>
          <w:rStyle w:val="Hyperlink"/>
          <w:color w:val="auto"/>
          <w:u w:val="none"/>
        </w:rPr>
        <w:t xml:space="preserve"> </w:t>
      </w:r>
      <w:r w:rsidRPr="00334787">
        <w:rPr>
          <w:rStyle w:val="Hyperlink"/>
          <w:i/>
          <w:color w:val="auto"/>
          <w:u w:val="none"/>
        </w:rPr>
        <w:t>et al</w:t>
      </w:r>
      <w:r w:rsidRPr="008D1720">
        <w:rPr>
          <w:rStyle w:val="Hyperlink"/>
          <w:color w:val="auto"/>
          <w:u w:val="none"/>
        </w:rPr>
        <w:t xml:space="preserve">., 2022). </w:t>
      </w:r>
    </w:p>
    <w:p w14:paraId="74555DFD" w14:textId="77777777" w:rsidR="0053555A" w:rsidRDefault="008D1720" w:rsidP="00027C5B">
      <w:pPr>
        <w:widowControl w:val="0"/>
        <w:spacing w:before="119" w:line="250" w:lineRule="auto"/>
        <w:ind w:left="102" w:right="96"/>
        <w:rPr>
          <w:rStyle w:val="Hyperlink"/>
          <w:color w:val="auto"/>
          <w:u w:val="none"/>
        </w:rPr>
      </w:pPr>
      <w:r w:rsidRPr="008D1720">
        <w:rPr>
          <w:rStyle w:val="Hyperlink"/>
          <w:color w:val="auto"/>
          <w:u w:val="none"/>
        </w:rPr>
        <w:t xml:space="preserve">Dessa forma, ao apresentar modelos passíveis de aplicação em outras regiões afetadas por conflitos ou desastres, os estudos demonstram a aplicabilidade da GC como instrumento para a gestão de crises e a promoção da resiliência em contextos sociais fragilizados, unindo expertise técnica e conhecimento local para construção de sistemas </w:t>
      </w:r>
      <w:r w:rsidRPr="008D1720">
        <w:rPr>
          <w:rStyle w:val="Hyperlink"/>
          <w:color w:val="auto"/>
          <w:u w:val="none"/>
        </w:rPr>
        <w:lastRenderedPageBreak/>
        <w:t>mais resilientes para que comunidades não apenas superem crises, mas também se fortaleçam diante de futuros desafios</w:t>
      </w:r>
      <w:r>
        <w:rPr>
          <w:rStyle w:val="Hyperlink"/>
          <w:color w:val="auto"/>
          <w:u w:val="none"/>
        </w:rPr>
        <w:t>.</w:t>
      </w:r>
      <w:r w:rsidR="0053555A">
        <w:rPr>
          <w:rStyle w:val="Hyperlink"/>
          <w:color w:val="auto"/>
          <w:u w:val="none"/>
        </w:rPr>
        <w:t xml:space="preserve"> </w:t>
      </w:r>
    </w:p>
    <w:p w14:paraId="0A03B12B" w14:textId="77777777" w:rsidR="008D1720" w:rsidRDefault="0053555A" w:rsidP="0053555A">
      <w:pPr>
        <w:widowControl w:val="0"/>
        <w:spacing w:before="119" w:line="250" w:lineRule="auto"/>
        <w:ind w:left="102" w:right="96" w:firstLine="0"/>
        <w:rPr>
          <w:rStyle w:val="Hyperlink"/>
          <w:b/>
          <w:color w:val="auto"/>
          <w:sz w:val="26"/>
          <w:szCs w:val="26"/>
          <w:u w:val="none"/>
        </w:rPr>
      </w:pPr>
      <w:r w:rsidRPr="0053555A">
        <w:rPr>
          <w:rStyle w:val="Hyperlink"/>
          <w:b/>
          <w:color w:val="auto"/>
          <w:sz w:val="26"/>
          <w:szCs w:val="26"/>
          <w:u w:val="none"/>
        </w:rPr>
        <w:t xml:space="preserve">5.0 Discussão dos resultados </w:t>
      </w:r>
      <w:r w:rsidR="0036636B">
        <w:rPr>
          <w:rStyle w:val="Hyperlink"/>
          <w:b/>
          <w:color w:val="auto"/>
          <w:sz w:val="26"/>
          <w:szCs w:val="26"/>
          <w:u w:val="none"/>
        </w:rPr>
        <w:t>e estratégias de GC</w:t>
      </w:r>
    </w:p>
    <w:p w14:paraId="4AB074A5" w14:textId="77777777" w:rsidR="0053555A" w:rsidRDefault="0053555A" w:rsidP="00027C5B">
      <w:pPr>
        <w:widowControl w:val="0"/>
        <w:spacing w:before="123" w:line="250" w:lineRule="auto"/>
        <w:ind w:left="102" w:right="96" w:firstLine="0"/>
        <w:rPr>
          <w:rStyle w:val="Hyperlink"/>
          <w:color w:val="auto"/>
          <w:u w:val="none"/>
        </w:rPr>
      </w:pPr>
      <w:r w:rsidRPr="0053555A">
        <w:rPr>
          <w:rStyle w:val="Hyperlink"/>
          <w:color w:val="auto"/>
          <w:u w:val="none"/>
        </w:rPr>
        <w:t xml:space="preserve">Após a análise dos artigos empíricos por categoria, percebe-se que a GC é vista como um facilitador fundamental neste cenário, transcendendo a sua função tradicional. Os resultados dessa revisão, composta por um portfólio de 16 artigos, sugerem um contraponto aos questionamentos de John </w:t>
      </w:r>
      <w:proofErr w:type="spellStart"/>
      <w:r w:rsidRPr="0053555A">
        <w:rPr>
          <w:rStyle w:val="Hyperlink"/>
          <w:color w:val="auto"/>
          <w:u w:val="none"/>
        </w:rPr>
        <w:t>Dumay</w:t>
      </w:r>
      <w:proofErr w:type="spellEnd"/>
      <w:r w:rsidRPr="0053555A">
        <w:rPr>
          <w:rStyle w:val="Hyperlink"/>
          <w:color w:val="auto"/>
          <w:u w:val="none"/>
        </w:rPr>
        <w:t xml:space="preserve"> (2020) sobre a escassez de estudos que abordassem a GC de forma crítica na resolução de problemas complexos.</w:t>
      </w:r>
    </w:p>
    <w:p w14:paraId="6E77B65B" w14:textId="77777777" w:rsidR="0053555A" w:rsidRPr="0053555A" w:rsidRDefault="0053555A" w:rsidP="00027C5B">
      <w:pPr>
        <w:widowControl w:val="0"/>
        <w:spacing w:before="119" w:line="250" w:lineRule="auto"/>
        <w:ind w:left="102" w:right="96"/>
        <w:rPr>
          <w:rStyle w:val="Hyperlink"/>
          <w:color w:val="auto"/>
          <w:u w:val="none"/>
        </w:rPr>
      </w:pPr>
      <w:r w:rsidRPr="0053555A">
        <w:rPr>
          <w:rStyle w:val="Hyperlink"/>
          <w:color w:val="auto"/>
          <w:u w:val="none"/>
        </w:rPr>
        <w:t>A seguir, serão apresentadas as estratégias de GC que fo</w:t>
      </w:r>
      <w:r w:rsidR="0036636B">
        <w:rPr>
          <w:rStyle w:val="Hyperlink"/>
          <w:color w:val="auto"/>
          <w:u w:val="none"/>
        </w:rPr>
        <w:t>ra</w:t>
      </w:r>
      <w:r w:rsidRPr="0053555A">
        <w:rPr>
          <w:rStyle w:val="Hyperlink"/>
          <w:color w:val="auto"/>
          <w:u w:val="none"/>
        </w:rPr>
        <w:t xml:space="preserve">m </w:t>
      </w:r>
      <w:r w:rsidR="0036636B">
        <w:rPr>
          <w:rStyle w:val="Hyperlink"/>
          <w:color w:val="auto"/>
          <w:u w:val="none"/>
        </w:rPr>
        <w:t>identificadas</w:t>
      </w:r>
      <w:r w:rsidRPr="0053555A">
        <w:rPr>
          <w:rStyle w:val="Hyperlink"/>
          <w:color w:val="auto"/>
          <w:u w:val="none"/>
        </w:rPr>
        <w:t xml:space="preserve"> nas pesquisas: (I) Colaboração e coprodução de conhecimento; (II) Valorização do conhecimento tácito e local; (III) Abordagens sistêmicas e transdisciplinares; (IV) Uso de tecnologia como facilitador.</w:t>
      </w:r>
    </w:p>
    <w:p w14:paraId="019BA7CA" w14:textId="77777777" w:rsidR="0053555A" w:rsidRPr="0053555A" w:rsidRDefault="0053555A" w:rsidP="0053555A">
      <w:pPr>
        <w:widowControl w:val="0"/>
        <w:spacing w:before="119" w:line="250" w:lineRule="auto"/>
        <w:ind w:left="102" w:right="96" w:firstLine="0"/>
        <w:rPr>
          <w:rStyle w:val="Hyperlink"/>
          <w:b/>
          <w:color w:val="auto"/>
          <w:u w:val="none"/>
        </w:rPr>
      </w:pPr>
      <w:r w:rsidRPr="0053555A">
        <w:rPr>
          <w:rStyle w:val="Hyperlink"/>
          <w:b/>
          <w:color w:val="auto"/>
          <w:u w:val="none"/>
        </w:rPr>
        <w:t xml:space="preserve">I - Colaboração e coprodução de conhecimento </w:t>
      </w:r>
    </w:p>
    <w:p w14:paraId="4B80A50F" w14:textId="300B294F" w:rsidR="0053555A" w:rsidRPr="0053555A" w:rsidRDefault="0053555A" w:rsidP="00027C5B">
      <w:pPr>
        <w:widowControl w:val="0"/>
        <w:spacing w:before="119" w:line="250" w:lineRule="auto"/>
        <w:ind w:left="102" w:right="96"/>
        <w:rPr>
          <w:rStyle w:val="Hyperlink"/>
          <w:color w:val="auto"/>
          <w:u w:val="none"/>
        </w:rPr>
      </w:pPr>
      <w:r w:rsidRPr="0053555A">
        <w:rPr>
          <w:rStyle w:val="Hyperlink"/>
          <w:color w:val="auto"/>
          <w:u w:val="none"/>
        </w:rPr>
        <w:t>Vários estudos analisados destacam a importância de parcerias e colaborações multissetoriais, coprodução de conhecimento entre diversos atores, comunidades de prática, aprendizagem social e redes de conhecimento (</w:t>
      </w:r>
      <w:proofErr w:type="spellStart"/>
      <w:r w:rsidRPr="0053555A">
        <w:rPr>
          <w:rStyle w:val="Hyperlink"/>
          <w:color w:val="auto"/>
          <w:u w:val="none"/>
        </w:rPr>
        <w:t>M</w:t>
      </w:r>
      <w:r w:rsidR="00225671" w:rsidRPr="0053555A">
        <w:rPr>
          <w:rStyle w:val="Hyperlink"/>
          <w:color w:val="auto"/>
          <w:u w:val="none"/>
        </w:rPr>
        <w:t>iković</w:t>
      </w:r>
      <w:proofErr w:type="spellEnd"/>
      <w:r w:rsidRPr="0053555A">
        <w:rPr>
          <w:rStyle w:val="Hyperlink"/>
          <w:color w:val="auto"/>
          <w:u w:val="none"/>
        </w:rPr>
        <w:t xml:space="preserve"> </w:t>
      </w:r>
      <w:r w:rsidRPr="0053555A">
        <w:rPr>
          <w:rStyle w:val="Hyperlink"/>
          <w:i/>
          <w:color w:val="auto"/>
          <w:u w:val="none"/>
        </w:rPr>
        <w:t>et al</w:t>
      </w:r>
      <w:r w:rsidRPr="0053555A">
        <w:rPr>
          <w:rStyle w:val="Hyperlink"/>
          <w:color w:val="auto"/>
          <w:u w:val="none"/>
        </w:rPr>
        <w:t xml:space="preserve">., 2020; </w:t>
      </w:r>
      <w:proofErr w:type="spellStart"/>
      <w:r w:rsidRPr="0053555A">
        <w:rPr>
          <w:rStyle w:val="Hyperlink"/>
          <w:color w:val="auto"/>
          <w:u w:val="none"/>
        </w:rPr>
        <w:t>H</w:t>
      </w:r>
      <w:r w:rsidR="00225671" w:rsidRPr="0053555A">
        <w:rPr>
          <w:rStyle w:val="Hyperlink"/>
          <w:color w:val="auto"/>
          <w:u w:val="none"/>
        </w:rPr>
        <w:t>ollander</w:t>
      </w:r>
      <w:proofErr w:type="spellEnd"/>
      <w:r w:rsidRPr="0053555A">
        <w:rPr>
          <w:rStyle w:val="Hyperlink"/>
          <w:color w:val="auto"/>
          <w:u w:val="none"/>
        </w:rPr>
        <w:t xml:space="preserve"> </w:t>
      </w:r>
      <w:r w:rsidRPr="00343B57">
        <w:rPr>
          <w:rStyle w:val="Hyperlink"/>
          <w:i/>
          <w:color w:val="auto"/>
          <w:u w:val="none"/>
        </w:rPr>
        <w:t>et al</w:t>
      </w:r>
      <w:r w:rsidRPr="0053555A">
        <w:rPr>
          <w:rStyle w:val="Hyperlink"/>
          <w:color w:val="auto"/>
          <w:u w:val="none"/>
        </w:rPr>
        <w:t xml:space="preserve">., 2023; </w:t>
      </w:r>
      <w:r w:rsidR="00343B57" w:rsidRPr="0053555A">
        <w:rPr>
          <w:rStyle w:val="Hyperlink"/>
          <w:color w:val="auto"/>
          <w:u w:val="none"/>
        </w:rPr>
        <w:t>M</w:t>
      </w:r>
      <w:r w:rsidR="00225671" w:rsidRPr="0053555A">
        <w:rPr>
          <w:rStyle w:val="Hyperlink"/>
          <w:color w:val="auto"/>
          <w:u w:val="none"/>
        </w:rPr>
        <w:t>artínez</w:t>
      </w:r>
      <w:r w:rsidR="00343B57" w:rsidRPr="0053555A">
        <w:rPr>
          <w:rStyle w:val="Hyperlink"/>
          <w:color w:val="auto"/>
          <w:u w:val="none"/>
        </w:rPr>
        <w:t>-H</w:t>
      </w:r>
      <w:r w:rsidR="00225671" w:rsidRPr="0053555A">
        <w:rPr>
          <w:rStyle w:val="Hyperlink"/>
          <w:color w:val="auto"/>
          <w:u w:val="none"/>
        </w:rPr>
        <w:t>errera</w:t>
      </w:r>
      <w:r w:rsidR="00343B57" w:rsidRPr="0053555A">
        <w:rPr>
          <w:rStyle w:val="Hyperlink"/>
          <w:color w:val="auto"/>
          <w:u w:val="none"/>
        </w:rPr>
        <w:t xml:space="preserve"> </w:t>
      </w:r>
      <w:r w:rsidRPr="00343B57">
        <w:rPr>
          <w:rStyle w:val="Hyperlink"/>
          <w:i/>
          <w:color w:val="auto"/>
          <w:u w:val="none"/>
        </w:rPr>
        <w:t>et al</w:t>
      </w:r>
      <w:r w:rsidRPr="0053555A">
        <w:rPr>
          <w:rStyle w:val="Hyperlink"/>
          <w:color w:val="auto"/>
          <w:u w:val="none"/>
        </w:rPr>
        <w:t xml:space="preserve">., 2015; </w:t>
      </w:r>
      <w:proofErr w:type="spellStart"/>
      <w:r w:rsidR="00343B57" w:rsidRPr="0053555A">
        <w:rPr>
          <w:rStyle w:val="Hyperlink"/>
          <w:color w:val="auto"/>
          <w:u w:val="none"/>
        </w:rPr>
        <w:t>M</w:t>
      </w:r>
      <w:r w:rsidR="00225671" w:rsidRPr="0053555A">
        <w:rPr>
          <w:rStyle w:val="Hyperlink"/>
          <w:color w:val="auto"/>
          <w:u w:val="none"/>
        </w:rPr>
        <w:t>atekenya</w:t>
      </w:r>
      <w:proofErr w:type="spellEnd"/>
      <w:r w:rsidR="00343B57">
        <w:rPr>
          <w:rStyle w:val="Hyperlink"/>
          <w:color w:val="auto"/>
          <w:u w:val="none"/>
        </w:rPr>
        <w:t xml:space="preserve">; </w:t>
      </w:r>
      <w:proofErr w:type="spellStart"/>
      <w:r w:rsidR="00343B57" w:rsidRPr="0053555A">
        <w:rPr>
          <w:rStyle w:val="Hyperlink"/>
          <w:color w:val="auto"/>
          <w:u w:val="none"/>
        </w:rPr>
        <w:t>R</w:t>
      </w:r>
      <w:r w:rsidR="00225671" w:rsidRPr="0053555A">
        <w:rPr>
          <w:rStyle w:val="Hyperlink"/>
          <w:color w:val="auto"/>
          <w:u w:val="none"/>
        </w:rPr>
        <w:t>uhode</w:t>
      </w:r>
      <w:proofErr w:type="spellEnd"/>
      <w:r w:rsidRPr="0053555A">
        <w:rPr>
          <w:rStyle w:val="Hyperlink"/>
          <w:color w:val="auto"/>
          <w:u w:val="none"/>
        </w:rPr>
        <w:t xml:space="preserve">, 2025; </w:t>
      </w:r>
      <w:proofErr w:type="spellStart"/>
      <w:r w:rsidR="00343B57" w:rsidRPr="0053555A">
        <w:rPr>
          <w:rStyle w:val="Hyperlink"/>
          <w:color w:val="auto"/>
          <w:u w:val="none"/>
        </w:rPr>
        <w:t>V</w:t>
      </w:r>
      <w:r w:rsidR="00225671" w:rsidRPr="0053555A">
        <w:rPr>
          <w:rStyle w:val="Hyperlink"/>
          <w:color w:val="auto"/>
          <w:u w:val="none"/>
        </w:rPr>
        <w:t>alujeva</w:t>
      </w:r>
      <w:proofErr w:type="spellEnd"/>
      <w:r w:rsidR="00343B57" w:rsidRPr="0053555A">
        <w:rPr>
          <w:rStyle w:val="Hyperlink"/>
          <w:color w:val="auto"/>
          <w:u w:val="none"/>
        </w:rPr>
        <w:t xml:space="preserve"> </w:t>
      </w:r>
      <w:r w:rsidRPr="00343B57">
        <w:rPr>
          <w:rStyle w:val="Hyperlink"/>
          <w:i/>
          <w:color w:val="auto"/>
          <w:u w:val="none"/>
        </w:rPr>
        <w:t>et al</w:t>
      </w:r>
      <w:r w:rsidRPr="0053555A">
        <w:rPr>
          <w:rStyle w:val="Hyperlink"/>
          <w:color w:val="auto"/>
          <w:u w:val="none"/>
        </w:rPr>
        <w:t xml:space="preserve">., 2023; </w:t>
      </w:r>
      <w:proofErr w:type="spellStart"/>
      <w:r w:rsidR="00343B57" w:rsidRPr="0053555A">
        <w:rPr>
          <w:rStyle w:val="Hyperlink"/>
          <w:color w:val="auto"/>
          <w:u w:val="none"/>
        </w:rPr>
        <w:t>W</w:t>
      </w:r>
      <w:r w:rsidR="00225671" w:rsidRPr="0053555A">
        <w:rPr>
          <w:rStyle w:val="Hyperlink"/>
          <w:color w:val="auto"/>
          <w:u w:val="none"/>
        </w:rPr>
        <w:t>utzke</w:t>
      </w:r>
      <w:proofErr w:type="spellEnd"/>
      <w:r w:rsidR="00225671" w:rsidRPr="0053555A">
        <w:rPr>
          <w:rStyle w:val="Hyperlink"/>
          <w:color w:val="auto"/>
          <w:u w:val="none"/>
        </w:rPr>
        <w:t xml:space="preserve"> </w:t>
      </w:r>
      <w:r w:rsidRPr="00343B57">
        <w:rPr>
          <w:rStyle w:val="Hyperlink"/>
          <w:i/>
          <w:color w:val="auto"/>
          <w:u w:val="none"/>
        </w:rPr>
        <w:t>et al</w:t>
      </w:r>
      <w:r w:rsidRPr="0053555A">
        <w:rPr>
          <w:rStyle w:val="Hyperlink"/>
          <w:color w:val="auto"/>
          <w:u w:val="none"/>
        </w:rPr>
        <w:t xml:space="preserve">., 2018; </w:t>
      </w:r>
      <w:r w:rsidR="00343B57" w:rsidRPr="0053555A">
        <w:rPr>
          <w:rStyle w:val="Hyperlink"/>
          <w:color w:val="auto"/>
          <w:u w:val="none"/>
        </w:rPr>
        <w:t>L</w:t>
      </w:r>
      <w:r w:rsidR="00225671" w:rsidRPr="0053555A">
        <w:rPr>
          <w:rStyle w:val="Hyperlink"/>
          <w:color w:val="auto"/>
          <w:u w:val="none"/>
        </w:rPr>
        <w:t xml:space="preserve">ópez </w:t>
      </w:r>
      <w:r w:rsidRPr="00343B57">
        <w:rPr>
          <w:rStyle w:val="Hyperlink"/>
          <w:i/>
          <w:color w:val="auto"/>
          <w:u w:val="none"/>
        </w:rPr>
        <w:t>et al</w:t>
      </w:r>
      <w:r w:rsidRPr="0053555A">
        <w:rPr>
          <w:rStyle w:val="Hyperlink"/>
          <w:color w:val="auto"/>
          <w:u w:val="none"/>
        </w:rPr>
        <w:t xml:space="preserve">., 2022; </w:t>
      </w:r>
      <w:proofErr w:type="spellStart"/>
      <w:r w:rsidR="00343B57" w:rsidRPr="0053555A">
        <w:rPr>
          <w:rStyle w:val="Hyperlink"/>
          <w:color w:val="auto"/>
          <w:u w:val="none"/>
        </w:rPr>
        <w:t>A</w:t>
      </w:r>
      <w:r w:rsidR="00225671" w:rsidRPr="0053555A">
        <w:rPr>
          <w:rStyle w:val="Hyperlink"/>
          <w:color w:val="auto"/>
          <w:u w:val="none"/>
        </w:rPr>
        <w:t>gyemang</w:t>
      </w:r>
      <w:proofErr w:type="spellEnd"/>
      <w:r w:rsidR="00343B57">
        <w:rPr>
          <w:rStyle w:val="Hyperlink"/>
          <w:color w:val="auto"/>
          <w:u w:val="none"/>
        </w:rPr>
        <w:t xml:space="preserve"> </w:t>
      </w:r>
      <w:r w:rsidR="00343B57" w:rsidRPr="00343B57">
        <w:rPr>
          <w:rStyle w:val="Hyperlink"/>
          <w:i/>
          <w:color w:val="auto"/>
          <w:u w:val="none"/>
        </w:rPr>
        <w:t>et al</w:t>
      </w:r>
      <w:r w:rsidR="00343B57" w:rsidRPr="0053555A">
        <w:rPr>
          <w:rStyle w:val="Hyperlink"/>
          <w:color w:val="auto"/>
          <w:u w:val="none"/>
        </w:rPr>
        <w:t>.,</w:t>
      </w:r>
      <w:r w:rsidRPr="0053555A">
        <w:rPr>
          <w:rStyle w:val="Hyperlink"/>
          <w:color w:val="auto"/>
          <w:u w:val="none"/>
        </w:rPr>
        <w:t xml:space="preserve"> 2019). </w:t>
      </w:r>
    </w:p>
    <w:p w14:paraId="2148FE87" w14:textId="77777777" w:rsidR="0053555A" w:rsidRPr="0053555A" w:rsidRDefault="0053555A" w:rsidP="00027C5B">
      <w:pPr>
        <w:widowControl w:val="0"/>
        <w:spacing w:before="119" w:line="250" w:lineRule="auto"/>
        <w:ind w:left="102" w:right="96"/>
        <w:rPr>
          <w:rStyle w:val="Hyperlink"/>
          <w:color w:val="auto"/>
          <w:u w:val="none"/>
        </w:rPr>
      </w:pPr>
      <w:r w:rsidRPr="0053555A">
        <w:rPr>
          <w:rStyle w:val="Hyperlink"/>
          <w:color w:val="auto"/>
          <w:u w:val="none"/>
        </w:rPr>
        <w:t xml:space="preserve">A colaboração entre diversos atores é um elemento central na abordagem de problemas perversos. </w:t>
      </w:r>
      <w:proofErr w:type="spellStart"/>
      <w:r w:rsidRPr="0053555A">
        <w:rPr>
          <w:rStyle w:val="Hyperlink"/>
          <w:color w:val="auto"/>
          <w:u w:val="none"/>
        </w:rPr>
        <w:t>Miković</w:t>
      </w:r>
      <w:proofErr w:type="spellEnd"/>
      <w:r w:rsidRPr="0053555A">
        <w:rPr>
          <w:rStyle w:val="Hyperlink"/>
          <w:color w:val="auto"/>
          <w:u w:val="none"/>
        </w:rPr>
        <w:t xml:space="preserve"> </w:t>
      </w:r>
      <w:r w:rsidRPr="00343B57">
        <w:rPr>
          <w:rStyle w:val="Hyperlink"/>
          <w:i/>
          <w:color w:val="auto"/>
          <w:u w:val="none"/>
        </w:rPr>
        <w:t>et al</w:t>
      </w:r>
      <w:r w:rsidRPr="0053555A">
        <w:rPr>
          <w:rStyle w:val="Hyperlink"/>
          <w:color w:val="auto"/>
          <w:u w:val="none"/>
        </w:rPr>
        <w:t xml:space="preserve">. (2020) destacam que a eficácia de projetos de desenvolvimento internacional depende da integração de conhecimentos locais e científicos, por meio de redes de colaboração interculturais. Da mesma forma, </w:t>
      </w:r>
      <w:proofErr w:type="spellStart"/>
      <w:r w:rsidRPr="0053555A">
        <w:rPr>
          <w:rStyle w:val="Hyperlink"/>
          <w:color w:val="auto"/>
          <w:u w:val="none"/>
        </w:rPr>
        <w:t>Dumay</w:t>
      </w:r>
      <w:proofErr w:type="spellEnd"/>
      <w:r w:rsidRPr="0053555A">
        <w:rPr>
          <w:rStyle w:val="Hyperlink"/>
          <w:color w:val="auto"/>
          <w:u w:val="none"/>
        </w:rPr>
        <w:t xml:space="preserve"> (2020) argumenta que coalizões organizacionais colaborativas (</w:t>
      </w:r>
      <w:proofErr w:type="spellStart"/>
      <w:r w:rsidRPr="0053555A">
        <w:rPr>
          <w:rStyle w:val="Hyperlink"/>
          <w:color w:val="auto"/>
          <w:u w:val="none"/>
        </w:rPr>
        <w:t>COCs</w:t>
      </w:r>
      <w:proofErr w:type="spellEnd"/>
      <w:r w:rsidRPr="0053555A">
        <w:rPr>
          <w:rStyle w:val="Hyperlink"/>
          <w:color w:val="auto"/>
          <w:u w:val="none"/>
        </w:rPr>
        <w:t xml:space="preserve">), que reúnem governos, ONGs, academia e setor privado, são necessárias para enfrentar desafios como o trabalho infantil e a pobreza. Essas coalizões superam a fragmentação de ações e promovem soluções adaptativas, baseadas em múltiplas perspectivas. </w:t>
      </w:r>
    </w:p>
    <w:p w14:paraId="08594A54" w14:textId="27B23E4B" w:rsidR="0053555A" w:rsidRPr="0053555A" w:rsidRDefault="0053555A" w:rsidP="00027C5B">
      <w:pPr>
        <w:widowControl w:val="0"/>
        <w:spacing w:before="119" w:line="250" w:lineRule="auto"/>
        <w:ind w:left="102" w:right="96"/>
        <w:rPr>
          <w:rStyle w:val="Hyperlink"/>
          <w:color w:val="auto"/>
          <w:u w:val="none"/>
        </w:rPr>
      </w:pPr>
      <w:r w:rsidRPr="0053555A">
        <w:rPr>
          <w:rStyle w:val="Hyperlink"/>
          <w:color w:val="auto"/>
          <w:u w:val="none"/>
        </w:rPr>
        <w:t>A coprodução é vital para a gestão sustentável também em contextos agroambientais (</w:t>
      </w:r>
      <w:proofErr w:type="spellStart"/>
      <w:r w:rsidR="00343B57" w:rsidRPr="0053555A">
        <w:rPr>
          <w:rStyle w:val="Hyperlink"/>
          <w:color w:val="auto"/>
          <w:u w:val="none"/>
        </w:rPr>
        <w:t>V</w:t>
      </w:r>
      <w:r w:rsidR="00225671" w:rsidRPr="0053555A">
        <w:rPr>
          <w:rStyle w:val="Hyperlink"/>
          <w:color w:val="auto"/>
          <w:u w:val="none"/>
        </w:rPr>
        <w:t>alujeva</w:t>
      </w:r>
      <w:proofErr w:type="spellEnd"/>
      <w:r w:rsidRPr="0053555A">
        <w:rPr>
          <w:rStyle w:val="Hyperlink"/>
          <w:color w:val="auto"/>
          <w:u w:val="none"/>
        </w:rPr>
        <w:t xml:space="preserve"> </w:t>
      </w:r>
      <w:r w:rsidRPr="00343B57">
        <w:rPr>
          <w:rStyle w:val="Hyperlink"/>
          <w:i/>
          <w:color w:val="auto"/>
          <w:u w:val="none"/>
        </w:rPr>
        <w:t>et al</w:t>
      </w:r>
      <w:r w:rsidRPr="0053555A">
        <w:rPr>
          <w:rStyle w:val="Hyperlink"/>
          <w:color w:val="auto"/>
          <w:u w:val="none"/>
        </w:rPr>
        <w:t xml:space="preserve">., 2023). Espaços colaborativos, como as </w:t>
      </w:r>
      <w:proofErr w:type="spellStart"/>
      <w:r w:rsidRPr="0053555A">
        <w:rPr>
          <w:rStyle w:val="Hyperlink"/>
          <w:color w:val="auto"/>
          <w:u w:val="none"/>
        </w:rPr>
        <w:t>CoPs</w:t>
      </w:r>
      <w:proofErr w:type="spellEnd"/>
      <w:r w:rsidRPr="0053555A">
        <w:rPr>
          <w:rStyle w:val="Hyperlink"/>
          <w:color w:val="auto"/>
          <w:u w:val="none"/>
        </w:rPr>
        <w:t xml:space="preserve">, desempenham um papel crucial nesse processo. O estudo de López </w:t>
      </w:r>
      <w:r w:rsidRPr="00343B57">
        <w:rPr>
          <w:rStyle w:val="Hyperlink"/>
          <w:i/>
          <w:color w:val="auto"/>
          <w:u w:val="none"/>
        </w:rPr>
        <w:t>et al</w:t>
      </w:r>
      <w:r w:rsidRPr="0053555A">
        <w:rPr>
          <w:rStyle w:val="Hyperlink"/>
          <w:color w:val="auto"/>
          <w:u w:val="none"/>
        </w:rPr>
        <w:t xml:space="preserve">. (2022) demonstra que as </w:t>
      </w:r>
      <w:proofErr w:type="spellStart"/>
      <w:r w:rsidRPr="0053555A">
        <w:rPr>
          <w:rStyle w:val="Hyperlink"/>
          <w:color w:val="auto"/>
          <w:u w:val="none"/>
        </w:rPr>
        <w:t>CoPs</w:t>
      </w:r>
      <w:proofErr w:type="spellEnd"/>
      <w:r w:rsidRPr="0053555A">
        <w:rPr>
          <w:rStyle w:val="Hyperlink"/>
          <w:color w:val="auto"/>
          <w:u w:val="none"/>
        </w:rPr>
        <w:t xml:space="preserve"> facilitam a troca de conhecimentos tácitos (experiências locais) e explícitos (metodologias acadêmicas), fortalecendo a coesão social, bem como as características desses espaços colaborativos apontados por Martínez Herrera </w:t>
      </w:r>
      <w:r w:rsidRPr="00343B57">
        <w:rPr>
          <w:rStyle w:val="Hyperlink"/>
          <w:i/>
          <w:color w:val="auto"/>
          <w:u w:val="none"/>
        </w:rPr>
        <w:t>et al</w:t>
      </w:r>
      <w:r w:rsidRPr="0053555A">
        <w:rPr>
          <w:rStyle w:val="Hyperlink"/>
          <w:color w:val="auto"/>
          <w:u w:val="none"/>
        </w:rPr>
        <w:t xml:space="preserve">. (2015):  </w:t>
      </w:r>
    </w:p>
    <w:p w14:paraId="64851E5A" w14:textId="77777777" w:rsidR="0053555A" w:rsidRPr="00343B57" w:rsidRDefault="0053555A" w:rsidP="00343B57">
      <w:pPr>
        <w:widowControl w:val="0"/>
        <w:spacing w:before="119" w:line="250" w:lineRule="auto"/>
        <w:ind w:left="2268" w:right="96" w:firstLine="0"/>
        <w:rPr>
          <w:rStyle w:val="Hyperlink"/>
          <w:color w:val="auto"/>
          <w:sz w:val="20"/>
          <w:szCs w:val="20"/>
          <w:u w:val="none"/>
        </w:rPr>
      </w:pPr>
      <w:r w:rsidRPr="00343B57">
        <w:rPr>
          <w:rStyle w:val="Hyperlink"/>
          <w:color w:val="auto"/>
          <w:sz w:val="20"/>
          <w:szCs w:val="20"/>
          <w:u w:val="none"/>
        </w:rPr>
        <w:t xml:space="preserve">Esses espaços são caracterizados pela convergência de aspectos organizacionais, como confiança, solidariedade, reciprocidade e participação, e aspectos institucionais, como normas e, talvez o mais importante, redes sociais, que são formas estruturais de relacionamento. Uma vez identificados, esses elementos permitem tacitamente a aplicação de princípios da gestão do conhecimento social, como, principalmente, uma abordagem multidisciplinar para problemas, governança, cidadania, advocacia de políticas, desenvolvimento local e trabalho coordenado para encontrar soluções (Martínez Herrera </w:t>
      </w:r>
      <w:r w:rsidRPr="00343B57">
        <w:rPr>
          <w:rStyle w:val="Hyperlink"/>
          <w:i/>
          <w:color w:val="auto"/>
          <w:sz w:val="20"/>
          <w:szCs w:val="20"/>
          <w:u w:val="none"/>
        </w:rPr>
        <w:t>et al</w:t>
      </w:r>
      <w:r w:rsidRPr="00343B57">
        <w:rPr>
          <w:rStyle w:val="Hyperlink"/>
          <w:color w:val="auto"/>
          <w:sz w:val="20"/>
          <w:szCs w:val="20"/>
          <w:u w:val="none"/>
        </w:rPr>
        <w:t>., 2015, p.99).</w:t>
      </w:r>
    </w:p>
    <w:p w14:paraId="61EA587B" w14:textId="77777777" w:rsidR="0053555A" w:rsidRPr="0053555A" w:rsidRDefault="0053555A" w:rsidP="00027C5B">
      <w:pPr>
        <w:widowControl w:val="0"/>
        <w:spacing w:before="119" w:line="250" w:lineRule="auto"/>
        <w:ind w:left="102" w:right="96"/>
        <w:rPr>
          <w:rStyle w:val="Hyperlink"/>
          <w:color w:val="auto"/>
          <w:u w:val="none"/>
        </w:rPr>
      </w:pPr>
      <w:r w:rsidRPr="0053555A">
        <w:rPr>
          <w:rStyle w:val="Hyperlink"/>
          <w:color w:val="auto"/>
          <w:u w:val="none"/>
        </w:rPr>
        <w:t xml:space="preserve">Corroborando, </w:t>
      </w:r>
      <w:proofErr w:type="spellStart"/>
      <w:r w:rsidRPr="0053555A">
        <w:rPr>
          <w:rStyle w:val="Hyperlink"/>
          <w:color w:val="auto"/>
          <w:u w:val="none"/>
        </w:rPr>
        <w:t>Agyemang</w:t>
      </w:r>
      <w:proofErr w:type="spellEnd"/>
      <w:r w:rsidRPr="0053555A">
        <w:rPr>
          <w:rStyle w:val="Hyperlink"/>
          <w:color w:val="auto"/>
          <w:u w:val="none"/>
        </w:rPr>
        <w:t xml:space="preserve"> </w:t>
      </w:r>
      <w:r w:rsidRPr="00343B57">
        <w:rPr>
          <w:rStyle w:val="Hyperlink"/>
          <w:i/>
          <w:color w:val="auto"/>
          <w:u w:val="none"/>
        </w:rPr>
        <w:t>et al</w:t>
      </w:r>
      <w:r w:rsidRPr="0053555A">
        <w:rPr>
          <w:rStyle w:val="Hyperlink"/>
          <w:color w:val="auto"/>
          <w:u w:val="none"/>
        </w:rPr>
        <w:t>. (2019, p. 7) afirmam que "a origem do '</w:t>
      </w:r>
      <w:proofErr w:type="spellStart"/>
      <w:r w:rsidRPr="0053555A">
        <w:rPr>
          <w:rStyle w:val="Hyperlink"/>
          <w:color w:val="auto"/>
          <w:u w:val="none"/>
        </w:rPr>
        <w:t>ba</w:t>
      </w:r>
      <w:proofErr w:type="spellEnd"/>
      <w:r w:rsidRPr="0053555A">
        <w:rPr>
          <w:rStyle w:val="Hyperlink"/>
          <w:color w:val="auto"/>
          <w:u w:val="none"/>
        </w:rPr>
        <w:t xml:space="preserve">' </w:t>
      </w:r>
      <w:proofErr w:type="spellStart"/>
      <w:r w:rsidRPr="0053555A">
        <w:rPr>
          <w:rStyle w:val="Hyperlink"/>
          <w:color w:val="auto"/>
          <w:u w:val="none"/>
        </w:rPr>
        <w:t>foi</w:t>
      </w:r>
      <w:proofErr w:type="spellEnd"/>
      <w:r w:rsidRPr="0053555A">
        <w:rPr>
          <w:rStyle w:val="Hyperlink"/>
          <w:color w:val="auto"/>
          <w:u w:val="none"/>
        </w:rPr>
        <w:t xml:space="preserve"> predominantemente encontrada nas comunidades locais. Interações individuais e presenciais entre produtores, vendedores de contas e entre ONGs eram comuns e ocorriam em um local físico”. Feliciano </w:t>
      </w:r>
      <w:r w:rsidRPr="00343B57">
        <w:rPr>
          <w:rStyle w:val="Hyperlink"/>
          <w:i/>
          <w:color w:val="auto"/>
          <w:u w:val="none"/>
        </w:rPr>
        <w:t>et al</w:t>
      </w:r>
      <w:r w:rsidRPr="0053555A">
        <w:rPr>
          <w:rStyle w:val="Hyperlink"/>
          <w:color w:val="auto"/>
          <w:u w:val="none"/>
        </w:rPr>
        <w:t xml:space="preserve">. (2019) também abordam a importância de espaços de troca de conhecimento, enfatizando os carrosséis de discussão como um elemento </w:t>
      </w:r>
      <w:r w:rsidRPr="0053555A">
        <w:rPr>
          <w:rStyle w:val="Hyperlink"/>
          <w:color w:val="auto"/>
          <w:u w:val="none"/>
        </w:rPr>
        <w:lastRenderedPageBreak/>
        <w:t>facilitador para a inovação colaborativa e reflexão contínua que melhora a eficácia das soluções. Os autores descrevem que grupos de pesquisadores se revezam em diferentes estações para discutir temas pré-definidos com partes interessadas, promovendo troca de informações e reflexão coletiva.</w:t>
      </w:r>
    </w:p>
    <w:p w14:paraId="76515533" w14:textId="77777777" w:rsidR="0053555A" w:rsidRPr="0053555A" w:rsidRDefault="0053555A" w:rsidP="00027C5B">
      <w:pPr>
        <w:widowControl w:val="0"/>
        <w:spacing w:before="119" w:line="250" w:lineRule="auto"/>
        <w:ind w:left="102" w:right="96"/>
        <w:rPr>
          <w:rStyle w:val="Hyperlink"/>
          <w:color w:val="auto"/>
          <w:u w:val="none"/>
        </w:rPr>
      </w:pPr>
      <w:r w:rsidRPr="0053555A">
        <w:rPr>
          <w:rStyle w:val="Hyperlink"/>
          <w:color w:val="auto"/>
          <w:u w:val="none"/>
        </w:rPr>
        <w:t xml:space="preserve">Assim, o potencial da colaboração e da coprodução do conhecimento vem sendo abordado nas pesquisas aplicadas e estratégias de GC, como </w:t>
      </w:r>
      <w:proofErr w:type="spellStart"/>
      <w:r w:rsidRPr="0053555A">
        <w:rPr>
          <w:rStyle w:val="Hyperlink"/>
          <w:color w:val="auto"/>
          <w:u w:val="none"/>
        </w:rPr>
        <w:t>CoPs</w:t>
      </w:r>
      <w:proofErr w:type="spellEnd"/>
      <w:r w:rsidRPr="0053555A">
        <w:rPr>
          <w:rStyle w:val="Hyperlink"/>
          <w:color w:val="auto"/>
          <w:u w:val="none"/>
        </w:rPr>
        <w:t xml:space="preserve">, </w:t>
      </w:r>
      <w:proofErr w:type="spellStart"/>
      <w:r w:rsidRPr="0053555A">
        <w:rPr>
          <w:rStyle w:val="Hyperlink"/>
          <w:color w:val="auto"/>
          <w:u w:val="none"/>
        </w:rPr>
        <w:t>COCs</w:t>
      </w:r>
      <w:proofErr w:type="spellEnd"/>
      <w:r w:rsidRPr="0053555A">
        <w:rPr>
          <w:rStyle w:val="Hyperlink"/>
          <w:color w:val="auto"/>
          <w:u w:val="none"/>
        </w:rPr>
        <w:t xml:space="preserve"> e plataformas digitais, que são eficazes ao conectar diferentes atores e contextos heterogêneos e contribuem para iniciativas inclusivas e sustentáveis.  </w:t>
      </w:r>
    </w:p>
    <w:p w14:paraId="293E82A9" w14:textId="77777777" w:rsidR="0053555A" w:rsidRPr="00343B57" w:rsidRDefault="0053555A" w:rsidP="0053555A">
      <w:pPr>
        <w:widowControl w:val="0"/>
        <w:spacing w:before="119" w:line="250" w:lineRule="auto"/>
        <w:ind w:left="102" w:right="96" w:firstLine="0"/>
        <w:rPr>
          <w:rStyle w:val="Hyperlink"/>
          <w:b/>
          <w:color w:val="auto"/>
          <w:u w:val="none"/>
        </w:rPr>
      </w:pPr>
      <w:r w:rsidRPr="00343B57">
        <w:rPr>
          <w:rStyle w:val="Hyperlink"/>
          <w:b/>
          <w:color w:val="auto"/>
          <w:u w:val="none"/>
        </w:rPr>
        <w:t xml:space="preserve">II - Valorização do conhecimento tácito e local </w:t>
      </w:r>
    </w:p>
    <w:p w14:paraId="5E274E0E" w14:textId="19180543" w:rsidR="0053555A" w:rsidRPr="0053555A" w:rsidRDefault="0053555A" w:rsidP="00027C5B">
      <w:pPr>
        <w:widowControl w:val="0"/>
        <w:spacing w:before="123" w:line="250" w:lineRule="auto"/>
        <w:ind w:left="102" w:right="96" w:firstLine="0"/>
        <w:rPr>
          <w:rStyle w:val="Hyperlink"/>
          <w:color w:val="auto"/>
          <w:u w:val="none"/>
        </w:rPr>
      </w:pPr>
      <w:r w:rsidRPr="0053555A">
        <w:rPr>
          <w:rStyle w:val="Hyperlink"/>
          <w:color w:val="auto"/>
          <w:u w:val="none"/>
        </w:rPr>
        <w:t>A GC tem se voltado para a valorização do conhecimento tácito e local como elementos essenciais para a construção de respostas adaptativas e contextualizadas. Foram identificadas pesquisas que valorizam saberes indígenas para o aumento da resiliência comunitária, por exemplo, combinando conhecimentos tradicionais com tecnologias modernas (</w:t>
      </w:r>
      <w:proofErr w:type="spellStart"/>
      <w:r w:rsidR="00FD2382" w:rsidRPr="0053555A">
        <w:rPr>
          <w:rStyle w:val="Hyperlink"/>
          <w:color w:val="auto"/>
          <w:u w:val="none"/>
        </w:rPr>
        <w:t>A</w:t>
      </w:r>
      <w:r w:rsidR="00225671" w:rsidRPr="0053555A">
        <w:rPr>
          <w:rStyle w:val="Hyperlink"/>
          <w:color w:val="auto"/>
          <w:u w:val="none"/>
        </w:rPr>
        <w:t>gyemang</w:t>
      </w:r>
      <w:proofErr w:type="spellEnd"/>
      <w:r w:rsidRPr="0053555A">
        <w:rPr>
          <w:rStyle w:val="Hyperlink"/>
          <w:color w:val="auto"/>
          <w:u w:val="none"/>
        </w:rPr>
        <w:t xml:space="preserve"> </w:t>
      </w:r>
      <w:r w:rsidRPr="00FD2382">
        <w:rPr>
          <w:rStyle w:val="Hyperlink"/>
          <w:i/>
          <w:color w:val="auto"/>
          <w:u w:val="none"/>
        </w:rPr>
        <w:t>et al</w:t>
      </w:r>
      <w:r w:rsidRPr="0053555A">
        <w:rPr>
          <w:rStyle w:val="Hyperlink"/>
          <w:color w:val="auto"/>
          <w:u w:val="none"/>
        </w:rPr>
        <w:t xml:space="preserve">., 2019; </w:t>
      </w:r>
      <w:proofErr w:type="spellStart"/>
      <w:r w:rsidR="00FD2382" w:rsidRPr="0053555A">
        <w:rPr>
          <w:rStyle w:val="Hyperlink"/>
          <w:color w:val="auto"/>
          <w:u w:val="none"/>
        </w:rPr>
        <w:t>M</w:t>
      </w:r>
      <w:r w:rsidR="00225671" w:rsidRPr="0053555A">
        <w:rPr>
          <w:rStyle w:val="Hyperlink"/>
          <w:color w:val="auto"/>
          <w:u w:val="none"/>
        </w:rPr>
        <w:t>atekenya</w:t>
      </w:r>
      <w:proofErr w:type="spellEnd"/>
      <w:r w:rsidR="00FD2382">
        <w:rPr>
          <w:rStyle w:val="Hyperlink"/>
          <w:color w:val="auto"/>
          <w:u w:val="none"/>
        </w:rPr>
        <w:t>;</w:t>
      </w:r>
      <w:r w:rsidR="00FD2382" w:rsidRPr="0053555A">
        <w:rPr>
          <w:rStyle w:val="Hyperlink"/>
          <w:color w:val="auto"/>
          <w:u w:val="none"/>
        </w:rPr>
        <w:t xml:space="preserve"> </w:t>
      </w:r>
      <w:proofErr w:type="spellStart"/>
      <w:r w:rsidR="00FD2382" w:rsidRPr="0053555A">
        <w:rPr>
          <w:rStyle w:val="Hyperlink"/>
          <w:color w:val="auto"/>
          <w:u w:val="none"/>
        </w:rPr>
        <w:t>R</w:t>
      </w:r>
      <w:r w:rsidR="00225671" w:rsidRPr="0053555A">
        <w:rPr>
          <w:rStyle w:val="Hyperlink"/>
          <w:color w:val="auto"/>
          <w:u w:val="none"/>
        </w:rPr>
        <w:t>uhode</w:t>
      </w:r>
      <w:proofErr w:type="spellEnd"/>
      <w:r w:rsidRPr="0053555A">
        <w:rPr>
          <w:rStyle w:val="Hyperlink"/>
          <w:color w:val="auto"/>
          <w:u w:val="none"/>
        </w:rPr>
        <w:t xml:space="preserve">, 2025). </w:t>
      </w:r>
    </w:p>
    <w:p w14:paraId="24EA65ED" w14:textId="77777777" w:rsidR="0053555A" w:rsidRPr="0053555A" w:rsidRDefault="0053555A" w:rsidP="00027C5B">
      <w:pPr>
        <w:widowControl w:val="0"/>
        <w:spacing w:before="119" w:line="250" w:lineRule="auto"/>
        <w:ind w:left="102" w:right="96"/>
        <w:rPr>
          <w:rStyle w:val="Hyperlink"/>
          <w:color w:val="auto"/>
          <w:u w:val="none"/>
        </w:rPr>
      </w:pPr>
      <w:r w:rsidRPr="0053555A">
        <w:rPr>
          <w:rStyle w:val="Hyperlink"/>
          <w:color w:val="auto"/>
          <w:u w:val="none"/>
        </w:rPr>
        <w:t xml:space="preserve">Segundo </w:t>
      </w:r>
      <w:proofErr w:type="spellStart"/>
      <w:r w:rsidRPr="0053555A">
        <w:rPr>
          <w:rStyle w:val="Hyperlink"/>
          <w:color w:val="auto"/>
          <w:u w:val="none"/>
        </w:rPr>
        <w:t>Agyemang</w:t>
      </w:r>
      <w:proofErr w:type="spellEnd"/>
      <w:r w:rsidRPr="0053555A">
        <w:rPr>
          <w:rStyle w:val="Hyperlink"/>
          <w:color w:val="auto"/>
          <w:u w:val="none"/>
        </w:rPr>
        <w:t xml:space="preserve"> </w:t>
      </w:r>
      <w:r w:rsidRPr="00FD2382">
        <w:rPr>
          <w:rStyle w:val="Hyperlink"/>
          <w:i/>
          <w:color w:val="auto"/>
          <w:u w:val="none"/>
        </w:rPr>
        <w:t>et al</w:t>
      </w:r>
      <w:r w:rsidRPr="0053555A">
        <w:rPr>
          <w:rStyle w:val="Hyperlink"/>
          <w:color w:val="auto"/>
          <w:u w:val="none"/>
        </w:rPr>
        <w:t xml:space="preserve">. (2019, p. 2) "o conhecimento indígena é basicamente local. É, na verdade, oral e, em grande parte, não documentado".  Dessa forma, os estudos alertam a necessidade de sistematizar o conhecimento tácito (transmitido oralmente, por práticas culturais e aprendizados informais) por meio de métodos de GC, como o modelo SECI.  Neste contexto, </w:t>
      </w:r>
      <w:proofErr w:type="spellStart"/>
      <w:r w:rsidRPr="0053555A">
        <w:rPr>
          <w:rStyle w:val="Hyperlink"/>
          <w:color w:val="auto"/>
          <w:u w:val="none"/>
        </w:rPr>
        <w:t>Matekenya</w:t>
      </w:r>
      <w:proofErr w:type="spellEnd"/>
      <w:r w:rsidRPr="0053555A">
        <w:rPr>
          <w:rStyle w:val="Hyperlink"/>
          <w:color w:val="auto"/>
          <w:u w:val="none"/>
        </w:rPr>
        <w:t xml:space="preserve"> e </w:t>
      </w:r>
      <w:proofErr w:type="spellStart"/>
      <w:r w:rsidRPr="0053555A">
        <w:rPr>
          <w:rStyle w:val="Hyperlink"/>
          <w:color w:val="auto"/>
          <w:u w:val="none"/>
        </w:rPr>
        <w:t>Ruhode</w:t>
      </w:r>
      <w:proofErr w:type="spellEnd"/>
      <w:r w:rsidRPr="0053555A">
        <w:rPr>
          <w:rStyle w:val="Hyperlink"/>
          <w:color w:val="auto"/>
          <w:u w:val="none"/>
        </w:rPr>
        <w:t xml:space="preserve"> (2025, p. 2) ressaltam que "a integração de conhecimento não acadêmico ou não técnico, como o conhecimento indígena ou as experiências comunitárias, é um aspecto fundamental da transdisciplinaridade (...) que é essencial na resposta a desastres devido à sua natureza complexa e multifacetada". </w:t>
      </w:r>
    </w:p>
    <w:p w14:paraId="4F54EBB8" w14:textId="43D66231" w:rsidR="0053555A" w:rsidRPr="0053555A" w:rsidRDefault="0053555A" w:rsidP="00027C5B">
      <w:pPr>
        <w:widowControl w:val="0"/>
        <w:spacing w:before="119" w:line="250" w:lineRule="auto"/>
        <w:ind w:left="102" w:right="96"/>
        <w:rPr>
          <w:rStyle w:val="Hyperlink"/>
          <w:color w:val="auto"/>
          <w:u w:val="none"/>
        </w:rPr>
      </w:pPr>
      <w:r w:rsidRPr="0053555A">
        <w:rPr>
          <w:rStyle w:val="Hyperlink"/>
          <w:color w:val="auto"/>
          <w:u w:val="none"/>
        </w:rPr>
        <w:t>Além disso, na área da saúde também houve implementação de estratégia de GC combinando conhecimentos técnicos com saberes locais para otimizar o sistema, capacitando profissionais e integrando tecnologias de informação adaptadas ao contexto local (</w:t>
      </w:r>
      <w:r w:rsidR="00FD2382" w:rsidRPr="0053555A">
        <w:rPr>
          <w:rStyle w:val="Hyperlink"/>
          <w:color w:val="auto"/>
          <w:u w:val="none"/>
        </w:rPr>
        <w:t>J</w:t>
      </w:r>
      <w:r w:rsidR="00225671" w:rsidRPr="0053555A">
        <w:rPr>
          <w:rStyle w:val="Hyperlink"/>
          <w:color w:val="auto"/>
          <w:u w:val="none"/>
        </w:rPr>
        <w:t>ohnson</w:t>
      </w:r>
      <w:r w:rsidRPr="0053555A">
        <w:rPr>
          <w:rStyle w:val="Hyperlink"/>
          <w:color w:val="auto"/>
          <w:u w:val="none"/>
        </w:rPr>
        <w:t xml:space="preserve"> </w:t>
      </w:r>
      <w:r w:rsidRPr="00FD2382">
        <w:rPr>
          <w:rStyle w:val="Hyperlink"/>
          <w:i/>
          <w:color w:val="auto"/>
          <w:u w:val="none"/>
        </w:rPr>
        <w:t>et al</w:t>
      </w:r>
      <w:r w:rsidRPr="0053555A">
        <w:rPr>
          <w:rStyle w:val="Hyperlink"/>
          <w:color w:val="auto"/>
          <w:u w:val="none"/>
        </w:rPr>
        <w:t>., 2018). Assim, a valorização do conhecimento tácito e local contribui para a redução do acesso desigual e da baixa infraestrutura para a participação de comunidades marginalizadas (</w:t>
      </w:r>
      <w:proofErr w:type="spellStart"/>
      <w:r w:rsidR="00FD2382" w:rsidRPr="0053555A">
        <w:rPr>
          <w:rStyle w:val="Hyperlink"/>
          <w:color w:val="auto"/>
          <w:u w:val="none"/>
        </w:rPr>
        <w:t>D</w:t>
      </w:r>
      <w:r w:rsidR="00225671" w:rsidRPr="0053555A">
        <w:rPr>
          <w:rStyle w:val="Hyperlink"/>
          <w:color w:val="auto"/>
          <w:u w:val="none"/>
        </w:rPr>
        <w:t>ocal</w:t>
      </w:r>
      <w:proofErr w:type="spellEnd"/>
      <w:r w:rsidR="00225671" w:rsidRPr="0053555A">
        <w:rPr>
          <w:rStyle w:val="Hyperlink"/>
          <w:color w:val="auto"/>
          <w:u w:val="none"/>
        </w:rPr>
        <w:t xml:space="preserve"> </w:t>
      </w:r>
      <w:r w:rsidRPr="00FD2382">
        <w:rPr>
          <w:rStyle w:val="Hyperlink"/>
          <w:i/>
          <w:color w:val="auto"/>
          <w:u w:val="none"/>
        </w:rPr>
        <w:t>et al</w:t>
      </w:r>
      <w:r w:rsidRPr="0053555A">
        <w:rPr>
          <w:rStyle w:val="Hyperlink"/>
          <w:color w:val="auto"/>
          <w:u w:val="none"/>
        </w:rPr>
        <w:t>., 2025), além de diminuir a resistência institucional de GC tradicional negligenciando saberes não formais e a falta de governança de mecanismos que integrem conhecimentos locais a políticas públicas (</w:t>
      </w:r>
      <w:r w:rsidR="00FD2382" w:rsidRPr="0053555A">
        <w:rPr>
          <w:rStyle w:val="Hyperlink"/>
          <w:color w:val="auto"/>
          <w:u w:val="none"/>
        </w:rPr>
        <w:t>V</w:t>
      </w:r>
      <w:r w:rsidR="00225671" w:rsidRPr="0053555A">
        <w:rPr>
          <w:rStyle w:val="Hyperlink"/>
          <w:color w:val="auto"/>
          <w:u w:val="none"/>
        </w:rPr>
        <w:t xml:space="preserve">an </w:t>
      </w:r>
      <w:proofErr w:type="spellStart"/>
      <w:r w:rsidR="00FD2382" w:rsidRPr="0053555A">
        <w:rPr>
          <w:rStyle w:val="Hyperlink"/>
          <w:color w:val="auto"/>
          <w:u w:val="none"/>
        </w:rPr>
        <w:t>K</w:t>
      </w:r>
      <w:r w:rsidR="00225671" w:rsidRPr="0053555A">
        <w:rPr>
          <w:rStyle w:val="Hyperlink"/>
          <w:color w:val="auto"/>
          <w:u w:val="none"/>
        </w:rPr>
        <w:t>erkhoffa</w:t>
      </w:r>
      <w:proofErr w:type="spellEnd"/>
      <w:r w:rsidR="00FD2382">
        <w:rPr>
          <w:rStyle w:val="Hyperlink"/>
          <w:color w:val="auto"/>
          <w:u w:val="none"/>
        </w:rPr>
        <w:t xml:space="preserve">; </w:t>
      </w:r>
      <w:proofErr w:type="spellStart"/>
      <w:r w:rsidR="00FD2382" w:rsidRPr="0053555A">
        <w:rPr>
          <w:rStyle w:val="Hyperlink"/>
          <w:color w:val="auto"/>
          <w:u w:val="none"/>
        </w:rPr>
        <w:t>S</w:t>
      </w:r>
      <w:r w:rsidR="00225671" w:rsidRPr="0053555A">
        <w:rPr>
          <w:rStyle w:val="Hyperlink"/>
          <w:color w:val="auto"/>
          <w:u w:val="none"/>
        </w:rPr>
        <w:t>zlezák</w:t>
      </w:r>
      <w:proofErr w:type="spellEnd"/>
      <w:r w:rsidRPr="0053555A">
        <w:rPr>
          <w:rStyle w:val="Hyperlink"/>
          <w:color w:val="auto"/>
          <w:u w:val="none"/>
        </w:rPr>
        <w:t>, 2016).</w:t>
      </w:r>
    </w:p>
    <w:p w14:paraId="07E3DBA5" w14:textId="77777777" w:rsidR="0053555A" w:rsidRPr="00343B57" w:rsidRDefault="0053555A" w:rsidP="0053555A">
      <w:pPr>
        <w:widowControl w:val="0"/>
        <w:spacing w:before="119" w:line="250" w:lineRule="auto"/>
        <w:ind w:left="102" w:right="96" w:firstLine="0"/>
        <w:rPr>
          <w:rStyle w:val="Hyperlink"/>
          <w:b/>
          <w:color w:val="auto"/>
          <w:u w:val="none"/>
        </w:rPr>
      </w:pPr>
      <w:r w:rsidRPr="00343B57">
        <w:rPr>
          <w:rStyle w:val="Hyperlink"/>
          <w:b/>
          <w:color w:val="auto"/>
          <w:u w:val="none"/>
        </w:rPr>
        <w:t xml:space="preserve">III - Abordagens sistêmicas e transdisciplinares </w:t>
      </w:r>
    </w:p>
    <w:p w14:paraId="4B6E0EB3" w14:textId="3641CD03" w:rsidR="00FD2382" w:rsidRDefault="0053555A" w:rsidP="00027C5B">
      <w:pPr>
        <w:widowControl w:val="0"/>
        <w:spacing w:before="123" w:line="250" w:lineRule="auto"/>
        <w:ind w:left="102" w:right="96" w:firstLine="0"/>
        <w:rPr>
          <w:rStyle w:val="Hyperlink"/>
          <w:color w:val="auto"/>
          <w:u w:val="none"/>
        </w:rPr>
      </w:pPr>
      <w:r w:rsidRPr="0053555A">
        <w:rPr>
          <w:rStyle w:val="Hyperlink"/>
          <w:color w:val="auto"/>
          <w:u w:val="none"/>
        </w:rPr>
        <w:t>A abordagem sistêmica apresenta-se como essencial para compreender a complexidade e desenvolver soluções. Os estudos ressaltam que a solução para problemas complexos raramente reside em um único ator ou disciplina; uma abordagem transdisciplinar e participativa é necessária para a resolução desses problemas (</w:t>
      </w:r>
      <w:r w:rsidR="00FD2382" w:rsidRPr="0053555A">
        <w:rPr>
          <w:rStyle w:val="Hyperlink"/>
          <w:color w:val="auto"/>
          <w:u w:val="none"/>
        </w:rPr>
        <w:t>F</w:t>
      </w:r>
      <w:r w:rsidR="00225671" w:rsidRPr="0053555A">
        <w:rPr>
          <w:rStyle w:val="Hyperlink"/>
          <w:color w:val="auto"/>
          <w:u w:val="none"/>
        </w:rPr>
        <w:t>eliciano</w:t>
      </w:r>
      <w:r w:rsidRPr="0053555A">
        <w:rPr>
          <w:rStyle w:val="Hyperlink"/>
          <w:color w:val="auto"/>
          <w:u w:val="none"/>
        </w:rPr>
        <w:t xml:space="preserve"> </w:t>
      </w:r>
      <w:r w:rsidRPr="00FD2382">
        <w:rPr>
          <w:rStyle w:val="Hyperlink"/>
          <w:i/>
          <w:color w:val="auto"/>
          <w:u w:val="none"/>
        </w:rPr>
        <w:t>et al</w:t>
      </w:r>
      <w:r w:rsidRPr="0053555A">
        <w:rPr>
          <w:rStyle w:val="Hyperlink"/>
          <w:color w:val="auto"/>
          <w:u w:val="none"/>
        </w:rPr>
        <w:t>., 2019).</w:t>
      </w:r>
    </w:p>
    <w:p w14:paraId="5836C6FC" w14:textId="1D7B30DD" w:rsidR="0053555A" w:rsidRPr="0053555A" w:rsidRDefault="0053555A" w:rsidP="00027C5B">
      <w:pPr>
        <w:widowControl w:val="0"/>
        <w:spacing w:before="119" w:line="250" w:lineRule="auto"/>
        <w:ind w:left="102" w:right="96"/>
        <w:rPr>
          <w:rStyle w:val="Hyperlink"/>
          <w:color w:val="auto"/>
          <w:u w:val="none"/>
        </w:rPr>
      </w:pPr>
      <w:r w:rsidRPr="0053555A">
        <w:rPr>
          <w:rStyle w:val="Hyperlink"/>
          <w:color w:val="auto"/>
          <w:u w:val="none"/>
        </w:rPr>
        <w:t xml:space="preserve"> O pensamento sistêmico e a pesquisa transdisciplinar são destacados como meios de integrar diferentes perspectivas, reconhecendo que problemas complexos não podem ser isolados ou resolvidos por uma única área de expertise. "O pensamento sistêmico ganhou força como uma abordagem valiosa para lidar com problemas complexos, pois oferece conceitos, ferramentas e estruturas que têm o potencial de fortalecer e complementar a mobilização do conhecimento” (</w:t>
      </w:r>
      <w:proofErr w:type="spellStart"/>
      <w:r w:rsidR="00FD2382" w:rsidRPr="0053555A">
        <w:rPr>
          <w:rStyle w:val="Hyperlink"/>
          <w:color w:val="auto"/>
          <w:u w:val="none"/>
        </w:rPr>
        <w:t>H</w:t>
      </w:r>
      <w:r w:rsidR="00225671" w:rsidRPr="0053555A">
        <w:rPr>
          <w:rStyle w:val="Hyperlink"/>
          <w:color w:val="auto"/>
          <w:u w:val="none"/>
        </w:rPr>
        <w:t>aynes</w:t>
      </w:r>
      <w:proofErr w:type="spellEnd"/>
      <w:r w:rsidRPr="0053555A">
        <w:rPr>
          <w:rStyle w:val="Hyperlink"/>
          <w:color w:val="auto"/>
          <w:u w:val="none"/>
        </w:rPr>
        <w:t xml:space="preserve"> </w:t>
      </w:r>
      <w:r w:rsidRPr="00FD2382">
        <w:rPr>
          <w:rStyle w:val="Hyperlink"/>
          <w:i/>
          <w:color w:val="auto"/>
          <w:u w:val="none"/>
        </w:rPr>
        <w:t>et al</w:t>
      </w:r>
      <w:r w:rsidRPr="0053555A">
        <w:rPr>
          <w:rStyle w:val="Hyperlink"/>
          <w:color w:val="auto"/>
          <w:u w:val="none"/>
        </w:rPr>
        <w:t xml:space="preserve">., 2020, p.2).  Segundo os autores, essa abordagem permite uma visão holística dos desequilíbrios de poder e das lacunas de colaboração, propondo maneiras de mobilizar recursos e atores de forma mais eficaz para a </w:t>
      </w:r>
      <w:r w:rsidRPr="0053555A">
        <w:rPr>
          <w:rStyle w:val="Hyperlink"/>
          <w:color w:val="auto"/>
          <w:u w:val="none"/>
        </w:rPr>
        <w:lastRenderedPageBreak/>
        <w:t>tomada de decisões e implementação de políticas em sistemas complexos. No entanto, há um longo caminho a percorrer para explorar todo o seu potencial (</w:t>
      </w:r>
      <w:proofErr w:type="spellStart"/>
      <w:r w:rsidR="00FD2382" w:rsidRPr="0053555A">
        <w:rPr>
          <w:rStyle w:val="Hyperlink"/>
          <w:color w:val="auto"/>
          <w:u w:val="none"/>
        </w:rPr>
        <w:t>H</w:t>
      </w:r>
      <w:r w:rsidR="00225671" w:rsidRPr="0053555A">
        <w:rPr>
          <w:rStyle w:val="Hyperlink"/>
          <w:color w:val="auto"/>
          <w:u w:val="none"/>
        </w:rPr>
        <w:t>aynes</w:t>
      </w:r>
      <w:proofErr w:type="spellEnd"/>
      <w:r w:rsidRPr="0053555A">
        <w:rPr>
          <w:rStyle w:val="Hyperlink"/>
          <w:color w:val="auto"/>
          <w:u w:val="none"/>
        </w:rPr>
        <w:t xml:space="preserve"> </w:t>
      </w:r>
      <w:r w:rsidRPr="00FD2382">
        <w:rPr>
          <w:rStyle w:val="Hyperlink"/>
          <w:i/>
          <w:color w:val="auto"/>
          <w:u w:val="none"/>
        </w:rPr>
        <w:t>et al</w:t>
      </w:r>
      <w:r w:rsidRPr="0053555A">
        <w:rPr>
          <w:rStyle w:val="Hyperlink"/>
          <w:color w:val="auto"/>
          <w:u w:val="none"/>
        </w:rPr>
        <w:t xml:space="preserve">., 2020). </w:t>
      </w:r>
    </w:p>
    <w:p w14:paraId="487CA935" w14:textId="77777777" w:rsidR="0053555A" w:rsidRPr="0053555A" w:rsidRDefault="0053555A" w:rsidP="00027C5B">
      <w:pPr>
        <w:widowControl w:val="0"/>
        <w:spacing w:before="119" w:line="250" w:lineRule="auto"/>
        <w:ind w:left="102" w:right="96"/>
        <w:rPr>
          <w:rStyle w:val="Hyperlink"/>
          <w:color w:val="auto"/>
          <w:u w:val="none"/>
        </w:rPr>
      </w:pPr>
      <w:r w:rsidRPr="0053555A">
        <w:rPr>
          <w:rStyle w:val="Hyperlink"/>
          <w:color w:val="auto"/>
          <w:u w:val="none"/>
        </w:rPr>
        <w:t>Isso implica a necessidade de considerar não apenas o conhecimento técnico</w:t>
      </w:r>
      <w:r w:rsidR="00FD2382">
        <w:rPr>
          <w:rStyle w:val="Hyperlink"/>
          <w:color w:val="auto"/>
          <w:u w:val="none"/>
        </w:rPr>
        <w:t xml:space="preserve"> e científico</w:t>
      </w:r>
      <w:r w:rsidRPr="0053555A">
        <w:rPr>
          <w:rStyle w:val="Hyperlink"/>
          <w:color w:val="auto"/>
          <w:u w:val="none"/>
        </w:rPr>
        <w:t>, mas também o contexto social, político e cultural em que os problemas estão inseridos. A abordagem sistêmica facilita a identificação de desequilíbrios de poder e promove a aprendizagem adaptativa, a colaboração, a adaptabilidade e a inovação, características essenciais para lidar com a dinâmica dos sistemas abertos na política de saúde e outros problemas complexos.</w:t>
      </w:r>
    </w:p>
    <w:p w14:paraId="7174332A" w14:textId="77777777" w:rsidR="0053555A" w:rsidRPr="00FD2382" w:rsidRDefault="0053555A" w:rsidP="0053555A">
      <w:pPr>
        <w:widowControl w:val="0"/>
        <w:spacing w:before="119" w:line="250" w:lineRule="auto"/>
        <w:ind w:left="102" w:right="96" w:firstLine="0"/>
        <w:rPr>
          <w:rStyle w:val="Hyperlink"/>
          <w:b/>
          <w:color w:val="auto"/>
          <w:u w:val="none"/>
        </w:rPr>
      </w:pPr>
      <w:r w:rsidRPr="00FD2382">
        <w:rPr>
          <w:rStyle w:val="Hyperlink"/>
          <w:b/>
          <w:color w:val="auto"/>
          <w:u w:val="none"/>
        </w:rPr>
        <w:t>IV - Uso de tecnologia como facilitador</w:t>
      </w:r>
    </w:p>
    <w:p w14:paraId="11DBB517" w14:textId="0E206645" w:rsidR="0053555A" w:rsidRPr="0053555A" w:rsidRDefault="0053555A" w:rsidP="00027C5B">
      <w:pPr>
        <w:widowControl w:val="0"/>
        <w:spacing w:before="123" w:line="250" w:lineRule="auto"/>
        <w:ind w:left="102" w:right="96" w:firstLine="0"/>
        <w:rPr>
          <w:rStyle w:val="Hyperlink"/>
          <w:color w:val="auto"/>
          <w:u w:val="none"/>
        </w:rPr>
      </w:pPr>
      <w:r w:rsidRPr="0053555A">
        <w:rPr>
          <w:rStyle w:val="Hyperlink"/>
          <w:color w:val="auto"/>
          <w:u w:val="none"/>
        </w:rPr>
        <w:t>A tecnologia e as plataformas digitais (</w:t>
      </w:r>
      <w:proofErr w:type="spellStart"/>
      <w:r w:rsidR="00FD2382" w:rsidRPr="0053555A">
        <w:rPr>
          <w:rStyle w:val="Hyperlink"/>
          <w:color w:val="auto"/>
          <w:u w:val="none"/>
        </w:rPr>
        <w:t>D</w:t>
      </w:r>
      <w:r w:rsidR="00225671" w:rsidRPr="0053555A">
        <w:rPr>
          <w:rStyle w:val="Hyperlink"/>
          <w:color w:val="auto"/>
          <w:u w:val="none"/>
        </w:rPr>
        <w:t>ocal</w:t>
      </w:r>
      <w:proofErr w:type="spellEnd"/>
      <w:r w:rsidRPr="0053555A">
        <w:rPr>
          <w:rStyle w:val="Hyperlink"/>
          <w:color w:val="auto"/>
          <w:u w:val="none"/>
        </w:rPr>
        <w:t xml:space="preserve"> </w:t>
      </w:r>
      <w:r w:rsidRPr="00FD2382">
        <w:rPr>
          <w:rStyle w:val="Hyperlink"/>
          <w:i/>
          <w:color w:val="auto"/>
          <w:u w:val="none"/>
        </w:rPr>
        <w:t>et al</w:t>
      </w:r>
      <w:r w:rsidRPr="0053555A">
        <w:rPr>
          <w:rStyle w:val="Hyperlink"/>
          <w:color w:val="auto"/>
          <w:u w:val="none"/>
        </w:rPr>
        <w:t>., 2025) são vistas como importantes facilitadoras para a disseminação e integração do conhecimento, permitindo a conexão de redes e o acesso a informações cruciais em larga escala (</w:t>
      </w:r>
      <w:r w:rsidR="00FD2382" w:rsidRPr="0053555A">
        <w:rPr>
          <w:rStyle w:val="Hyperlink"/>
          <w:color w:val="auto"/>
          <w:u w:val="none"/>
        </w:rPr>
        <w:t>M</w:t>
      </w:r>
      <w:r w:rsidR="00225671" w:rsidRPr="0053555A">
        <w:rPr>
          <w:rStyle w:val="Hyperlink"/>
          <w:color w:val="auto"/>
          <w:u w:val="none"/>
        </w:rPr>
        <w:t>artínez</w:t>
      </w:r>
      <w:r w:rsidR="00FD2382" w:rsidRPr="0053555A">
        <w:rPr>
          <w:rStyle w:val="Hyperlink"/>
          <w:color w:val="auto"/>
          <w:u w:val="none"/>
        </w:rPr>
        <w:t>-H</w:t>
      </w:r>
      <w:r w:rsidR="00225671" w:rsidRPr="0053555A">
        <w:rPr>
          <w:rStyle w:val="Hyperlink"/>
          <w:color w:val="auto"/>
          <w:u w:val="none"/>
        </w:rPr>
        <w:t>errera</w:t>
      </w:r>
      <w:r w:rsidR="00FD2382" w:rsidRPr="0053555A">
        <w:rPr>
          <w:rStyle w:val="Hyperlink"/>
          <w:color w:val="auto"/>
          <w:u w:val="none"/>
        </w:rPr>
        <w:t xml:space="preserve"> </w:t>
      </w:r>
      <w:r w:rsidRPr="00FD2382">
        <w:rPr>
          <w:rStyle w:val="Hyperlink"/>
          <w:i/>
          <w:color w:val="auto"/>
          <w:u w:val="none"/>
        </w:rPr>
        <w:t>et al</w:t>
      </w:r>
      <w:r w:rsidRPr="0053555A">
        <w:rPr>
          <w:rStyle w:val="Hyperlink"/>
          <w:color w:val="auto"/>
          <w:u w:val="none"/>
        </w:rPr>
        <w:t>., 2015). Soluções inovadoras e adaptadas são necessárias para a interatividade em rede das partes interessadas (</w:t>
      </w:r>
      <w:r w:rsidR="00FD2382" w:rsidRPr="0053555A">
        <w:rPr>
          <w:rStyle w:val="Hyperlink"/>
          <w:color w:val="auto"/>
          <w:u w:val="none"/>
        </w:rPr>
        <w:t>F</w:t>
      </w:r>
      <w:r w:rsidR="00225671" w:rsidRPr="0053555A">
        <w:rPr>
          <w:rStyle w:val="Hyperlink"/>
          <w:color w:val="auto"/>
          <w:u w:val="none"/>
        </w:rPr>
        <w:t>eliciano</w:t>
      </w:r>
      <w:r w:rsidRPr="0053555A">
        <w:rPr>
          <w:rStyle w:val="Hyperlink"/>
          <w:color w:val="auto"/>
          <w:u w:val="none"/>
        </w:rPr>
        <w:t xml:space="preserve"> </w:t>
      </w:r>
      <w:r w:rsidRPr="00FD2382">
        <w:rPr>
          <w:rStyle w:val="Hyperlink"/>
          <w:i/>
          <w:color w:val="auto"/>
          <w:u w:val="none"/>
        </w:rPr>
        <w:t>et al</w:t>
      </w:r>
      <w:r w:rsidRPr="0053555A">
        <w:rPr>
          <w:rStyle w:val="Hyperlink"/>
          <w:color w:val="auto"/>
          <w:u w:val="none"/>
        </w:rPr>
        <w:t xml:space="preserve">., 2019). </w:t>
      </w:r>
    </w:p>
    <w:p w14:paraId="34BEFD50" w14:textId="6E051D46" w:rsidR="0053555A" w:rsidRPr="0053555A" w:rsidRDefault="0053555A" w:rsidP="00027C5B">
      <w:pPr>
        <w:widowControl w:val="0"/>
        <w:spacing w:before="119" w:line="250" w:lineRule="auto"/>
        <w:ind w:left="102" w:right="96"/>
        <w:rPr>
          <w:rStyle w:val="Hyperlink"/>
          <w:color w:val="auto"/>
          <w:u w:val="none"/>
        </w:rPr>
      </w:pPr>
      <w:r w:rsidRPr="0053555A">
        <w:rPr>
          <w:rStyle w:val="Hyperlink"/>
          <w:color w:val="auto"/>
          <w:u w:val="none"/>
        </w:rPr>
        <w:t>O conjunto de recursos tecnológicos, as Tecnologias da Informação e Comunicação (TICs), facilita a criação e manutenção de comunidades de prática (</w:t>
      </w:r>
      <w:proofErr w:type="spellStart"/>
      <w:r w:rsidRPr="0053555A">
        <w:rPr>
          <w:rStyle w:val="Hyperlink"/>
          <w:color w:val="auto"/>
          <w:u w:val="none"/>
        </w:rPr>
        <w:t>CoPs</w:t>
      </w:r>
      <w:proofErr w:type="spellEnd"/>
      <w:r w:rsidRPr="0053555A">
        <w:rPr>
          <w:rStyle w:val="Hyperlink"/>
          <w:color w:val="auto"/>
          <w:u w:val="none"/>
        </w:rPr>
        <w:t>), que promovem a colaboração e a troca de conhecimento entre profissionais e pesquisadores. Por exemplo, a Aliança Global para Enfermagem e Obstetrícia (GANM) utilizou plataformas digitais para conectar mais de 4.300 membros de 160 países, permitindo a disseminação de práticas baseadas em evidências e o fortalecimento de redes profissionais (</w:t>
      </w:r>
      <w:proofErr w:type="spellStart"/>
      <w:r w:rsidR="00FD2382" w:rsidRPr="0053555A">
        <w:rPr>
          <w:rStyle w:val="Hyperlink"/>
          <w:color w:val="auto"/>
          <w:u w:val="none"/>
        </w:rPr>
        <w:t>D</w:t>
      </w:r>
      <w:r w:rsidR="006372B3" w:rsidRPr="0053555A">
        <w:rPr>
          <w:rStyle w:val="Hyperlink"/>
          <w:color w:val="auto"/>
          <w:u w:val="none"/>
        </w:rPr>
        <w:t>ocal</w:t>
      </w:r>
      <w:proofErr w:type="spellEnd"/>
      <w:r w:rsidRPr="0053555A">
        <w:rPr>
          <w:rStyle w:val="Hyperlink"/>
          <w:color w:val="auto"/>
          <w:u w:val="none"/>
        </w:rPr>
        <w:t xml:space="preserve"> </w:t>
      </w:r>
      <w:r w:rsidRPr="00FD2382">
        <w:rPr>
          <w:rStyle w:val="Hyperlink"/>
          <w:i/>
          <w:color w:val="auto"/>
          <w:u w:val="none"/>
        </w:rPr>
        <w:t>et al</w:t>
      </w:r>
      <w:r w:rsidRPr="0053555A">
        <w:rPr>
          <w:rStyle w:val="Hyperlink"/>
          <w:color w:val="auto"/>
          <w:u w:val="none"/>
        </w:rPr>
        <w:t>., 2025). Essa abordagem democratiza o acesso ao conhecimento, especialmente em regiões com poucos recursos, superando barreiras geográficas e econômicas.</w:t>
      </w:r>
    </w:p>
    <w:p w14:paraId="1E08A441" w14:textId="2BB2A472" w:rsidR="0053555A" w:rsidRPr="0053555A" w:rsidRDefault="0053555A" w:rsidP="00027C5B">
      <w:pPr>
        <w:widowControl w:val="0"/>
        <w:spacing w:before="119" w:line="250" w:lineRule="auto"/>
        <w:ind w:left="102" w:right="96"/>
        <w:rPr>
          <w:rStyle w:val="Hyperlink"/>
          <w:color w:val="auto"/>
          <w:u w:val="none"/>
        </w:rPr>
      </w:pPr>
      <w:r w:rsidRPr="0053555A">
        <w:rPr>
          <w:rStyle w:val="Hyperlink"/>
          <w:color w:val="auto"/>
          <w:u w:val="none"/>
        </w:rPr>
        <w:t>Além disso, as TICs são empregadas para otimizar a GC em situações críticas, como na resposta a desastres. A integração de sistemas de informação em tempo real e o uso de plataformas digitais permitiram a coordenação eficaz entre múltiplas partes interessadas, incluindo governos, ONGs e comunidades locais (</w:t>
      </w:r>
      <w:proofErr w:type="spellStart"/>
      <w:r w:rsidR="00FD2382" w:rsidRPr="0053555A">
        <w:rPr>
          <w:rStyle w:val="Hyperlink"/>
          <w:color w:val="auto"/>
          <w:u w:val="none"/>
        </w:rPr>
        <w:t>M</w:t>
      </w:r>
      <w:r w:rsidR="006372B3" w:rsidRPr="0053555A">
        <w:rPr>
          <w:rStyle w:val="Hyperlink"/>
          <w:color w:val="auto"/>
          <w:u w:val="none"/>
        </w:rPr>
        <w:t>atekenya</w:t>
      </w:r>
      <w:proofErr w:type="spellEnd"/>
      <w:r w:rsidR="00FD2382">
        <w:rPr>
          <w:rStyle w:val="Hyperlink"/>
          <w:color w:val="auto"/>
          <w:u w:val="none"/>
        </w:rPr>
        <w:t>;</w:t>
      </w:r>
      <w:r w:rsidR="00FD2382" w:rsidRPr="0053555A">
        <w:rPr>
          <w:rStyle w:val="Hyperlink"/>
          <w:color w:val="auto"/>
          <w:u w:val="none"/>
        </w:rPr>
        <w:t xml:space="preserve"> </w:t>
      </w:r>
      <w:proofErr w:type="spellStart"/>
      <w:r w:rsidR="00FD2382" w:rsidRPr="0053555A">
        <w:rPr>
          <w:rStyle w:val="Hyperlink"/>
          <w:color w:val="auto"/>
          <w:u w:val="none"/>
        </w:rPr>
        <w:t>R</w:t>
      </w:r>
      <w:r w:rsidR="006372B3" w:rsidRPr="0053555A">
        <w:rPr>
          <w:rStyle w:val="Hyperlink"/>
          <w:color w:val="auto"/>
          <w:u w:val="none"/>
        </w:rPr>
        <w:t>uhode</w:t>
      </w:r>
      <w:proofErr w:type="spellEnd"/>
      <w:r w:rsidRPr="0053555A">
        <w:rPr>
          <w:rStyle w:val="Hyperlink"/>
          <w:color w:val="auto"/>
          <w:u w:val="none"/>
        </w:rPr>
        <w:t xml:space="preserve">, 2025). Essas tecnologias não apenas aceleram a tomada de decisões, mas também incorporam conhecimentos indígenas, como alertas precoces baseados em práticas tradicionais, demonstrando a importância da combinação entre saberes locais e ferramentas modernas. </w:t>
      </w:r>
    </w:p>
    <w:p w14:paraId="4C922250" w14:textId="4F96B1FF" w:rsidR="0053555A" w:rsidRPr="0053555A" w:rsidRDefault="0053555A" w:rsidP="00027C5B">
      <w:pPr>
        <w:widowControl w:val="0"/>
        <w:spacing w:before="119" w:line="250" w:lineRule="auto"/>
        <w:ind w:left="102" w:right="96"/>
        <w:rPr>
          <w:rStyle w:val="Hyperlink"/>
          <w:color w:val="auto"/>
          <w:u w:val="none"/>
        </w:rPr>
      </w:pPr>
      <w:r w:rsidRPr="0053555A">
        <w:rPr>
          <w:rStyle w:val="Hyperlink"/>
          <w:color w:val="auto"/>
          <w:u w:val="none"/>
        </w:rPr>
        <w:t>As plataformas colaborativas permitem integrar pesquisadores, formuladores de políticas e profissionais, promovendo a coprodução de soluções para doenças crônicas (</w:t>
      </w:r>
      <w:proofErr w:type="spellStart"/>
      <w:r w:rsidR="007A62CE" w:rsidRPr="0053555A">
        <w:rPr>
          <w:rStyle w:val="Hyperlink"/>
          <w:color w:val="auto"/>
          <w:u w:val="none"/>
        </w:rPr>
        <w:t>W</w:t>
      </w:r>
      <w:r w:rsidR="006372B3" w:rsidRPr="0053555A">
        <w:rPr>
          <w:rStyle w:val="Hyperlink"/>
          <w:color w:val="auto"/>
          <w:u w:val="none"/>
        </w:rPr>
        <w:t>utzke</w:t>
      </w:r>
      <w:proofErr w:type="spellEnd"/>
      <w:r w:rsidRPr="0053555A">
        <w:rPr>
          <w:rStyle w:val="Hyperlink"/>
          <w:color w:val="auto"/>
          <w:u w:val="none"/>
        </w:rPr>
        <w:t xml:space="preserve"> </w:t>
      </w:r>
      <w:r w:rsidRPr="007A62CE">
        <w:rPr>
          <w:rStyle w:val="Hyperlink"/>
          <w:i/>
          <w:color w:val="auto"/>
          <w:u w:val="none"/>
        </w:rPr>
        <w:t>et al</w:t>
      </w:r>
      <w:r w:rsidRPr="0053555A">
        <w:rPr>
          <w:rStyle w:val="Hyperlink"/>
          <w:color w:val="auto"/>
          <w:u w:val="none"/>
        </w:rPr>
        <w:t>., 2018). Da mesma forma, a implementação de um sistema integrado de informação em saúde melhorou a eficiência e a qualidade do atendimento, destacando o papel das TICs na transformação de dados em ações práticas (</w:t>
      </w:r>
      <w:r w:rsidR="007A62CE" w:rsidRPr="0053555A">
        <w:rPr>
          <w:rStyle w:val="Hyperlink"/>
          <w:color w:val="auto"/>
          <w:u w:val="none"/>
        </w:rPr>
        <w:t>J</w:t>
      </w:r>
      <w:r w:rsidR="006372B3" w:rsidRPr="0053555A">
        <w:rPr>
          <w:rStyle w:val="Hyperlink"/>
          <w:color w:val="auto"/>
          <w:u w:val="none"/>
        </w:rPr>
        <w:t>ohnson</w:t>
      </w:r>
      <w:r w:rsidRPr="0053555A">
        <w:rPr>
          <w:rStyle w:val="Hyperlink"/>
          <w:color w:val="auto"/>
          <w:u w:val="none"/>
        </w:rPr>
        <w:t xml:space="preserve"> </w:t>
      </w:r>
      <w:r w:rsidRPr="007A62CE">
        <w:rPr>
          <w:rStyle w:val="Hyperlink"/>
          <w:i/>
          <w:color w:val="auto"/>
          <w:u w:val="none"/>
        </w:rPr>
        <w:t>et al</w:t>
      </w:r>
      <w:r w:rsidRPr="0053555A">
        <w:rPr>
          <w:rStyle w:val="Hyperlink"/>
          <w:color w:val="auto"/>
          <w:u w:val="none"/>
        </w:rPr>
        <w:t>., 2018). Por fim, em ambientes pós-conflito, as TICs são igualmente utilizadas para reconstruir o tecido social por meio de comunidades de prática virtuais, que conectam pesquisadores e comunidades locais (</w:t>
      </w:r>
      <w:r w:rsidR="007A62CE" w:rsidRPr="0053555A">
        <w:rPr>
          <w:rStyle w:val="Hyperlink"/>
          <w:color w:val="auto"/>
          <w:u w:val="none"/>
        </w:rPr>
        <w:t>L</w:t>
      </w:r>
      <w:r w:rsidR="006372B3" w:rsidRPr="0053555A">
        <w:rPr>
          <w:rStyle w:val="Hyperlink"/>
          <w:color w:val="auto"/>
          <w:u w:val="none"/>
        </w:rPr>
        <w:t>ópez</w:t>
      </w:r>
      <w:r w:rsidRPr="0053555A">
        <w:rPr>
          <w:rStyle w:val="Hyperlink"/>
          <w:color w:val="auto"/>
          <w:u w:val="none"/>
        </w:rPr>
        <w:t xml:space="preserve"> </w:t>
      </w:r>
      <w:r w:rsidRPr="007A62CE">
        <w:rPr>
          <w:rStyle w:val="Hyperlink"/>
          <w:i/>
          <w:color w:val="auto"/>
          <w:u w:val="none"/>
        </w:rPr>
        <w:t>et al</w:t>
      </w:r>
      <w:r w:rsidRPr="0053555A">
        <w:rPr>
          <w:rStyle w:val="Hyperlink"/>
          <w:color w:val="auto"/>
          <w:u w:val="none"/>
        </w:rPr>
        <w:t>., 2022). Essas plataformas não apenas facilitam a transferência de conhecimento, mas também fortalecem a participação e o consenso, elementos críticos para a resolução de problemas complexos em contextos fragilizados.</w:t>
      </w:r>
    </w:p>
    <w:p w14:paraId="1D3B2298" w14:textId="77777777" w:rsidR="0053555A" w:rsidRDefault="0053555A" w:rsidP="00027C5B">
      <w:pPr>
        <w:widowControl w:val="0"/>
        <w:spacing w:before="119" w:line="250" w:lineRule="auto"/>
        <w:ind w:left="102" w:right="96"/>
        <w:rPr>
          <w:rStyle w:val="Hyperlink"/>
          <w:color w:val="auto"/>
          <w:u w:val="none"/>
        </w:rPr>
      </w:pPr>
      <w:r w:rsidRPr="0053555A">
        <w:rPr>
          <w:rStyle w:val="Hyperlink"/>
          <w:color w:val="auto"/>
          <w:u w:val="none"/>
        </w:rPr>
        <w:t xml:space="preserve">Dessa forma, as TICs emergem como um eixo transversal na gestão do conhecimento, viabilizando a colaboração multissetorial, a integração de saberes diversos e a adaptação a contextos dinâmicos. Como afirmam </w:t>
      </w:r>
      <w:proofErr w:type="spellStart"/>
      <w:r w:rsidRPr="0053555A">
        <w:rPr>
          <w:rStyle w:val="Hyperlink"/>
          <w:color w:val="auto"/>
          <w:u w:val="none"/>
        </w:rPr>
        <w:t>Miković</w:t>
      </w:r>
      <w:proofErr w:type="spellEnd"/>
      <w:r w:rsidRPr="0053555A">
        <w:rPr>
          <w:rStyle w:val="Hyperlink"/>
          <w:color w:val="auto"/>
          <w:u w:val="none"/>
        </w:rPr>
        <w:t xml:space="preserve"> </w:t>
      </w:r>
      <w:r w:rsidRPr="007A62CE">
        <w:rPr>
          <w:rStyle w:val="Hyperlink"/>
          <w:i/>
          <w:color w:val="auto"/>
          <w:u w:val="none"/>
        </w:rPr>
        <w:t>et al</w:t>
      </w:r>
      <w:r w:rsidRPr="0053555A">
        <w:rPr>
          <w:rStyle w:val="Hyperlink"/>
          <w:color w:val="auto"/>
          <w:u w:val="none"/>
        </w:rPr>
        <w:t xml:space="preserve">. (2020), o capital social e o conhecimento são ferramentas poderosas para a criação de soluções inovadoras em ambientes complexos, e as TICs são o meio pelo qual essas ferramentas se tornam </w:t>
      </w:r>
      <w:r w:rsidRPr="0053555A">
        <w:rPr>
          <w:rStyle w:val="Hyperlink"/>
          <w:color w:val="auto"/>
          <w:u w:val="none"/>
        </w:rPr>
        <w:lastRenderedPageBreak/>
        <w:t>acessíveis e eficazes.</w:t>
      </w:r>
    </w:p>
    <w:p w14:paraId="00AAD84C" w14:textId="7B71F2B7" w:rsidR="0053555A" w:rsidRPr="0053555A" w:rsidRDefault="00384F26" w:rsidP="00027C5B">
      <w:pPr>
        <w:widowControl w:val="0"/>
        <w:spacing w:before="119" w:line="250" w:lineRule="auto"/>
        <w:ind w:left="102" w:right="96"/>
        <w:rPr>
          <w:rStyle w:val="Hyperlink"/>
          <w:color w:val="auto"/>
          <w:u w:val="none"/>
        </w:rPr>
      </w:pPr>
      <w:r>
        <w:t>Por fim, p</w:t>
      </w:r>
      <w:r w:rsidRPr="00384F26">
        <w:t xml:space="preserve">ara que a GC responda plenamente à crítica de </w:t>
      </w:r>
      <w:proofErr w:type="spellStart"/>
      <w:r w:rsidRPr="00384F26">
        <w:t>Dumay</w:t>
      </w:r>
      <w:proofErr w:type="spellEnd"/>
      <w:r w:rsidRPr="00384F26">
        <w:t xml:space="preserve"> e avance de forma significativa, é necessário aprofundar </w:t>
      </w:r>
      <w:r w:rsidR="00AB22F3">
        <w:t>c</w:t>
      </w:r>
      <w:r w:rsidRPr="00384F26">
        <w:t>omo essas estratégias operam nos sistemas complexos. A identificação dessas abordagens é um primeiro passo, mas a oportunidade de aprimoramento reside em desvendar os mecanismos e as dinâmicas sociais que permitem que a colaboração e o pensamento sistêmico funcionem em contextos de múltiplos atores e interesses conflitantes</w:t>
      </w:r>
      <w:r>
        <w:t>. O portfólio dos artigos contribui para esse entendimento.</w:t>
      </w:r>
    </w:p>
    <w:p w14:paraId="35387C21" w14:textId="77777777" w:rsidR="0053555A" w:rsidRPr="007A62CE" w:rsidRDefault="0053555A" w:rsidP="0053555A">
      <w:pPr>
        <w:widowControl w:val="0"/>
        <w:spacing w:before="119" w:line="250" w:lineRule="auto"/>
        <w:ind w:left="102" w:right="96" w:firstLine="0"/>
        <w:rPr>
          <w:rStyle w:val="Hyperlink"/>
          <w:b/>
          <w:color w:val="auto"/>
          <w:sz w:val="26"/>
          <w:szCs w:val="26"/>
          <w:u w:val="none"/>
        </w:rPr>
      </w:pPr>
      <w:r w:rsidRPr="007A62CE">
        <w:rPr>
          <w:rStyle w:val="Hyperlink"/>
          <w:b/>
          <w:color w:val="auto"/>
          <w:sz w:val="26"/>
          <w:szCs w:val="26"/>
          <w:u w:val="none"/>
        </w:rPr>
        <w:t xml:space="preserve">6. Conclusões </w:t>
      </w:r>
    </w:p>
    <w:p w14:paraId="52FED162" w14:textId="77777777" w:rsidR="0053555A" w:rsidRPr="0053555A" w:rsidRDefault="0053555A" w:rsidP="00027C5B">
      <w:pPr>
        <w:widowControl w:val="0"/>
        <w:spacing w:before="123" w:line="250" w:lineRule="auto"/>
        <w:ind w:left="102" w:right="96" w:firstLine="0"/>
        <w:rPr>
          <w:rStyle w:val="Hyperlink"/>
          <w:color w:val="auto"/>
          <w:u w:val="none"/>
        </w:rPr>
      </w:pPr>
      <w:r w:rsidRPr="0053555A">
        <w:rPr>
          <w:rStyle w:val="Hyperlink"/>
          <w:color w:val="auto"/>
          <w:u w:val="none"/>
        </w:rPr>
        <w:t xml:space="preserve">Os estudos empíricos focados em problemas complexos sublinham uma mudança prática na pesquisa em GC. Isso indica que a GC está sendo cada vez mais reconhecida como um campo aplicado, movendo-se além de estruturas teóricas para abordar desafios do mundo real. A quantidade significativa de trabalhos empíricos contrapõe a ideia de que há escassez de pesquisas empíricas sobre GC voltada para a resolução de problemas complexos discutida no ensaio de </w:t>
      </w:r>
      <w:proofErr w:type="spellStart"/>
      <w:r w:rsidRPr="0053555A">
        <w:rPr>
          <w:rStyle w:val="Hyperlink"/>
          <w:color w:val="auto"/>
          <w:u w:val="none"/>
        </w:rPr>
        <w:t>Dumay</w:t>
      </w:r>
      <w:proofErr w:type="spellEnd"/>
      <w:r w:rsidRPr="0053555A">
        <w:rPr>
          <w:rStyle w:val="Hyperlink"/>
          <w:color w:val="auto"/>
          <w:u w:val="none"/>
        </w:rPr>
        <w:t xml:space="preserve"> (2020) e sugere que a GC não é apenas uma disciplina acadêmica conceitual, mas está sendo ativamente testada e aplicada para resolver problemas tangíveis e complexos dialogando com a Agenda 2030 da ONU. </w:t>
      </w:r>
      <w:r w:rsidR="00171FAA">
        <w:rPr>
          <w:rStyle w:val="Hyperlink"/>
          <w:color w:val="auto"/>
          <w:u w:val="none"/>
        </w:rPr>
        <w:t xml:space="preserve">O portfólio apresentado com dezesseis artigos empíricos atende o objetivo desse </w:t>
      </w:r>
      <w:r w:rsidR="007A62CE" w:rsidRPr="007A62CE">
        <w:t>estudo</w:t>
      </w:r>
      <w:r w:rsidR="00171FAA">
        <w:t xml:space="preserve">, em apresentar estudos </w:t>
      </w:r>
      <w:r w:rsidR="007A62CE" w:rsidRPr="007A62CE">
        <w:t>que tenham usado a GC para resolução de problemas complexos</w:t>
      </w:r>
      <w:r w:rsidR="00F65884">
        <w:t>.</w:t>
      </w:r>
    </w:p>
    <w:p w14:paraId="14B38850" w14:textId="5D795B40" w:rsidR="0053555A" w:rsidRPr="0053555A" w:rsidRDefault="00F65884" w:rsidP="00027C5B">
      <w:pPr>
        <w:widowControl w:val="0"/>
        <w:spacing w:beforeLines="119" w:before="285" w:line="250" w:lineRule="auto"/>
        <w:ind w:left="102" w:right="96"/>
        <w:rPr>
          <w:rStyle w:val="Hyperlink"/>
          <w:color w:val="auto"/>
          <w:u w:val="none"/>
        </w:rPr>
      </w:pPr>
      <w:r>
        <w:rPr>
          <w:rStyle w:val="Hyperlink"/>
          <w:color w:val="auto"/>
          <w:u w:val="none"/>
        </w:rPr>
        <w:t>A</w:t>
      </w:r>
      <w:r w:rsidR="0053555A" w:rsidRPr="0053555A">
        <w:rPr>
          <w:rStyle w:val="Hyperlink"/>
          <w:color w:val="auto"/>
          <w:u w:val="none"/>
        </w:rPr>
        <w:t xml:space="preserve"> GC emerge como uma estratégia fundamental para enfrentar a complexidade dos problemas sociais contemporâneos, validando a primeira hipótese do presente estudo de que a GC é uma estratégia essencial para lidar com tais desafios. A sua capacidade de integrar diferentes saberes e perspectivas a torna apta a abordar a natureza multifacetada e interconectada dos </w:t>
      </w:r>
      <w:proofErr w:type="spellStart"/>
      <w:r w:rsidR="0053555A" w:rsidRPr="008F0A5C">
        <w:rPr>
          <w:rStyle w:val="Hyperlink"/>
          <w:i/>
          <w:color w:val="auto"/>
          <w:u w:val="none"/>
        </w:rPr>
        <w:t>wicked</w:t>
      </w:r>
      <w:proofErr w:type="spellEnd"/>
      <w:r w:rsidR="0053555A" w:rsidRPr="008F0A5C">
        <w:rPr>
          <w:rStyle w:val="Hyperlink"/>
          <w:i/>
          <w:color w:val="auto"/>
          <w:u w:val="none"/>
        </w:rPr>
        <w:t xml:space="preserve"> </w:t>
      </w:r>
      <w:proofErr w:type="spellStart"/>
      <w:r w:rsidR="0053555A" w:rsidRPr="008F0A5C">
        <w:rPr>
          <w:rStyle w:val="Hyperlink"/>
          <w:i/>
          <w:color w:val="auto"/>
          <w:u w:val="none"/>
        </w:rPr>
        <w:t>problem</w:t>
      </w:r>
      <w:r w:rsidR="00AB22F3">
        <w:rPr>
          <w:rStyle w:val="Hyperlink"/>
          <w:i/>
          <w:color w:val="auto"/>
          <w:u w:val="none"/>
        </w:rPr>
        <w:t>s</w:t>
      </w:r>
      <w:proofErr w:type="spellEnd"/>
      <w:r w:rsidR="0053555A" w:rsidRPr="0053555A">
        <w:rPr>
          <w:rStyle w:val="Hyperlink"/>
          <w:color w:val="auto"/>
          <w:u w:val="none"/>
        </w:rPr>
        <w:t xml:space="preserve">. A pesquisa demonstra que mecanismos como a colaboração e a coprodução do conhecimento são cruciais para a resolução desses problemas, corroborando a segunda hipótese de que espaços colaborativos e comunidades de prática são fatores de sucesso. </w:t>
      </w:r>
      <w:r w:rsidR="004B2591">
        <w:rPr>
          <w:rStyle w:val="Hyperlink"/>
          <w:color w:val="auto"/>
          <w:u w:val="none"/>
        </w:rPr>
        <w:t xml:space="preserve">Além disso, apresenta-se outras estratégias de GC aplicadas como, a </w:t>
      </w:r>
      <w:r w:rsidR="0053555A" w:rsidRPr="0053555A">
        <w:rPr>
          <w:rStyle w:val="Hyperlink"/>
          <w:color w:val="auto"/>
          <w:u w:val="none"/>
        </w:rPr>
        <w:t>valorização e a integração do conhecimento local e tácito, juntamente com o pensamento sistêmico e a inovação</w:t>
      </w:r>
      <w:r w:rsidR="004B2591">
        <w:rPr>
          <w:rStyle w:val="Hyperlink"/>
          <w:color w:val="auto"/>
          <w:u w:val="none"/>
        </w:rPr>
        <w:t xml:space="preserve"> e tecnologias</w:t>
      </w:r>
      <w:r w:rsidR="0053555A" w:rsidRPr="0053555A">
        <w:rPr>
          <w:rStyle w:val="Hyperlink"/>
          <w:color w:val="auto"/>
          <w:u w:val="none"/>
        </w:rPr>
        <w:t xml:space="preserve"> responsáv</w:t>
      </w:r>
      <w:r w:rsidR="004B2591">
        <w:rPr>
          <w:rStyle w:val="Hyperlink"/>
          <w:color w:val="auto"/>
          <w:u w:val="none"/>
        </w:rPr>
        <w:t>eis</w:t>
      </w:r>
      <w:r w:rsidR="0053555A" w:rsidRPr="0053555A">
        <w:rPr>
          <w:rStyle w:val="Hyperlink"/>
          <w:color w:val="auto"/>
          <w:u w:val="none"/>
        </w:rPr>
        <w:t>, potencializam a capacidade de resposta a contextos incertos e dinâmicos.</w:t>
      </w:r>
    </w:p>
    <w:p w14:paraId="46812FD7" w14:textId="64B0C163" w:rsidR="007A62CE" w:rsidRDefault="0053555A" w:rsidP="00027C5B">
      <w:pPr>
        <w:spacing w:beforeLines="119" w:before="285" w:line="250" w:lineRule="auto"/>
        <w:ind w:left="102" w:right="96"/>
      </w:pPr>
      <w:r w:rsidRPr="0053555A">
        <w:rPr>
          <w:rStyle w:val="Hyperlink"/>
          <w:color w:val="auto"/>
          <w:u w:val="none"/>
        </w:rPr>
        <w:t xml:space="preserve">Assim, a GC contribui para a resolução de problemas complexos ao fomentar a criação de ambientes onde o conhecimento é compartilhado, </w:t>
      </w:r>
      <w:proofErr w:type="spellStart"/>
      <w:r w:rsidRPr="0053555A">
        <w:rPr>
          <w:rStyle w:val="Hyperlink"/>
          <w:color w:val="auto"/>
          <w:u w:val="none"/>
        </w:rPr>
        <w:t>coconstruído</w:t>
      </w:r>
      <w:proofErr w:type="spellEnd"/>
      <w:r w:rsidRPr="0053555A">
        <w:rPr>
          <w:rStyle w:val="Hyperlink"/>
          <w:color w:val="auto"/>
          <w:u w:val="none"/>
        </w:rPr>
        <w:t xml:space="preserve"> e aplicado de forma adaptativa. Isso se manifesta na habilidade de articular diferentes dimensões de problemas, como saúde pública, sustentabilidade ambiental, desenvolvimento social e governança, por meio de uma abordagem holística. Embora desafios e barreiras na implementação da GC persistam, a validação de sua aplicabilidade em diversos casos de sucesso indica um alinhamento com a perspectiva </w:t>
      </w:r>
      <w:r w:rsidR="00AB22F3">
        <w:rPr>
          <w:rStyle w:val="Hyperlink"/>
          <w:color w:val="auto"/>
          <w:u w:val="none"/>
        </w:rPr>
        <w:t xml:space="preserve">de </w:t>
      </w:r>
      <w:r w:rsidRPr="0053555A">
        <w:rPr>
          <w:rStyle w:val="Hyperlink"/>
          <w:color w:val="auto"/>
          <w:u w:val="none"/>
        </w:rPr>
        <w:t>Dumay (2020), que discute uma GC que transcenda as fronteiras organizacionais e se volte para o bem comum.</w:t>
      </w:r>
      <w:r w:rsidR="007A62CE" w:rsidRPr="007A62CE">
        <w:t xml:space="preserve"> </w:t>
      </w:r>
    </w:p>
    <w:p w14:paraId="65152F95" w14:textId="77777777" w:rsidR="008D1720" w:rsidRDefault="007A62CE" w:rsidP="00027C5B">
      <w:pPr>
        <w:spacing w:beforeLines="119" w:before="285" w:line="250" w:lineRule="auto"/>
        <w:ind w:left="102" w:right="96"/>
      </w:pPr>
      <w:r>
        <w:t>Ao promover a governança do conhecimento e políticas baseadas em evidências, a GC oferece um caminho robusto para a construção de soluções mais eficazes e sustentáveis para os problemas sociais complexos. Pesquisas futuras devem continuar a enfatizar a validação empírica das estruturas de GC em contextos diversos, concentrando-se em impactos mensuráveis na resolução desses problemas.</w:t>
      </w:r>
    </w:p>
    <w:p w14:paraId="445B410A" w14:textId="77777777" w:rsidR="00F47F2D" w:rsidRDefault="00F47F2D" w:rsidP="00027C5B">
      <w:pPr>
        <w:spacing w:beforeLines="119" w:before="285" w:line="250" w:lineRule="auto"/>
        <w:ind w:left="102" w:right="96"/>
      </w:pPr>
    </w:p>
    <w:p w14:paraId="78CF5738" w14:textId="77777777" w:rsidR="00B76F88" w:rsidRPr="00F47F2D" w:rsidRDefault="00BE35BB">
      <w:pPr>
        <w:widowControl w:val="0"/>
        <w:spacing w:before="119" w:line="249" w:lineRule="auto"/>
        <w:ind w:left="100" w:right="98" w:firstLine="0"/>
        <w:rPr>
          <w:b/>
          <w:sz w:val="26"/>
          <w:szCs w:val="26"/>
        </w:rPr>
      </w:pPr>
      <w:r w:rsidRPr="00F47F2D">
        <w:rPr>
          <w:b/>
          <w:sz w:val="26"/>
          <w:szCs w:val="26"/>
        </w:rPr>
        <w:t>Referências</w:t>
      </w:r>
    </w:p>
    <w:p w14:paraId="4551F55B" w14:textId="77777777" w:rsidR="00BE35BB" w:rsidRPr="00BE35BB" w:rsidRDefault="00BE35BB" w:rsidP="003E54AC">
      <w:pPr>
        <w:widowControl w:val="0"/>
        <w:spacing w:before="120" w:after="120" w:line="240" w:lineRule="auto"/>
        <w:ind w:left="102" w:right="96" w:firstLine="0"/>
      </w:pPr>
      <w:r w:rsidRPr="00BE35BB">
        <w:t xml:space="preserve">AGUILERA, R. V.; ASPRILLA, A. </w:t>
      </w:r>
      <w:proofErr w:type="spellStart"/>
      <w:r w:rsidRPr="00BE35BB">
        <w:rPr>
          <w:i/>
          <w:iCs/>
        </w:rPr>
        <w:t>Innovación</w:t>
      </w:r>
      <w:proofErr w:type="spellEnd"/>
      <w:r w:rsidRPr="00BE35BB">
        <w:rPr>
          <w:i/>
          <w:iCs/>
        </w:rPr>
        <w:t xml:space="preserve"> social y </w:t>
      </w:r>
      <w:proofErr w:type="spellStart"/>
      <w:r w:rsidRPr="00BE35BB">
        <w:rPr>
          <w:i/>
          <w:iCs/>
        </w:rPr>
        <w:t>desarrollo</w:t>
      </w:r>
      <w:proofErr w:type="spellEnd"/>
      <w:r w:rsidRPr="00BE35BB">
        <w:rPr>
          <w:i/>
          <w:iCs/>
        </w:rPr>
        <w:t xml:space="preserve"> inclusivo: El papel </w:t>
      </w:r>
      <w:proofErr w:type="spellStart"/>
      <w:r w:rsidRPr="00BE35BB">
        <w:rPr>
          <w:i/>
          <w:iCs/>
        </w:rPr>
        <w:t>del</w:t>
      </w:r>
      <w:proofErr w:type="spellEnd"/>
      <w:r w:rsidRPr="00BE35BB">
        <w:rPr>
          <w:i/>
          <w:iCs/>
        </w:rPr>
        <w:t xml:space="preserve"> </w:t>
      </w:r>
      <w:proofErr w:type="spellStart"/>
      <w:r w:rsidRPr="00BE35BB">
        <w:rPr>
          <w:i/>
          <w:iCs/>
        </w:rPr>
        <w:t>tercer</w:t>
      </w:r>
      <w:proofErr w:type="spellEnd"/>
      <w:r w:rsidRPr="00BE35BB">
        <w:rPr>
          <w:i/>
          <w:iCs/>
        </w:rPr>
        <w:t xml:space="preserve"> sector </w:t>
      </w:r>
      <w:proofErr w:type="spellStart"/>
      <w:r w:rsidRPr="00BE35BB">
        <w:rPr>
          <w:i/>
          <w:iCs/>
        </w:rPr>
        <w:t>en</w:t>
      </w:r>
      <w:proofErr w:type="spellEnd"/>
      <w:r w:rsidRPr="00BE35BB">
        <w:rPr>
          <w:i/>
          <w:iCs/>
        </w:rPr>
        <w:t xml:space="preserve"> América Latina</w:t>
      </w:r>
      <w:r w:rsidRPr="00BE35BB">
        <w:t xml:space="preserve">. Barranquilla: Editorial </w:t>
      </w:r>
      <w:proofErr w:type="spellStart"/>
      <w:r w:rsidRPr="00BE35BB">
        <w:t>Universidad</w:t>
      </w:r>
      <w:proofErr w:type="spellEnd"/>
      <w:r w:rsidRPr="00BE35BB">
        <w:t xml:space="preserve"> </w:t>
      </w:r>
      <w:proofErr w:type="spellStart"/>
      <w:r w:rsidRPr="00BE35BB">
        <w:t>del</w:t>
      </w:r>
      <w:proofErr w:type="spellEnd"/>
      <w:r w:rsidRPr="00BE35BB">
        <w:t xml:space="preserve"> Norte, 2019.</w:t>
      </w:r>
    </w:p>
    <w:p w14:paraId="743E8131" w14:textId="77777777" w:rsidR="00BE35BB" w:rsidRPr="00225671" w:rsidRDefault="00BE35BB" w:rsidP="003E54AC">
      <w:pPr>
        <w:widowControl w:val="0"/>
        <w:spacing w:before="120" w:after="120" w:line="249" w:lineRule="auto"/>
        <w:ind w:left="100" w:right="98" w:firstLine="0"/>
        <w:rPr>
          <w:lang w:val="en-US"/>
        </w:rPr>
      </w:pPr>
      <w:r w:rsidRPr="00BE35BB">
        <w:t xml:space="preserve">AGYEMANG, B. K.; NGULUBE, P.; DUBE, L. Utilizando métodos de gestão do conhecimento para gerir o conhecimento indígena sobre a fabricação de contas entre as comunidades </w:t>
      </w:r>
      <w:proofErr w:type="spellStart"/>
      <w:r w:rsidRPr="00BE35BB">
        <w:t>Krobo</w:t>
      </w:r>
      <w:proofErr w:type="spellEnd"/>
      <w:r w:rsidRPr="00BE35BB">
        <w:t xml:space="preserve"> em Gana. </w:t>
      </w:r>
      <w:r w:rsidRPr="00225671">
        <w:rPr>
          <w:i/>
          <w:iCs/>
          <w:lang w:val="en-US"/>
        </w:rPr>
        <w:t>South African Journal of Information Management</w:t>
      </w:r>
      <w:r w:rsidRPr="00225671">
        <w:rPr>
          <w:lang w:val="en-US"/>
        </w:rPr>
        <w:t xml:space="preserve">, v. 21, n. 1, p. 1-9, 2019. </w:t>
      </w:r>
    </w:p>
    <w:p w14:paraId="1CEF2C8A" w14:textId="77777777" w:rsidR="00BE35BB" w:rsidRPr="00BE35BB" w:rsidRDefault="00BE35BB" w:rsidP="003E54AC">
      <w:pPr>
        <w:widowControl w:val="0"/>
        <w:spacing w:before="120" w:after="120" w:line="249" w:lineRule="auto"/>
        <w:ind w:left="100" w:right="98" w:firstLine="0"/>
      </w:pPr>
      <w:r w:rsidRPr="00225671">
        <w:rPr>
          <w:lang w:val="en-US"/>
        </w:rPr>
        <w:t xml:space="preserve">BARDIN, L. </w:t>
      </w:r>
      <w:r w:rsidRPr="00225671">
        <w:rPr>
          <w:i/>
          <w:iCs/>
          <w:lang w:val="en-US"/>
        </w:rPr>
        <w:t xml:space="preserve">Análise de </w:t>
      </w:r>
      <w:proofErr w:type="spellStart"/>
      <w:r w:rsidRPr="00225671">
        <w:rPr>
          <w:i/>
          <w:iCs/>
          <w:lang w:val="en-US"/>
        </w:rPr>
        <w:t>conteúdo</w:t>
      </w:r>
      <w:proofErr w:type="spellEnd"/>
      <w:r w:rsidRPr="00225671">
        <w:rPr>
          <w:lang w:val="en-US"/>
        </w:rPr>
        <w:t xml:space="preserve">. </w:t>
      </w:r>
      <w:r w:rsidRPr="00BE35BB">
        <w:t>Lisboa: Edições 70, 2010.</w:t>
      </w:r>
    </w:p>
    <w:p w14:paraId="1E8C67CD" w14:textId="77777777" w:rsidR="00BE35BB" w:rsidRPr="00BE35BB" w:rsidRDefault="00BE35BB" w:rsidP="003E54AC">
      <w:pPr>
        <w:widowControl w:val="0"/>
        <w:spacing w:before="120" w:after="120" w:line="249" w:lineRule="auto"/>
        <w:ind w:left="100" w:right="98" w:firstLine="0"/>
      </w:pPr>
      <w:r w:rsidRPr="00BE35BB">
        <w:t xml:space="preserve">______. </w:t>
      </w:r>
      <w:r w:rsidRPr="00BE35BB">
        <w:rPr>
          <w:i/>
          <w:iCs/>
        </w:rPr>
        <w:t>Análise de conteúdo</w:t>
      </w:r>
      <w:r w:rsidRPr="00BE35BB">
        <w:t>. Lisboa: Edições 70, 1977. v. 70, p. 225.</w:t>
      </w:r>
    </w:p>
    <w:p w14:paraId="0B76E9C2" w14:textId="77777777" w:rsidR="00BE35BB" w:rsidRPr="00BE35BB" w:rsidRDefault="00BE35BB" w:rsidP="003E54AC">
      <w:pPr>
        <w:widowControl w:val="0"/>
        <w:spacing w:before="120" w:after="120" w:line="249" w:lineRule="auto"/>
        <w:ind w:left="100" w:right="98" w:firstLine="0"/>
      </w:pPr>
      <w:r w:rsidRPr="00BE35BB">
        <w:t xml:space="preserve">BOTELHO, L. L. R.; CUNHA, C. C. de A.; MACEDO, M. The </w:t>
      </w:r>
      <w:proofErr w:type="spellStart"/>
      <w:r w:rsidRPr="00BE35BB">
        <w:t>integrative</w:t>
      </w:r>
      <w:proofErr w:type="spellEnd"/>
      <w:r w:rsidRPr="00BE35BB">
        <w:t xml:space="preserve"> review </w:t>
      </w:r>
      <w:proofErr w:type="spellStart"/>
      <w:r w:rsidRPr="00BE35BB">
        <w:t>method</w:t>
      </w:r>
      <w:proofErr w:type="spellEnd"/>
      <w:r w:rsidRPr="00BE35BB">
        <w:t xml:space="preserve"> in </w:t>
      </w:r>
      <w:proofErr w:type="spellStart"/>
      <w:r w:rsidRPr="00BE35BB">
        <w:t>organizational</w:t>
      </w:r>
      <w:proofErr w:type="spellEnd"/>
      <w:r w:rsidRPr="00BE35BB">
        <w:t xml:space="preserve"> </w:t>
      </w:r>
      <w:proofErr w:type="spellStart"/>
      <w:r w:rsidRPr="00BE35BB">
        <w:t>studies</w:t>
      </w:r>
      <w:proofErr w:type="spellEnd"/>
      <w:r w:rsidRPr="00BE35BB">
        <w:t xml:space="preserve">. </w:t>
      </w:r>
      <w:r w:rsidRPr="00BE35BB">
        <w:rPr>
          <w:i/>
          <w:iCs/>
        </w:rPr>
        <w:t>Gestão e Sociedade</w:t>
      </w:r>
      <w:r w:rsidRPr="00BE35BB">
        <w:t>, v. 5, n. 11, p. 121–136, 2011.</w:t>
      </w:r>
    </w:p>
    <w:p w14:paraId="6BF2797C" w14:textId="77777777" w:rsidR="00BE35BB" w:rsidRDefault="00BE35BB" w:rsidP="003E54AC">
      <w:pPr>
        <w:widowControl w:val="0"/>
        <w:spacing w:before="120" w:after="120" w:line="249" w:lineRule="auto"/>
        <w:ind w:left="100" w:right="98" w:firstLine="0"/>
      </w:pPr>
      <w:r w:rsidRPr="00BE35BB">
        <w:t xml:space="preserve">CASTRO, A. A. </w:t>
      </w:r>
      <w:r w:rsidRPr="00BE35BB">
        <w:rPr>
          <w:i/>
          <w:iCs/>
        </w:rPr>
        <w:t xml:space="preserve">Curso de revisão sistemática e </w:t>
      </w:r>
      <w:proofErr w:type="spellStart"/>
      <w:r w:rsidRPr="00BE35BB">
        <w:rPr>
          <w:i/>
          <w:iCs/>
        </w:rPr>
        <w:t>metanálise</w:t>
      </w:r>
      <w:proofErr w:type="spellEnd"/>
      <w:r w:rsidRPr="00BE35BB">
        <w:t xml:space="preserve">. São Paulo: Universidade Federal de São Paulo (UNIFESP), 2006. </w:t>
      </w:r>
    </w:p>
    <w:p w14:paraId="502B8B39" w14:textId="77777777" w:rsidR="00BE35BB" w:rsidRDefault="00BE35BB" w:rsidP="003E54AC">
      <w:pPr>
        <w:widowControl w:val="0"/>
        <w:spacing w:before="120" w:after="120" w:line="249" w:lineRule="auto"/>
        <w:ind w:left="100" w:right="98" w:firstLine="0"/>
      </w:pPr>
      <w:r w:rsidRPr="00BE35BB">
        <w:t xml:space="preserve">CRUZ-RODRÍGUEZ, J. A.; BAUTISTA-RODRÍGUEZ, S. C. Modelo de </w:t>
      </w:r>
      <w:proofErr w:type="spellStart"/>
      <w:r w:rsidRPr="00BE35BB">
        <w:t>Gestión</w:t>
      </w:r>
      <w:proofErr w:type="spellEnd"/>
      <w:r w:rsidRPr="00BE35BB">
        <w:t xml:space="preserve"> </w:t>
      </w:r>
      <w:proofErr w:type="spellStart"/>
      <w:r w:rsidRPr="00BE35BB">
        <w:t>del</w:t>
      </w:r>
      <w:proofErr w:type="spellEnd"/>
      <w:r w:rsidRPr="00BE35BB">
        <w:t xml:space="preserve"> </w:t>
      </w:r>
      <w:proofErr w:type="spellStart"/>
      <w:r w:rsidRPr="00BE35BB">
        <w:t>Conocimiento</w:t>
      </w:r>
      <w:proofErr w:type="spellEnd"/>
      <w:r w:rsidRPr="00BE35BB">
        <w:t xml:space="preserve"> Ambiental </w:t>
      </w:r>
      <w:proofErr w:type="spellStart"/>
      <w:r w:rsidRPr="00BE35BB">
        <w:t>en</w:t>
      </w:r>
      <w:proofErr w:type="spellEnd"/>
      <w:r w:rsidRPr="00BE35BB">
        <w:t xml:space="preserve"> </w:t>
      </w:r>
      <w:proofErr w:type="spellStart"/>
      <w:r w:rsidRPr="00BE35BB">
        <w:t>la</w:t>
      </w:r>
      <w:proofErr w:type="spellEnd"/>
      <w:r w:rsidRPr="00BE35BB">
        <w:t xml:space="preserve"> </w:t>
      </w:r>
      <w:proofErr w:type="spellStart"/>
      <w:r w:rsidRPr="00BE35BB">
        <w:t>Agroindustria</w:t>
      </w:r>
      <w:proofErr w:type="spellEnd"/>
      <w:r w:rsidRPr="00BE35BB">
        <w:t xml:space="preserve">: Caso Sector </w:t>
      </w:r>
      <w:proofErr w:type="spellStart"/>
      <w:r w:rsidRPr="00BE35BB">
        <w:t>Panelero</w:t>
      </w:r>
      <w:proofErr w:type="spellEnd"/>
      <w:r w:rsidRPr="00BE35BB">
        <w:t xml:space="preserve">. </w:t>
      </w:r>
      <w:r w:rsidRPr="00BE35BB">
        <w:rPr>
          <w:i/>
          <w:iCs/>
        </w:rPr>
        <w:t xml:space="preserve">Revista </w:t>
      </w:r>
      <w:proofErr w:type="spellStart"/>
      <w:r w:rsidRPr="00BE35BB">
        <w:rPr>
          <w:i/>
          <w:iCs/>
        </w:rPr>
        <w:t>Lasallista</w:t>
      </w:r>
      <w:proofErr w:type="spellEnd"/>
      <w:r w:rsidRPr="00BE35BB">
        <w:rPr>
          <w:i/>
          <w:iCs/>
        </w:rPr>
        <w:t xml:space="preserve"> De </w:t>
      </w:r>
      <w:proofErr w:type="spellStart"/>
      <w:r w:rsidRPr="00BE35BB">
        <w:rPr>
          <w:i/>
          <w:iCs/>
        </w:rPr>
        <w:t>Investigación</w:t>
      </w:r>
      <w:proofErr w:type="spellEnd"/>
      <w:r w:rsidRPr="00BE35BB">
        <w:t xml:space="preserve">, v. 18, n. 1, p. 48–64, 2021. </w:t>
      </w:r>
    </w:p>
    <w:p w14:paraId="3188E93E" w14:textId="77777777" w:rsidR="00BE35BB" w:rsidRPr="00225671" w:rsidRDefault="00BE35BB" w:rsidP="003E54AC">
      <w:pPr>
        <w:widowControl w:val="0"/>
        <w:spacing w:before="120" w:after="120" w:line="249" w:lineRule="auto"/>
        <w:ind w:left="100" w:right="98" w:firstLine="0"/>
        <w:rPr>
          <w:lang w:val="en-US"/>
        </w:rPr>
      </w:pPr>
      <w:r w:rsidRPr="00BE35BB">
        <w:t xml:space="preserve">DOCAL, M. et al. </w:t>
      </w:r>
      <w:r w:rsidRPr="00225671">
        <w:rPr>
          <w:lang w:val="en-US"/>
        </w:rPr>
        <w:t xml:space="preserve">Digital knowledge dissemination: The Global Alliance for Nursing and Midwifery community of practice. </w:t>
      </w:r>
      <w:proofErr w:type="spellStart"/>
      <w:r w:rsidRPr="00225671">
        <w:rPr>
          <w:i/>
          <w:iCs/>
          <w:lang w:val="en-US"/>
        </w:rPr>
        <w:t>Revista</w:t>
      </w:r>
      <w:proofErr w:type="spellEnd"/>
      <w:r w:rsidRPr="00225671">
        <w:rPr>
          <w:i/>
          <w:iCs/>
          <w:lang w:val="en-US"/>
        </w:rPr>
        <w:t xml:space="preserve"> </w:t>
      </w:r>
      <w:proofErr w:type="spellStart"/>
      <w:r w:rsidRPr="00225671">
        <w:rPr>
          <w:i/>
          <w:iCs/>
          <w:lang w:val="en-US"/>
        </w:rPr>
        <w:t>Panamericana</w:t>
      </w:r>
      <w:proofErr w:type="spellEnd"/>
      <w:r w:rsidRPr="00225671">
        <w:rPr>
          <w:i/>
          <w:iCs/>
          <w:lang w:val="en-US"/>
        </w:rPr>
        <w:t xml:space="preserve"> de Salud </w:t>
      </w:r>
      <w:proofErr w:type="spellStart"/>
      <w:r w:rsidRPr="00225671">
        <w:rPr>
          <w:i/>
          <w:iCs/>
          <w:lang w:val="en-US"/>
        </w:rPr>
        <w:t>Pública</w:t>
      </w:r>
      <w:proofErr w:type="spellEnd"/>
      <w:r w:rsidRPr="00225671">
        <w:rPr>
          <w:lang w:val="en-US"/>
        </w:rPr>
        <w:t>, v. 49, e20, 2025.</w:t>
      </w:r>
    </w:p>
    <w:p w14:paraId="6C68B9B3" w14:textId="77777777" w:rsidR="00BE35BB" w:rsidRPr="00225671" w:rsidRDefault="00BE35BB" w:rsidP="003E54AC">
      <w:pPr>
        <w:widowControl w:val="0"/>
        <w:spacing w:before="120" w:after="120" w:line="249" w:lineRule="auto"/>
        <w:ind w:left="100" w:right="98" w:firstLine="0"/>
        <w:rPr>
          <w:lang w:val="en-US"/>
        </w:rPr>
      </w:pPr>
      <w:r w:rsidRPr="00225671">
        <w:rPr>
          <w:lang w:val="en-US"/>
        </w:rPr>
        <w:t xml:space="preserve">DUMAY, J. Using critical KM to address wicked problems. </w:t>
      </w:r>
      <w:r w:rsidRPr="00225671">
        <w:rPr>
          <w:i/>
          <w:iCs/>
          <w:lang w:val="en-US"/>
        </w:rPr>
        <w:t>Knowledge Management Research &amp; Practice</w:t>
      </w:r>
      <w:r w:rsidRPr="00225671">
        <w:rPr>
          <w:lang w:val="en-US"/>
        </w:rPr>
        <w:t>, v. 20, n. 5, p. 767–775, 2020.</w:t>
      </w:r>
    </w:p>
    <w:p w14:paraId="73E637E8" w14:textId="77777777" w:rsidR="00BE35BB" w:rsidRDefault="00BE35BB" w:rsidP="003E54AC">
      <w:pPr>
        <w:widowControl w:val="0"/>
        <w:spacing w:before="120" w:after="120" w:line="249" w:lineRule="auto"/>
        <w:ind w:left="100" w:right="98" w:firstLine="0"/>
      </w:pPr>
      <w:r w:rsidRPr="00225671">
        <w:rPr>
          <w:lang w:val="en-US"/>
        </w:rPr>
        <w:t xml:space="preserve">FELICIANO, D. et al. Learning about forest ownership and management issues in Europe while travelling: The </w:t>
      </w:r>
      <w:proofErr w:type="spellStart"/>
      <w:r w:rsidRPr="00225671">
        <w:rPr>
          <w:lang w:val="en-US"/>
        </w:rPr>
        <w:t>Travellab</w:t>
      </w:r>
      <w:proofErr w:type="spellEnd"/>
      <w:r w:rsidRPr="00225671">
        <w:rPr>
          <w:lang w:val="en-US"/>
        </w:rPr>
        <w:t xml:space="preserve"> approach. </w:t>
      </w:r>
      <w:r w:rsidRPr="00BE35BB">
        <w:rPr>
          <w:i/>
          <w:iCs/>
        </w:rPr>
        <w:t xml:space="preserve">Forest </w:t>
      </w:r>
      <w:proofErr w:type="spellStart"/>
      <w:r w:rsidRPr="00BE35BB">
        <w:rPr>
          <w:i/>
          <w:iCs/>
        </w:rPr>
        <w:t>Policy</w:t>
      </w:r>
      <w:proofErr w:type="spellEnd"/>
      <w:r w:rsidRPr="00BE35BB">
        <w:rPr>
          <w:i/>
          <w:iCs/>
        </w:rPr>
        <w:t xml:space="preserve"> </w:t>
      </w:r>
      <w:proofErr w:type="spellStart"/>
      <w:r w:rsidRPr="00BE35BB">
        <w:rPr>
          <w:i/>
          <w:iCs/>
        </w:rPr>
        <w:t>and</w:t>
      </w:r>
      <w:proofErr w:type="spellEnd"/>
      <w:r w:rsidRPr="00BE35BB">
        <w:rPr>
          <w:i/>
          <w:iCs/>
        </w:rPr>
        <w:t xml:space="preserve"> </w:t>
      </w:r>
      <w:proofErr w:type="spellStart"/>
      <w:r w:rsidRPr="00BE35BB">
        <w:rPr>
          <w:i/>
          <w:iCs/>
        </w:rPr>
        <w:t>Economics</w:t>
      </w:r>
      <w:proofErr w:type="spellEnd"/>
      <w:r w:rsidRPr="00BE35BB">
        <w:t xml:space="preserve">, v. 99, p. 32–42, 2019. </w:t>
      </w:r>
    </w:p>
    <w:p w14:paraId="61FBB464" w14:textId="77777777" w:rsidR="00BE35BB" w:rsidRDefault="00BE35BB" w:rsidP="003E54AC">
      <w:pPr>
        <w:widowControl w:val="0"/>
        <w:spacing w:before="120" w:after="120" w:line="249" w:lineRule="auto"/>
        <w:ind w:left="100" w:right="98" w:firstLine="0"/>
      </w:pPr>
      <w:r w:rsidRPr="00BE35BB">
        <w:t xml:space="preserve">FERENHOF, H. A.; FERNANDES, R. F. Passos para construção da revisão sistemática e bibliometria. Versão 3.02. 2014. </w:t>
      </w:r>
    </w:p>
    <w:p w14:paraId="10445CF0" w14:textId="77777777" w:rsidR="00BE35BB" w:rsidRPr="00BE35BB" w:rsidRDefault="00BE35BB" w:rsidP="003E54AC">
      <w:pPr>
        <w:widowControl w:val="0"/>
        <w:spacing w:before="120" w:after="120" w:line="249" w:lineRule="auto"/>
        <w:ind w:left="100" w:right="98" w:firstLine="0"/>
      </w:pPr>
      <w:r w:rsidRPr="00BE35BB">
        <w:t xml:space="preserve">FERENHOF, H. A.; FERNANDES, R. F. Desmistificando a revisão de literatura como base para redação científica: Método SSF. </w:t>
      </w:r>
      <w:r w:rsidRPr="00BE35BB">
        <w:rPr>
          <w:i/>
          <w:iCs/>
        </w:rPr>
        <w:t>Revista ACB: Biblioteconomia em Santa Catarina</w:t>
      </w:r>
      <w:r w:rsidRPr="00BE35BB">
        <w:t>, v. 21, n. 3, p. 550–563, 2016.</w:t>
      </w:r>
    </w:p>
    <w:p w14:paraId="29AE194A" w14:textId="77777777" w:rsidR="00BE35BB" w:rsidRPr="00BE35BB" w:rsidRDefault="00BE35BB" w:rsidP="003E54AC">
      <w:pPr>
        <w:widowControl w:val="0"/>
        <w:spacing w:before="120" w:after="120" w:line="249" w:lineRule="auto"/>
        <w:ind w:left="100" w:right="98" w:firstLine="0"/>
      </w:pPr>
      <w:r w:rsidRPr="00BE35BB">
        <w:t xml:space="preserve">FERENHOF, H. A.; FERNANDES, R. F. </w:t>
      </w:r>
      <w:proofErr w:type="spellStart"/>
      <w:r w:rsidRPr="00BE35BB">
        <w:t>Demystifying</w:t>
      </w:r>
      <w:proofErr w:type="spellEnd"/>
      <w:r w:rsidRPr="00BE35BB">
        <w:t xml:space="preserve"> </w:t>
      </w:r>
      <w:proofErr w:type="spellStart"/>
      <w:r w:rsidRPr="00BE35BB">
        <w:t>literature</w:t>
      </w:r>
      <w:proofErr w:type="spellEnd"/>
      <w:r w:rsidRPr="00BE35BB">
        <w:t xml:space="preserve"> review in </w:t>
      </w:r>
      <w:proofErr w:type="spellStart"/>
      <w:r w:rsidRPr="00BE35BB">
        <w:t>the</w:t>
      </w:r>
      <w:proofErr w:type="spellEnd"/>
      <w:r w:rsidRPr="00BE35BB">
        <w:t xml:space="preserve"> AI era: </w:t>
      </w:r>
      <w:proofErr w:type="spellStart"/>
      <w:r w:rsidRPr="00BE35BB">
        <w:t>Updating</w:t>
      </w:r>
      <w:proofErr w:type="spellEnd"/>
      <w:r w:rsidRPr="00BE35BB">
        <w:t xml:space="preserve"> </w:t>
      </w:r>
      <w:proofErr w:type="spellStart"/>
      <w:r w:rsidRPr="00BE35BB">
        <w:t>the</w:t>
      </w:r>
      <w:proofErr w:type="spellEnd"/>
      <w:r w:rsidRPr="00BE35BB">
        <w:t xml:space="preserve"> SSF </w:t>
      </w:r>
      <w:proofErr w:type="spellStart"/>
      <w:r w:rsidRPr="00BE35BB">
        <w:t>method</w:t>
      </w:r>
      <w:proofErr w:type="spellEnd"/>
      <w:r w:rsidRPr="00BE35BB">
        <w:t xml:space="preserve"> </w:t>
      </w:r>
      <w:proofErr w:type="spellStart"/>
      <w:r w:rsidRPr="00BE35BB">
        <w:t>with</w:t>
      </w:r>
      <w:proofErr w:type="spellEnd"/>
      <w:r w:rsidRPr="00BE35BB">
        <w:t xml:space="preserve"> </w:t>
      </w:r>
      <w:proofErr w:type="spellStart"/>
      <w:r w:rsidRPr="00BE35BB">
        <w:t>generative</w:t>
      </w:r>
      <w:proofErr w:type="spellEnd"/>
      <w:r w:rsidRPr="00BE35BB">
        <w:t xml:space="preserve"> artificial </w:t>
      </w:r>
      <w:proofErr w:type="spellStart"/>
      <w:r w:rsidRPr="00BE35BB">
        <w:t>intelligence</w:t>
      </w:r>
      <w:proofErr w:type="spellEnd"/>
      <w:r w:rsidRPr="00BE35BB">
        <w:t xml:space="preserve"> </w:t>
      </w:r>
      <w:proofErr w:type="spellStart"/>
      <w:r w:rsidRPr="00BE35BB">
        <w:t>support</w:t>
      </w:r>
      <w:proofErr w:type="spellEnd"/>
      <w:r w:rsidRPr="00BE35BB">
        <w:t xml:space="preserve">. </w:t>
      </w:r>
      <w:proofErr w:type="spellStart"/>
      <w:r w:rsidRPr="00BE35BB">
        <w:rPr>
          <w:i/>
          <w:iCs/>
        </w:rPr>
        <w:t>Biblios</w:t>
      </w:r>
      <w:proofErr w:type="spellEnd"/>
      <w:r w:rsidRPr="00BE35BB">
        <w:t>, n. 88, 2025.</w:t>
      </w:r>
    </w:p>
    <w:p w14:paraId="170CE4E8" w14:textId="77777777" w:rsidR="00BE35BB" w:rsidRPr="00225671" w:rsidRDefault="00BE35BB" w:rsidP="003E54AC">
      <w:pPr>
        <w:widowControl w:val="0"/>
        <w:spacing w:before="120" w:after="120" w:line="249" w:lineRule="auto"/>
        <w:ind w:left="100" w:right="98" w:firstLine="0"/>
        <w:rPr>
          <w:lang w:val="en-US"/>
        </w:rPr>
      </w:pPr>
      <w:r w:rsidRPr="00BE35BB">
        <w:t xml:space="preserve">FREIRE, P. de S.; SILVA, S. M.; SILVA, T. C. </w:t>
      </w:r>
      <w:r w:rsidRPr="00BE35BB">
        <w:rPr>
          <w:i/>
          <w:iCs/>
        </w:rPr>
        <w:t>Governança da aprendizagem e do conhecimento organizacional</w:t>
      </w:r>
      <w:r w:rsidRPr="00BE35BB">
        <w:t xml:space="preserve">. </w:t>
      </w:r>
      <w:r w:rsidRPr="00225671">
        <w:rPr>
          <w:lang w:val="en-US"/>
        </w:rPr>
        <w:t xml:space="preserve">1. ed. </w:t>
      </w:r>
      <w:proofErr w:type="spellStart"/>
      <w:r w:rsidRPr="00225671">
        <w:rPr>
          <w:lang w:val="en-US"/>
        </w:rPr>
        <w:t>Florianópolis</w:t>
      </w:r>
      <w:proofErr w:type="spellEnd"/>
      <w:r w:rsidRPr="00225671">
        <w:rPr>
          <w:lang w:val="en-US"/>
        </w:rPr>
        <w:t xml:space="preserve">, SC: </w:t>
      </w:r>
      <w:proofErr w:type="spellStart"/>
      <w:r w:rsidRPr="00225671">
        <w:rPr>
          <w:lang w:val="en-US"/>
        </w:rPr>
        <w:t>Editora</w:t>
      </w:r>
      <w:proofErr w:type="spellEnd"/>
      <w:r w:rsidRPr="00225671">
        <w:rPr>
          <w:lang w:val="en-US"/>
        </w:rPr>
        <w:t xml:space="preserve"> </w:t>
      </w:r>
      <w:proofErr w:type="spellStart"/>
      <w:r w:rsidRPr="00225671">
        <w:rPr>
          <w:lang w:val="en-US"/>
        </w:rPr>
        <w:t>Arquétipos</w:t>
      </w:r>
      <w:proofErr w:type="spellEnd"/>
      <w:r w:rsidRPr="00225671">
        <w:rPr>
          <w:lang w:val="en-US"/>
        </w:rPr>
        <w:t>, 2021.</w:t>
      </w:r>
    </w:p>
    <w:p w14:paraId="64B65486" w14:textId="77777777" w:rsidR="00BE35BB" w:rsidRPr="00225671" w:rsidRDefault="00BE35BB" w:rsidP="003E54AC">
      <w:pPr>
        <w:widowControl w:val="0"/>
        <w:spacing w:before="120" w:after="120" w:line="249" w:lineRule="auto"/>
        <w:ind w:left="100" w:right="98" w:firstLine="0"/>
        <w:rPr>
          <w:lang w:val="en-US"/>
        </w:rPr>
      </w:pPr>
      <w:r w:rsidRPr="00225671">
        <w:rPr>
          <w:lang w:val="en-US"/>
        </w:rPr>
        <w:t xml:space="preserve">HAYNES, A. et al. Applying systems thinking to knowledge </w:t>
      </w:r>
      <w:proofErr w:type="spellStart"/>
      <w:r w:rsidRPr="00225671">
        <w:rPr>
          <w:lang w:val="en-US"/>
        </w:rPr>
        <w:t>mobilisation</w:t>
      </w:r>
      <w:proofErr w:type="spellEnd"/>
      <w:r w:rsidRPr="00225671">
        <w:rPr>
          <w:lang w:val="en-US"/>
        </w:rPr>
        <w:t xml:space="preserve"> in public health. </w:t>
      </w:r>
      <w:r w:rsidRPr="00225671">
        <w:rPr>
          <w:i/>
          <w:iCs/>
          <w:lang w:val="en-US"/>
        </w:rPr>
        <w:t>Health Research Policy and Systems</w:t>
      </w:r>
      <w:r w:rsidRPr="00225671">
        <w:rPr>
          <w:lang w:val="en-US"/>
        </w:rPr>
        <w:t xml:space="preserve">, v. 18, art. 134, 2020. </w:t>
      </w:r>
    </w:p>
    <w:p w14:paraId="41D57404" w14:textId="77777777" w:rsidR="00BE35BB" w:rsidRPr="00225671" w:rsidRDefault="00BE35BB" w:rsidP="003E54AC">
      <w:pPr>
        <w:widowControl w:val="0"/>
        <w:spacing w:before="120" w:after="120" w:line="249" w:lineRule="auto"/>
        <w:ind w:left="100" w:right="98" w:firstLine="0"/>
        <w:rPr>
          <w:lang w:val="en-US"/>
        </w:rPr>
      </w:pPr>
      <w:r w:rsidRPr="00225671">
        <w:rPr>
          <w:lang w:val="en-US"/>
        </w:rPr>
        <w:t xml:space="preserve">HIGGINS, J. P. T.; GREEN, S. (Ed.). </w:t>
      </w:r>
      <w:r w:rsidRPr="00225671">
        <w:rPr>
          <w:i/>
          <w:iCs/>
          <w:lang w:val="en-US"/>
        </w:rPr>
        <w:t>Cochrane Handbook for Systematic Reviews of Interventions</w:t>
      </w:r>
      <w:r w:rsidRPr="00225671">
        <w:rPr>
          <w:lang w:val="en-US"/>
        </w:rPr>
        <w:t>. Version 5.1.0. The Cochrane Collaboration, 2011.</w:t>
      </w:r>
    </w:p>
    <w:p w14:paraId="34D0A767" w14:textId="77777777" w:rsidR="00BE35BB" w:rsidRPr="00225671" w:rsidRDefault="00BE35BB" w:rsidP="003E54AC">
      <w:pPr>
        <w:widowControl w:val="0"/>
        <w:spacing w:before="120" w:after="120" w:line="249" w:lineRule="auto"/>
        <w:ind w:left="100" w:right="98" w:firstLine="0"/>
        <w:rPr>
          <w:lang w:val="en-US"/>
        </w:rPr>
      </w:pPr>
      <w:r w:rsidRPr="00225671">
        <w:rPr>
          <w:lang w:val="en-US"/>
        </w:rPr>
        <w:t xml:space="preserve">HOLLANDER, A. D. et al. Workflows for knowledge co-production—Meat and dairy </w:t>
      </w:r>
      <w:r w:rsidRPr="00225671">
        <w:rPr>
          <w:lang w:val="en-US"/>
        </w:rPr>
        <w:lastRenderedPageBreak/>
        <w:t xml:space="preserve">processing in Ohio and Northern California. </w:t>
      </w:r>
      <w:r w:rsidRPr="00225671">
        <w:rPr>
          <w:i/>
          <w:iCs/>
          <w:lang w:val="en-US"/>
        </w:rPr>
        <w:t>Sustainability</w:t>
      </w:r>
      <w:r w:rsidRPr="00225671">
        <w:rPr>
          <w:lang w:val="en-US"/>
        </w:rPr>
        <w:t xml:space="preserve">, v. 15, 9991, 2023. </w:t>
      </w:r>
    </w:p>
    <w:p w14:paraId="4265A441" w14:textId="77777777" w:rsidR="00BE35BB" w:rsidRPr="00BE35BB" w:rsidRDefault="00BE35BB" w:rsidP="003E54AC">
      <w:pPr>
        <w:widowControl w:val="0"/>
        <w:spacing w:before="120" w:after="120" w:line="249" w:lineRule="auto"/>
        <w:ind w:left="100" w:right="98" w:firstLine="0"/>
      </w:pPr>
      <w:r w:rsidRPr="00225671">
        <w:rPr>
          <w:lang w:val="en-US"/>
        </w:rPr>
        <w:t xml:space="preserve">JOHNSON, D.; MARTI, M.; COSIO, F. G. D. Knowledge management strategy for advancing the national health agenda in Dominica. </w:t>
      </w:r>
      <w:r w:rsidRPr="00BE35BB">
        <w:rPr>
          <w:i/>
          <w:iCs/>
        </w:rPr>
        <w:t xml:space="preserve">Revista Panamericana de </w:t>
      </w:r>
      <w:proofErr w:type="spellStart"/>
      <w:r w:rsidRPr="00BE35BB">
        <w:rPr>
          <w:i/>
          <w:iCs/>
        </w:rPr>
        <w:t>Salud</w:t>
      </w:r>
      <w:proofErr w:type="spellEnd"/>
      <w:r w:rsidRPr="00BE35BB">
        <w:rPr>
          <w:i/>
          <w:iCs/>
        </w:rPr>
        <w:t xml:space="preserve"> Pública</w:t>
      </w:r>
      <w:r w:rsidRPr="00BE35BB">
        <w:t>, v. 41, e3, 2018.</w:t>
      </w:r>
    </w:p>
    <w:p w14:paraId="505B23A9" w14:textId="77777777" w:rsidR="00BE35BB" w:rsidRPr="00BE35BB" w:rsidRDefault="00BE35BB" w:rsidP="003E54AC">
      <w:pPr>
        <w:widowControl w:val="0"/>
        <w:spacing w:before="120" w:after="120" w:line="249" w:lineRule="auto"/>
        <w:ind w:left="100" w:right="98" w:firstLine="0"/>
      </w:pPr>
      <w:r w:rsidRPr="00BE35BB">
        <w:t xml:space="preserve">KEMPNER-MOREIRA, F. K.; FREIRE, P. S. Redes </w:t>
      </w:r>
      <w:proofErr w:type="spellStart"/>
      <w:r w:rsidRPr="00BE35BB">
        <w:t>interorganizacionais</w:t>
      </w:r>
      <w:proofErr w:type="spellEnd"/>
      <w:r w:rsidRPr="00BE35BB">
        <w:t xml:space="preserve"> de aprendizagem para a segurança pública: O modelo do Colegiado Superior de Segurança Pública e Perícia Oficial do Estado de Santa Catarina. </w:t>
      </w:r>
      <w:r w:rsidRPr="00BE35BB">
        <w:rPr>
          <w:i/>
          <w:iCs/>
        </w:rPr>
        <w:t>Revista do Instituto Brasileiro de Segurança Pública</w:t>
      </w:r>
      <w:r w:rsidRPr="00BE35BB">
        <w:t>, v. 4, p. 1–19, 2021.</w:t>
      </w:r>
    </w:p>
    <w:p w14:paraId="5373E043" w14:textId="77777777" w:rsidR="00BE35BB" w:rsidRPr="00BE35BB" w:rsidRDefault="00BE35BB" w:rsidP="003E54AC">
      <w:pPr>
        <w:widowControl w:val="0"/>
        <w:spacing w:before="120" w:after="120" w:line="249" w:lineRule="auto"/>
        <w:ind w:left="100" w:right="98" w:firstLine="0"/>
      </w:pPr>
      <w:r w:rsidRPr="00BE35BB">
        <w:t xml:space="preserve">LÓPEZ, M.; GÓMEZ, G.; MARULANDA, C. </w:t>
      </w:r>
      <w:proofErr w:type="spellStart"/>
      <w:r w:rsidRPr="00BE35BB">
        <w:t>Gestión</w:t>
      </w:r>
      <w:proofErr w:type="spellEnd"/>
      <w:r w:rsidRPr="00BE35BB">
        <w:t xml:space="preserve"> </w:t>
      </w:r>
      <w:proofErr w:type="spellStart"/>
      <w:r w:rsidRPr="00BE35BB">
        <w:t>del</w:t>
      </w:r>
      <w:proofErr w:type="spellEnd"/>
      <w:r w:rsidRPr="00BE35BB">
        <w:t xml:space="preserve"> </w:t>
      </w:r>
      <w:proofErr w:type="spellStart"/>
      <w:r w:rsidRPr="00BE35BB">
        <w:t>conocimiento</w:t>
      </w:r>
      <w:proofErr w:type="spellEnd"/>
      <w:r w:rsidRPr="00BE35BB">
        <w:t xml:space="preserve"> </w:t>
      </w:r>
      <w:proofErr w:type="spellStart"/>
      <w:r w:rsidRPr="00BE35BB">
        <w:t>en</w:t>
      </w:r>
      <w:proofErr w:type="spellEnd"/>
      <w:r w:rsidRPr="00BE35BB">
        <w:t xml:space="preserve"> </w:t>
      </w:r>
      <w:proofErr w:type="spellStart"/>
      <w:r w:rsidRPr="00BE35BB">
        <w:t>el</w:t>
      </w:r>
      <w:proofErr w:type="spellEnd"/>
      <w:r w:rsidRPr="00BE35BB">
        <w:t xml:space="preserve"> programa de </w:t>
      </w:r>
      <w:proofErr w:type="spellStart"/>
      <w:r w:rsidRPr="00BE35BB">
        <w:t>reconstrucción</w:t>
      </w:r>
      <w:proofErr w:type="spellEnd"/>
      <w:r w:rsidRPr="00BE35BB">
        <w:t xml:space="preserve"> </w:t>
      </w:r>
      <w:proofErr w:type="spellStart"/>
      <w:r w:rsidRPr="00BE35BB">
        <w:t>del</w:t>
      </w:r>
      <w:proofErr w:type="spellEnd"/>
      <w:r w:rsidRPr="00BE35BB">
        <w:t xml:space="preserve"> </w:t>
      </w:r>
      <w:proofErr w:type="spellStart"/>
      <w:r w:rsidRPr="00BE35BB">
        <w:t>tejido</w:t>
      </w:r>
      <w:proofErr w:type="spellEnd"/>
      <w:r w:rsidRPr="00BE35BB">
        <w:t xml:space="preserve"> social </w:t>
      </w:r>
      <w:proofErr w:type="spellStart"/>
      <w:r w:rsidRPr="00BE35BB">
        <w:t>en</w:t>
      </w:r>
      <w:proofErr w:type="spellEnd"/>
      <w:r w:rsidRPr="00BE35BB">
        <w:t xml:space="preserve"> zonas de </w:t>
      </w:r>
      <w:proofErr w:type="spellStart"/>
      <w:r w:rsidRPr="00BE35BB">
        <w:t>posconflicto</w:t>
      </w:r>
      <w:proofErr w:type="spellEnd"/>
      <w:r w:rsidRPr="00BE35BB">
        <w:t xml:space="preserve"> </w:t>
      </w:r>
      <w:proofErr w:type="spellStart"/>
      <w:r w:rsidRPr="00BE35BB">
        <w:t>en</w:t>
      </w:r>
      <w:proofErr w:type="spellEnd"/>
      <w:r w:rsidRPr="00BE35BB">
        <w:t xml:space="preserve"> </w:t>
      </w:r>
      <w:proofErr w:type="spellStart"/>
      <w:r w:rsidRPr="00BE35BB">
        <w:t>Colombia</w:t>
      </w:r>
      <w:proofErr w:type="spellEnd"/>
      <w:r w:rsidRPr="00BE35BB">
        <w:t xml:space="preserve">. </w:t>
      </w:r>
      <w:proofErr w:type="spellStart"/>
      <w:r w:rsidRPr="00BE35BB">
        <w:rPr>
          <w:i/>
          <w:iCs/>
        </w:rPr>
        <w:t>Información</w:t>
      </w:r>
      <w:proofErr w:type="spellEnd"/>
      <w:r w:rsidRPr="00BE35BB">
        <w:rPr>
          <w:i/>
          <w:iCs/>
        </w:rPr>
        <w:t xml:space="preserve"> Tecnológica</w:t>
      </w:r>
      <w:r w:rsidRPr="00BE35BB">
        <w:t>, v. 33, n. 4, p. 21–30, 2022.</w:t>
      </w:r>
    </w:p>
    <w:p w14:paraId="1F6F4A53" w14:textId="2990D9F0" w:rsidR="00BE35BB" w:rsidRPr="00225671" w:rsidRDefault="00BE35BB" w:rsidP="003E54AC">
      <w:pPr>
        <w:widowControl w:val="0"/>
        <w:spacing w:before="120" w:after="120" w:line="249" w:lineRule="auto"/>
        <w:ind w:left="100" w:right="98" w:firstLine="0"/>
        <w:rPr>
          <w:lang w:val="en-US"/>
        </w:rPr>
      </w:pPr>
      <w:r w:rsidRPr="00BE35BB">
        <w:t>MARTÍNEZ</w:t>
      </w:r>
      <w:r w:rsidR="00A214EA">
        <w:t>-</w:t>
      </w:r>
      <w:r w:rsidRPr="00BE35BB">
        <w:t xml:space="preserve">HERRERA, E.; LÓPEZ RÍOS, J. M.; SALAS ZAPATA, L. Lecciones aprendidas de </w:t>
      </w:r>
      <w:proofErr w:type="spellStart"/>
      <w:r w:rsidRPr="00BE35BB">
        <w:t>gestión</w:t>
      </w:r>
      <w:proofErr w:type="spellEnd"/>
      <w:r w:rsidRPr="00BE35BB">
        <w:t xml:space="preserve"> </w:t>
      </w:r>
      <w:proofErr w:type="spellStart"/>
      <w:r w:rsidRPr="00BE35BB">
        <w:t>del</w:t>
      </w:r>
      <w:proofErr w:type="spellEnd"/>
      <w:r w:rsidRPr="00BE35BB">
        <w:t xml:space="preserve"> </w:t>
      </w:r>
      <w:proofErr w:type="spellStart"/>
      <w:r w:rsidRPr="00BE35BB">
        <w:t>conocimiento</w:t>
      </w:r>
      <w:proofErr w:type="spellEnd"/>
      <w:r w:rsidRPr="00BE35BB">
        <w:t xml:space="preserve"> para </w:t>
      </w:r>
      <w:proofErr w:type="spellStart"/>
      <w:r w:rsidRPr="00BE35BB">
        <w:t>la</w:t>
      </w:r>
      <w:proofErr w:type="spellEnd"/>
      <w:r w:rsidRPr="00BE35BB">
        <w:t xml:space="preserve"> </w:t>
      </w:r>
      <w:proofErr w:type="spellStart"/>
      <w:r w:rsidRPr="00BE35BB">
        <w:t>salud</w:t>
      </w:r>
      <w:proofErr w:type="spellEnd"/>
      <w:r w:rsidRPr="00BE35BB">
        <w:t xml:space="preserve"> pública: </w:t>
      </w:r>
      <w:proofErr w:type="spellStart"/>
      <w:r w:rsidRPr="00BE35BB">
        <w:t>Algunos</w:t>
      </w:r>
      <w:proofErr w:type="spellEnd"/>
      <w:r w:rsidRPr="00BE35BB">
        <w:t xml:space="preserve"> </w:t>
      </w:r>
      <w:proofErr w:type="spellStart"/>
      <w:r w:rsidRPr="00BE35BB">
        <w:t>espacios</w:t>
      </w:r>
      <w:proofErr w:type="spellEnd"/>
      <w:r w:rsidRPr="00BE35BB">
        <w:t xml:space="preserve"> observados </w:t>
      </w:r>
      <w:proofErr w:type="spellStart"/>
      <w:r w:rsidRPr="00BE35BB">
        <w:t>en</w:t>
      </w:r>
      <w:proofErr w:type="spellEnd"/>
      <w:r w:rsidRPr="00BE35BB">
        <w:t xml:space="preserve"> </w:t>
      </w:r>
      <w:proofErr w:type="spellStart"/>
      <w:r w:rsidRPr="00BE35BB">
        <w:t>Colombia</w:t>
      </w:r>
      <w:proofErr w:type="spellEnd"/>
      <w:r w:rsidRPr="00BE35BB">
        <w:t xml:space="preserve">. </w:t>
      </w:r>
      <w:proofErr w:type="spellStart"/>
      <w:r w:rsidRPr="00225671">
        <w:rPr>
          <w:i/>
          <w:iCs/>
          <w:lang w:val="en-US"/>
        </w:rPr>
        <w:t>Revista</w:t>
      </w:r>
      <w:proofErr w:type="spellEnd"/>
      <w:r w:rsidRPr="00225671">
        <w:rPr>
          <w:i/>
          <w:iCs/>
          <w:lang w:val="en-US"/>
        </w:rPr>
        <w:t xml:space="preserve"> </w:t>
      </w:r>
      <w:proofErr w:type="spellStart"/>
      <w:r w:rsidRPr="00225671">
        <w:rPr>
          <w:i/>
          <w:iCs/>
          <w:lang w:val="en-US"/>
        </w:rPr>
        <w:t>Gerencia</w:t>
      </w:r>
      <w:proofErr w:type="spellEnd"/>
      <w:r w:rsidRPr="00225671">
        <w:rPr>
          <w:i/>
          <w:iCs/>
          <w:lang w:val="en-US"/>
        </w:rPr>
        <w:t xml:space="preserve"> y </w:t>
      </w:r>
      <w:proofErr w:type="spellStart"/>
      <w:r w:rsidRPr="00225671">
        <w:rPr>
          <w:i/>
          <w:iCs/>
          <w:lang w:val="en-US"/>
        </w:rPr>
        <w:t>Políticas</w:t>
      </w:r>
      <w:proofErr w:type="spellEnd"/>
      <w:r w:rsidRPr="00225671">
        <w:rPr>
          <w:i/>
          <w:iCs/>
          <w:lang w:val="en-US"/>
        </w:rPr>
        <w:t xml:space="preserve"> de Salud</w:t>
      </w:r>
      <w:r w:rsidRPr="00225671">
        <w:rPr>
          <w:lang w:val="en-US"/>
        </w:rPr>
        <w:t xml:space="preserve">, v. 14, n. 29, p. 97–113, 2015. </w:t>
      </w:r>
    </w:p>
    <w:p w14:paraId="0B831FC8" w14:textId="77777777" w:rsidR="00BE35BB" w:rsidRPr="00225671" w:rsidRDefault="00BE35BB" w:rsidP="003E54AC">
      <w:pPr>
        <w:widowControl w:val="0"/>
        <w:spacing w:before="120" w:after="120" w:line="249" w:lineRule="auto"/>
        <w:ind w:left="100" w:right="98" w:firstLine="0"/>
        <w:rPr>
          <w:lang w:val="en-US"/>
        </w:rPr>
      </w:pPr>
      <w:r w:rsidRPr="00225671">
        <w:rPr>
          <w:lang w:val="en-US"/>
        </w:rPr>
        <w:t xml:space="preserve">MATEKENYA, T.; RUHODE, E. </w:t>
      </w:r>
      <w:proofErr w:type="spellStart"/>
      <w:r w:rsidRPr="00225671">
        <w:rPr>
          <w:lang w:val="en-US"/>
        </w:rPr>
        <w:t>Optimising</w:t>
      </w:r>
      <w:proofErr w:type="spellEnd"/>
      <w:r w:rsidRPr="00225671">
        <w:rPr>
          <w:lang w:val="en-US"/>
        </w:rPr>
        <w:t xml:space="preserve"> knowledge management practices for improved collaboration in disaster response. </w:t>
      </w:r>
      <w:r w:rsidRPr="00225671">
        <w:rPr>
          <w:i/>
          <w:iCs/>
          <w:lang w:val="en-US"/>
        </w:rPr>
        <w:t>The Journal for Transdisciplinary Research in Southern Africa</w:t>
      </w:r>
      <w:r w:rsidRPr="00225671">
        <w:rPr>
          <w:lang w:val="en-US"/>
        </w:rPr>
        <w:t>, v. 21, n. 1, 2025.</w:t>
      </w:r>
    </w:p>
    <w:p w14:paraId="4066F607" w14:textId="77777777" w:rsidR="00BE35BB" w:rsidRPr="00225671" w:rsidRDefault="00BE35BB" w:rsidP="003E54AC">
      <w:pPr>
        <w:widowControl w:val="0"/>
        <w:spacing w:before="120" w:after="120" w:line="249" w:lineRule="auto"/>
        <w:ind w:left="100" w:right="98" w:firstLine="0"/>
        <w:rPr>
          <w:lang w:val="en-US"/>
        </w:rPr>
      </w:pPr>
      <w:r w:rsidRPr="00225671">
        <w:rPr>
          <w:lang w:val="en-US"/>
        </w:rPr>
        <w:t xml:space="preserve">MIKOVIĆ, R. et al. The integration of social capital and knowledge management in NGOs. </w:t>
      </w:r>
      <w:r w:rsidRPr="00225671">
        <w:rPr>
          <w:i/>
          <w:iCs/>
          <w:lang w:val="en-US"/>
        </w:rPr>
        <w:t>International Journal of Project Management</w:t>
      </w:r>
      <w:r w:rsidRPr="00225671">
        <w:rPr>
          <w:lang w:val="en-US"/>
        </w:rPr>
        <w:t xml:space="preserve">, v. 38, n. 8, p. 516–531, 2020. </w:t>
      </w:r>
    </w:p>
    <w:p w14:paraId="48F93120" w14:textId="77777777" w:rsidR="00BE35BB" w:rsidRPr="00225671" w:rsidRDefault="00BE35BB" w:rsidP="003E54AC">
      <w:pPr>
        <w:widowControl w:val="0"/>
        <w:spacing w:before="120" w:after="120" w:line="249" w:lineRule="auto"/>
        <w:ind w:left="100" w:right="98" w:firstLine="0"/>
        <w:rPr>
          <w:lang w:val="en-US"/>
        </w:rPr>
      </w:pPr>
      <w:r w:rsidRPr="00225671">
        <w:rPr>
          <w:lang w:val="en-US"/>
        </w:rPr>
        <w:t xml:space="preserve">NAÇÕES UNIDAS. </w:t>
      </w:r>
      <w:r w:rsidRPr="00BE35BB">
        <w:rPr>
          <w:i/>
          <w:iCs/>
        </w:rPr>
        <w:t>Transformando nosso mundo: A agenda 2030 para o desenvolvimento sustentável</w:t>
      </w:r>
      <w:r w:rsidRPr="00BE35BB">
        <w:t xml:space="preserve"> (A/RES/70/1). </w:t>
      </w:r>
      <w:r w:rsidRPr="00225671">
        <w:rPr>
          <w:lang w:val="en-US"/>
        </w:rPr>
        <w:t xml:space="preserve">2015. </w:t>
      </w:r>
    </w:p>
    <w:p w14:paraId="1ADE7683" w14:textId="77777777" w:rsidR="00BE35BB" w:rsidRPr="00225671" w:rsidRDefault="00BE35BB" w:rsidP="003E54AC">
      <w:pPr>
        <w:widowControl w:val="0"/>
        <w:spacing w:before="120" w:after="120" w:line="249" w:lineRule="auto"/>
        <w:ind w:left="100" w:right="98" w:firstLine="0"/>
        <w:rPr>
          <w:lang w:val="en-US"/>
        </w:rPr>
      </w:pPr>
      <w:r w:rsidRPr="00225671">
        <w:rPr>
          <w:lang w:val="en-US"/>
        </w:rPr>
        <w:t xml:space="preserve">NONAKA, I.; TAKEUCHI, H. </w:t>
      </w:r>
      <w:r w:rsidRPr="00225671">
        <w:rPr>
          <w:i/>
          <w:iCs/>
          <w:lang w:val="en-US"/>
        </w:rPr>
        <w:t>The knowledge-creating company: How Japanese companies create the dynamics of innovation</w:t>
      </w:r>
      <w:r w:rsidRPr="00225671">
        <w:rPr>
          <w:lang w:val="en-US"/>
        </w:rPr>
        <w:t>. Oxford: Oxford University Press, 1995.</w:t>
      </w:r>
    </w:p>
    <w:p w14:paraId="637549EB" w14:textId="77777777" w:rsidR="00BE35BB" w:rsidRPr="00225671" w:rsidRDefault="00BE35BB" w:rsidP="003E54AC">
      <w:pPr>
        <w:widowControl w:val="0"/>
        <w:spacing w:before="120" w:after="120" w:line="249" w:lineRule="auto"/>
        <w:ind w:left="100" w:right="98" w:firstLine="0"/>
        <w:rPr>
          <w:lang w:val="en-US"/>
        </w:rPr>
      </w:pPr>
      <w:r w:rsidRPr="00225671">
        <w:rPr>
          <w:lang w:val="en-US"/>
        </w:rPr>
        <w:t xml:space="preserve">RANABAHU, N. Responsible innovation in social enterprises: A framework for sustainable development. </w:t>
      </w:r>
      <w:r w:rsidRPr="00225671">
        <w:rPr>
          <w:i/>
          <w:iCs/>
          <w:lang w:val="en-US"/>
        </w:rPr>
        <w:t>Journal of Business Ethics</w:t>
      </w:r>
      <w:r w:rsidRPr="00225671">
        <w:rPr>
          <w:lang w:val="en-US"/>
        </w:rPr>
        <w:t xml:space="preserve">, v. 165, n. 3, p. 395-408, 2020. </w:t>
      </w:r>
    </w:p>
    <w:p w14:paraId="25A19D68" w14:textId="77777777" w:rsidR="00BE35BB" w:rsidRPr="00BE35BB" w:rsidRDefault="00BE35BB" w:rsidP="003E54AC">
      <w:pPr>
        <w:widowControl w:val="0"/>
        <w:spacing w:before="120" w:after="120" w:line="249" w:lineRule="auto"/>
        <w:ind w:left="100" w:right="98" w:firstLine="0"/>
      </w:pPr>
      <w:r w:rsidRPr="00225671">
        <w:rPr>
          <w:lang w:val="en-US"/>
        </w:rPr>
        <w:t xml:space="preserve">RITTEL, H. W. J.; WEBBER, M. M. Dilemmas in a general theory of planning. </w:t>
      </w:r>
      <w:proofErr w:type="spellStart"/>
      <w:r w:rsidRPr="00BE35BB">
        <w:rPr>
          <w:i/>
          <w:iCs/>
        </w:rPr>
        <w:t>Policy</w:t>
      </w:r>
      <w:proofErr w:type="spellEnd"/>
      <w:r w:rsidRPr="00BE35BB">
        <w:rPr>
          <w:i/>
          <w:iCs/>
        </w:rPr>
        <w:t xml:space="preserve"> </w:t>
      </w:r>
      <w:proofErr w:type="spellStart"/>
      <w:r w:rsidRPr="00BE35BB">
        <w:rPr>
          <w:i/>
          <w:iCs/>
        </w:rPr>
        <w:t>Sciences</w:t>
      </w:r>
      <w:proofErr w:type="spellEnd"/>
      <w:r w:rsidRPr="00BE35BB">
        <w:t>, v. 4, p. 155–169, 1973.</w:t>
      </w:r>
    </w:p>
    <w:p w14:paraId="44205AE0" w14:textId="77777777" w:rsidR="00BE35BB" w:rsidRPr="00225671" w:rsidRDefault="00BE35BB" w:rsidP="003E54AC">
      <w:pPr>
        <w:widowControl w:val="0"/>
        <w:spacing w:before="120" w:after="120" w:line="249" w:lineRule="auto"/>
        <w:ind w:left="100" w:right="98" w:firstLine="0"/>
        <w:rPr>
          <w:lang w:val="en-US"/>
        </w:rPr>
      </w:pPr>
      <w:r w:rsidRPr="00BE35BB">
        <w:t xml:space="preserve">SILVA, A. H.; FOSSÁ, M. I. T. Análise de conteúdo: Exemplo de aplicação da técnica para análise de dados qualitativos. </w:t>
      </w:r>
      <w:proofErr w:type="spellStart"/>
      <w:r w:rsidRPr="00225671">
        <w:rPr>
          <w:i/>
          <w:iCs/>
          <w:lang w:val="en-US"/>
        </w:rPr>
        <w:t>Qualitas</w:t>
      </w:r>
      <w:proofErr w:type="spellEnd"/>
      <w:r w:rsidRPr="00225671">
        <w:rPr>
          <w:i/>
          <w:iCs/>
          <w:lang w:val="en-US"/>
        </w:rPr>
        <w:t xml:space="preserve"> </w:t>
      </w:r>
      <w:proofErr w:type="spellStart"/>
      <w:r w:rsidRPr="00225671">
        <w:rPr>
          <w:i/>
          <w:iCs/>
          <w:lang w:val="en-US"/>
        </w:rPr>
        <w:t>Revista</w:t>
      </w:r>
      <w:proofErr w:type="spellEnd"/>
      <w:r w:rsidRPr="00225671">
        <w:rPr>
          <w:i/>
          <w:iCs/>
          <w:lang w:val="en-US"/>
        </w:rPr>
        <w:t xml:space="preserve"> </w:t>
      </w:r>
      <w:proofErr w:type="spellStart"/>
      <w:r w:rsidRPr="00225671">
        <w:rPr>
          <w:i/>
          <w:iCs/>
          <w:lang w:val="en-US"/>
        </w:rPr>
        <w:t>Eletrônica</w:t>
      </w:r>
      <w:proofErr w:type="spellEnd"/>
      <w:r w:rsidRPr="00225671">
        <w:rPr>
          <w:lang w:val="en-US"/>
        </w:rPr>
        <w:t>, v. 16, n. 1, 2015.</w:t>
      </w:r>
    </w:p>
    <w:p w14:paraId="284B10C7" w14:textId="77777777" w:rsidR="00BE35BB" w:rsidRPr="00225671" w:rsidRDefault="00BE35BB" w:rsidP="003E54AC">
      <w:pPr>
        <w:widowControl w:val="0"/>
        <w:spacing w:before="120" w:after="120" w:line="249" w:lineRule="auto"/>
        <w:ind w:left="100" w:right="98" w:firstLine="0"/>
        <w:rPr>
          <w:lang w:val="en-US"/>
        </w:rPr>
      </w:pPr>
      <w:r w:rsidRPr="00225671">
        <w:rPr>
          <w:lang w:val="en-US"/>
        </w:rPr>
        <w:t xml:space="preserve">VALUJEVA, K. et al. Pathways for governance opportunities: Social network analysis to create targeted and effective policies for agricultural and environmental development. </w:t>
      </w:r>
      <w:r w:rsidRPr="00225671">
        <w:rPr>
          <w:i/>
          <w:iCs/>
          <w:lang w:val="en-US"/>
        </w:rPr>
        <w:t>Journal of Environmental Management</w:t>
      </w:r>
      <w:r w:rsidRPr="00225671">
        <w:rPr>
          <w:lang w:val="en-US"/>
        </w:rPr>
        <w:t>, v. 325, p. 116563, 2023.</w:t>
      </w:r>
    </w:p>
    <w:p w14:paraId="62CF6E1E" w14:textId="77777777" w:rsidR="00BE35BB" w:rsidRPr="00225671" w:rsidRDefault="00BE35BB" w:rsidP="003E54AC">
      <w:pPr>
        <w:widowControl w:val="0"/>
        <w:spacing w:before="120" w:after="120" w:line="249" w:lineRule="auto"/>
        <w:ind w:left="100" w:right="98" w:firstLine="0"/>
        <w:rPr>
          <w:lang w:val="en-US"/>
        </w:rPr>
      </w:pPr>
      <w:r w:rsidRPr="00225671">
        <w:rPr>
          <w:lang w:val="en-US"/>
        </w:rPr>
        <w:t xml:space="preserve">VAN KERKHOFF, L.; SZLEZÁK, N. A. The role of innovative global institutions in linking knowledge and action. </w:t>
      </w:r>
      <w:r w:rsidRPr="00225671">
        <w:rPr>
          <w:i/>
          <w:iCs/>
          <w:lang w:val="en-US"/>
        </w:rPr>
        <w:t>Proceedings of the National Academy of Sciences</w:t>
      </w:r>
      <w:r w:rsidRPr="00225671">
        <w:rPr>
          <w:lang w:val="en-US"/>
        </w:rPr>
        <w:t xml:space="preserve">, v. 113, n. 17, p. 4605-4610, 2016. </w:t>
      </w:r>
    </w:p>
    <w:p w14:paraId="5350C404" w14:textId="5E96D51E" w:rsidR="00BE35BB" w:rsidRDefault="00BE35BB" w:rsidP="00BB7395">
      <w:pPr>
        <w:widowControl w:val="0"/>
        <w:spacing w:before="120" w:after="120" w:line="249" w:lineRule="auto"/>
        <w:ind w:left="100" w:right="98" w:firstLine="0"/>
      </w:pPr>
      <w:r w:rsidRPr="00225671">
        <w:rPr>
          <w:lang w:val="en-US"/>
        </w:rPr>
        <w:t xml:space="preserve">WUTZKE, S. et al. Knowledge </w:t>
      </w:r>
      <w:proofErr w:type="spellStart"/>
      <w:r w:rsidRPr="00225671">
        <w:rPr>
          <w:lang w:val="en-US"/>
        </w:rPr>
        <w:t>mobilisation</w:t>
      </w:r>
      <w:proofErr w:type="spellEnd"/>
      <w:r w:rsidRPr="00225671">
        <w:rPr>
          <w:lang w:val="en-US"/>
        </w:rPr>
        <w:t xml:space="preserve"> for chronic disease prevention: The case of the Australian Prevention Partnership Centre. </w:t>
      </w:r>
      <w:r w:rsidRPr="00BE35BB">
        <w:rPr>
          <w:i/>
          <w:iCs/>
        </w:rPr>
        <w:t xml:space="preserve">Health </w:t>
      </w:r>
      <w:proofErr w:type="spellStart"/>
      <w:r w:rsidRPr="00BE35BB">
        <w:rPr>
          <w:i/>
          <w:iCs/>
        </w:rPr>
        <w:t>Research</w:t>
      </w:r>
      <w:proofErr w:type="spellEnd"/>
      <w:r w:rsidRPr="00BE35BB">
        <w:rPr>
          <w:i/>
          <w:iCs/>
        </w:rPr>
        <w:t xml:space="preserve"> </w:t>
      </w:r>
      <w:proofErr w:type="spellStart"/>
      <w:r w:rsidRPr="00BE35BB">
        <w:rPr>
          <w:i/>
          <w:iCs/>
        </w:rPr>
        <w:t>Policy</w:t>
      </w:r>
      <w:proofErr w:type="spellEnd"/>
      <w:r w:rsidRPr="00BE35BB">
        <w:rPr>
          <w:i/>
          <w:iCs/>
        </w:rPr>
        <w:t xml:space="preserve"> </w:t>
      </w:r>
      <w:proofErr w:type="spellStart"/>
      <w:r w:rsidRPr="00BE35BB">
        <w:rPr>
          <w:i/>
          <w:iCs/>
        </w:rPr>
        <w:t>and</w:t>
      </w:r>
      <w:proofErr w:type="spellEnd"/>
      <w:r w:rsidRPr="00BE35BB">
        <w:rPr>
          <w:i/>
          <w:iCs/>
        </w:rPr>
        <w:t xml:space="preserve"> Systems</w:t>
      </w:r>
      <w:r w:rsidRPr="00BE35BB">
        <w:t xml:space="preserve">, v. 16, p. 109, 2018. </w:t>
      </w:r>
    </w:p>
    <w:sectPr w:rsidR="00BE35BB">
      <w:headerReference w:type="default" r:id="rId11"/>
      <w:footerReference w:type="default" r:id="rId12"/>
      <w:headerReference w:type="first" r:id="rId13"/>
      <w:pgSz w:w="11900" w:h="16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63F24" w14:textId="77777777" w:rsidR="0046670F" w:rsidRDefault="0046670F">
      <w:pPr>
        <w:spacing w:line="240" w:lineRule="auto"/>
      </w:pPr>
      <w:r>
        <w:separator/>
      </w:r>
    </w:p>
  </w:endnote>
  <w:endnote w:type="continuationSeparator" w:id="0">
    <w:p w14:paraId="5204DC7D" w14:textId="77777777" w:rsidR="0046670F" w:rsidRDefault="004667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Roboto">
    <w:altName w:val="Roboto"/>
    <w:charset w:val="00"/>
    <w:family w:val="auto"/>
    <w:pitch w:val="variable"/>
    <w:sig w:usb0="E00002FF" w:usb1="5000205B" w:usb2="0000002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2AC3" w14:textId="77777777" w:rsidR="0053555A" w:rsidRDefault="0053555A">
    <w:pPr>
      <w:pBdr>
        <w:top w:val="nil"/>
        <w:left w:val="nil"/>
        <w:bottom w:val="nil"/>
        <w:right w:val="nil"/>
        <w:between w:val="nil"/>
      </w:pBdr>
      <w:tabs>
        <w:tab w:val="center" w:pos="4320"/>
        <w:tab w:val="right" w:pos="8640"/>
      </w:tabs>
      <w:spacing w:before="240" w:line="240" w:lineRule="auto"/>
      <w:ind w:firstLine="0"/>
      <w:rPr>
        <w:color w:val="000000"/>
      </w:rPr>
    </w:pPr>
    <w:r>
      <w:t>20</w:t>
    </w:r>
    <w:r>
      <w:rPr>
        <w:color w:val="000000"/>
      </w:rPr>
      <w:t xml:space="preserve">º Congresso Brasileiro de Sistemas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E3F34" w14:textId="77777777" w:rsidR="0046670F" w:rsidRDefault="0046670F">
      <w:pPr>
        <w:spacing w:line="240" w:lineRule="auto"/>
      </w:pPr>
      <w:r>
        <w:separator/>
      </w:r>
    </w:p>
  </w:footnote>
  <w:footnote w:type="continuationSeparator" w:id="0">
    <w:p w14:paraId="6E9AF548" w14:textId="77777777" w:rsidR="0046670F" w:rsidRDefault="004667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94A8" w14:textId="77777777" w:rsidR="0053555A" w:rsidRDefault="0053555A">
    <w:pPr>
      <w:widowControl w:val="0"/>
      <w:pBdr>
        <w:top w:val="nil"/>
        <w:left w:val="nil"/>
        <w:bottom w:val="nil"/>
        <w:right w:val="nil"/>
        <w:between w:val="nil"/>
      </w:pBdr>
      <w:spacing w:line="276" w:lineRule="auto"/>
      <w:ind w:firstLine="0"/>
      <w:jc w:val="left"/>
    </w:pPr>
  </w:p>
  <w:tbl>
    <w:tblPr>
      <w:tblStyle w:val="a"/>
      <w:tblW w:w="9020" w:type="dxa"/>
      <w:tblInd w:w="0" w:type="dxa"/>
      <w:tblLayout w:type="fixed"/>
      <w:tblLook w:val="0400" w:firstRow="0" w:lastRow="0" w:firstColumn="0" w:lastColumn="0" w:noHBand="0" w:noVBand="1"/>
    </w:tblPr>
    <w:tblGrid>
      <w:gridCol w:w="8417"/>
      <w:gridCol w:w="603"/>
    </w:tblGrid>
    <w:tr w:rsidR="0053555A" w14:paraId="2512E6A4" w14:textId="77777777">
      <w:tc>
        <w:tcPr>
          <w:tcW w:w="8417" w:type="dxa"/>
          <w:tcBorders>
            <w:bottom w:val="single" w:sz="4" w:space="0" w:color="000000"/>
          </w:tcBorders>
          <w:vAlign w:val="bottom"/>
        </w:tcPr>
        <w:p w14:paraId="5167FAF9" w14:textId="77777777" w:rsidR="0053555A" w:rsidRDefault="0053555A">
          <w:pPr>
            <w:pBdr>
              <w:top w:val="nil"/>
              <w:left w:val="nil"/>
              <w:bottom w:val="nil"/>
              <w:right w:val="nil"/>
              <w:between w:val="nil"/>
            </w:pBdr>
            <w:tabs>
              <w:tab w:val="center" w:pos="4320"/>
              <w:tab w:val="right" w:pos="8640"/>
            </w:tabs>
            <w:spacing w:line="240" w:lineRule="auto"/>
            <w:jc w:val="right"/>
            <w:rPr>
              <w:rFonts w:ascii="Calibri" w:eastAsia="Calibri" w:hAnsi="Calibri" w:cs="Calibri"/>
              <w:color w:val="000000"/>
            </w:rPr>
          </w:pPr>
          <w:r>
            <w:rPr>
              <w:rFonts w:ascii="Calibri" w:eastAsia="Calibri" w:hAnsi="Calibri" w:cs="Calibri"/>
              <w:b/>
            </w:rPr>
            <w:t>20</w:t>
          </w:r>
          <w:r>
            <w:rPr>
              <w:rFonts w:ascii="Calibri" w:eastAsia="Calibri" w:hAnsi="Calibri" w:cs="Calibri"/>
              <w:b/>
              <w:color w:val="000000"/>
            </w:rPr>
            <w:t>º Congresso Brasileiro de Sistemas</w:t>
          </w:r>
        </w:p>
      </w:tc>
      <w:tc>
        <w:tcPr>
          <w:tcW w:w="603" w:type="dxa"/>
          <w:tcBorders>
            <w:bottom w:val="single" w:sz="4" w:space="0" w:color="943734"/>
          </w:tcBorders>
          <w:shd w:val="clear" w:color="auto" w:fill="85BD2D"/>
          <w:vAlign w:val="bottom"/>
        </w:tcPr>
        <w:p w14:paraId="1D140BBC" w14:textId="77777777" w:rsidR="0053555A" w:rsidRDefault="0053555A">
          <w:pPr>
            <w:pBdr>
              <w:top w:val="nil"/>
              <w:left w:val="nil"/>
              <w:bottom w:val="nil"/>
              <w:right w:val="nil"/>
              <w:between w:val="nil"/>
            </w:pBdr>
            <w:tabs>
              <w:tab w:val="center" w:pos="4320"/>
              <w:tab w:val="right" w:pos="8640"/>
            </w:tabs>
            <w:spacing w:line="240" w:lineRule="auto"/>
            <w:ind w:firstLine="0"/>
            <w:jc w:val="center"/>
            <w:rPr>
              <w:color w:val="FFFFFF"/>
            </w:rPr>
          </w:pPr>
          <w:r>
            <w:rPr>
              <w:rFonts w:ascii="Calibri" w:eastAsia="Calibri" w:hAnsi="Calibri" w:cs="Calibri"/>
              <w:b/>
              <w:color w:val="FFFFFF"/>
            </w:rPr>
            <w:fldChar w:fldCharType="begin"/>
          </w:r>
          <w:r>
            <w:rPr>
              <w:rFonts w:ascii="Calibri" w:eastAsia="Calibri" w:hAnsi="Calibri" w:cs="Calibri"/>
              <w:b/>
              <w:color w:val="FFFFFF"/>
            </w:rPr>
            <w:instrText>PAGE</w:instrText>
          </w:r>
          <w:r>
            <w:rPr>
              <w:rFonts w:ascii="Calibri" w:eastAsia="Calibri" w:hAnsi="Calibri" w:cs="Calibri"/>
              <w:b/>
              <w:color w:val="FFFFFF"/>
            </w:rPr>
            <w:fldChar w:fldCharType="separate"/>
          </w:r>
          <w:r w:rsidR="006372B3">
            <w:rPr>
              <w:rFonts w:ascii="Calibri" w:eastAsia="Calibri" w:hAnsi="Calibri" w:cs="Calibri"/>
              <w:b/>
              <w:noProof/>
              <w:color w:val="FFFFFF"/>
            </w:rPr>
            <w:t>19</w:t>
          </w:r>
          <w:r>
            <w:rPr>
              <w:rFonts w:ascii="Calibri" w:eastAsia="Calibri" w:hAnsi="Calibri" w:cs="Calibri"/>
              <w:b/>
              <w:color w:val="FFFFFF"/>
            </w:rPr>
            <w:fldChar w:fldCharType="end"/>
          </w:r>
        </w:p>
      </w:tc>
    </w:tr>
  </w:tbl>
  <w:p w14:paraId="6126F605" w14:textId="77777777" w:rsidR="0053555A" w:rsidRDefault="0053555A">
    <w:pPr>
      <w:pBdr>
        <w:top w:val="nil"/>
        <w:left w:val="nil"/>
        <w:bottom w:val="nil"/>
        <w:right w:val="nil"/>
        <w:between w:val="nil"/>
      </w:pBdr>
      <w:tabs>
        <w:tab w:val="center" w:pos="4320"/>
        <w:tab w:val="right" w:pos="864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0B7C" w14:textId="77777777" w:rsidR="0053555A" w:rsidRDefault="0053555A">
    <w:pPr>
      <w:pBdr>
        <w:top w:val="nil"/>
        <w:left w:val="nil"/>
        <w:bottom w:val="nil"/>
        <w:right w:val="nil"/>
        <w:between w:val="nil"/>
      </w:pBdr>
      <w:tabs>
        <w:tab w:val="center" w:pos="4320"/>
        <w:tab w:val="right" w:pos="8640"/>
      </w:tabs>
      <w:spacing w:line="240" w:lineRule="auto"/>
      <w:ind w:left="-1276" w:firstLine="0"/>
      <w:jc w:val="left"/>
      <w:rPr>
        <w:color w:val="000000"/>
      </w:rPr>
    </w:pPr>
    <w:r>
      <w:rPr>
        <w:noProof/>
        <w:color w:val="000000"/>
      </w:rPr>
      <w:drawing>
        <wp:inline distT="0" distB="0" distL="0" distR="0" wp14:anchorId="17E117ED" wp14:editId="315FA528">
          <wp:extent cx="1249308" cy="1254847"/>
          <wp:effectExtent l="0" t="0" r="0" b="0"/>
          <wp:docPr id="2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49308" cy="1254847"/>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3D4FC300" wp14:editId="37F8BE2D">
              <wp:simplePos x="0" y="0"/>
              <wp:positionH relativeFrom="column">
                <wp:posOffset>1574800</wp:posOffset>
              </wp:positionH>
              <wp:positionV relativeFrom="paragraph">
                <wp:posOffset>58420</wp:posOffset>
              </wp:positionV>
              <wp:extent cx="4761230" cy="1007971"/>
              <wp:effectExtent l="0" t="0" r="0" b="0"/>
              <wp:wrapSquare wrapText="bothSides" distT="45720" distB="45720" distL="114300" distR="114300"/>
              <wp:docPr id="220" name="Retângulo 220"/>
              <wp:cNvGraphicFramePr/>
              <a:graphic xmlns:a="http://schemas.openxmlformats.org/drawingml/2006/main">
                <a:graphicData uri="http://schemas.microsoft.com/office/word/2010/wordprocessingShape">
                  <wps:wsp>
                    <wps:cNvSpPr/>
                    <wps:spPr>
                      <a:xfrm>
                        <a:off x="2492675" y="3203100"/>
                        <a:ext cx="5515500" cy="1153800"/>
                      </a:xfrm>
                      <a:prstGeom prst="rect">
                        <a:avLst/>
                      </a:prstGeom>
                      <a:solidFill>
                        <a:srgbClr val="FFFFFF"/>
                      </a:solidFill>
                      <a:ln>
                        <a:noFill/>
                      </a:ln>
                    </wps:spPr>
                    <wps:txbx>
                      <w:txbxContent>
                        <w:p w14:paraId="3B4F446E" w14:textId="77777777" w:rsidR="0053555A" w:rsidRDefault="0053555A">
                          <w:pPr>
                            <w:spacing w:line="240" w:lineRule="auto"/>
                            <w:ind w:firstLine="0"/>
                            <w:jc w:val="center"/>
                            <w:textDirection w:val="btLr"/>
                          </w:pPr>
                          <w:r>
                            <w:rPr>
                              <w:rFonts w:ascii="Calibri" w:eastAsia="Calibri" w:hAnsi="Calibri" w:cs="Calibri"/>
                              <w:smallCaps/>
                              <w:color w:val="000000"/>
                              <w:sz w:val="28"/>
                            </w:rPr>
                            <w:t>Perspectivas Sistêmicas para a Gestão da Inovação e Proteção Intelectual</w:t>
                          </w:r>
                        </w:p>
                        <w:p w14:paraId="6B010B99" w14:textId="77777777" w:rsidR="0053555A" w:rsidRDefault="0053555A">
                          <w:pPr>
                            <w:spacing w:line="240" w:lineRule="auto"/>
                            <w:ind w:firstLine="0"/>
                            <w:jc w:val="left"/>
                            <w:textDirection w:val="btLr"/>
                          </w:pPr>
                        </w:p>
                        <w:p w14:paraId="2226CC0B" w14:textId="77777777" w:rsidR="0053555A" w:rsidRDefault="0053555A">
                          <w:pPr>
                            <w:spacing w:line="240" w:lineRule="auto"/>
                            <w:ind w:firstLine="0"/>
                            <w:jc w:val="center"/>
                            <w:textDirection w:val="btLr"/>
                          </w:pPr>
                          <w:r>
                            <w:rPr>
                              <w:rFonts w:ascii="Calibri" w:eastAsia="Calibri" w:hAnsi="Calibri" w:cs="Calibri"/>
                              <w:color w:val="000000"/>
                              <w:sz w:val="22"/>
                            </w:rPr>
                            <w:t>Instituto Federal de Mato Grosso do Sul</w:t>
                          </w:r>
                        </w:p>
                        <w:p w14:paraId="456E855B" w14:textId="77777777" w:rsidR="0053555A" w:rsidRDefault="0053555A">
                          <w:pPr>
                            <w:spacing w:line="240" w:lineRule="auto"/>
                            <w:ind w:firstLine="0"/>
                            <w:jc w:val="center"/>
                            <w:textDirection w:val="btLr"/>
                          </w:pPr>
                        </w:p>
                        <w:p w14:paraId="3BFED936" w14:textId="77777777" w:rsidR="0053555A" w:rsidRDefault="0053555A">
                          <w:pPr>
                            <w:spacing w:line="240" w:lineRule="auto"/>
                            <w:ind w:firstLine="0"/>
                            <w:jc w:val="center"/>
                            <w:textDirection w:val="btLr"/>
                          </w:pPr>
                          <w:r>
                            <w:rPr>
                              <w:rFonts w:ascii="Calibri" w:eastAsia="Calibri" w:hAnsi="Calibri" w:cs="Calibri"/>
                              <w:color w:val="000000"/>
                              <w:sz w:val="22"/>
                            </w:rPr>
                            <w:t xml:space="preserve">de 01 a 04 de </w:t>
                          </w:r>
                          <w:proofErr w:type="gramStart"/>
                          <w:r>
                            <w:rPr>
                              <w:rFonts w:ascii="Calibri" w:eastAsia="Calibri" w:hAnsi="Calibri" w:cs="Calibri"/>
                              <w:color w:val="000000"/>
                              <w:sz w:val="22"/>
                            </w:rPr>
                            <w:t>Outubro</w:t>
                          </w:r>
                          <w:proofErr w:type="gramEnd"/>
                        </w:p>
                        <w:p w14:paraId="3ADFCEB3" w14:textId="77777777" w:rsidR="0053555A" w:rsidRDefault="0053555A">
                          <w:pPr>
                            <w:textDirection w:val="btLr"/>
                          </w:pPr>
                        </w:p>
                      </w:txbxContent>
                    </wps:txbx>
                    <wps:bodyPr spcFirstLastPara="1" wrap="square" lIns="91425" tIns="45700" rIns="91425" bIns="45700" anchor="t" anchorCtr="0">
                      <a:noAutofit/>
                    </wps:bodyPr>
                  </wps:wsp>
                </a:graphicData>
              </a:graphic>
            </wp:anchor>
          </w:drawing>
        </mc:Choice>
        <mc:Fallback>
          <w:pict>
            <v:rect w14:anchorId="3D4FC300" id="Retângulo 220" o:spid="_x0000_s1026" style="position:absolute;left:0;text-align:left;margin-left:124pt;margin-top:4.6pt;width:374.9pt;height:79.3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" stroked="f">
              <v:textbox inset="2.53958mm,1.2694mm,2.53958mm,1.2694mm">
                <w:txbxContent>
                  <w:p w14:paraId="3B4F446E" w14:textId="77777777" w:rsidR="0053555A" w:rsidRDefault="0053555A">
                    <w:pPr>
                      <w:spacing w:line="240" w:lineRule="auto"/>
                      <w:ind w:firstLine="0"/>
                      <w:jc w:val="center"/>
                      <w:textDirection w:val="btLr"/>
                    </w:pPr>
                    <w:r>
                      <w:rPr>
                        <w:rFonts w:ascii="Calibri" w:eastAsia="Calibri" w:hAnsi="Calibri" w:cs="Calibri"/>
                        <w:smallCaps/>
                        <w:color w:val="000000"/>
                        <w:sz w:val="28"/>
                      </w:rPr>
                      <w:t>Perspectivas Sistêmicas para a Gestão da Inovação e Proteção Intelectual</w:t>
                    </w:r>
                  </w:p>
                  <w:p w14:paraId="6B010B99" w14:textId="77777777" w:rsidR="0053555A" w:rsidRDefault="0053555A">
                    <w:pPr>
                      <w:spacing w:line="240" w:lineRule="auto"/>
                      <w:ind w:firstLine="0"/>
                      <w:jc w:val="left"/>
                      <w:textDirection w:val="btLr"/>
                    </w:pPr>
                  </w:p>
                  <w:p w14:paraId="2226CC0B" w14:textId="77777777" w:rsidR="0053555A" w:rsidRDefault="0053555A">
                    <w:pPr>
                      <w:spacing w:line="240" w:lineRule="auto"/>
                      <w:ind w:firstLine="0"/>
                      <w:jc w:val="center"/>
                      <w:textDirection w:val="btLr"/>
                    </w:pPr>
                    <w:r>
                      <w:rPr>
                        <w:rFonts w:ascii="Calibri" w:eastAsia="Calibri" w:hAnsi="Calibri" w:cs="Calibri"/>
                        <w:color w:val="000000"/>
                        <w:sz w:val="22"/>
                      </w:rPr>
                      <w:t>Instituto Federal de Mato Grosso do Sul</w:t>
                    </w:r>
                  </w:p>
                  <w:p w14:paraId="456E855B" w14:textId="77777777" w:rsidR="0053555A" w:rsidRDefault="0053555A">
                    <w:pPr>
                      <w:spacing w:line="240" w:lineRule="auto"/>
                      <w:ind w:firstLine="0"/>
                      <w:jc w:val="center"/>
                      <w:textDirection w:val="btLr"/>
                    </w:pPr>
                  </w:p>
                  <w:p w14:paraId="3BFED936" w14:textId="77777777" w:rsidR="0053555A" w:rsidRDefault="0053555A">
                    <w:pPr>
                      <w:spacing w:line="240" w:lineRule="auto"/>
                      <w:ind w:firstLine="0"/>
                      <w:jc w:val="center"/>
                      <w:textDirection w:val="btLr"/>
                    </w:pPr>
                    <w:r>
                      <w:rPr>
                        <w:rFonts w:ascii="Calibri" w:eastAsia="Calibri" w:hAnsi="Calibri" w:cs="Calibri"/>
                        <w:color w:val="000000"/>
                        <w:sz w:val="22"/>
                      </w:rPr>
                      <w:t xml:space="preserve">de 01 a 04 de </w:t>
                    </w:r>
                    <w:proofErr w:type="gramStart"/>
                    <w:r>
                      <w:rPr>
                        <w:rFonts w:ascii="Calibri" w:eastAsia="Calibri" w:hAnsi="Calibri" w:cs="Calibri"/>
                        <w:color w:val="000000"/>
                        <w:sz w:val="22"/>
                      </w:rPr>
                      <w:t>Outubro</w:t>
                    </w:r>
                    <w:proofErr w:type="gramEnd"/>
                  </w:p>
                  <w:p w14:paraId="3ADFCEB3" w14:textId="77777777" w:rsidR="0053555A" w:rsidRDefault="0053555A">
                    <w:pPr>
                      <w:textDirection w:val="btLr"/>
                    </w:pPr>
                  </w:p>
                </w:txbxContent>
              </v:textbox>
              <w10:wrap type="square"/>
            </v:rect>
          </w:pict>
        </mc:Fallback>
      </mc:AlternateContent>
    </w:r>
    <w:r>
      <w:rPr>
        <w:noProof/>
      </w:rPr>
      <mc:AlternateContent>
        <mc:Choice Requires="wps">
          <w:drawing>
            <wp:anchor distT="0" distB="0" distL="114300" distR="114300" simplePos="0" relativeHeight="251659264" behindDoc="0" locked="0" layoutInCell="1" hidden="0" allowOverlap="1" wp14:anchorId="5CA4A2C2" wp14:editId="3304C139">
              <wp:simplePos x="0" y="0"/>
              <wp:positionH relativeFrom="column">
                <wp:posOffset>127000</wp:posOffset>
              </wp:positionH>
              <wp:positionV relativeFrom="paragraph">
                <wp:posOffset>114300</wp:posOffset>
              </wp:positionV>
              <wp:extent cx="1400810" cy="312343"/>
              <wp:effectExtent l="0" t="0" r="0" b="0"/>
              <wp:wrapNone/>
              <wp:docPr id="218" name="Retângulo 218"/>
              <wp:cNvGraphicFramePr/>
              <a:graphic xmlns:a="http://schemas.openxmlformats.org/drawingml/2006/main">
                <a:graphicData uri="http://schemas.microsoft.com/office/word/2010/wordprocessingShape">
                  <wps:wsp>
                    <wps:cNvSpPr/>
                    <wps:spPr>
                      <a:xfrm>
                        <a:off x="4650358" y="3632045"/>
                        <a:ext cx="1391285" cy="295910"/>
                      </a:xfrm>
                      <a:prstGeom prst="rect">
                        <a:avLst/>
                      </a:prstGeom>
                      <a:noFill/>
                      <a:ln>
                        <a:noFill/>
                      </a:ln>
                    </wps:spPr>
                    <wps:txbx>
                      <w:txbxContent>
                        <w:p w14:paraId="01983FB7" w14:textId="77777777" w:rsidR="0053555A" w:rsidRDefault="0053555A">
                          <w:pPr>
                            <w:spacing w:line="240" w:lineRule="auto"/>
                            <w:ind w:firstLine="0"/>
                            <w:jc w:val="left"/>
                            <w:textDirection w:val="btLr"/>
                          </w:pPr>
                          <w:r>
                            <w:rPr>
                              <w:rFonts w:ascii="Arial" w:eastAsia="Arial" w:hAnsi="Arial" w:cs="Arial"/>
                              <w:color w:val="000000"/>
                              <w:sz w:val="28"/>
                            </w:rPr>
                            <w:t>20º Congresso</w:t>
                          </w:r>
                        </w:p>
                      </w:txbxContent>
                    </wps:txbx>
                    <wps:bodyPr spcFirstLastPara="1" wrap="square" lIns="91425" tIns="45700" rIns="91425" bIns="45700" anchor="t" anchorCtr="0">
                      <a:noAutofit/>
                    </wps:bodyPr>
                  </wps:wsp>
                </a:graphicData>
              </a:graphic>
            </wp:anchor>
          </w:drawing>
        </mc:Choice>
        <mc:Fallback>
          <w:pict>
            <v:rect w14:anchorId="5CA4A2C2" id="Retângulo 218" o:spid="_x0000_s1027" style="position:absolute;left:0;text-align:left;margin-left:10pt;margin-top:9pt;width:110.3pt;height:24.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" filled="f" stroked="f">
              <v:textbox inset="2.53958mm,1.2694mm,2.53958mm,1.2694mm">
                <w:txbxContent>
                  <w:p w14:paraId="01983FB7" w14:textId="77777777" w:rsidR="0053555A" w:rsidRDefault="0053555A">
                    <w:pPr>
                      <w:spacing w:line="240" w:lineRule="auto"/>
                      <w:ind w:firstLine="0"/>
                      <w:jc w:val="left"/>
                      <w:textDirection w:val="btLr"/>
                    </w:pPr>
                    <w:r>
                      <w:rPr>
                        <w:rFonts w:ascii="Arial" w:eastAsia="Arial" w:hAnsi="Arial" w:cs="Arial"/>
                        <w:color w:val="000000"/>
                        <w:sz w:val="28"/>
                      </w:rPr>
                      <w:t>20º Congresso</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58756BE4" wp14:editId="2BB8EEE8">
              <wp:simplePos x="0" y="0"/>
              <wp:positionH relativeFrom="column">
                <wp:posOffset>393700</wp:posOffset>
              </wp:positionH>
              <wp:positionV relativeFrom="paragraph">
                <wp:posOffset>342900</wp:posOffset>
              </wp:positionV>
              <wp:extent cx="1110615" cy="276225"/>
              <wp:effectExtent l="0" t="0" r="0" b="0"/>
              <wp:wrapNone/>
              <wp:docPr id="219" name="Retângulo 219"/>
              <wp:cNvGraphicFramePr/>
              <a:graphic xmlns:a="http://schemas.openxmlformats.org/drawingml/2006/main">
                <a:graphicData uri="http://schemas.microsoft.com/office/word/2010/wordprocessingShape">
                  <wps:wsp>
                    <wps:cNvSpPr/>
                    <wps:spPr>
                      <a:xfrm>
                        <a:off x="4795455" y="3646650"/>
                        <a:ext cx="1101090" cy="266700"/>
                      </a:xfrm>
                      <a:prstGeom prst="rect">
                        <a:avLst/>
                      </a:prstGeom>
                      <a:noFill/>
                      <a:ln>
                        <a:noFill/>
                      </a:ln>
                    </wps:spPr>
                    <wps:txbx>
                      <w:txbxContent>
                        <w:p w14:paraId="141AF1D0" w14:textId="77777777" w:rsidR="0053555A" w:rsidRDefault="0053555A">
                          <w:pPr>
                            <w:spacing w:line="240" w:lineRule="auto"/>
                            <w:ind w:firstLine="0"/>
                            <w:jc w:val="left"/>
                            <w:textDirection w:val="btLr"/>
                          </w:pPr>
                          <w:r>
                            <w:rPr>
                              <w:rFonts w:ascii="Arial" w:eastAsia="Arial" w:hAnsi="Arial" w:cs="Arial"/>
                              <w:color w:val="000000"/>
                              <w:sz w:val="28"/>
                            </w:rPr>
                            <w:t xml:space="preserve">Brasileiro </w:t>
                          </w:r>
                        </w:p>
                      </w:txbxContent>
                    </wps:txbx>
                    <wps:bodyPr spcFirstLastPara="1" wrap="square" lIns="91425" tIns="45700" rIns="91425" bIns="45700" anchor="t" anchorCtr="0">
                      <a:noAutofit/>
                    </wps:bodyPr>
                  </wps:wsp>
                </a:graphicData>
              </a:graphic>
            </wp:anchor>
          </w:drawing>
        </mc:Choice>
        <mc:Fallback>
          <w:pict>
            <v:rect w14:anchorId="58756BE4" id="Retângulo 219" o:spid="_x0000_s1028" style="position:absolute;left:0;text-align:left;margin-left:31pt;margin-top:27pt;width:87.4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" filled="f" stroked="f">
              <v:textbox inset="2.53958mm,1.2694mm,2.53958mm,1.2694mm">
                <w:txbxContent>
                  <w:p w14:paraId="141AF1D0" w14:textId="77777777" w:rsidR="0053555A" w:rsidRDefault="0053555A">
                    <w:pPr>
                      <w:spacing w:line="240" w:lineRule="auto"/>
                      <w:ind w:firstLine="0"/>
                      <w:jc w:val="left"/>
                      <w:textDirection w:val="btLr"/>
                    </w:pPr>
                    <w:r>
                      <w:rPr>
                        <w:rFonts w:ascii="Arial" w:eastAsia="Arial" w:hAnsi="Arial" w:cs="Arial"/>
                        <w:color w:val="000000"/>
                        <w:sz w:val="28"/>
                      </w:rPr>
                      <w:t xml:space="preserve">Brasileiro </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70B21564" wp14:editId="7AEB98BB">
              <wp:simplePos x="0" y="0"/>
              <wp:positionH relativeFrom="column">
                <wp:posOffset>355600</wp:posOffset>
              </wp:positionH>
              <wp:positionV relativeFrom="paragraph">
                <wp:posOffset>558800</wp:posOffset>
              </wp:positionV>
              <wp:extent cx="1110615" cy="305435"/>
              <wp:effectExtent l="0" t="0" r="0" b="0"/>
              <wp:wrapNone/>
              <wp:docPr id="221" name="Retângulo 221"/>
              <wp:cNvGraphicFramePr/>
              <a:graphic xmlns:a="http://schemas.openxmlformats.org/drawingml/2006/main">
                <a:graphicData uri="http://schemas.microsoft.com/office/word/2010/wordprocessingShape">
                  <wps:wsp>
                    <wps:cNvSpPr/>
                    <wps:spPr>
                      <a:xfrm>
                        <a:off x="4795455" y="3632045"/>
                        <a:ext cx="1101090" cy="295910"/>
                      </a:xfrm>
                      <a:prstGeom prst="rect">
                        <a:avLst/>
                      </a:prstGeom>
                      <a:noFill/>
                      <a:ln>
                        <a:noFill/>
                      </a:ln>
                    </wps:spPr>
                    <wps:txbx>
                      <w:txbxContent>
                        <w:p w14:paraId="7857D6DF" w14:textId="77777777" w:rsidR="0053555A" w:rsidRDefault="0053555A">
                          <w:pPr>
                            <w:spacing w:line="240" w:lineRule="auto"/>
                            <w:ind w:firstLine="0"/>
                            <w:jc w:val="left"/>
                            <w:textDirection w:val="btLr"/>
                          </w:pPr>
                          <w:r>
                            <w:rPr>
                              <w:rFonts w:ascii="Arial" w:eastAsia="Arial" w:hAnsi="Arial" w:cs="Arial"/>
                              <w:color w:val="000000"/>
                              <w:sz w:val="18"/>
                            </w:rPr>
                            <w:t>de</w:t>
                          </w:r>
                          <w:r>
                            <w:rPr>
                              <w:rFonts w:ascii="Arial" w:eastAsia="Arial" w:hAnsi="Arial" w:cs="Arial"/>
                              <w:color w:val="000000"/>
                              <w:sz w:val="28"/>
                            </w:rPr>
                            <w:t xml:space="preserve"> Sistemas</w:t>
                          </w:r>
                        </w:p>
                      </w:txbxContent>
                    </wps:txbx>
                    <wps:bodyPr spcFirstLastPara="1" wrap="square" lIns="91425" tIns="45700" rIns="91425" bIns="45700" anchor="t" anchorCtr="0">
                      <a:noAutofit/>
                    </wps:bodyPr>
                  </wps:wsp>
                </a:graphicData>
              </a:graphic>
            </wp:anchor>
          </w:drawing>
        </mc:Choice>
        <mc:Fallback>
          <w:pict>
            <v:rect w14:anchorId="70B21564" id="Retângulo 221" o:spid="_x0000_s1029" style="position:absolute;left:0;text-align:left;margin-left:28pt;margin-top:44pt;width:87.45pt;height:24.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" filled="f" stroked="f">
              <v:textbox inset="2.53958mm,1.2694mm,2.53958mm,1.2694mm">
                <w:txbxContent>
                  <w:p w14:paraId="7857D6DF" w14:textId="77777777" w:rsidR="0053555A" w:rsidRDefault="0053555A">
                    <w:pPr>
                      <w:spacing w:line="240" w:lineRule="auto"/>
                      <w:ind w:firstLine="0"/>
                      <w:jc w:val="left"/>
                      <w:textDirection w:val="btLr"/>
                    </w:pPr>
                    <w:r>
                      <w:rPr>
                        <w:rFonts w:ascii="Arial" w:eastAsia="Arial" w:hAnsi="Arial" w:cs="Arial"/>
                        <w:color w:val="000000"/>
                        <w:sz w:val="18"/>
                      </w:rPr>
                      <w:t>de</w:t>
                    </w:r>
                    <w:r>
                      <w:rPr>
                        <w:rFonts w:ascii="Arial" w:eastAsia="Arial" w:hAnsi="Arial" w:cs="Arial"/>
                        <w:color w:val="000000"/>
                        <w:sz w:val="28"/>
                      </w:rPr>
                      <w:t xml:space="preserve"> Sistemas</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511D1"/>
    <w:multiLevelType w:val="multilevel"/>
    <w:tmpl w:val="8A7C2A30"/>
    <w:lvl w:ilvl="0">
      <w:start w:val="1"/>
      <w:numFmt w:val="decimal"/>
      <w:lvlText w:val="%1."/>
      <w:lvlJc w:val="left"/>
      <w:pPr>
        <w:ind w:left="414" w:hanging="314"/>
      </w:pPr>
      <w:rPr>
        <w:u w:val="none"/>
      </w:rPr>
    </w:lvl>
    <w:lvl w:ilvl="1">
      <w:start w:val="1"/>
      <w:numFmt w:val="decimal"/>
      <w:lvlText w:val="%1.%2."/>
      <w:lvlJc w:val="left"/>
      <w:pPr>
        <w:ind w:left="469" w:hanging="469"/>
      </w:pPr>
      <w:rPr>
        <w:u w:val="none"/>
      </w:rPr>
    </w:lvl>
    <w:lvl w:ilvl="2">
      <w:numFmt w:val="bullet"/>
      <w:lvlText w:val="•"/>
      <w:lvlJc w:val="left"/>
      <w:pPr>
        <w:ind w:left="1465" w:hanging="469"/>
      </w:pPr>
      <w:rPr>
        <w:u w:val="none"/>
      </w:rPr>
    </w:lvl>
    <w:lvl w:ilvl="3">
      <w:numFmt w:val="bullet"/>
      <w:lvlText w:val="•"/>
      <w:lvlJc w:val="left"/>
      <w:pPr>
        <w:ind w:left="2370" w:hanging="469"/>
      </w:pPr>
      <w:rPr>
        <w:u w:val="none"/>
      </w:rPr>
    </w:lvl>
    <w:lvl w:ilvl="4">
      <w:numFmt w:val="bullet"/>
      <w:lvlText w:val="•"/>
      <w:lvlJc w:val="left"/>
      <w:pPr>
        <w:ind w:left="3275" w:hanging="469"/>
      </w:pPr>
      <w:rPr>
        <w:u w:val="none"/>
      </w:rPr>
    </w:lvl>
    <w:lvl w:ilvl="5">
      <w:numFmt w:val="bullet"/>
      <w:lvlText w:val="•"/>
      <w:lvlJc w:val="left"/>
      <w:pPr>
        <w:ind w:left="4180" w:hanging="469"/>
      </w:pPr>
      <w:rPr>
        <w:u w:val="none"/>
      </w:rPr>
    </w:lvl>
    <w:lvl w:ilvl="6">
      <w:numFmt w:val="bullet"/>
      <w:lvlText w:val="•"/>
      <w:lvlJc w:val="left"/>
      <w:pPr>
        <w:ind w:left="5085" w:hanging="469"/>
      </w:pPr>
      <w:rPr>
        <w:u w:val="none"/>
      </w:rPr>
    </w:lvl>
    <w:lvl w:ilvl="7">
      <w:numFmt w:val="bullet"/>
      <w:lvlText w:val="•"/>
      <w:lvlJc w:val="left"/>
      <w:pPr>
        <w:ind w:left="5990" w:hanging="469"/>
      </w:pPr>
      <w:rPr>
        <w:u w:val="none"/>
      </w:rPr>
    </w:lvl>
    <w:lvl w:ilvl="8">
      <w:numFmt w:val="bullet"/>
      <w:lvlText w:val="•"/>
      <w:lvlJc w:val="left"/>
      <w:pPr>
        <w:ind w:left="6895" w:hanging="469"/>
      </w:pPr>
      <w:rPr>
        <w:u w:val="none"/>
      </w:rPr>
    </w:lvl>
  </w:abstractNum>
  <w:abstractNum w:abstractNumId="1" w15:restartNumberingAfterBreak="0">
    <w:nsid w:val="67962963"/>
    <w:multiLevelType w:val="multilevel"/>
    <w:tmpl w:val="E7ECF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F88"/>
    <w:rsid w:val="00000953"/>
    <w:rsid w:val="00012A9E"/>
    <w:rsid w:val="00027C5B"/>
    <w:rsid w:val="000629EF"/>
    <w:rsid w:val="000826B9"/>
    <w:rsid w:val="00097067"/>
    <w:rsid w:val="000F0C27"/>
    <w:rsid w:val="00124FAB"/>
    <w:rsid w:val="00142B31"/>
    <w:rsid w:val="00171FAA"/>
    <w:rsid w:val="001C664E"/>
    <w:rsid w:val="00225671"/>
    <w:rsid w:val="00262E0D"/>
    <w:rsid w:val="00286058"/>
    <w:rsid w:val="0028727E"/>
    <w:rsid w:val="002B22F3"/>
    <w:rsid w:val="002E435A"/>
    <w:rsid w:val="003075AA"/>
    <w:rsid w:val="00334787"/>
    <w:rsid w:val="00335418"/>
    <w:rsid w:val="00343B57"/>
    <w:rsid w:val="003458FF"/>
    <w:rsid w:val="00346F24"/>
    <w:rsid w:val="00352A2F"/>
    <w:rsid w:val="00365C9B"/>
    <w:rsid w:val="0036636B"/>
    <w:rsid w:val="00374231"/>
    <w:rsid w:val="00384F26"/>
    <w:rsid w:val="003952FF"/>
    <w:rsid w:val="003E54AC"/>
    <w:rsid w:val="0046670F"/>
    <w:rsid w:val="004912D9"/>
    <w:rsid w:val="004A2A49"/>
    <w:rsid w:val="004B2591"/>
    <w:rsid w:val="004E22EB"/>
    <w:rsid w:val="004E558E"/>
    <w:rsid w:val="0053555A"/>
    <w:rsid w:val="00557CF1"/>
    <w:rsid w:val="0056586E"/>
    <w:rsid w:val="005A0D23"/>
    <w:rsid w:val="005A29D8"/>
    <w:rsid w:val="005D11EE"/>
    <w:rsid w:val="005D4A8C"/>
    <w:rsid w:val="005D734C"/>
    <w:rsid w:val="00603B5A"/>
    <w:rsid w:val="006372B3"/>
    <w:rsid w:val="006D7A90"/>
    <w:rsid w:val="00717FF2"/>
    <w:rsid w:val="007327C1"/>
    <w:rsid w:val="00750D5D"/>
    <w:rsid w:val="00782865"/>
    <w:rsid w:val="007A62CE"/>
    <w:rsid w:val="00862FF0"/>
    <w:rsid w:val="00874895"/>
    <w:rsid w:val="008C47D7"/>
    <w:rsid w:val="008D1720"/>
    <w:rsid w:val="008F0A5C"/>
    <w:rsid w:val="00960A83"/>
    <w:rsid w:val="0099127F"/>
    <w:rsid w:val="00993DC5"/>
    <w:rsid w:val="009D1008"/>
    <w:rsid w:val="00A16797"/>
    <w:rsid w:val="00A214EA"/>
    <w:rsid w:val="00A3336E"/>
    <w:rsid w:val="00A41594"/>
    <w:rsid w:val="00A62EF7"/>
    <w:rsid w:val="00A9592F"/>
    <w:rsid w:val="00AA6010"/>
    <w:rsid w:val="00AB22F3"/>
    <w:rsid w:val="00AC2DA0"/>
    <w:rsid w:val="00AE6729"/>
    <w:rsid w:val="00AF3D39"/>
    <w:rsid w:val="00B02739"/>
    <w:rsid w:val="00B15085"/>
    <w:rsid w:val="00B242D9"/>
    <w:rsid w:val="00B33E2C"/>
    <w:rsid w:val="00B76F88"/>
    <w:rsid w:val="00B80611"/>
    <w:rsid w:val="00B83521"/>
    <w:rsid w:val="00BA1D4D"/>
    <w:rsid w:val="00BB7395"/>
    <w:rsid w:val="00BD2046"/>
    <w:rsid w:val="00BD47BD"/>
    <w:rsid w:val="00BE35BB"/>
    <w:rsid w:val="00C17BAD"/>
    <w:rsid w:val="00C46D1D"/>
    <w:rsid w:val="00C77E15"/>
    <w:rsid w:val="00CA6D41"/>
    <w:rsid w:val="00CD5B50"/>
    <w:rsid w:val="00CD5B55"/>
    <w:rsid w:val="00CF11F2"/>
    <w:rsid w:val="00D223FA"/>
    <w:rsid w:val="00D44D47"/>
    <w:rsid w:val="00D67A81"/>
    <w:rsid w:val="00D71BDA"/>
    <w:rsid w:val="00DB4436"/>
    <w:rsid w:val="00DE637A"/>
    <w:rsid w:val="00E705EF"/>
    <w:rsid w:val="00E9226C"/>
    <w:rsid w:val="00E97218"/>
    <w:rsid w:val="00EA24A4"/>
    <w:rsid w:val="00EB39F4"/>
    <w:rsid w:val="00F133B7"/>
    <w:rsid w:val="00F27E45"/>
    <w:rsid w:val="00F47F2D"/>
    <w:rsid w:val="00F65884"/>
    <w:rsid w:val="00FD0AB4"/>
    <w:rsid w:val="00FD2382"/>
    <w:rsid w:val="00FE6B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96513"/>
  <w15:docId w15:val="{C1A353B1-E6B4-4F54-9753-F3D7EA28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537"/>
  </w:style>
  <w:style w:type="paragraph" w:styleId="Ttulo1">
    <w:name w:val="heading 1"/>
    <w:basedOn w:val="Normal"/>
    <w:next w:val="Normal"/>
    <w:link w:val="Ttulo1Char"/>
    <w:uiPriority w:val="9"/>
    <w:qFormat/>
    <w:rsid w:val="00BE0DE7"/>
    <w:pPr>
      <w:keepNext/>
      <w:keepLines/>
      <w:ind w:firstLine="0"/>
      <w:jc w:val="center"/>
      <w:outlineLvl w:val="0"/>
    </w:pPr>
    <w:rPr>
      <w:rFonts w:eastAsiaTheme="majorEastAsia" w:cstheme="majorBidi"/>
      <w:b/>
      <w:bCs/>
      <w:szCs w:val="32"/>
    </w:rPr>
  </w:style>
  <w:style w:type="paragraph" w:styleId="Ttulo2">
    <w:name w:val="heading 2"/>
    <w:basedOn w:val="Ttulo1"/>
    <w:next w:val="Normal"/>
    <w:link w:val="Ttulo2Char"/>
    <w:uiPriority w:val="9"/>
    <w:unhideWhenUsed/>
    <w:qFormat/>
    <w:rsid w:val="00BE0DE7"/>
    <w:pPr>
      <w:spacing w:before="200"/>
      <w:jc w:val="left"/>
      <w:outlineLvl w:val="1"/>
    </w:pPr>
    <w:rPr>
      <w:bCs w:val="0"/>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BE0DE7"/>
    <w:pPr>
      <w:ind w:firstLine="0"/>
      <w:contextualSpacing/>
      <w:jc w:val="center"/>
    </w:pPr>
    <w:rPr>
      <w:rFonts w:eastAsiaTheme="majorEastAsia" w:cstheme="majorBidi"/>
      <w:b/>
      <w:bCs/>
      <w:caps/>
      <w:spacing w:val="5"/>
      <w:kern w:val="28"/>
      <w:sz w:val="32"/>
      <w:szCs w:val="32"/>
    </w:rPr>
  </w:style>
  <w:style w:type="paragraph" w:styleId="SemEspaamento">
    <w:name w:val="No Spacing"/>
    <w:uiPriority w:val="1"/>
    <w:rsid w:val="00436D67"/>
  </w:style>
  <w:style w:type="paragraph" w:styleId="Cabealho">
    <w:name w:val="header"/>
    <w:basedOn w:val="Normal"/>
    <w:link w:val="CabealhoChar"/>
    <w:uiPriority w:val="99"/>
    <w:unhideWhenUsed/>
    <w:rsid w:val="00436D67"/>
    <w:pPr>
      <w:tabs>
        <w:tab w:val="center" w:pos="4320"/>
        <w:tab w:val="right" w:pos="8640"/>
      </w:tabs>
      <w:spacing w:line="240" w:lineRule="auto"/>
    </w:pPr>
  </w:style>
  <w:style w:type="character" w:customStyle="1" w:styleId="CabealhoChar">
    <w:name w:val="Cabeçalho Char"/>
    <w:basedOn w:val="Fontepargpadro"/>
    <w:link w:val="Cabealho"/>
    <w:uiPriority w:val="99"/>
    <w:rsid w:val="00436D67"/>
    <w:rPr>
      <w:rFonts w:ascii="Times New Roman" w:hAnsi="Times New Roman"/>
    </w:rPr>
  </w:style>
  <w:style w:type="paragraph" w:styleId="Rodap">
    <w:name w:val="footer"/>
    <w:basedOn w:val="Normal"/>
    <w:link w:val="RodapChar"/>
    <w:uiPriority w:val="99"/>
    <w:unhideWhenUsed/>
    <w:rsid w:val="00436D67"/>
    <w:pPr>
      <w:tabs>
        <w:tab w:val="center" w:pos="4320"/>
        <w:tab w:val="right" w:pos="8640"/>
      </w:tabs>
      <w:spacing w:line="240" w:lineRule="auto"/>
    </w:pPr>
  </w:style>
  <w:style w:type="character" w:customStyle="1" w:styleId="RodapChar">
    <w:name w:val="Rodapé Char"/>
    <w:basedOn w:val="Fontepargpadro"/>
    <w:link w:val="Rodap"/>
    <w:uiPriority w:val="99"/>
    <w:rsid w:val="00436D67"/>
    <w:rPr>
      <w:rFonts w:ascii="Times New Roman" w:hAnsi="Times New Roman"/>
    </w:rPr>
  </w:style>
  <w:style w:type="character" w:styleId="Nmerodepgina">
    <w:name w:val="page number"/>
    <w:basedOn w:val="Fontepargpadro"/>
    <w:uiPriority w:val="99"/>
    <w:semiHidden/>
    <w:unhideWhenUsed/>
    <w:rsid w:val="004D6154"/>
  </w:style>
  <w:style w:type="paragraph" w:styleId="Textodebalo">
    <w:name w:val="Balloon Text"/>
    <w:basedOn w:val="Normal"/>
    <w:link w:val="TextodebaloChar"/>
    <w:uiPriority w:val="99"/>
    <w:semiHidden/>
    <w:unhideWhenUsed/>
    <w:rsid w:val="00E82142"/>
    <w:pPr>
      <w:spacing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E82142"/>
    <w:rPr>
      <w:rFonts w:ascii="Lucida Grande" w:hAnsi="Lucida Grande" w:cs="Lucida Grande"/>
      <w:sz w:val="18"/>
      <w:szCs w:val="18"/>
    </w:rPr>
  </w:style>
  <w:style w:type="character" w:customStyle="1" w:styleId="Ttulo1Char">
    <w:name w:val="Título 1 Char"/>
    <w:basedOn w:val="Fontepargpadro"/>
    <w:link w:val="Ttulo1"/>
    <w:uiPriority w:val="9"/>
    <w:rsid w:val="00BE0DE7"/>
    <w:rPr>
      <w:rFonts w:ascii="Times New Roman" w:eastAsiaTheme="majorEastAsia" w:hAnsi="Times New Roman" w:cstheme="majorBidi"/>
      <w:b/>
      <w:bCs/>
      <w:szCs w:val="32"/>
    </w:rPr>
  </w:style>
  <w:style w:type="character" w:customStyle="1" w:styleId="Ttulo2Char">
    <w:name w:val="Título 2 Char"/>
    <w:basedOn w:val="Fontepargpadro"/>
    <w:link w:val="Ttulo2"/>
    <w:uiPriority w:val="9"/>
    <w:rsid w:val="00BE0DE7"/>
    <w:rPr>
      <w:rFonts w:ascii="Times New Roman" w:eastAsiaTheme="majorEastAsia" w:hAnsi="Times New Roman" w:cstheme="majorBidi"/>
      <w:b/>
      <w:szCs w:val="26"/>
    </w:rPr>
  </w:style>
  <w:style w:type="character" w:customStyle="1" w:styleId="TtuloChar">
    <w:name w:val="Título Char"/>
    <w:basedOn w:val="Fontepargpadro"/>
    <w:link w:val="Ttulo"/>
    <w:uiPriority w:val="10"/>
    <w:rsid w:val="00BE0DE7"/>
    <w:rPr>
      <w:rFonts w:ascii="Times New Roman" w:eastAsiaTheme="majorEastAsia" w:hAnsi="Times New Roman" w:cstheme="majorBidi"/>
      <w:b/>
      <w:bCs/>
      <w:caps/>
      <w:spacing w:val="5"/>
      <w:kern w:val="28"/>
      <w:sz w:val="32"/>
      <w:szCs w:val="32"/>
    </w:rPr>
  </w:style>
  <w:style w:type="paragraph" w:styleId="Legenda">
    <w:name w:val="caption"/>
    <w:basedOn w:val="Normal"/>
    <w:next w:val="Normal"/>
    <w:uiPriority w:val="35"/>
    <w:unhideWhenUsed/>
    <w:qFormat/>
    <w:rsid w:val="00416818"/>
    <w:pPr>
      <w:spacing w:after="200" w:line="240" w:lineRule="auto"/>
      <w:jc w:val="center"/>
    </w:pPr>
    <w:rPr>
      <w:rFonts w:ascii="Arial" w:hAnsi="Arial"/>
      <w:bCs/>
      <w:sz w:val="20"/>
      <w:szCs w:val="18"/>
    </w:rPr>
  </w:style>
  <w:style w:type="paragraph" w:styleId="Citao">
    <w:name w:val="Quote"/>
    <w:basedOn w:val="Normal"/>
    <w:next w:val="Normal"/>
    <w:link w:val="CitaoChar"/>
    <w:uiPriority w:val="29"/>
    <w:qFormat/>
    <w:rsid w:val="00416818"/>
    <w:pPr>
      <w:ind w:left="720"/>
    </w:pPr>
    <w:rPr>
      <w:iCs/>
      <w:color w:val="000000" w:themeColor="text1"/>
    </w:rPr>
  </w:style>
  <w:style w:type="character" w:customStyle="1" w:styleId="CitaoChar">
    <w:name w:val="Citação Char"/>
    <w:basedOn w:val="Fontepargpadro"/>
    <w:link w:val="Citao"/>
    <w:uiPriority w:val="29"/>
    <w:rsid w:val="00416818"/>
    <w:rPr>
      <w:rFonts w:ascii="Times New Roman" w:hAnsi="Times New Roman"/>
      <w:iCs/>
      <w:color w:val="000000" w:themeColor="text1"/>
    </w:rPr>
  </w:style>
  <w:style w:type="paragraph" w:customStyle="1" w:styleId="Referncias">
    <w:name w:val="Referências"/>
    <w:basedOn w:val="Normal"/>
    <w:qFormat/>
    <w:rsid w:val="000460CD"/>
    <w:pPr>
      <w:ind w:left="720" w:hanging="720"/>
    </w:pPr>
    <w:rPr>
      <w:noProof/>
    </w:rPr>
  </w:style>
  <w:style w:type="paragraph" w:styleId="NormalWeb">
    <w:name w:val="Normal (Web)"/>
    <w:basedOn w:val="Normal"/>
    <w:uiPriority w:val="99"/>
    <w:unhideWhenUsed/>
    <w:rsid w:val="00CA3536"/>
    <w:pPr>
      <w:spacing w:before="100" w:beforeAutospacing="1" w:after="100" w:afterAutospacing="1" w:line="240" w:lineRule="auto"/>
      <w:ind w:firstLine="0"/>
      <w:jc w:val="left"/>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character" w:styleId="Hyperlink">
    <w:name w:val="Hyperlink"/>
    <w:basedOn w:val="Fontepargpadro"/>
    <w:uiPriority w:val="99"/>
    <w:unhideWhenUsed/>
    <w:rsid w:val="00352A2F"/>
    <w:rPr>
      <w:color w:val="0000FF" w:themeColor="hyperlink"/>
      <w:u w:val="single"/>
    </w:rPr>
  </w:style>
  <w:style w:type="paragraph" w:styleId="PargrafodaLista">
    <w:name w:val="List Paragraph"/>
    <w:basedOn w:val="Normal"/>
    <w:uiPriority w:val="34"/>
    <w:qFormat/>
    <w:rsid w:val="00A3336E"/>
    <w:pPr>
      <w:ind w:left="720"/>
      <w:contextualSpacing/>
    </w:pPr>
  </w:style>
  <w:style w:type="table" w:styleId="Tabelacomgrade">
    <w:name w:val="Table Grid"/>
    <w:basedOn w:val="Tabelanormal"/>
    <w:uiPriority w:val="39"/>
    <w:rsid w:val="00BA1D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1">
    <w:name w:val="StGen1"/>
    <w:basedOn w:val="Tabelanormal"/>
    <w:rsid w:val="00E97218"/>
    <w:pPr>
      <w:spacing w:after="160" w:line="259" w:lineRule="auto"/>
      <w:ind w:firstLine="0"/>
      <w:jc w:val="left"/>
    </w:pPr>
    <w:rPr>
      <w:rFonts w:ascii="Calibri" w:eastAsia="Calibri" w:hAnsi="Calibri" w:cs="Calibri"/>
      <w:sz w:val="22"/>
      <w:szCs w:val="22"/>
    </w:rPr>
    <w:tblPr>
      <w:tblStyleRowBandSize w:val="1"/>
      <w:tblStyleColBandSize w:val="1"/>
      <w:tblInd w:w="0" w:type="nil"/>
      <w:tblCellMar>
        <w:top w:w="100" w:type="dxa"/>
        <w:left w:w="100" w:type="dxa"/>
        <w:bottom w:w="100" w:type="dxa"/>
        <w:right w:w="100" w:type="dxa"/>
      </w:tblCellMar>
    </w:tblPr>
  </w:style>
  <w:style w:type="table" w:customStyle="1" w:styleId="Tabelacomgrade1">
    <w:name w:val="Tabela com grade1"/>
    <w:basedOn w:val="Tabelanormal"/>
    <w:next w:val="Tabelacomgrade"/>
    <w:uiPriority w:val="39"/>
    <w:rsid w:val="0099127F"/>
    <w:pPr>
      <w:spacing w:line="240" w:lineRule="auto"/>
      <w:ind w:firstLine="0"/>
      <w:jc w:val="left"/>
    </w:pPr>
    <w:rPr>
      <w:rFonts w:ascii="Calibri" w:eastAsia="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CD5B55"/>
    <w:pPr>
      <w:spacing w:line="240" w:lineRule="auto"/>
      <w:ind w:firstLine="0"/>
      <w:jc w:val="left"/>
    </w:pPr>
  </w:style>
  <w:style w:type="character" w:styleId="Refdecomentrio">
    <w:name w:val="annotation reference"/>
    <w:basedOn w:val="Fontepargpadro"/>
    <w:uiPriority w:val="99"/>
    <w:semiHidden/>
    <w:unhideWhenUsed/>
    <w:rsid w:val="00DB4436"/>
    <w:rPr>
      <w:sz w:val="16"/>
      <w:szCs w:val="16"/>
    </w:rPr>
  </w:style>
  <w:style w:type="paragraph" w:styleId="Textodecomentrio">
    <w:name w:val="annotation text"/>
    <w:basedOn w:val="Normal"/>
    <w:link w:val="TextodecomentrioChar"/>
    <w:uiPriority w:val="99"/>
    <w:semiHidden/>
    <w:unhideWhenUsed/>
    <w:rsid w:val="00DB443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B4436"/>
    <w:rPr>
      <w:sz w:val="20"/>
      <w:szCs w:val="20"/>
    </w:rPr>
  </w:style>
  <w:style w:type="paragraph" w:styleId="Assuntodocomentrio">
    <w:name w:val="annotation subject"/>
    <w:basedOn w:val="Textodecomentrio"/>
    <w:next w:val="Textodecomentrio"/>
    <w:link w:val="AssuntodocomentrioChar"/>
    <w:uiPriority w:val="99"/>
    <w:semiHidden/>
    <w:unhideWhenUsed/>
    <w:rsid w:val="00DB4436"/>
    <w:rPr>
      <w:b/>
      <w:bCs/>
    </w:rPr>
  </w:style>
  <w:style w:type="character" w:customStyle="1" w:styleId="AssuntodocomentrioChar">
    <w:name w:val="Assunto do comentário Char"/>
    <w:basedOn w:val="TextodecomentrioChar"/>
    <w:link w:val="Assuntodocomentrio"/>
    <w:uiPriority w:val="99"/>
    <w:semiHidden/>
    <w:rsid w:val="00DB44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230199">
      <w:bodyDiv w:val="1"/>
      <w:marLeft w:val="0"/>
      <w:marRight w:val="0"/>
      <w:marTop w:val="0"/>
      <w:marBottom w:val="0"/>
      <w:divBdr>
        <w:top w:val="none" w:sz="0" w:space="0" w:color="auto"/>
        <w:left w:val="none" w:sz="0" w:space="0" w:color="auto"/>
        <w:bottom w:val="none" w:sz="0" w:space="0" w:color="auto"/>
        <w:right w:val="none" w:sz="0" w:space="0" w:color="auto"/>
      </w:divBdr>
    </w:div>
    <w:div w:id="1298991319">
      <w:bodyDiv w:val="1"/>
      <w:marLeft w:val="0"/>
      <w:marRight w:val="0"/>
      <w:marTop w:val="0"/>
      <w:marBottom w:val="0"/>
      <w:divBdr>
        <w:top w:val="none" w:sz="0" w:space="0" w:color="auto"/>
        <w:left w:val="none" w:sz="0" w:space="0" w:color="auto"/>
        <w:bottom w:val="none" w:sz="0" w:space="0" w:color="auto"/>
        <w:right w:val="none" w:sz="0" w:space="0" w:color="auto"/>
      </w:divBdr>
    </w:div>
    <w:div w:id="1386177522">
      <w:bodyDiv w:val="1"/>
      <w:marLeft w:val="0"/>
      <w:marRight w:val="0"/>
      <w:marTop w:val="0"/>
      <w:marBottom w:val="0"/>
      <w:divBdr>
        <w:top w:val="none" w:sz="0" w:space="0" w:color="auto"/>
        <w:left w:val="none" w:sz="0" w:space="0" w:color="auto"/>
        <w:bottom w:val="none" w:sz="0" w:space="0" w:color="auto"/>
        <w:right w:val="none" w:sz="0" w:space="0" w:color="auto"/>
      </w:divBdr>
    </w:div>
    <w:div w:id="1775245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biana.dassoler@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rtrudes.dandolini@ufsc.br" TargetMode="External"/><Relationship Id="rId4" Type="http://schemas.openxmlformats.org/officeDocument/2006/relationships/settings" Target="settings.xml"/><Relationship Id="rId9" Type="http://schemas.openxmlformats.org/officeDocument/2006/relationships/hyperlink" Target="mailto:henn@gmai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XGHISWn+vS/LeNtroMutvVg9YA==">CgMxLjA4AHIhMUdfT2x1aHFPckJ4WDh0ZTdaRm9nRkNLMFNNOWUxbnFp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19</Pages>
  <Words>9066</Words>
  <Characters>48961</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Augusto Amaral Terra</dc:creator>
  <cp:lastModifiedBy>Gertrudes</cp:lastModifiedBy>
  <cp:revision>3</cp:revision>
  <dcterms:created xsi:type="dcterms:W3CDTF">2025-09-22T11:39:00Z</dcterms:created>
  <dcterms:modified xsi:type="dcterms:W3CDTF">2025-09-29T01:08:00Z</dcterms:modified>
</cp:coreProperties>
</file>