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47705" w14:textId="77777777" w:rsidR="00297A34" w:rsidRDefault="00FD1EC7">
      <w:pPr>
        <w:spacing w:line="240" w:lineRule="auto"/>
        <w:ind w:right="-220"/>
        <w:jc w:val="center"/>
        <w:rPr>
          <w:rFonts w:ascii="Times New Roman" w:eastAsia="Times New Roman" w:hAnsi="Times New Roman" w:cs="Times New Roman"/>
          <w:b/>
          <w:sz w:val="24"/>
          <w:szCs w:val="24"/>
        </w:rPr>
      </w:pPr>
      <w:r>
        <w:rPr>
          <w:rFonts w:ascii="Times New Roman" w:eastAsia="Times New Roman" w:hAnsi="Times New Roman" w:cs="Times New Roman"/>
          <w:b/>
          <w:i/>
          <w:color w:val="000000"/>
          <w:sz w:val="28"/>
          <w:szCs w:val="28"/>
        </w:rPr>
        <w:t xml:space="preserve">“Potencial energético teórico y </w:t>
      </w:r>
      <w:proofErr w:type="spellStart"/>
      <w:r>
        <w:rPr>
          <w:rFonts w:ascii="Times New Roman" w:eastAsia="Times New Roman" w:hAnsi="Times New Roman" w:cs="Times New Roman"/>
          <w:b/>
          <w:i/>
          <w:color w:val="000000"/>
          <w:sz w:val="28"/>
          <w:szCs w:val="28"/>
        </w:rPr>
        <w:t>biomásico</w:t>
      </w:r>
      <w:proofErr w:type="spellEnd"/>
      <w:r>
        <w:rPr>
          <w:rFonts w:ascii="Times New Roman" w:eastAsia="Times New Roman" w:hAnsi="Times New Roman" w:cs="Times New Roman"/>
          <w:b/>
          <w:i/>
          <w:color w:val="000000"/>
          <w:sz w:val="28"/>
          <w:szCs w:val="28"/>
        </w:rPr>
        <w:t xml:space="preserve"> de los residuos de cosecha del maíz blanco gigante (Zea </w:t>
      </w:r>
      <w:proofErr w:type="spellStart"/>
      <w:r>
        <w:rPr>
          <w:rFonts w:ascii="Times New Roman" w:eastAsia="Times New Roman" w:hAnsi="Times New Roman" w:cs="Times New Roman"/>
          <w:b/>
          <w:i/>
          <w:color w:val="000000"/>
          <w:sz w:val="28"/>
          <w:szCs w:val="28"/>
        </w:rPr>
        <w:t>mays</w:t>
      </w:r>
      <w:proofErr w:type="spellEnd"/>
      <w:r>
        <w:rPr>
          <w:rFonts w:ascii="Times New Roman" w:eastAsia="Times New Roman" w:hAnsi="Times New Roman" w:cs="Times New Roman"/>
          <w:b/>
          <w:i/>
          <w:color w:val="000000"/>
          <w:sz w:val="28"/>
          <w:szCs w:val="28"/>
        </w:rPr>
        <w:t>) del valle del Cusco”</w:t>
      </w:r>
    </w:p>
    <w:p w14:paraId="65E6A200" w14:textId="77777777" w:rsidR="00297A34" w:rsidRDefault="00297A34">
      <w:pPr>
        <w:spacing w:after="0" w:line="240" w:lineRule="auto"/>
        <w:ind w:right="-220"/>
        <w:rPr>
          <w:rFonts w:ascii="Times New Roman" w:eastAsia="Times New Roman" w:hAnsi="Times New Roman" w:cs="Times New Roman"/>
          <w:sz w:val="24"/>
          <w:szCs w:val="24"/>
        </w:rPr>
      </w:pPr>
    </w:p>
    <w:p w14:paraId="5BE1DA20" w14:textId="321F604B" w:rsidR="00297A34" w:rsidRDefault="00FD1EC7">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Angela </w:t>
      </w:r>
      <w:proofErr w:type="spellStart"/>
      <w:r>
        <w:rPr>
          <w:rFonts w:ascii="Times New Roman" w:eastAsia="Times New Roman" w:hAnsi="Times New Roman" w:cs="Times New Roman"/>
          <w:color w:val="000000"/>
          <w:sz w:val="20"/>
          <w:szCs w:val="20"/>
        </w:rPr>
        <w:t>Tiffany</w:t>
      </w:r>
      <w:proofErr w:type="spellEnd"/>
      <w:r>
        <w:rPr>
          <w:rFonts w:ascii="Times New Roman" w:eastAsia="Times New Roman" w:hAnsi="Times New Roman" w:cs="Times New Roman"/>
          <w:color w:val="000000"/>
          <w:sz w:val="20"/>
          <w:szCs w:val="20"/>
        </w:rPr>
        <w:t xml:space="preserve"> Castillo Híjar, Facultad de Ingeniería Agrícola - Universidad Nacional Agraria La Molina. Av. La Molina s/n, La Molina, Perú, +51-96</w:t>
      </w:r>
      <w:r>
        <w:rPr>
          <w:rFonts w:ascii="Times New Roman" w:eastAsia="Times New Roman" w:hAnsi="Times New Roman" w:cs="Times New Roman"/>
          <w:sz w:val="20"/>
          <w:szCs w:val="20"/>
        </w:rPr>
        <w:t>9</w:t>
      </w:r>
      <w:r w:rsidR="00AE4CBF">
        <w:rPr>
          <w:rFonts w:ascii="Times New Roman" w:eastAsia="Times New Roman" w:hAnsi="Times New Roman" w:cs="Times New Roman"/>
          <w:color w:val="000000"/>
          <w:sz w:val="20"/>
          <w:szCs w:val="20"/>
        </w:rPr>
        <w:t>443052, atcasti</w:t>
      </w:r>
      <w:bookmarkStart w:id="0" w:name="_GoBack"/>
      <w:bookmarkEnd w:id="0"/>
      <w:r>
        <w:rPr>
          <w:rFonts w:ascii="Times New Roman" w:eastAsia="Times New Roman" w:hAnsi="Times New Roman" w:cs="Times New Roman"/>
          <w:color w:val="000000"/>
          <w:sz w:val="20"/>
          <w:szCs w:val="20"/>
        </w:rPr>
        <w:t>lloh@lamolina.edu.pe </w:t>
      </w:r>
    </w:p>
    <w:p w14:paraId="0279EEB2" w14:textId="77777777" w:rsidR="00297A34" w:rsidRDefault="00FD1EC7">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Mary Flor Cesare Coral, Facultad de Ciencias - Universidad Nacional Agraria La Molina. Av. La Molina s/n, La Molina, Perú, +51-990148641, mcesare@lamolina.edu.pe </w:t>
      </w:r>
    </w:p>
    <w:p w14:paraId="1AC6D9D0" w14:textId="77777777" w:rsidR="00297A34" w:rsidRDefault="00FD1EC7">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José Manuel Alejandro Cerdán Morillo, Facultad de Ciencias - Universidad Nacional Agraria La Molina. Av. La Molina s/n, La Molina, Perú, </w:t>
      </w:r>
      <w:r>
        <w:rPr>
          <w:rFonts w:ascii="Times New Roman" w:eastAsia="Times New Roman" w:hAnsi="Times New Roman" w:cs="Times New Roman"/>
          <w:sz w:val="20"/>
          <w:szCs w:val="20"/>
        </w:rPr>
        <w:t>+51-941799870</w:t>
      </w:r>
      <w:r>
        <w:rPr>
          <w:rFonts w:ascii="Times New Roman" w:eastAsia="Times New Roman" w:hAnsi="Times New Roman" w:cs="Times New Roman"/>
          <w:color w:val="000000"/>
          <w:sz w:val="20"/>
          <w:szCs w:val="20"/>
        </w:rPr>
        <w:t>, jcerdan@lamolina.edu.pe </w:t>
      </w:r>
    </w:p>
    <w:p w14:paraId="599ECE6A" w14:textId="77777777" w:rsidR="00297A34" w:rsidRDefault="00FD1EC7">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José Luis Calle </w:t>
      </w:r>
      <w:proofErr w:type="spellStart"/>
      <w:r>
        <w:rPr>
          <w:rFonts w:ascii="Times New Roman" w:eastAsia="Times New Roman" w:hAnsi="Times New Roman" w:cs="Times New Roman"/>
          <w:sz w:val="20"/>
          <w:szCs w:val="20"/>
        </w:rPr>
        <w:t>Maraví</w:t>
      </w:r>
      <w:proofErr w:type="spellEnd"/>
      <w:r>
        <w:rPr>
          <w:rFonts w:ascii="Times New Roman" w:eastAsia="Times New Roman" w:hAnsi="Times New Roman" w:cs="Times New Roman"/>
          <w:sz w:val="20"/>
          <w:szCs w:val="20"/>
        </w:rPr>
        <w:t>, Facultad de Ingeniería Agrícola - Universidad Nacional Agraria La Molina. Av. La Molina s/n, La Molina, Perú, +51-997409383, jcalle@lamolina.edu.pe </w:t>
      </w:r>
    </w:p>
    <w:p w14:paraId="3C619EC9" w14:textId="77777777" w:rsidR="00297A34" w:rsidRDefault="00FD1EC7">
      <w:pPr>
        <w:spacing w:after="0" w:line="240" w:lineRule="auto"/>
        <w:ind w:right="-2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Descripción general </w:t>
      </w:r>
    </w:p>
    <w:p w14:paraId="08155C8A" w14:textId="38D58B87" w:rsidR="00297A34" w:rsidRDefault="00FD1EC7">
      <w:pPr>
        <w:spacing w:after="0" w:line="240" w:lineRule="auto"/>
        <w:ind w:right="-220"/>
        <w:jc w:val="both"/>
        <w:rPr>
          <w:rFonts w:ascii="Times New Roman" w:eastAsia="Times New Roman" w:hAnsi="Times New Roman" w:cs="Times New Roman"/>
          <w:color w:val="343A40"/>
          <w:sz w:val="20"/>
          <w:szCs w:val="20"/>
          <w:highlight w:val="white"/>
        </w:rPr>
      </w:pPr>
      <w:r>
        <w:rPr>
          <w:rFonts w:ascii="Times New Roman" w:eastAsia="Times New Roman" w:hAnsi="Times New Roman" w:cs="Times New Roman"/>
          <w:color w:val="343A40"/>
          <w:sz w:val="20"/>
          <w:szCs w:val="20"/>
          <w:highlight w:val="white"/>
        </w:rPr>
        <w:t>El cultivo de maíz en zonas alto andina del Perú representa un gran aporte económico en el sector agrícola, para el 2015 la producción anual aproximadamente fue 1.2 millones de toneladas, siendo este el más alto de los últimos 20 años (MIDAGRI, 2022). Sin embargo, la gestión de residuos en la zona alto andina del Valle del Cusco presenta una problemática ambiental creciente, por la mala disposición de estos.</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color w:val="343A40"/>
          <w:sz w:val="20"/>
          <w:szCs w:val="20"/>
          <w:highlight w:val="white"/>
        </w:rPr>
        <w:t xml:space="preserve">Entre los residuos generados en la producción del maíz, la mayor relevancia se encuentra en las mazorcas, tusas o corontas, por ello se propone como alternativa sostenible para la gestión de estos residuos de la zona determinar su potencial energético mediante la </w:t>
      </w:r>
      <w:r w:rsidR="006C1E2B">
        <w:rPr>
          <w:rFonts w:ascii="Times New Roman" w:eastAsia="Times New Roman" w:hAnsi="Times New Roman" w:cs="Times New Roman"/>
          <w:color w:val="343A40"/>
          <w:sz w:val="20"/>
          <w:szCs w:val="20"/>
          <w:highlight w:val="white"/>
        </w:rPr>
        <w:t>cuantificación</w:t>
      </w:r>
      <w:r>
        <w:rPr>
          <w:rFonts w:ascii="Times New Roman" w:eastAsia="Times New Roman" w:hAnsi="Times New Roman" w:cs="Times New Roman"/>
          <w:color w:val="343A40"/>
          <w:sz w:val="20"/>
          <w:szCs w:val="20"/>
          <w:highlight w:val="white"/>
        </w:rPr>
        <w:t xml:space="preserve"> anual de esta biomasa. Esto no solo contribuiría a una gestión más eficiente de los residuos, sino que también abriría oportunidades para el desarrollo de fuentes de energía renovable en la región. Por ello, se propone evaluar el potencial energético del maíz, en la zona alto andina del Valle del Cuzco, Perú, incluyendo la cuantificación anual de biomasa disponible. Además de considerar la viabilidad de producir biocombustibles de segunda generación, busca ofrecer información relevante para mejorar las políticas y prácticas de gestión de residuos en la región, contribuyendo así a un enfoque más sostenible en la producción agrícola. Los resultados obtenidos del análisis Elemental, Proximal y contenido energético de la mazorca de maíz se realizaron en Laboratorio de Energías Renovables de la Universidad Nacional Agraria La Molina, Lima - Perú.</w:t>
      </w:r>
    </w:p>
    <w:p w14:paraId="735686D7" w14:textId="77777777" w:rsidR="00FD1EC7" w:rsidRDefault="00FD1EC7">
      <w:pPr>
        <w:spacing w:after="0" w:line="240" w:lineRule="auto"/>
        <w:ind w:right="-220"/>
        <w:jc w:val="both"/>
        <w:rPr>
          <w:rFonts w:ascii="Times New Roman" w:eastAsia="Times New Roman" w:hAnsi="Times New Roman" w:cs="Times New Roman"/>
          <w:color w:val="343A40"/>
          <w:sz w:val="20"/>
          <w:szCs w:val="20"/>
          <w:highlight w:val="white"/>
        </w:rPr>
      </w:pPr>
    </w:p>
    <w:p w14:paraId="368BD39B" w14:textId="77777777" w:rsidR="00297A34" w:rsidRDefault="00FD1EC7">
      <w:pPr>
        <w:spacing w:line="240" w:lineRule="auto"/>
        <w:ind w:right="-2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Métodos </w:t>
      </w:r>
    </w:p>
    <w:p w14:paraId="49CA3F9C" w14:textId="0A0F5829" w:rsidR="00297A34" w:rsidRDefault="00AE4CBF">
      <w:pPr>
        <w:spacing w:after="0" w:line="240" w:lineRule="auto"/>
        <w:ind w:right="-220"/>
        <w:jc w:val="both"/>
        <w:rPr>
          <w:rFonts w:ascii="Times New Roman" w:eastAsia="Times New Roman" w:hAnsi="Times New Roman" w:cs="Times New Roman"/>
          <w:color w:val="343A40"/>
          <w:sz w:val="20"/>
          <w:szCs w:val="20"/>
          <w:highlight w:val="white"/>
        </w:rPr>
      </w:pPr>
      <w:sdt>
        <w:sdtPr>
          <w:tag w:val="goog_rdk_1"/>
          <w:id w:val="-1571428388"/>
        </w:sdtPr>
        <w:sdtEndPr/>
        <w:sdtContent>
          <w:r w:rsidR="00FD1EC7">
            <w:rPr>
              <w:rFonts w:ascii="Times New Roman" w:eastAsia="Times New Roman" w:hAnsi="Times New Roman" w:cs="Times New Roman"/>
              <w:b/>
              <w:color w:val="343A40"/>
              <w:sz w:val="20"/>
              <w:szCs w:val="20"/>
              <w:highlight w:val="white"/>
            </w:rPr>
            <w:t xml:space="preserve">Determinación del potencial </w:t>
          </w:r>
          <w:proofErr w:type="spellStart"/>
          <w:r w:rsidR="00FD1EC7">
            <w:rPr>
              <w:rFonts w:ascii="Times New Roman" w:eastAsia="Times New Roman" w:hAnsi="Times New Roman" w:cs="Times New Roman"/>
              <w:b/>
              <w:color w:val="343A40"/>
              <w:sz w:val="20"/>
              <w:szCs w:val="20"/>
              <w:highlight w:val="white"/>
            </w:rPr>
            <w:t>biomásico</w:t>
          </w:r>
        </w:sdtContent>
      </w:sdt>
      <w:r w:rsidR="00FD1EC7">
        <w:rPr>
          <w:rFonts w:ascii="Times New Roman" w:eastAsia="Times New Roman" w:hAnsi="Times New Roman" w:cs="Times New Roman"/>
          <w:color w:val="343A40"/>
          <w:sz w:val="20"/>
          <w:szCs w:val="20"/>
          <w:highlight w:val="white"/>
        </w:rPr>
        <w:t>La</w:t>
      </w:r>
      <w:proofErr w:type="spellEnd"/>
      <w:r w:rsidR="00FD1EC7">
        <w:rPr>
          <w:rFonts w:ascii="Times New Roman" w:eastAsia="Times New Roman" w:hAnsi="Times New Roman" w:cs="Times New Roman"/>
          <w:color w:val="343A40"/>
          <w:sz w:val="20"/>
          <w:szCs w:val="20"/>
          <w:highlight w:val="white"/>
        </w:rPr>
        <w:t xml:space="preserve"> cuantificación del potencial </w:t>
      </w:r>
      <w:proofErr w:type="spellStart"/>
      <w:r w:rsidR="00FD1EC7">
        <w:rPr>
          <w:rFonts w:ascii="Times New Roman" w:eastAsia="Times New Roman" w:hAnsi="Times New Roman" w:cs="Times New Roman"/>
          <w:color w:val="343A40"/>
          <w:sz w:val="20"/>
          <w:szCs w:val="20"/>
          <w:highlight w:val="white"/>
        </w:rPr>
        <w:t>biomásico</w:t>
      </w:r>
      <w:proofErr w:type="spellEnd"/>
      <w:r w:rsidR="00FD1EC7">
        <w:rPr>
          <w:rFonts w:ascii="Times New Roman" w:eastAsia="Times New Roman" w:hAnsi="Times New Roman" w:cs="Times New Roman"/>
          <w:color w:val="343A40"/>
          <w:sz w:val="20"/>
          <w:szCs w:val="20"/>
          <w:highlight w:val="white"/>
        </w:rPr>
        <w:t xml:space="preserve"> del maíz se determinó a partir de la aplicación de expresiones desarrolladas por la Secretaría General de Agricultura, Ganadería y Desarrollo Rural (2008). Estas expresiones se basan en las áreas de cultivo y el potencial de biomasa residual asociado a la superficie sembrada. El índice de residuo (IR) relaciona la producción de residuos con el rendimiento productivo del cultivo (kg de residuo/ kg de producto) del maíz (Tabla 2). Mediante la ecuación (1) se determina la biomasa residual empleando el IR basado en el rendimiento:</w:t>
      </w:r>
    </w:p>
    <w:p w14:paraId="6EF72FDE" w14:textId="77777777" w:rsidR="00297A34" w:rsidRDefault="00297A34">
      <w:pPr>
        <w:spacing w:after="0" w:line="240" w:lineRule="auto"/>
        <w:ind w:right="-220"/>
        <w:jc w:val="both"/>
        <w:rPr>
          <w:rFonts w:ascii="Times New Roman" w:eastAsia="Times New Roman" w:hAnsi="Times New Roman" w:cs="Times New Roman"/>
          <w:color w:val="343A40"/>
          <w:sz w:val="20"/>
          <w:szCs w:val="20"/>
          <w:highlight w:val="white"/>
        </w:rPr>
      </w:pPr>
    </w:p>
    <w:p w14:paraId="1BF43C94" w14:textId="77777777" w:rsidR="00297A34" w:rsidRDefault="00FD1EC7">
      <w:pPr>
        <w:spacing w:after="0" w:line="240" w:lineRule="auto"/>
        <w:ind w:right="-220"/>
        <w:jc w:val="both"/>
        <w:rPr>
          <w:rFonts w:ascii="Times New Roman" w:eastAsia="Times New Roman" w:hAnsi="Times New Roman" w:cs="Times New Roman"/>
          <w:sz w:val="20"/>
          <w:szCs w:val="20"/>
        </w:rPr>
      </w:pPr>
      <w:r>
        <w:rPr>
          <w:rFonts w:ascii="Times New Roman" w:eastAsia="Times New Roman" w:hAnsi="Times New Roman" w:cs="Times New Roman"/>
          <w:b/>
          <w:color w:val="343A40"/>
          <w:sz w:val="20"/>
          <w:szCs w:val="20"/>
          <w:highlight w:val="white"/>
        </w:rPr>
        <w:t>Caracterización físico-química y contenido energético de la biomasa</w:t>
      </w:r>
    </w:p>
    <w:p w14:paraId="03C4C705" w14:textId="77777777" w:rsidR="00297A34" w:rsidRDefault="00FD1EC7">
      <w:pPr>
        <w:spacing w:after="0" w:line="240" w:lineRule="auto"/>
        <w:ind w:right="-220"/>
        <w:jc w:val="both"/>
        <w:rPr>
          <w:rFonts w:ascii="Times New Roman" w:eastAsia="Times New Roman" w:hAnsi="Times New Roman" w:cs="Times New Roman"/>
          <w:sz w:val="20"/>
          <w:szCs w:val="20"/>
        </w:rPr>
      </w:pPr>
      <w:r>
        <w:rPr>
          <w:rFonts w:ascii="Times New Roman" w:eastAsia="Times New Roman" w:hAnsi="Times New Roman" w:cs="Times New Roman"/>
          <w:color w:val="343A40"/>
          <w:sz w:val="20"/>
          <w:szCs w:val="20"/>
          <w:highlight w:val="white"/>
        </w:rPr>
        <w:t>La caracterización físico-química del residuo de maíz, se basó en métodos estandarizados,   análisis elemental (C, H, O, N, S) se siguió las metodología (ASTM D5373-13 y ASTM D4239-15) en base seca, tal como lo indica el manual de los equipos analizadores elementales CHN628, O628 y S628 de la marca LECO; El análisis Proximal (</w:t>
      </w:r>
      <w:proofErr w:type="spellStart"/>
      <w:r>
        <w:rPr>
          <w:rFonts w:ascii="Times New Roman" w:eastAsia="Times New Roman" w:hAnsi="Times New Roman" w:cs="Times New Roman"/>
          <w:color w:val="343A40"/>
          <w:sz w:val="20"/>
          <w:szCs w:val="20"/>
          <w:highlight w:val="white"/>
        </w:rPr>
        <w:t>Termogravimétrico</w:t>
      </w:r>
      <w:proofErr w:type="spellEnd"/>
      <w:r>
        <w:rPr>
          <w:rFonts w:ascii="Times New Roman" w:eastAsia="Times New Roman" w:hAnsi="Times New Roman" w:cs="Times New Roman"/>
          <w:color w:val="343A40"/>
          <w:sz w:val="20"/>
          <w:szCs w:val="20"/>
          <w:highlight w:val="white"/>
        </w:rPr>
        <w:t xml:space="preserve">) consistió en determinar: Humedad, Material Volátil, Ceniza y Carbono Fijo mediante el equipo </w:t>
      </w:r>
      <w:proofErr w:type="spellStart"/>
      <w:r>
        <w:rPr>
          <w:rFonts w:ascii="Times New Roman" w:eastAsia="Times New Roman" w:hAnsi="Times New Roman" w:cs="Times New Roman"/>
          <w:color w:val="343A40"/>
          <w:sz w:val="20"/>
          <w:szCs w:val="20"/>
          <w:highlight w:val="white"/>
        </w:rPr>
        <w:t>Termogravimétrico</w:t>
      </w:r>
      <w:proofErr w:type="spellEnd"/>
      <w:r>
        <w:rPr>
          <w:rFonts w:ascii="Times New Roman" w:eastAsia="Times New Roman" w:hAnsi="Times New Roman" w:cs="Times New Roman"/>
          <w:color w:val="343A40"/>
          <w:sz w:val="20"/>
          <w:szCs w:val="20"/>
          <w:highlight w:val="white"/>
        </w:rPr>
        <w:t xml:space="preserve"> TGA701 de la marca LECO, empleando la metodología ASTM D7582-15 en base húmeda, establecido en el manual del equipo TGA701.</w:t>
      </w:r>
      <w:r>
        <w:rPr>
          <w:rFonts w:ascii="Times New Roman" w:eastAsia="Times New Roman" w:hAnsi="Times New Roman" w:cs="Times New Roman"/>
          <w:b/>
          <w:sz w:val="20"/>
          <w:szCs w:val="20"/>
        </w:rPr>
        <w:t xml:space="preserve"> </w:t>
      </w:r>
      <w:r>
        <w:rPr>
          <w:rFonts w:ascii="Times New Roman" w:eastAsia="Times New Roman" w:hAnsi="Times New Roman" w:cs="Times New Roman"/>
          <w:color w:val="343A40"/>
          <w:sz w:val="20"/>
          <w:szCs w:val="20"/>
          <w:highlight w:val="white"/>
        </w:rPr>
        <w:t>Se determinó el poder calorífico superior (PCS) y poder calorífico inferior (PCI) mediante un calorímetro AC600 de la marca LECO, de acuerdo a la metodología propuesta por la norma ASTM D5865-13. </w:t>
      </w:r>
    </w:p>
    <w:p w14:paraId="2F13C8B5" w14:textId="77777777" w:rsidR="00297A34" w:rsidRDefault="00297A34">
      <w:pPr>
        <w:spacing w:after="0" w:line="240" w:lineRule="auto"/>
        <w:ind w:right="-220"/>
        <w:jc w:val="both"/>
        <w:rPr>
          <w:rFonts w:ascii="Times New Roman" w:eastAsia="Times New Roman" w:hAnsi="Times New Roman" w:cs="Times New Roman"/>
          <w:b/>
          <w:sz w:val="20"/>
          <w:szCs w:val="20"/>
        </w:rPr>
      </w:pPr>
    </w:p>
    <w:p w14:paraId="2507A2F2" w14:textId="77777777" w:rsidR="00297A34" w:rsidRDefault="00FD1EC7">
      <w:pPr>
        <w:spacing w:after="0" w:line="240" w:lineRule="auto"/>
        <w:ind w:right="-220"/>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Potencial energético de la biomasa residual agrícola </w:t>
      </w:r>
    </w:p>
    <w:p w14:paraId="3102D390" w14:textId="3B6D9CD0" w:rsidR="00297A34" w:rsidRDefault="00FD1EC7">
      <w:pPr>
        <w:spacing w:after="0" w:line="240" w:lineRule="auto"/>
        <w:ind w:right="-2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El potencial energético teórico de la biomasa residual agrícola que se genera del cultivo de maíz se determinó mediante la expresión matemática propuesta por La </w:t>
      </w:r>
      <w:proofErr w:type="spellStart"/>
      <w:r>
        <w:rPr>
          <w:rFonts w:ascii="Times New Roman" w:eastAsia="Times New Roman" w:hAnsi="Times New Roman" w:cs="Times New Roman"/>
          <w:color w:val="000000"/>
          <w:sz w:val="20"/>
          <w:szCs w:val="20"/>
        </w:rPr>
        <w:t>Picirelli</w:t>
      </w:r>
      <w:proofErr w:type="spellEnd"/>
      <w:r>
        <w:rPr>
          <w:rFonts w:ascii="Times New Roman" w:eastAsia="Times New Roman" w:hAnsi="Times New Roman" w:cs="Times New Roman"/>
          <w:color w:val="000000"/>
          <w:sz w:val="20"/>
          <w:szCs w:val="20"/>
        </w:rPr>
        <w:t xml:space="preserve"> et. al. (2021) a partir de la cuantificación de la biomasa residual (kg/año) del maíz, el poder calorífico en función de su contenido en humedad. A partir del potencial energético teórico expresado en </w:t>
      </w:r>
      <w:proofErr w:type="spellStart"/>
      <w:r>
        <w:rPr>
          <w:rFonts w:ascii="Times New Roman" w:eastAsia="Times New Roman" w:hAnsi="Times New Roman" w:cs="Times New Roman"/>
          <w:color w:val="000000"/>
          <w:sz w:val="20"/>
          <w:szCs w:val="20"/>
        </w:rPr>
        <w:t>kWh</w:t>
      </w:r>
      <w:proofErr w:type="spellEnd"/>
      <w:r>
        <w:rPr>
          <w:rFonts w:ascii="Times New Roman" w:eastAsia="Times New Roman" w:hAnsi="Times New Roman" w:cs="Times New Roman"/>
          <w:color w:val="000000"/>
          <w:sz w:val="20"/>
          <w:szCs w:val="20"/>
        </w:rPr>
        <w:t xml:space="preserve"> por año de la biomasa residual</w:t>
      </w:r>
      <w:r w:rsidR="006C1E2B">
        <w:rPr>
          <w:rFonts w:ascii="Times New Roman" w:eastAsia="Times New Roman" w:hAnsi="Times New Roman" w:cs="Times New Roman"/>
          <w:color w:val="000000"/>
          <w:sz w:val="20"/>
          <w:szCs w:val="20"/>
        </w:rPr>
        <w:t xml:space="preserve"> agrícola.</w:t>
      </w:r>
    </w:p>
    <w:p w14:paraId="7A224476" w14:textId="77777777" w:rsidR="006C1E2B" w:rsidRDefault="006C1E2B">
      <w:pPr>
        <w:spacing w:after="0" w:line="240" w:lineRule="auto"/>
        <w:ind w:right="-220"/>
        <w:jc w:val="both"/>
        <w:rPr>
          <w:rFonts w:ascii="Times New Roman" w:eastAsia="Times New Roman" w:hAnsi="Times New Roman" w:cs="Times New Roman"/>
          <w:b/>
          <w:color w:val="000000"/>
          <w:sz w:val="20"/>
          <w:szCs w:val="20"/>
        </w:rPr>
      </w:pPr>
    </w:p>
    <w:p w14:paraId="547B1740" w14:textId="7725A470" w:rsidR="00297A34" w:rsidRDefault="00FD1EC7">
      <w:pPr>
        <w:spacing w:after="0" w:line="240" w:lineRule="auto"/>
        <w:ind w:right="-220"/>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lastRenderedPageBreak/>
        <w:t>Resultados </w:t>
      </w:r>
    </w:p>
    <w:p w14:paraId="1137C739" w14:textId="77777777" w:rsidR="00297A34" w:rsidRDefault="00FD1EC7">
      <w:pPr>
        <w:spacing w:after="0" w:line="240" w:lineRule="auto"/>
        <w:ind w:right="-2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resultados de</w:t>
      </w:r>
      <w:r>
        <w:rPr>
          <w:rFonts w:ascii="Times New Roman" w:eastAsia="Times New Roman" w:hAnsi="Times New Roman" w:cs="Times New Roman"/>
          <w:sz w:val="20"/>
          <w:szCs w:val="20"/>
        </w:rPr>
        <w:t xml:space="preserve"> la caracterización fisicoquímica y contenido energético </w:t>
      </w:r>
      <w:r>
        <w:rPr>
          <w:rFonts w:ascii="Times New Roman" w:eastAsia="Times New Roman" w:hAnsi="Times New Roman" w:cs="Times New Roman"/>
          <w:color w:val="000000"/>
          <w:sz w:val="20"/>
          <w:szCs w:val="20"/>
        </w:rPr>
        <w:t xml:space="preserve">para la biomasa residual del cultivo de maíz se pueden apreciar en la Tabla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w:t>
      </w:r>
    </w:p>
    <w:p w14:paraId="23E2886F" w14:textId="77777777" w:rsidR="00297A34" w:rsidRDefault="00297A34">
      <w:pPr>
        <w:spacing w:after="0" w:line="240" w:lineRule="auto"/>
        <w:ind w:right="-220"/>
        <w:jc w:val="both"/>
        <w:rPr>
          <w:rFonts w:ascii="Times New Roman" w:eastAsia="Times New Roman" w:hAnsi="Times New Roman" w:cs="Times New Roman"/>
          <w:sz w:val="20"/>
          <w:szCs w:val="20"/>
        </w:rPr>
      </w:pPr>
    </w:p>
    <w:p w14:paraId="4498E30A" w14:textId="77777777" w:rsidR="00297A34" w:rsidRDefault="00FD1EC7">
      <w:pPr>
        <w:shd w:val="clear" w:color="auto" w:fill="FFFFFF"/>
        <w:spacing w:after="0" w:line="240" w:lineRule="auto"/>
        <w:ind w:right="-220"/>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 xml:space="preserve">Tabla </w:t>
      </w:r>
      <w:r>
        <w:rPr>
          <w:rFonts w:ascii="Times New Roman" w:eastAsia="Times New Roman" w:hAnsi="Times New Roman" w:cs="Times New Roman"/>
          <w:b/>
          <w:sz w:val="20"/>
          <w:szCs w:val="20"/>
          <w:highlight w:val="white"/>
        </w:rPr>
        <w:t>1</w:t>
      </w:r>
      <w:r>
        <w:rPr>
          <w:rFonts w:ascii="Times New Roman" w:eastAsia="Times New Roman" w:hAnsi="Times New Roman" w:cs="Times New Roman"/>
          <w:b/>
          <w:color w:val="000000"/>
          <w:sz w:val="20"/>
          <w:szCs w:val="20"/>
          <w:highlight w:val="white"/>
        </w:rPr>
        <w:t>.   </w:t>
      </w:r>
      <w:r>
        <w:rPr>
          <w:rFonts w:ascii="Times New Roman" w:eastAsia="Times New Roman" w:hAnsi="Times New Roman" w:cs="Times New Roman"/>
          <w:b/>
          <w:sz w:val="20"/>
          <w:szCs w:val="20"/>
          <w:highlight w:val="white"/>
        </w:rPr>
        <w:t>Caracterización</w:t>
      </w:r>
      <w:r>
        <w:rPr>
          <w:rFonts w:ascii="Times New Roman" w:eastAsia="Times New Roman" w:hAnsi="Times New Roman" w:cs="Times New Roman"/>
          <w:b/>
          <w:color w:val="000000"/>
          <w:sz w:val="20"/>
          <w:szCs w:val="20"/>
          <w:highlight w:val="white"/>
        </w:rPr>
        <w:t xml:space="preserve"> </w:t>
      </w:r>
      <w:r>
        <w:rPr>
          <w:rFonts w:ascii="Times New Roman" w:eastAsia="Times New Roman" w:hAnsi="Times New Roman" w:cs="Times New Roman"/>
          <w:b/>
          <w:sz w:val="20"/>
          <w:szCs w:val="20"/>
          <w:highlight w:val="white"/>
        </w:rPr>
        <w:t>fisicoquímica</w:t>
      </w:r>
      <w:r>
        <w:rPr>
          <w:rFonts w:ascii="Times New Roman" w:eastAsia="Times New Roman" w:hAnsi="Times New Roman" w:cs="Times New Roman"/>
          <w:b/>
          <w:color w:val="000000"/>
          <w:sz w:val="20"/>
          <w:szCs w:val="20"/>
          <w:highlight w:val="white"/>
        </w:rPr>
        <w:t xml:space="preserve"> y </w:t>
      </w:r>
      <w:proofErr w:type="gramStart"/>
      <w:r>
        <w:rPr>
          <w:rFonts w:ascii="Times New Roman" w:eastAsia="Times New Roman" w:hAnsi="Times New Roman" w:cs="Times New Roman"/>
          <w:b/>
          <w:color w:val="000000"/>
          <w:sz w:val="20"/>
          <w:szCs w:val="20"/>
          <w:highlight w:val="white"/>
        </w:rPr>
        <w:t>energétic</w:t>
      </w:r>
      <w:r>
        <w:rPr>
          <w:rFonts w:ascii="Times New Roman" w:eastAsia="Times New Roman" w:hAnsi="Times New Roman" w:cs="Times New Roman"/>
          <w:b/>
          <w:sz w:val="20"/>
          <w:szCs w:val="20"/>
          <w:highlight w:val="white"/>
        </w:rPr>
        <w:t>a</w:t>
      </w:r>
      <w:r>
        <w:rPr>
          <w:rFonts w:ascii="Times New Roman" w:eastAsia="Times New Roman" w:hAnsi="Times New Roman" w:cs="Times New Roman"/>
          <w:b/>
          <w:color w:val="000000"/>
          <w:sz w:val="20"/>
          <w:szCs w:val="20"/>
          <w:highlight w:val="white"/>
        </w:rPr>
        <w:t>  de</w:t>
      </w:r>
      <w:proofErr w:type="gramEnd"/>
      <w:r>
        <w:rPr>
          <w:rFonts w:ascii="Times New Roman" w:eastAsia="Times New Roman" w:hAnsi="Times New Roman" w:cs="Times New Roman"/>
          <w:b/>
          <w:color w:val="000000"/>
          <w:sz w:val="20"/>
          <w:szCs w:val="20"/>
          <w:highlight w:val="white"/>
        </w:rPr>
        <w:t xml:space="preserve"> la coronta de maíz (porcentaje)</w:t>
      </w:r>
    </w:p>
    <w:tbl>
      <w:tblPr>
        <w:tblStyle w:val="a"/>
        <w:tblW w:w="8310" w:type="dxa"/>
        <w:tblInd w:w="426" w:type="dxa"/>
        <w:tblBorders>
          <w:top w:val="single" w:sz="4" w:space="0" w:color="ED7D31"/>
          <w:bottom w:val="single" w:sz="4" w:space="0" w:color="ED7D31"/>
        </w:tblBorders>
        <w:tblLayout w:type="fixed"/>
        <w:tblLook w:val="04A0" w:firstRow="1" w:lastRow="0" w:firstColumn="1" w:lastColumn="0" w:noHBand="0" w:noVBand="1"/>
      </w:tblPr>
      <w:tblGrid>
        <w:gridCol w:w="2599"/>
        <w:gridCol w:w="1196"/>
        <w:gridCol w:w="1200"/>
        <w:gridCol w:w="1455"/>
        <w:gridCol w:w="1860"/>
      </w:tblGrid>
      <w:tr w:rsidR="00297A34" w14:paraId="63BE2E07" w14:textId="77777777" w:rsidTr="00297A34">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98" w:type="dxa"/>
            <w:tcBorders>
              <w:top w:val="single" w:sz="4" w:space="0" w:color="000000"/>
            </w:tcBorders>
            <w:vAlign w:val="center"/>
          </w:tcPr>
          <w:p w14:paraId="384AD2DF" w14:textId="77777777" w:rsidR="00297A34" w:rsidRDefault="00FD1EC7">
            <w:pPr>
              <w:shd w:val="clear" w:color="auto" w:fill="FFFFFF"/>
              <w:ind w:left="175" w:right="-2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343A40"/>
                <w:sz w:val="20"/>
                <w:szCs w:val="20"/>
                <w:highlight w:val="white"/>
              </w:rPr>
              <w:t>Parámetros</w:t>
            </w:r>
          </w:p>
        </w:tc>
        <w:tc>
          <w:tcPr>
            <w:tcW w:w="1196" w:type="dxa"/>
            <w:tcBorders>
              <w:top w:val="single" w:sz="4" w:space="0" w:color="000000"/>
            </w:tcBorders>
            <w:vAlign w:val="center"/>
          </w:tcPr>
          <w:p w14:paraId="29887F7E" w14:textId="77777777" w:rsidR="00297A34" w:rsidRDefault="00FD1EC7">
            <w:pPr>
              <w:shd w:val="clear" w:color="auto" w:fill="FFFFFF"/>
              <w:ind w:left="76" w:right="-2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w:t>
            </w:r>
          </w:p>
        </w:tc>
        <w:tc>
          <w:tcPr>
            <w:tcW w:w="1200" w:type="dxa"/>
            <w:tcBorders>
              <w:top w:val="single" w:sz="4" w:space="0" w:color="000000"/>
            </w:tcBorders>
            <w:vAlign w:val="center"/>
          </w:tcPr>
          <w:p w14:paraId="748FCD60" w14:textId="77777777" w:rsidR="00297A34" w:rsidRDefault="00FD1EC7">
            <w:pPr>
              <w:shd w:val="clear" w:color="auto" w:fill="FFFFFF"/>
              <w:ind w:left="76" w:right="-2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Valor</w:t>
            </w:r>
          </w:p>
        </w:tc>
        <w:tc>
          <w:tcPr>
            <w:tcW w:w="1455" w:type="dxa"/>
            <w:tcBorders>
              <w:top w:val="single" w:sz="4" w:space="0" w:color="000000"/>
            </w:tcBorders>
            <w:vAlign w:val="center"/>
          </w:tcPr>
          <w:p w14:paraId="4BC6DC74" w14:textId="77777777" w:rsidR="00297A34" w:rsidRDefault="00FD1EC7">
            <w:pPr>
              <w:shd w:val="clear" w:color="auto" w:fill="FFFFFF"/>
              <w:ind w:left="76" w:right="-2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Desviación estándar</w:t>
            </w:r>
          </w:p>
        </w:tc>
        <w:tc>
          <w:tcPr>
            <w:tcW w:w="1860" w:type="dxa"/>
            <w:tcBorders>
              <w:top w:val="single" w:sz="4" w:space="0" w:color="000000"/>
            </w:tcBorders>
            <w:vAlign w:val="center"/>
          </w:tcPr>
          <w:p w14:paraId="27041C4B" w14:textId="77777777" w:rsidR="00297A34" w:rsidRDefault="00FD1EC7">
            <w:pPr>
              <w:shd w:val="clear" w:color="auto" w:fill="FFFFFF"/>
              <w:ind w:left="76" w:right="-2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Coeficiente de variabilidad</w:t>
            </w:r>
          </w:p>
        </w:tc>
      </w:tr>
      <w:tr w:rsidR="00297A34" w14:paraId="489089FE" w14:textId="77777777" w:rsidTr="00297A3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11F8B902"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Carbono</w:t>
            </w:r>
          </w:p>
        </w:tc>
        <w:tc>
          <w:tcPr>
            <w:tcW w:w="1196" w:type="dxa"/>
            <w:shd w:val="clear" w:color="auto" w:fill="FFFFFF"/>
            <w:vAlign w:val="center"/>
          </w:tcPr>
          <w:p w14:paraId="0DDE3BE0"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b.s</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21ABB20E"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41.22</w:t>
            </w:r>
          </w:p>
        </w:tc>
        <w:tc>
          <w:tcPr>
            <w:tcW w:w="1455" w:type="dxa"/>
            <w:shd w:val="clear" w:color="auto" w:fill="FFFFFF"/>
            <w:vAlign w:val="center"/>
          </w:tcPr>
          <w:p w14:paraId="52DA86F8"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w:t>
            </w:r>
          </w:p>
        </w:tc>
        <w:tc>
          <w:tcPr>
            <w:tcW w:w="1860" w:type="dxa"/>
            <w:shd w:val="clear" w:color="auto" w:fill="FFFFFF"/>
            <w:vAlign w:val="center"/>
          </w:tcPr>
          <w:p w14:paraId="2478C7AA"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297A34" w14:paraId="51E07502" w14:textId="77777777" w:rsidTr="00297A34">
        <w:trPr>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6C0AA8D1"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Nitrógeno</w:t>
            </w:r>
          </w:p>
        </w:tc>
        <w:tc>
          <w:tcPr>
            <w:tcW w:w="1196" w:type="dxa"/>
            <w:shd w:val="clear" w:color="auto" w:fill="FFFFFF"/>
            <w:vAlign w:val="center"/>
          </w:tcPr>
          <w:p w14:paraId="6FFB4811"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b.s</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1608B4FB"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w:t>
            </w:r>
          </w:p>
        </w:tc>
        <w:tc>
          <w:tcPr>
            <w:tcW w:w="1455" w:type="dxa"/>
            <w:shd w:val="clear" w:color="auto" w:fill="FFFFFF"/>
            <w:vAlign w:val="center"/>
          </w:tcPr>
          <w:p w14:paraId="6713BDF3"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860" w:type="dxa"/>
            <w:shd w:val="clear" w:color="auto" w:fill="FFFFFF"/>
            <w:vAlign w:val="center"/>
          </w:tcPr>
          <w:p w14:paraId="7B6AF907"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297A34" w14:paraId="3D0A4C4A" w14:textId="77777777" w:rsidTr="00297A3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2AF5A41F"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Hidrógeno</w:t>
            </w:r>
          </w:p>
        </w:tc>
        <w:tc>
          <w:tcPr>
            <w:tcW w:w="1196" w:type="dxa"/>
            <w:shd w:val="clear" w:color="auto" w:fill="FFFFFF"/>
            <w:vAlign w:val="center"/>
          </w:tcPr>
          <w:p w14:paraId="2CA5FD4C"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b.s</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76F323BF"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c>
          <w:tcPr>
            <w:tcW w:w="1455" w:type="dxa"/>
            <w:shd w:val="clear" w:color="auto" w:fill="FFFFFF"/>
            <w:vAlign w:val="center"/>
          </w:tcPr>
          <w:p w14:paraId="68AF601A"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1860" w:type="dxa"/>
            <w:shd w:val="clear" w:color="auto" w:fill="FFFFFF"/>
            <w:vAlign w:val="center"/>
          </w:tcPr>
          <w:p w14:paraId="2B06C041"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297A34" w14:paraId="4513FB8F" w14:textId="77777777" w:rsidTr="00297A34">
        <w:trPr>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4F1D8215"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Oxígeno</w:t>
            </w:r>
          </w:p>
        </w:tc>
        <w:tc>
          <w:tcPr>
            <w:tcW w:w="1196" w:type="dxa"/>
            <w:shd w:val="clear" w:color="auto" w:fill="FFFFFF"/>
            <w:vAlign w:val="center"/>
          </w:tcPr>
          <w:p w14:paraId="3A14393E"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b.s</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34E4E2A8"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48.87</w:t>
            </w:r>
          </w:p>
        </w:tc>
        <w:tc>
          <w:tcPr>
            <w:tcW w:w="1455" w:type="dxa"/>
            <w:shd w:val="clear" w:color="auto" w:fill="FFFFFF"/>
            <w:vAlign w:val="center"/>
          </w:tcPr>
          <w:p w14:paraId="4BD8066C"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860" w:type="dxa"/>
            <w:shd w:val="clear" w:color="auto" w:fill="FFFFFF"/>
            <w:vAlign w:val="center"/>
          </w:tcPr>
          <w:p w14:paraId="397B2A56"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297A34" w14:paraId="5321BA09" w14:textId="77777777" w:rsidTr="00297A3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2AA68061"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Azufre</w:t>
            </w:r>
          </w:p>
        </w:tc>
        <w:tc>
          <w:tcPr>
            <w:tcW w:w="1196" w:type="dxa"/>
            <w:shd w:val="clear" w:color="auto" w:fill="FFFFFF"/>
            <w:vAlign w:val="center"/>
          </w:tcPr>
          <w:p w14:paraId="5097E480"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b.s</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6E25E57A"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455" w:type="dxa"/>
            <w:shd w:val="clear" w:color="auto" w:fill="FFFFFF"/>
            <w:vAlign w:val="center"/>
          </w:tcPr>
          <w:p w14:paraId="3EE17780"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860" w:type="dxa"/>
            <w:shd w:val="clear" w:color="auto" w:fill="FFFFFF"/>
            <w:vAlign w:val="center"/>
          </w:tcPr>
          <w:p w14:paraId="6AB23ED7"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297A34" w14:paraId="0E716F33" w14:textId="77777777" w:rsidTr="00297A34">
        <w:trPr>
          <w:trHeight w:val="312"/>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4FEAD5BE"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Humedad</w:t>
            </w:r>
          </w:p>
        </w:tc>
        <w:tc>
          <w:tcPr>
            <w:tcW w:w="1196" w:type="dxa"/>
            <w:shd w:val="clear" w:color="auto" w:fill="FFFFFF"/>
            <w:vAlign w:val="center"/>
          </w:tcPr>
          <w:p w14:paraId="7F16B821"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b.h</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25A2CF96"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8.15</w:t>
            </w:r>
          </w:p>
        </w:tc>
        <w:tc>
          <w:tcPr>
            <w:tcW w:w="1455" w:type="dxa"/>
            <w:shd w:val="clear" w:color="auto" w:fill="FFFFFF"/>
            <w:vAlign w:val="center"/>
          </w:tcPr>
          <w:p w14:paraId="7202823C"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1860" w:type="dxa"/>
            <w:shd w:val="clear" w:color="auto" w:fill="FFFFFF"/>
            <w:vAlign w:val="center"/>
          </w:tcPr>
          <w:p w14:paraId="654B2258"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297A34" w14:paraId="18DB0EF1" w14:textId="77777777" w:rsidTr="00297A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30C3BA37"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Material volátil</w:t>
            </w:r>
          </w:p>
        </w:tc>
        <w:tc>
          <w:tcPr>
            <w:tcW w:w="1196" w:type="dxa"/>
            <w:shd w:val="clear" w:color="auto" w:fill="FFFFFF"/>
            <w:vAlign w:val="center"/>
          </w:tcPr>
          <w:p w14:paraId="5FCB9CC8"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b.h</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214A8577"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77.79</w:t>
            </w:r>
          </w:p>
        </w:tc>
        <w:tc>
          <w:tcPr>
            <w:tcW w:w="1455" w:type="dxa"/>
            <w:shd w:val="clear" w:color="auto" w:fill="FFFFFF"/>
            <w:vAlign w:val="center"/>
          </w:tcPr>
          <w:p w14:paraId="42EEF3C8"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w:t>
            </w:r>
          </w:p>
        </w:tc>
        <w:tc>
          <w:tcPr>
            <w:tcW w:w="1860" w:type="dxa"/>
            <w:shd w:val="clear" w:color="auto" w:fill="FFFFFF"/>
            <w:vAlign w:val="center"/>
          </w:tcPr>
          <w:p w14:paraId="640B196B"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297A34" w14:paraId="4727C8E7" w14:textId="77777777" w:rsidTr="00297A34">
        <w:trPr>
          <w:trHeight w:val="108"/>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26D8EAB3"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Ceniza</w:t>
            </w:r>
          </w:p>
        </w:tc>
        <w:tc>
          <w:tcPr>
            <w:tcW w:w="1196" w:type="dxa"/>
            <w:shd w:val="clear" w:color="auto" w:fill="FFFFFF"/>
            <w:vAlign w:val="center"/>
          </w:tcPr>
          <w:p w14:paraId="6AB0A2E0"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b.h</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15656104"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w:t>
            </w:r>
          </w:p>
        </w:tc>
        <w:tc>
          <w:tcPr>
            <w:tcW w:w="1455" w:type="dxa"/>
            <w:shd w:val="clear" w:color="auto" w:fill="FFFFFF"/>
            <w:vAlign w:val="center"/>
          </w:tcPr>
          <w:p w14:paraId="6D4790AC"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w:t>
            </w:r>
          </w:p>
        </w:tc>
        <w:tc>
          <w:tcPr>
            <w:tcW w:w="1860" w:type="dxa"/>
            <w:shd w:val="clear" w:color="auto" w:fill="FFFFFF"/>
            <w:vAlign w:val="center"/>
          </w:tcPr>
          <w:p w14:paraId="6D85F57E"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w:t>
            </w:r>
          </w:p>
        </w:tc>
      </w:tr>
      <w:tr w:rsidR="00297A34" w14:paraId="37F5964D" w14:textId="77777777" w:rsidTr="00297A3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5C530F92"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Carbón fijo</w:t>
            </w:r>
          </w:p>
        </w:tc>
        <w:tc>
          <w:tcPr>
            <w:tcW w:w="1196" w:type="dxa"/>
            <w:shd w:val="clear" w:color="auto" w:fill="FFFFFF"/>
            <w:vAlign w:val="center"/>
          </w:tcPr>
          <w:p w14:paraId="79894314"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b.h</w:t>
            </w:r>
            <w:proofErr w:type="spellEnd"/>
            <w:r>
              <w:rPr>
                <w:rFonts w:ascii="Times New Roman" w:eastAsia="Times New Roman" w:hAnsi="Times New Roman" w:cs="Times New Roman"/>
                <w:b/>
                <w:color w:val="000000"/>
                <w:sz w:val="20"/>
                <w:szCs w:val="20"/>
              </w:rPr>
              <w:t>.</w:t>
            </w:r>
          </w:p>
        </w:tc>
        <w:tc>
          <w:tcPr>
            <w:tcW w:w="1200" w:type="dxa"/>
            <w:shd w:val="clear" w:color="auto" w:fill="FFFFFF"/>
            <w:vAlign w:val="center"/>
          </w:tcPr>
          <w:p w14:paraId="21DF5DD0"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11.09</w:t>
            </w:r>
          </w:p>
        </w:tc>
        <w:tc>
          <w:tcPr>
            <w:tcW w:w="1455" w:type="dxa"/>
            <w:shd w:val="clear" w:color="auto" w:fill="FFFFFF"/>
            <w:vAlign w:val="center"/>
          </w:tcPr>
          <w:p w14:paraId="111EBEAB"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860" w:type="dxa"/>
            <w:shd w:val="clear" w:color="auto" w:fill="FFFFFF"/>
            <w:vAlign w:val="center"/>
          </w:tcPr>
          <w:p w14:paraId="6385723F" w14:textId="77777777" w:rsidR="00297A34" w:rsidRDefault="00297A34">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p w14:paraId="117CC9B5"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p w14:paraId="7B52F107" w14:textId="77777777" w:rsidR="00297A34" w:rsidRDefault="00297A34">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297A34" w14:paraId="6EA0F7C6" w14:textId="77777777" w:rsidTr="00297A34">
        <w:trPr>
          <w:trHeight w:val="49"/>
        </w:trPr>
        <w:tc>
          <w:tcPr>
            <w:cnfStyle w:val="001000000000" w:firstRow="0" w:lastRow="0" w:firstColumn="1" w:lastColumn="0" w:oddVBand="0" w:evenVBand="0" w:oddHBand="0" w:evenHBand="0" w:firstRowFirstColumn="0" w:firstRowLastColumn="0" w:lastRowFirstColumn="0" w:lastRowLastColumn="0"/>
            <w:tcW w:w="2598" w:type="dxa"/>
            <w:shd w:val="clear" w:color="auto" w:fill="FFFFFF"/>
            <w:vAlign w:val="center"/>
          </w:tcPr>
          <w:p w14:paraId="6393CC15"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Poder calorífico Superior</w:t>
            </w:r>
          </w:p>
        </w:tc>
        <w:tc>
          <w:tcPr>
            <w:tcW w:w="1196" w:type="dxa"/>
            <w:shd w:val="clear" w:color="auto" w:fill="FFFFFF"/>
            <w:vAlign w:val="center"/>
          </w:tcPr>
          <w:p w14:paraId="38091FBD"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kcal/kg</w:t>
            </w:r>
          </w:p>
        </w:tc>
        <w:tc>
          <w:tcPr>
            <w:tcW w:w="1200" w:type="dxa"/>
            <w:shd w:val="clear" w:color="auto" w:fill="FFFFFF"/>
            <w:vAlign w:val="center"/>
          </w:tcPr>
          <w:p w14:paraId="511374E5"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4181.85</w:t>
            </w:r>
          </w:p>
        </w:tc>
        <w:tc>
          <w:tcPr>
            <w:tcW w:w="1455" w:type="dxa"/>
            <w:shd w:val="clear" w:color="auto" w:fill="FFFFFF"/>
            <w:vAlign w:val="center"/>
          </w:tcPr>
          <w:p w14:paraId="727849DC"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26.47</w:t>
            </w:r>
          </w:p>
        </w:tc>
        <w:tc>
          <w:tcPr>
            <w:tcW w:w="1860" w:type="dxa"/>
            <w:shd w:val="clear" w:color="auto" w:fill="FFFFFF"/>
            <w:vAlign w:val="center"/>
          </w:tcPr>
          <w:p w14:paraId="0BB66081" w14:textId="77777777" w:rsidR="00297A34" w:rsidRDefault="00FD1EC7">
            <w:pPr>
              <w:shd w:val="clear" w:color="auto" w:fill="FFFFFF"/>
              <w:ind w:left="76"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297A34" w14:paraId="4A38E86E" w14:textId="77777777" w:rsidTr="00297A3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598" w:type="dxa"/>
            <w:tcBorders>
              <w:bottom w:val="single" w:sz="4" w:space="0" w:color="000000"/>
            </w:tcBorders>
            <w:shd w:val="clear" w:color="auto" w:fill="FFFFFF"/>
            <w:vAlign w:val="center"/>
          </w:tcPr>
          <w:p w14:paraId="304E48A3" w14:textId="77777777" w:rsidR="00297A34" w:rsidRDefault="00FD1EC7">
            <w:pPr>
              <w:shd w:val="clear" w:color="auto" w:fill="FFFFFF"/>
              <w:ind w:left="175" w:righ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Poder calorífico Inferior</w:t>
            </w:r>
          </w:p>
        </w:tc>
        <w:tc>
          <w:tcPr>
            <w:tcW w:w="1196" w:type="dxa"/>
            <w:tcBorders>
              <w:bottom w:val="single" w:sz="4" w:space="0" w:color="000000"/>
            </w:tcBorders>
            <w:shd w:val="clear" w:color="auto" w:fill="FFFFFF"/>
            <w:vAlign w:val="center"/>
          </w:tcPr>
          <w:p w14:paraId="464569A9"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kcal/kg</w:t>
            </w:r>
          </w:p>
        </w:tc>
        <w:tc>
          <w:tcPr>
            <w:tcW w:w="1200" w:type="dxa"/>
            <w:tcBorders>
              <w:bottom w:val="single" w:sz="4" w:space="0" w:color="000000"/>
            </w:tcBorders>
            <w:shd w:val="clear" w:color="auto" w:fill="FFFFFF"/>
            <w:vAlign w:val="center"/>
          </w:tcPr>
          <w:p w14:paraId="6FF34711"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3841.33</w:t>
            </w:r>
          </w:p>
        </w:tc>
        <w:tc>
          <w:tcPr>
            <w:tcW w:w="1455" w:type="dxa"/>
            <w:tcBorders>
              <w:bottom w:val="single" w:sz="4" w:space="0" w:color="000000"/>
            </w:tcBorders>
            <w:shd w:val="clear" w:color="auto" w:fill="FFFFFF"/>
            <w:vAlign w:val="center"/>
          </w:tcPr>
          <w:p w14:paraId="62FA4CBD"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24.54</w:t>
            </w:r>
          </w:p>
        </w:tc>
        <w:tc>
          <w:tcPr>
            <w:tcW w:w="1860" w:type="dxa"/>
            <w:tcBorders>
              <w:bottom w:val="single" w:sz="4" w:space="0" w:color="000000"/>
            </w:tcBorders>
            <w:shd w:val="clear" w:color="auto" w:fill="FFFFFF"/>
            <w:vAlign w:val="center"/>
          </w:tcPr>
          <w:p w14:paraId="375EC85A" w14:textId="77777777" w:rsidR="00297A34" w:rsidRDefault="00FD1EC7">
            <w:pPr>
              <w:shd w:val="clear" w:color="auto" w:fill="FFFFFF"/>
              <w:ind w:left="76" w:right="-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bl>
    <w:p w14:paraId="0439A599" w14:textId="77777777" w:rsidR="00297A34" w:rsidRDefault="00FD1EC7">
      <w:pPr>
        <w:shd w:val="clear" w:color="auto" w:fill="FFFFFF"/>
        <w:spacing w:after="0" w:line="240" w:lineRule="auto"/>
        <w:ind w:right="-220" w:firstLine="425"/>
        <w:rPr>
          <w:rFonts w:ascii="Times New Roman" w:eastAsia="Times New Roman" w:hAnsi="Times New Roman" w:cs="Times New Roman"/>
          <w:b/>
          <w:color w:val="000000"/>
          <w:sz w:val="18"/>
          <w:szCs w:val="18"/>
          <w:highlight w:val="white"/>
        </w:rPr>
      </w:pPr>
      <w:r>
        <w:rPr>
          <w:rFonts w:ascii="Times New Roman" w:eastAsia="Times New Roman" w:hAnsi="Times New Roman" w:cs="Times New Roman"/>
          <w:b/>
          <w:color w:val="000000"/>
          <w:sz w:val="18"/>
          <w:szCs w:val="18"/>
          <w:highlight w:val="white"/>
        </w:rPr>
        <w:t xml:space="preserve">Fuente: Laboratorio de Energías Renovables (LER), UNALM. </w:t>
      </w:r>
    </w:p>
    <w:p w14:paraId="329285B2" w14:textId="77777777" w:rsidR="00297A34" w:rsidRDefault="00FD1EC7">
      <w:pPr>
        <w:shd w:val="clear" w:color="auto" w:fill="FFFFFF"/>
        <w:spacing w:after="0" w:line="240" w:lineRule="auto"/>
        <w:ind w:right="-220" w:firstLine="425"/>
        <w:rPr>
          <w:rFonts w:ascii="Times New Roman" w:eastAsia="Times New Roman" w:hAnsi="Times New Roman" w:cs="Times New Roman"/>
          <w:sz w:val="20"/>
          <w:szCs w:val="20"/>
        </w:rPr>
      </w:pPr>
      <w:r>
        <w:rPr>
          <w:rFonts w:ascii="Times New Roman" w:eastAsia="Times New Roman" w:hAnsi="Times New Roman" w:cs="Times New Roman"/>
          <w:sz w:val="18"/>
          <w:szCs w:val="18"/>
        </w:rPr>
        <w:t>Nota:  Porcentajes determinados en (</w:t>
      </w:r>
      <w:proofErr w:type="spellStart"/>
      <w:r>
        <w:rPr>
          <w:rFonts w:ascii="Times New Roman" w:eastAsia="Times New Roman" w:hAnsi="Times New Roman" w:cs="Times New Roman"/>
          <w:sz w:val="18"/>
          <w:szCs w:val="18"/>
        </w:rPr>
        <w:t>b.h</w:t>
      </w:r>
      <w:proofErr w:type="spellEnd"/>
      <w:r>
        <w:rPr>
          <w:rFonts w:ascii="Times New Roman" w:eastAsia="Times New Roman" w:hAnsi="Times New Roman" w:cs="Times New Roman"/>
          <w:sz w:val="18"/>
          <w:szCs w:val="18"/>
        </w:rPr>
        <w:t>): base húmeda y (</w:t>
      </w:r>
      <w:proofErr w:type="spellStart"/>
      <w:r>
        <w:rPr>
          <w:rFonts w:ascii="Times New Roman" w:eastAsia="Times New Roman" w:hAnsi="Times New Roman" w:cs="Times New Roman"/>
          <w:sz w:val="18"/>
          <w:szCs w:val="18"/>
        </w:rPr>
        <w:t>b.s</w:t>
      </w:r>
      <w:proofErr w:type="spellEnd"/>
      <w:r>
        <w:rPr>
          <w:rFonts w:ascii="Times New Roman" w:eastAsia="Times New Roman" w:hAnsi="Times New Roman" w:cs="Times New Roman"/>
          <w:sz w:val="18"/>
          <w:szCs w:val="18"/>
        </w:rPr>
        <w:t>): base seca</w:t>
      </w:r>
      <w:r>
        <w:rPr>
          <w:rFonts w:ascii="Times New Roman" w:eastAsia="Times New Roman" w:hAnsi="Times New Roman" w:cs="Times New Roman"/>
          <w:sz w:val="20"/>
          <w:szCs w:val="20"/>
        </w:rPr>
        <w:t>. </w:t>
      </w:r>
    </w:p>
    <w:p w14:paraId="3A1FD076" w14:textId="77777777" w:rsidR="00297A34" w:rsidRDefault="00FD1EC7">
      <w:pPr>
        <w:spacing w:before="240" w:after="240"/>
        <w:ind w:righ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 resultados del Análisis elemental de la coronta de maíz determinada en la presente investigación fueron numéricamente similares a las reportadas por otras investigaciones. Omar et al. (2017) nos presentan los siguientes valores del análisis elemental de mazorcas de maíz: 43.2% C, 7.1% H, 48.8% O, 0.6% N y 0.3% S. Por otro lado, </w:t>
      </w:r>
      <w:proofErr w:type="spellStart"/>
      <w:r>
        <w:rPr>
          <w:rFonts w:ascii="Times New Roman" w:eastAsia="Times New Roman" w:hAnsi="Times New Roman" w:cs="Times New Roman"/>
          <w:sz w:val="20"/>
          <w:szCs w:val="20"/>
        </w:rPr>
        <w:t>Meng</w:t>
      </w:r>
      <w:proofErr w:type="spellEnd"/>
      <w:r>
        <w:rPr>
          <w:rFonts w:ascii="Times New Roman" w:eastAsia="Times New Roman" w:hAnsi="Times New Roman" w:cs="Times New Roman"/>
          <w:sz w:val="20"/>
          <w:szCs w:val="20"/>
        </w:rPr>
        <w:t xml:space="preserve"> et al. (2021) nos mencionan los siguientes valores para el rastrojo de maíz: 40.49% C, 5.25% H, 52.09% O, 1.04% N y 1.13% S. En el análisis</w:t>
      </w:r>
      <w:r>
        <w:rPr>
          <w:rFonts w:ascii="Times New Roman" w:eastAsia="Times New Roman" w:hAnsi="Times New Roman" w:cs="Times New Roman"/>
          <w:color w:val="000000"/>
          <w:sz w:val="20"/>
          <w:szCs w:val="20"/>
        </w:rPr>
        <w:t xml:space="preserve"> proximal, se obtuvieron resultados cercanos a Omar et al. (2017) quien presentan los siguientes valores del análisis proximal de mazorcas de maíz siguientes: 13.3% Humedad, 69.2% Volátiles, 1.8% Cenizas y 15.7% Carbono fijo. </w:t>
      </w:r>
      <w:r>
        <w:rPr>
          <w:rFonts w:ascii="Times New Roman" w:eastAsia="Times New Roman" w:hAnsi="Times New Roman" w:cs="Times New Roman"/>
          <w:sz w:val="20"/>
          <w:szCs w:val="20"/>
        </w:rPr>
        <w:t>Asimismo</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w:t>
      </w:r>
      <w:proofErr w:type="spellEnd"/>
      <w:r>
        <w:rPr>
          <w:rFonts w:ascii="Times New Roman" w:eastAsia="Times New Roman" w:hAnsi="Times New Roman" w:cs="Times New Roman"/>
          <w:color w:val="000000"/>
          <w:sz w:val="20"/>
          <w:szCs w:val="20"/>
        </w:rPr>
        <w:t xml:space="preserve"> et al. (2021) nos da los siguientes resultados para el rastrojo de maíz: 3.75% Humedad, 79.64% Volátiles, 5.62% Cenizas y 10.99% Carbono </w:t>
      </w:r>
      <w:proofErr w:type="spellStart"/>
      <w:proofErr w:type="gramStart"/>
      <w:r>
        <w:rPr>
          <w:rFonts w:ascii="Times New Roman" w:eastAsia="Times New Roman" w:hAnsi="Times New Roman" w:cs="Times New Roman"/>
          <w:color w:val="000000"/>
          <w:sz w:val="20"/>
          <w:szCs w:val="20"/>
        </w:rPr>
        <w:t>fijo.</w:t>
      </w:r>
      <w:r>
        <w:rPr>
          <w:rFonts w:ascii="Times New Roman" w:eastAsia="Times New Roman" w:hAnsi="Times New Roman" w:cs="Times New Roman"/>
          <w:sz w:val="20"/>
          <w:szCs w:val="20"/>
        </w:rPr>
        <w:t>En</w:t>
      </w:r>
      <w:proofErr w:type="spellEnd"/>
      <w:proofErr w:type="gramEnd"/>
      <w:r>
        <w:rPr>
          <w:rFonts w:ascii="Times New Roman" w:eastAsia="Times New Roman" w:hAnsi="Times New Roman" w:cs="Times New Roman"/>
          <w:sz w:val="20"/>
          <w:szCs w:val="20"/>
        </w:rPr>
        <w:t xml:space="preserve"> relación al análisis del contenido energético se determinó el poder calorífico inferior (PCI) y poder calorífico superior (PCS) de la coronta de maíz, donde el PCS resultó 4181.85 kcal/kg (17.50MJ/kg), siendo este valor mayor a obtenido por </w:t>
      </w:r>
      <w:proofErr w:type="spellStart"/>
      <w:r>
        <w:rPr>
          <w:rFonts w:ascii="Times New Roman" w:eastAsia="Times New Roman" w:hAnsi="Times New Roman" w:cs="Times New Roman"/>
          <w:sz w:val="20"/>
          <w:szCs w:val="20"/>
        </w:rPr>
        <w:t>Meng</w:t>
      </w:r>
      <w:proofErr w:type="spellEnd"/>
      <w:r>
        <w:rPr>
          <w:rFonts w:ascii="Times New Roman" w:eastAsia="Times New Roman" w:hAnsi="Times New Roman" w:cs="Times New Roman"/>
          <w:sz w:val="20"/>
          <w:szCs w:val="20"/>
        </w:rPr>
        <w:t xml:space="preserve"> et al. (2021) de  3482.31 kcal/kg (14.57 MJ/kg). No obstante, se corrobora lo indicado por Escalante et al (2011) donde señalan que el poder calorífico disminuye con el alto contenido de cenizas. En la tabla 2 se presentan los resultados obtenidos respecto al potencial de biomasa residual del maíz (</w:t>
      </w:r>
      <w:proofErr w:type="spellStart"/>
      <w:r>
        <w:rPr>
          <w:rFonts w:ascii="Times New Roman" w:eastAsia="Times New Roman" w:hAnsi="Times New Roman" w:cs="Times New Roman"/>
          <w:sz w:val="20"/>
          <w:szCs w:val="20"/>
        </w:rPr>
        <w:t>tn</w:t>
      </w:r>
      <w:proofErr w:type="spellEnd"/>
      <w:r>
        <w:rPr>
          <w:rFonts w:ascii="Times New Roman" w:eastAsia="Times New Roman" w:hAnsi="Times New Roman" w:cs="Times New Roman"/>
          <w:sz w:val="20"/>
          <w:szCs w:val="20"/>
        </w:rPr>
        <w:t>/año) y su potencial energético. Estos datos se basan en la superficie cultivada de maíz en el Valle Sagrado del Cuzco durante el año 2021, los cuales representan 4,423 hectáreas de cultivo de maíz (Agraria 2022).</w:t>
      </w:r>
    </w:p>
    <w:p w14:paraId="718D0DB0" w14:textId="77777777" w:rsidR="00297A34" w:rsidRDefault="00FD1EC7">
      <w:pPr>
        <w:spacing w:before="120" w:after="120" w:line="276" w:lineRule="auto"/>
        <w:ind w:left="920" w:righ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Tabla 2: Potencial de la biomasa residual agrícola del maíz (</w:t>
      </w:r>
      <w:proofErr w:type="spellStart"/>
      <w:r>
        <w:rPr>
          <w:rFonts w:ascii="Times New Roman" w:eastAsia="Times New Roman" w:hAnsi="Times New Roman" w:cs="Times New Roman"/>
          <w:b/>
          <w:sz w:val="20"/>
          <w:szCs w:val="20"/>
        </w:rPr>
        <w:t>tn</w:t>
      </w:r>
      <w:proofErr w:type="spellEnd"/>
      <w:r>
        <w:rPr>
          <w:rFonts w:ascii="Times New Roman" w:eastAsia="Times New Roman" w:hAnsi="Times New Roman" w:cs="Times New Roman"/>
          <w:b/>
          <w:sz w:val="20"/>
          <w:szCs w:val="20"/>
        </w:rPr>
        <w:t>/año)</w:t>
      </w:r>
    </w:p>
    <w:tbl>
      <w:tblPr>
        <w:tblStyle w:val="a0"/>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5"/>
        <w:gridCol w:w="1215"/>
        <w:gridCol w:w="2070"/>
        <w:gridCol w:w="1890"/>
        <w:gridCol w:w="1470"/>
        <w:gridCol w:w="1530"/>
      </w:tblGrid>
      <w:tr w:rsidR="00297A34" w14:paraId="3B090677" w14:textId="77777777">
        <w:trPr>
          <w:trHeight w:val="585"/>
        </w:trPr>
        <w:tc>
          <w:tcPr>
            <w:tcW w:w="1185" w:type="dxa"/>
            <w:tcBorders>
              <w:top w:val="single" w:sz="4" w:space="0" w:color="000000"/>
              <w:left w:val="nil"/>
              <w:bottom w:val="single" w:sz="4" w:space="0" w:color="000000"/>
              <w:right w:val="nil"/>
            </w:tcBorders>
            <w:tcMar>
              <w:top w:w="0" w:type="dxa"/>
              <w:left w:w="80" w:type="dxa"/>
              <w:bottom w:w="0" w:type="dxa"/>
              <w:right w:w="80" w:type="dxa"/>
            </w:tcMar>
          </w:tcPr>
          <w:p w14:paraId="4B531C70"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Tipo de biomasa residual</w:t>
            </w:r>
          </w:p>
        </w:tc>
        <w:tc>
          <w:tcPr>
            <w:tcW w:w="1215" w:type="dxa"/>
            <w:tcBorders>
              <w:top w:val="single" w:sz="4" w:space="0" w:color="000000"/>
              <w:left w:val="nil"/>
              <w:bottom w:val="single" w:sz="4" w:space="0" w:color="000000"/>
              <w:right w:val="nil"/>
            </w:tcBorders>
            <w:tcMar>
              <w:top w:w="0" w:type="dxa"/>
              <w:left w:w="80" w:type="dxa"/>
              <w:bottom w:w="0" w:type="dxa"/>
              <w:right w:w="80" w:type="dxa"/>
            </w:tcMar>
          </w:tcPr>
          <w:p w14:paraId="4E76C622"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Superficie (Ha)</w:t>
            </w:r>
          </w:p>
        </w:tc>
        <w:tc>
          <w:tcPr>
            <w:tcW w:w="2070" w:type="dxa"/>
            <w:tcBorders>
              <w:top w:val="single" w:sz="4" w:space="0" w:color="000000"/>
              <w:left w:val="nil"/>
              <w:bottom w:val="single" w:sz="4" w:space="0" w:color="000000"/>
              <w:right w:val="nil"/>
            </w:tcBorders>
            <w:tcMar>
              <w:top w:w="0" w:type="dxa"/>
              <w:left w:w="80" w:type="dxa"/>
              <w:bottom w:w="0" w:type="dxa"/>
              <w:right w:w="80" w:type="dxa"/>
            </w:tcMar>
          </w:tcPr>
          <w:p w14:paraId="3D9BF133"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Rendimiento de cosecha (kg producto/Ha*año)</w:t>
            </w:r>
          </w:p>
        </w:tc>
        <w:tc>
          <w:tcPr>
            <w:tcW w:w="1890" w:type="dxa"/>
            <w:tcBorders>
              <w:top w:val="single" w:sz="4" w:space="0" w:color="000000"/>
              <w:left w:val="nil"/>
              <w:bottom w:val="single" w:sz="4" w:space="0" w:color="000000"/>
              <w:right w:val="nil"/>
            </w:tcBorders>
            <w:tcMar>
              <w:top w:w="0" w:type="dxa"/>
              <w:left w:w="80" w:type="dxa"/>
              <w:bottom w:w="0" w:type="dxa"/>
              <w:right w:w="80" w:type="dxa"/>
            </w:tcMar>
          </w:tcPr>
          <w:p w14:paraId="22810C1E"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Índice de residuos (kg residuo/kg producto)</w:t>
            </w:r>
          </w:p>
        </w:tc>
        <w:tc>
          <w:tcPr>
            <w:tcW w:w="1470" w:type="dxa"/>
            <w:tcBorders>
              <w:top w:val="single" w:sz="4" w:space="0" w:color="000000"/>
              <w:left w:val="nil"/>
              <w:bottom w:val="single" w:sz="4" w:space="0" w:color="000000"/>
              <w:right w:val="nil"/>
            </w:tcBorders>
            <w:tcMar>
              <w:top w:w="0" w:type="dxa"/>
              <w:left w:w="80" w:type="dxa"/>
              <w:bottom w:w="0" w:type="dxa"/>
              <w:right w:w="80" w:type="dxa"/>
            </w:tcMar>
          </w:tcPr>
          <w:p w14:paraId="4BBAA587"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Biomasa residual (</w:t>
            </w:r>
            <w:proofErr w:type="spellStart"/>
            <w:r>
              <w:rPr>
                <w:rFonts w:ascii="Times New Roman" w:eastAsia="Times New Roman" w:hAnsi="Times New Roman" w:cs="Times New Roman"/>
                <w:b/>
                <w:sz w:val="18"/>
                <w:szCs w:val="18"/>
              </w:rPr>
              <w:t>tn</w:t>
            </w:r>
            <w:proofErr w:type="spellEnd"/>
            <w:r>
              <w:rPr>
                <w:rFonts w:ascii="Times New Roman" w:eastAsia="Times New Roman" w:hAnsi="Times New Roman" w:cs="Times New Roman"/>
                <w:b/>
                <w:sz w:val="18"/>
                <w:szCs w:val="18"/>
              </w:rPr>
              <w:t>/año)</w:t>
            </w:r>
          </w:p>
        </w:tc>
        <w:tc>
          <w:tcPr>
            <w:tcW w:w="1530" w:type="dxa"/>
            <w:tcBorders>
              <w:top w:val="single" w:sz="4" w:space="0" w:color="000000"/>
              <w:left w:val="nil"/>
              <w:bottom w:val="single" w:sz="4" w:space="0" w:color="000000"/>
              <w:right w:val="nil"/>
            </w:tcBorders>
            <w:tcMar>
              <w:top w:w="0" w:type="dxa"/>
              <w:left w:w="80" w:type="dxa"/>
              <w:bottom w:w="0" w:type="dxa"/>
              <w:right w:w="80" w:type="dxa"/>
            </w:tcMar>
          </w:tcPr>
          <w:p w14:paraId="526D0296" w14:textId="77777777" w:rsidR="00297A34" w:rsidRDefault="00FD1EC7">
            <w:pPr>
              <w:spacing w:after="0" w:line="240" w:lineRule="auto"/>
              <w:ind w:righ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Potencial Energético (</w:t>
            </w:r>
            <w:proofErr w:type="spellStart"/>
            <w:r>
              <w:rPr>
                <w:rFonts w:ascii="Times New Roman" w:eastAsia="Times New Roman" w:hAnsi="Times New Roman" w:cs="Times New Roman"/>
                <w:b/>
                <w:sz w:val="18"/>
                <w:szCs w:val="18"/>
              </w:rPr>
              <w:t>GWh</w:t>
            </w:r>
            <w:proofErr w:type="spellEnd"/>
            <w:r>
              <w:rPr>
                <w:rFonts w:ascii="Times New Roman" w:eastAsia="Times New Roman" w:hAnsi="Times New Roman" w:cs="Times New Roman"/>
                <w:b/>
                <w:sz w:val="18"/>
                <w:szCs w:val="18"/>
              </w:rPr>
              <w:t>/año)</w:t>
            </w:r>
          </w:p>
        </w:tc>
      </w:tr>
      <w:tr w:rsidR="00297A34" w14:paraId="01EB70F5" w14:textId="77777777" w:rsidTr="00050ACC">
        <w:trPr>
          <w:trHeight w:val="348"/>
        </w:trPr>
        <w:tc>
          <w:tcPr>
            <w:tcW w:w="1185" w:type="dxa"/>
            <w:tcBorders>
              <w:top w:val="nil"/>
              <w:left w:val="nil"/>
              <w:bottom w:val="single" w:sz="4" w:space="0" w:color="auto"/>
              <w:right w:val="nil"/>
            </w:tcBorders>
            <w:tcMar>
              <w:top w:w="0" w:type="dxa"/>
              <w:left w:w="80" w:type="dxa"/>
              <w:bottom w:w="0" w:type="dxa"/>
              <w:right w:w="80" w:type="dxa"/>
            </w:tcMar>
          </w:tcPr>
          <w:p w14:paraId="6449D221"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Rastrojo de maíz</w:t>
            </w:r>
          </w:p>
        </w:tc>
        <w:tc>
          <w:tcPr>
            <w:tcW w:w="1215" w:type="dxa"/>
            <w:tcBorders>
              <w:top w:val="nil"/>
              <w:left w:val="nil"/>
              <w:bottom w:val="single" w:sz="4" w:space="0" w:color="auto"/>
              <w:right w:val="nil"/>
            </w:tcBorders>
            <w:tcMar>
              <w:top w:w="0" w:type="dxa"/>
              <w:left w:w="80" w:type="dxa"/>
              <w:bottom w:w="0" w:type="dxa"/>
              <w:right w:w="80" w:type="dxa"/>
            </w:tcMar>
          </w:tcPr>
          <w:p w14:paraId="7F0F2017"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4,423</w:t>
            </w:r>
          </w:p>
        </w:tc>
        <w:tc>
          <w:tcPr>
            <w:tcW w:w="2070" w:type="dxa"/>
            <w:tcBorders>
              <w:top w:val="nil"/>
              <w:left w:val="nil"/>
              <w:bottom w:val="single" w:sz="4" w:space="0" w:color="auto"/>
              <w:right w:val="nil"/>
            </w:tcBorders>
            <w:tcMar>
              <w:top w:w="0" w:type="dxa"/>
              <w:left w:w="80" w:type="dxa"/>
              <w:bottom w:w="0" w:type="dxa"/>
              <w:right w:w="80" w:type="dxa"/>
            </w:tcMar>
          </w:tcPr>
          <w:p w14:paraId="024F05F9"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890" w:type="dxa"/>
            <w:tcBorders>
              <w:top w:val="nil"/>
              <w:left w:val="nil"/>
              <w:bottom w:val="single" w:sz="4" w:space="0" w:color="auto"/>
              <w:right w:val="nil"/>
            </w:tcBorders>
            <w:tcMar>
              <w:top w:w="0" w:type="dxa"/>
              <w:left w:w="80" w:type="dxa"/>
              <w:bottom w:w="0" w:type="dxa"/>
              <w:right w:w="80" w:type="dxa"/>
            </w:tcMar>
          </w:tcPr>
          <w:p w14:paraId="2CA4DF6D"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470" w:type="dxa"/>
            <w:tcBorders>
              <w:top w:val="nil"/>
              <w:left w:val="nil"/>
              <w:bottom w:val="single" w:sz="4" w:space="0" w:color="auto"/>
              <w:right w:val="nil"/>
            </w:tcBorders>
            <w:tcMar>
              <w:top w:w="0" w:type="dxa"/>
              <w:left w:w="80" w:type="dxa"/>
              <w:bottom w:w="0" w:type="dxa"/>
              <w:right w:w="80" w:type="dxa"/>
            </w:tcMar>
          </w:tcPr>
          <w:p w14:paraId="4C1C1464"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66,345</w:t>
            </w:r>
          </w:p>
        </w:tc>
        <w:tc>
          <w:tcPr>
            <w:tcW w:w="1530" w:type="dxa"/>
            <w:tcBorders>
              <w:top w:val="nil"/>
              <w:left w:val="nil"/>
              <w:bottom w:val="single" w:sz="4" w:space="0" w:color="auto"/>
              <w:right w:val="nil"/>
            </w:tcBorders>
            <w:tcMar>
              <w:top w:w="0" w:type="dxa"/>
              <w:left w:w="80" w:type="dxa"/>
              <w:bottom w:w="0" w:type="dxa"/>
              <w:right w:w="80" w:type="dxa"/>
            </w:tcMar>
          </w:tcPr>
          <w:p w14:paraId="6C472F38" w14:textId="77777777" w:rsidR="00297A34" w:rsidRDefault="00FD1EC7">
            <w:pPr>
              <w:spacing w:after="0" w:line="240" w:lineRule="auto"/>
              <w:ind w:right="-2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296.39</w:t>
            </w:r>
          </w:p>
        </w:tc>
      </w:tr>
    </w:tbl>
    <w:p w14:paraId="405912FD" w14:textId="499ABA93" w:rsidR="00297A34" w:rsidRDefault="00FD1EC7">
      <w:pPr>
        <w:spacing w:line="240" w:lineRule="auto"/>
        <w:ind w:right="-2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Conclusiones </w:t>
      </w:r>
    </w:p>
    <w:p w14:paraId="399AE063" w14:textId="67D20A46" w:rsidR="00297A34" w:rsidRDefault="00FD1EC7" w:rsidP="006C1E2B">
      <w:pPr>
        <w:spacing w:line="240" w:lineRule="auto"/>
        <w:ind w:right="-2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Se concluye que los residuos de maíz presentan buen potencial energético teórico</w:t>
      </w:r>
      <w:r w:rsidR="006C1E2B">
        <w:rPr>
          <w:rFonts w:ascii="Times New Roman" w:eastAsia="Times New Roman" w:hAnsi="Times New Roman" w:cs="Times New Roman"/>
          <w:sz w:val="20"/>
          <w:szCs w:val="20"/>
        </w:rPr>
        <w:t>, sin embargo, solo representa el 12,27% de la demanda total anual de energía de la región Cusco.</w:t>
      </w:r>
    </w:p>
    <w:sectPr w:rsidR="00297A3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34"/>
    <w:rsid w:val="00050ACC"/>
    <w:rsid w:val="00297A34"/>
    <w:rsid w:val="006C1E2B"/>
    <w:rsid w:val="00AE4CBF"/>
    <w:rsid w:val="00FD1E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45A6"/>
  <w15:docId w15:val="{7B25F3F1-203E-41D1-92FD-5191749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4353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4353D"/>
    <w:rPr>
      <w:color w:val="0000FF"/>
      <w:u w:val="single"/>
    </w:rPr>
  </w:style>
  <w:style w:type="table" w:styleId="Tabladelista6concolores-nfasis3">
    <w:name w:val="List Table 6 Colorful Accent 3"/>
    <w:basedOn w:val="Tablanormal"/>
    <w:uiPriority w:val="51"/>
    <w:rsid w:val="0002098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5">
    <w:name w:val="List Table 6 Colorful Accent 5"/>
    <w:basedOn w:val="Tablanormal"/>
    <w:uiPriority w:val="51"/>
    <w:rsid w:val="0002098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
    <w:name w:val="List Table 6 Colorful"/>
    <w:basedOn w:val="Tablanormal"/>
    <w:uiPriority w:val="51"/>
    <w:rsid w:val="000209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2098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02098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vjun0Y+m+9vLgM9PxOkc/EGAw==">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user0022</dc:creator>
  <cp:lastModifiedBy>user0025D</cp:lastModifiedBy>
  <cp:revision>6</cp:revision>
  <dcterms:created xsi:type="dcterms:W3CDTF">2024-03-20T00:01:00Z</dcterms:created>
  <dcterms:modified xsi:type="dcterms:W3CDTF">2024-03-25T13:49:00Z</dcterms:modified>
</cp:coreProperties>
</file>