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22D76" w14:textId="77777777" w:rsidR="00A42A79" w:rsidRPr="008C4131" w:rsidRDefault="005259CE" w:rsidP="00A42A79">
      <w:pPr>
        <w:pStyle w:val="Corpodetexto"/>
        <w:jc w:val="center"/>
      </w:pPr>
      <w:r w:rsidRPr="008C4131">
        <w:rPr>
          <w:noProof/>
          <w:sz w:val="24"/>
          <w:szCs w:val="24"/>
          <w:lang w:val="en-US"/>
        </w:rPr>
        <w:drawing>
          <wp:anchor distT="0" distB="0" distL="0" distR="0" simplePos="0" relativeHeight="251658752" behindDoc="0" locked="0" layoutInCell="1" allowOverlap="1" wp14:anchorId="654466DD" wp14:editId="0721AFF5">
            <wp:simplePos x="0" y="0"/>
            <wp:positionH relativeFrom="page">
              <wp:posOffset>0</wp:posOffset>
            </wp:positionH>
            <wp:positionV relativeFrom="page">
              <wp:posOffset>9525</wp:posOffset>
            </wp:positionV>
            <wp:extent cx="7553325" cy="1057275"/>
            <wp:effectExtent l="0" t="0" r="9525" b="9525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6422" cy="1082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7BC457" w14:textId="58DF5B5B" w:rsidR="00E3782C" w:rsidRPr="001C270B" w:rsidRDefault="00590D62" w:rsidP="00A42A79">
      <w:pPr>
        <w:pStyle w:val="Corpodetexto"/>
        <w:jc w:val="center"/>
        <w:rPr>
          <w:b/>
          <w:sz w:val="32"/>
          <w:szCs w:val="32"/>
        </w:rPr>
      </w:pPr>
      <w:r w:rsidRPr="00590D62">
        <w:rPr>
          <w:b/>
          <w:sz w:val="32"/>
          <w:szCs w:val="32"/>
        </w:rPr>
        <w:t>SISTEMA PLANTIO DIRETO DE HORTALIÇAS PROMOVE A CONSERVAÇÃO DA BIODIVERSIDADE EDÁFICA EM ÁREAS IRRIGADAS DO CERRADO</w:t>
      </w:r>
    </w:p>
    <w:p w14:paraId="58281A71" w14:textId="3DDACFEF" w:rsidR="00E3782C" w:rsidRPr="001C270B" w:rsidRDefault="00E3782C" w:rsidP="00E3782C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bookmarkStart w:id="0" w:name="1Primeiro_Autor_com_nome_completo,_2Segu"/>
      <w:bookmarkEnd w:id="0"/>
      <w:r w:rsidRPr="001C270B">
        <w:rPr>
          <w:sz w:val="24"/>
          <w:szCs w:val="24"/>
          <w:vertAlign w:val="superscript"/>
        </w:rPr>
        <w:t>1</w:t>
      </w:r>
      <w:r w:rsidR="002C62A1" w:rsidRPr="001C270B">
        <w:rPr>
          <w:sz w:val="24"/>
          <w:szCs w:val="24"/>
        </w:rPr>
        <w:t>José Luiz Rodrigues Torres</w:t>
      </w:r>
      <w:r w:rsidRPr="001C270B">
        <w:rPr>
          <w:sz w:val="24"/>
          <w:szCs w:val="24"/>
        </w:rPr>
        <w:t>,</w:t>
      </w:r>
      <w:r w:rsidRPr="001C270B">
        <w:rPr>
          <w:spacing w:val="-3"/>
          <w:sz w:val="24"/>
          <w:szCs w:val="24"/>
        </w:rPr>
        <w:t xml:space="preserve"> </w:t>
      </w:r>
      <w:r w:rsidR="002C62A1" w:rsidRPr="001C270B">
        <w:rPr>
          <w:sz w:val="24"/>
          <w:szCs w:val="24"/>
          <w:vertAlign w:val="superscript"/>
        </w:rPr>
        <w:t>1</w:t>
      </w:r>
      <w:r w:rsidR="002C62A1" w:rsidRPr="001C270B">
        <w:rPr>
          <w:sz w:val="24"/>
          <w:szCs w:val="24"/>
        </w:rPr>
        <w:t xml:space="preserve">Leonardo Carneiro Morgado, </w:t>
      </w:r>
      <w:r w:rsidR="002C62A1" w:rsidRPr="001C270B">
        <w:rPr>
          <w:sz w:val="24"/>
          <w:szCs w:val="24"/>
          <w:vertAlign w:val="superscript"/>
        </w:rPr>
        <w:t>1</w:t>
      </w:r>
      <w:r w:rsidR="002C62A1" w:rsidRPr="001C270B">
        <w:rPr>
          <w:sz w:val="24"/>
          <w:szCs w:val="24"/>
        </w:rPr>
        <w:t xml:space="preserve">Lucas Farias Ribeiro, </w:t>
      </w:r>
      <w:r w:rsidR="002C62A1" w:rsidRPr="001C270B">
        <w:rPr>
          <w:sz w:val="24"/>
          <w:szCs w:val="24"/>
          <w:vertAlign w:val="superscript"/>
        </w:rPr>
        <w:t>1</w:t>
      </w:r>
      <w:r w:rsidR="002C62A1" w:rsidRPr="001C270B">
        <w:rPr>
          <w:sz w:val="24"/>
          <w:szCs w:val="24"/>
        </w:rPr>
        <w:t>Camila Arcanjo da Silva,</w:t>
      </w:r>
      <w:r w:rsidR="002C62A1" w:rsidRPr="001C270B">
        <w:rPr>
          <w:spacing w:val="-2"/>
          <w:sz w:val="24"/>
          <w:szCs w:val="24"/>
        </w:rPr>
        <w:t xml:space="preserve"> </w:t>
      </w:r>
      <w:r w:rsidR="00C62829" w:rsidRPr="001C270B">
        <w:rPr>
          <w:sz w:val="24"/>
          <w:szCs w:val="24"/>
          <w:vertAlign w:val="superscript"/>
        </w:rPr>
        <w:t>1</w:t>
      </w:r>
      <w:r w:rsidR="00C62829" w:rsidRPr="001C270B">
        <w:rPr>
          <w:sz w:val="24"/>
          <w:szCs w:val="24"/>
        </w:rPr>
        <w:t xml:space="preserve">Antônio Carlos Barreto, </w:t>
      </w:r>
      <w:r w:rsidR="002C62A1" w:rsidRPr="001C270B">
        <w:rPr>
          <w:sz w:val="24"/>
          <w:szCs w:val="24"/>
          <w:vertAlign w:val="superscript"/>
        </w:rPr>
        <w:t>2</w:t>
      </w:r>
      <w:r w:rsidR="002C62A1" w:rsidRPr="001C270B">
        <w:rPr>
          <w:sz w:val="24"/>
          <w:szCs w:val="24"/>
        </w:rPr>
        <w:t>Dinamar Márcia da Silva Vieira</w:t>
      </w:r>
    </w:p>
    <w:p w14:paraId="158B3CEA" w14:textId="2E4EA914" w:rsidR="00E3782C" w:rsidRPr="001C270B" w:rsidRDefault="00683BFA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 w:rsidRPr="001C270B">
        <w:rPr>
          <w:i/>
          <w:sz w:val="24"/>
          <w:szCs w:val="24"/>
          <w:vertAlign w:val="superscript"/>
        </w:rPr>
        <w:t>1</w:t>
      </w:r>
      <w:r w:rsidRPr="001C270B">
        <w:rPr>
          <w:i/>
          <w:sz w:val="24"/>
          <w:szCs w:val="24"/>
        </w:rPr>
        <w:t>Instituto Federal do Triângulo Mineiro Campus Uberaba, e-mail:</w:t>
      </w:r>
      <w:r w:rsidRPr="001C270B">
        <w:rPr>
          <w:i/>
          <w:spacing w:val="-4"/>
          <w:sz w:val="24"/>
          <w:szCs w:val="24"/>
        </w:rPr>
        <w:t xml:space="preserve"> jlrtorres@iftm.edu.br</w:t>
      </w:r>
      <w:r w:rsidRPr="001C270B">
        <w:rPr>
          <w:i/>
          <w:sz w:val="24"/>
          <w:szCs w:val="24"/>
        </w:rPr>
        <w:t>;</w:t>
      </w:r>
      <w:r w:rsidR="008C4131" w:rsidRPr="001C270B">
        <w:t xml:space="preserve">  </w:t>
      </w:r>
      <w:r w:rsidR="008C4131" w:rsidRPr="001C270B">
        <w:rPr>
          <w:i/>
          <w:sz w:val="24"/>
          <w:szCs w:val="24"/>
        </w:rPr>
        <w:t xml:space="preserve">leonardocarneirom17@gmail.com; lucasfaria@estudante.iftm.edu.br; </w:t>
      </w:r>
      <w:r w:rsidR="00C62829" w:rsidRPr="001C270B">
        <w:rPr>
          <w:i/>
          <w:sz w:val="24"/>
          <w:szCs w:val="24"/>
        </w:rPr>
        <w:t>barreto@iftm.edu.br;</w:t>
      </w:r>
      <w:r w:rsidR="008C4131" w:rsidRPr="001C270B">
        <w:rPr>
          <w:i/>
          <w:sz w:val="24"/>
          <w:szCs w:val="24"/>
        </w:rPr>
        <w:t xml:space="preserve"> </w:t>
      </w:r>
      <w:r w:rsidR="008246E3" w:rsidRPr="001C270B">
        <w:rPr>
          <w:i/>
          <w:sz w:val="24"/>
          <w:szCs w:val="24"/>
        </w:rPr>
        <w:t>camila.arcanjo@estudante.iftm.edu.br;</w:t>
      </w:r>
      <w:r w:rsidR="008C4131" w:rsidRPr="001C270B">
        <w:rPr>
          <w:i/>
          <w:sz w:val="24"/>
          <w:szCs w:val="24"/>
        </w:rPr>
        <w:t xml:space="preserve">  </w:t>
      </w:r>
      <w:r w:rsidRPr="001C270B">
        <w:rPr>
          <w:i/>
          <w:spacing w:val="-3"/>
          <w:sz w:val="24"/>
          <w:szCs w:val="24"/>
        </w:rPr>
        <w:t xml:space="preserve"> </w:t>
      </w:r>
      <w:r w:rsidRPr="001C270B">
        <w:rPr>
          <w:i/>
          <w:sz w:val="24"/>
          <w:szCs w:val="24"/>
          <w:vertAlign w:val="superscript"/>
        </w:rPr>
        <w:t>2</w:t>
      </w:r>
      <w:r w:rsidRPr="001C270B">
        <w:rPr>
          <w:i/>
          <w:sz w:val="24"/>
          <w:szCs w:val="24"/>
        </w:rPr>
        <w:t>Universidade Federal de Uberlândia,</w:t>
      </w:r>
      <w:r w:rsidRPr="001C270B">
        <w:rPr>
          <w:i/>
          <w:spacing w:val="-1"/>
          <w:sz w:val="24"/>
          <w:szCs w:val="24"/>
        </w:rPr>
        <w:t xml:space="preserve"> </w:t>
      </w:r>
      <w:r w:rsidRPr="001C270B">
        <w:rPr>
          <w:i/>
          <w:sz w:val="24"/>
          <w:szCs w:val="24"/>
        </w:rPr>
        <w:t>e-mail:</w:t>
      </w:r>
      <w:r w:rsidRPr="001C270B">
        <w:rPr>
          <w:i/>
          <w:spacing w:val="-3"/>
          <w:sz w:val="24"/>
          <w:szCs w:val="24"/>
        </w:rPr>
        <w:t xml:space="preserve"> marcinha_0202@hotmail.com</w:t>
      </w:r>
    </w:p>
    <w:p w14:paraId="19ACAB03" w14:textId="77777777" w:rsidR="00E3782C" w:rsidRPr="001C270B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02948F1" w14:textId="27FDA8DF" w:rsidR="00E3782C" w:rsidRPr="008C4131" w:rsidRDefault="00E3782C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8C4131">
        <w:rPr>
          <w:b/>
          <w:bCs/>
          <w:i/>
          <w:spacing w:val="-2"/>
          <w:sz w:val="24"/>
          <w:szCs w:val="24"/>
        </w:rPr>
        <w:t>Grupo temático</w:t>
      </w:r>
      <w:r w:rsidR="00562E9F">
        <w:rPr>
          <w:b/>
          <w:bCs/>
          <w:i/>
          <w:spacing w:val="-2"/>
          <w:sz w:val="24"/>
          <w:szCs w:val="24"/>
        </w:rPr>
        <w:t>:</w:t>
      </w:r>
      <w:r w:rsidR="00FF2C82">
        <w:rPr>
          <w:b/>
          <w:bCs/>
          <w:i/>
          <w:spacing w:val="-2"/>
          <w:sz w:val="24"/>
          <w:szCs w:val="24"/>
        </w:rPr>
        <w:t xml:space="preserve"> 2</w:t>
      </w:r>
    </w:p>
    <w:p w14:paraId="125F6DD1" w14:textId="0A4584A0" w:rsidR="009C4B75" w:rsidRPr="008C4131" w:rsidRDefault="009C4B75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8C4131">
        <w:rPr>
          <w:b/>
          <w:bCs/>
          <w:i/>
          <w:spacing w:val="-2"/>
          <w:sz w:val="24"/>
          <w:szCs w:val="24"/>
        </w:rPr>
        <w:t>Eixo</w:t>
      </w:r>
      <w:r w:rsidR="00562E9F">
        <w:rPr>
          <w:b/>
          <w:bCs/>
          <w:i/>
          <w:spacing w:val="-2"/>
          <w:sz w:val="24"/>
          <w:szCs w:val="24"/>
        </w:rPr>
        <w:t xml:space="preserve">: </w:t>
      </w:r>
      <w:r w:rsidR="00562E9F" w:rsidRPr="00562E9F">
        <w:rPr>
          <w:b/>
          <w:bCs/>
          <w:i/>
          <w:spacing w:val="-2"/>
          <w:sz w:val="24"/>
          <w:szCs w:val="24"/>
        </w:rPr>
        <w:t>Biodiversidade e Preservação</w:t>
      </w:r>
    </w:p>
    <w:p w14:paraId="1ADFF788" w14:textId="77777777" w:rsidR="00E3782C" w:rsidRPr="008C4131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77777777" w:rsidR="00E3782C" w:rsidRPr="008C4131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8C4131">
        <w:rPr>
          <w:b/>
          <w:bCs/>
          <w:iCs/>
          <w:sz w:val="28"/>
          <w:szCs w:val="28"/>
        </w:rPr>
        <w:t>Resumo</w:t>
      </w:r>
    </w:p>
    <w:p w14:paraId="1C41F88F" w14:textId="77777777" w:rsidR="00E3782C" w:rsidRPr="008C4131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3B8CF519" w14:textId="77777777" w:rsidR="005F5E5A" w:rsidRPr="005F5E5A" w:rsidRDefault="005F5E5A" w:rsidP="008645D6">
      <w:pPr>
        <w:jc w:val="both"/>
        <w:rPr>
          <w:sz w:val="24"/>
          <w:szCs w:val="24"/>
        </w:rPr>
      </w:pPr>
      <w:r w:rsidRPr="005F5E5A">
        <w:rPr>
          <w:sz w:val="24"/>
          <w:szCs w:val="24"/>
        </w:rPr>
        <w:t>Os sistemas conservacionistas desempenham papel fundamental na manutenção da biodiversidade edáfica e dos serviços ecossistêmicos em agroecossistemas. Objetivou-se avaliar os efeitos de diferentes tempos de adoção do Sistema Plantio Direto de Hortaliças (SPDH) sobre a composição, a abundância e a diversidade da macrofauna edáfica em áreas irrigadas do Cerrado. O experimento foi conduzido em delineamento de blocos casualizados, em esquema fatorial 3 × 3, com cinco repetições, comparando áreas sob SPDH implantado há um e três anos e um fragmento de Cerrado em regeneração natural. A macrofauna foi amostrada pelo método Tropical Soil Biology and Fertility (TSBF), sendo determinados a densidade de organismos, a riqueza de grupos taxonômicos e os índices de diversidade de Shannon e equitabilidade de Pielou. Foram registrados 2.944 indivíduos distribuídos em 28 grupos taxonômicos, com predominância de Formicidae, Isoptera e Coleoptera. A mata nativa apresentou maior densidade de organismos, enquanto as áreas sob SPDH mantiveram comunidades edáficas diversificadas e funcionalmente importantes. O tempo de adoção do sistema não promoveu alterações significativas na estrutura geral da macrofauna. Os resultados demonstram que o Sistema Plantio Direto de Hortaliças constitui uma estratégia eficiente para conservar a biodiversidade edáfica e os serviços ecossistêmicos em áreas irrigadas do Cerrado.</w:t>
      </w:r>
    </w:p>
    <w:p w14:paraId="762F9B08" w14:textId="77777777" w:rsidR="00E3782C" w:rsidRPr="00F936AD" w:rsidRDefault="00E3782C" w:rsidP="00E3782C">
      <w:pPr>
        <w:jc w:val="both"/>
        <w:rPr>
          <w:b/>
          <w:sz w:val="24"/>
          <w:szCs w:val="24"/>
        </w:rPr>
      </w:pPr>
    </w:p>
    <w:p w14:paraId="006243D2" w14:textId="67CE6CB8" w:rsidR="009C4B75" w:rsidRPr="00F936AD" w:rsidRDefault="00E3782C" w:rsidP="009C4B75">
      <w:pPr>
        <w:jc w:val="both"/>
        <w:rPr>
          <w:spacing w:val="-2"/>
          <w:sz w:val="24"/>
          <w:szCs w:val="24"/>
        </w:rPr>
      </w:pPr>
      <w:r w:rsidRPr="00F936AD">
        <w:rPr>
          <w:b/>
          <w:sz w:val="24"/>
          <w:szCs w:val="24"/>
        </w:rPr>
        <w:t>Palavras-chave</w:t>
      </w:r>
      <w:r w:rsidRPr="00F936AD">
        <w:rPr>
          <w:sz w:val="24"/>
          <w:szCs w:val="24"/>
        </w:rPr>
        <w:t>:</w:t>
      </w:r>
      <w:r w:rsidRPr="00F936AD">
        <w:rPr>
          <w:spacing w:val="-2"/>
          <w:sz w:val="24"/>
          <w:szCs w:val="24"/>
        </w:rPr>
        <w:t xml:space="preserve"> </w:t>
      </w:r>
      <w:r w:rsidR="009B1C09" w:rsidRPr="009B1C09">
        <w:rPr>
          <w:spacing w:val="-2"/>
          <w:sz w:val="24"/>
          <w:szCs w:val="24"/>
        </w:rPr>
        <w:t>Macrofauna edáfica; Sistemas conservacionistas; Serviços ecossistêmicos; Qualidade do solo; Bioindicadores.</w:t>
      </w:r>
    </w:p>
    <w:p w14:paraId="0F7CD38A" w14:textId="77777777" w:rsidR="009C4B75" w:rsidRPr="00F936AD" w:rsidRDefault="009C4B75" w:rsidP="009C4B75">
      <w:pPr>
        <w:jc w:val="both"/>
        <w:rPr>
          <w:b/>
          <w:bCs/>
          <w:spacing w:val="-2"/>
          <w:sz w:val="24"/>
          <w:szCs w:val="24"/>
        </w:rPr>
      </w:pPr>
    </w:p>
    <w:p w14:paraId="5878A4D9" w14:textId="36E1CCDC" w:rsidR="00E3782C" w:rsidRPr="00F936AD" w:rsidRDefault="00E3782C" w:rsidP="008246E3">
      <w:pPr>
        <w:spacing w:line="360" w:lineRule="auto"/>
        <w:jc w:val="both"/>
        <w:rPr>
          <w:b/>
          <w:bCs/>
          <w:spacing w:val="-2"/>
          <w:sz w:val="28"/>
          <w:szCs w:val="28"/>
        </w:rPr>
      </w:pPr>
      <w:r w:rsidRPr="00F936AD">
        <w:rPr>
          <w:b/>
          <w:bCs/>
          <w:spacing w:val="-2"/>
          <w:sz w:val="28"/>
          <w:szCs w:val="28"/>
        </w:rPr>
        <w:t>Introdução</w:t>
      </w:r>
    </w:p>
    <w:p w14:paraId="50B2871F" w14:textId="77777777" w:rsidR="00AC2ED3" w:rsidRPr="00AC2ED3" w:rsidRDefault="00AC2ED3" w:rsidP="00AC2ED3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  <w:r w:rsidRPr="00AC2ED3">
        <w:rPr>
          <w:sz w:val="24"/>
          <w:szCs w:val="24"/>
        </w:rPr>
        <w:t xml:space="preserve">A biodiversidade edáfica desempenha papel fundamental no funcionamento dos agroecossistemas, participando diretamente da decomposição dos resíduos vegetais, da ciclagem de nutrientes, da formação de agregados e da manutenção da qualidade do solo. Entre seus componentes, a macrofauna edáfica destaca-se pela sensibilidade às alterações promovidas pelo manejo, sendo amplamente utilizada como bioindicadora da qualidade ambiental e da sustentabilidade dos sistemas agrícolas. Marchão et al. (2009) ressaltam que a abundância e a diversidade desses organismos refletem as condições físicas, químicas e </w:t>
      </w:r>
      <w:r w:rsidRPr="00AC2ED3">
        <w:rPr>
          <w:sz w:val="24"/>
          <w:szCs w:val="24"/>
        </w:rPr>
        <w:lastRenderedPageBreak/>
        <w:t>biológicas do solo, enquanto Lavelle et al. (1997) destacam sua importância para a manutenção dos serviços ecossistêmicos.</w:t>
      </w:r>
    </w:p>
    <w:p w14:paraId="6BF6A1A0" w14:textId="77777777" w:rsidR="00AC2ED3" w:rsidRPr="00AC2ED3" w:rsidRDefault="00AC2ED3" w:rsidP="00AC2ED3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</w:p>
    <w:p w14:paraId="789D2D1E" w14:textId="67A40F60" w:rsidR="00590D62" w:rsidRDefault="00AC2ED3" w:rsidP="00AC2ED3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  <w:r w:rsidRPr="00AC2ED3">
        <w:rPr>
          <w:sz w:val="24"/>
          <w:szCs w:val="24"/>
        </w:rPr>
        <w:t>Entre os sistemas conservacionistas, o Sistema Plantio Direto de Hortaliças (SPDH) caracteriza-se pela manutenção da cobertura permanente do solo e pela redução do revolvimento, favorecendo a conservação da matéria orgânica e a criação de um ambiente mais estável para os organismos edáficos. Segundo Motter e Almeida (2015), essas práticas contribuem para a melhoria da qualidade do solo e para a sustentabilidade da produção agrícola. Entretanto, ainda são escassos os estudos que avaliam os efeitos do SPDH sobre a macrofauna edáfica em áreas irrigadas do Cerrado. Nesse contexto, objetivou-se avaliar a composição, a abundância e a diversidade da macrofauna edáfica em áreas conduzidas sob diferentes tempos de adoção do Sistema Plantio Direto de Hortaliças, utilizando um fragmento de Cerrado em regeneração natural como área de referência.</w:t>
      </w:r>
    </w:p>
    <w:p w14:paraId="630AD0AD" w14:textId="77777777" w:rsidR="00590D62" w:rsidRPr="00590D62" w:rsidRDefault="00590D62" w:rsidP="00590D62">
      <w:pPr>
        <w:pStyle w:val="Corpodetexto"/>
        <w:spacing w:line="360" w:lineRule="auto"/>
        <w:ind w:firstLine="709"/>
        <w:jc w:val="both"/>
        <w:rPr>
          <w:b/>
          <w:bCs/>
          <w:sz w:val="24"/>
          <w:szCs w:val="24"/>
          <w:lang w:val="pt-BR"/>
        </w:rPr>
      </w:pPr>
    </w:p>
    <w:p w14:paraId="208760B7" w14:textId="653A6907" w:rsidR="00E3782C" w:rsidRPr="00AC2ED3" w:rsidRDefault="00E3782C" w:rsidP="00AC2ED3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AC2ED3">
        <w:rPr>
          <w:b/>
          <w:bCs/>
          <w:sz w:val="28"/>
          <w:szCs w:val="28"/>
        </w:rPr>
        <w:t>Metodologia</w:t>
      </w:r>
    </w:p>
    <w:p w14:paraId="0895FF2B" w14:textId="77777777" w:rsidR="00AC2ED3" w:rsidRPr="00AC2ED3" w:rsidRDefault="00AC2ED3" w:rsidP="00AC2ED3">
      <w:pPr>
        <w:pStyle w:val="isselectedend"/>
        <w:spacing w:before="0" w:beforeAutospacing="0" w:after="0" w:afterAutospacing="0" w:line="360" w:lineRule="auto"/>
        <w:ind w:firstLine="709"/>
        <w:jc w:val="both"/>
      </w:pPr>
      <w:r w:rsidRPr="00AC2ED3">
        <w:t xml:space="preserve">O estudo foi conduzido em áreas experimentais do Instituto Federal do Triângulo Mineiro (IFTM), Campus Uberaba, MG (19°39'10,17" S; 47°58'15,65" W), em </w:t>
      </w:r>
      <w:proofErr w:type="spellStart"/>
      <w:r w:rsidRPr="00AC2ED3">
        <w:t>Latossolo</w:t>
      </w:r>
      <w:proofErr w:type="spellEnd"/>
      <w:r w:rsidRPr="00AC2ED3">
        <w:t xml:space="preserve"> Vermelho distrófico de textura média, sob clima </w:t>
      </w:r>
      <w:proofErr w:type="spellStart"/>
      <w:r w:rsidRPr="00AC2ED3">
        <w:t>Aw</w:t>
      </w:r>
      <w:proofErr w:type="spellEnd"/>
      <w:r w:rsidRPr="00AC2ED3">
        <w:t xml:space="preserve">, segundo a classificação de </w:t>
      </w:r>
      <w:proofErr w:type="spellStart"/>
      <w:r w:rsidRPr="00AC2ED3">
        <w:t>Köppen</w:t>
      </w:r>
      <w:proofErr w:type="spellEnd"/>
      <w:r w:rsidRPr="00AC2ED3">
        <w:t xml:space="preserve"> atualizada por Beck et al. (2018).</w:t>
      </w:r>
    </w:p>
    <w:p w14:paraId="05011375" w14:textId="5345C811" w:rsidR="00AC2ED3" w:rsidRPr="00AC2ED3" w:rsidRDefault="00AC2ED3" w:rsidP="00AC2ED3">
      <w:pPr>
        <w:pStyle w:val="isselectedend"/>
        <w:spacing w:before="0" w:beforeAutospacing="0" w:after="0" w:afterAutospacing="0" w:line="360" w:lineRule="auto"/>
        <w:ind w:firstLine="709"/>
        <w:jc w:val="both"/>
      </w:pPr>
      <w:r w:rsidRPr="00AC2ED3">
        <w:t xml:space="preserve">Foram avaliadas duas áreas conduzidas sob Sistema Plantio Direto de Hortaliças (SPDH), implantadas há um (SPDH1) e três anos (SPDH3), além de um fragmento de Cerrado em regeneração natural há aproximadamente 20 anos (MN20), utilizado como área de referência. Antes do cultivo das </w:t>
      </w:r>
      <w:proofErr w:type="spellStart"/>
      <w:r w:rsidRPr="00AC2ED3">
        <w:t>brássicas</w:t>
      </w:r>
      <w:proofErr w:type="spellEnd"/>
      <w:r w:rsidRPr="00AC2ED3">
        <w:t>, empregou-se milheto (</w:t>
      </w:r>
      <w:proofErr w:type="spellStart"/>
      <w:r w:rsidRPr="00AC2ED3">
        <w:rPr>
          <w:i/>
        </w:rPr>
        <w:t>Pennisetum</w:t>
      </w:r>
      <w:proofErr w:type="spellEnd"/>
      <w:r w:rsidRPr="00AC2ED3">
        <w:rPr>
          <w:i/>
        </w:rPr>
        <w:t xml:space="preserve"> </w:t>
      </w:r>
      <w:proofErr w:type="spellStart"/>
      <w:r w:rsidRPr="00AC2ED3">
        <w:rPr>
          <w:i/>
        </w:rPr>
        <w:t>americanum</w:t>
      </w:r>
      <w:proofErr w:type="spellEnd"/>
      <w:r w:rsidRPr="00AC2ED3">
        <w:t xml:space="preserve"> (L.) </w:t>
      </w:r>
      <w:proofErr w:type="spellStart"/>
      <w:r w:rsidRPr="00AC2ED3">
        <w:t>Leeke</w:t>
      </w:r>
      <w:proofErr w:type="spellEnd"/>
      <w:r w:rsidRPr="00AC2ED3">
        <w:t xml:space="preserve">) como planta de cobertura, mantendo </w:t>
      </w:r>
      <w:r>
        <w:t>seus</w:t>
      </w:r>
      <w:r w:rsidRPr="00AC2ED3">
        <w:t xml:space="preserve"> resíduos</w:t>
      </w:r>
      <w:r>
        <w:t xml:space="preserve"> </w:t>
      </w:r>
      <w:r w:rsidRPr="00AC2ED3">
        <w:t>sobre a superfície do solo.</w:t>
      </w:r>
    </w:p>
    <w:p w14:paraId="556D6446" w14:textId="77777777" w:rsidR="00AC2ED3" w:rsidRPr="00AC2ED3" w:rsidRDefault="00AC2ED3" w:rsidP="00AC2ED3">
      <w:pPr>
        <w:pStyle w:val="isselectedend"/>
        <w:spacing w:before="0" w:beforeAutospacing="0" w:after="0" w:afterAutospacing="0" w:line="360" w:lineRule="auto"/>
        <w:ind w:firstLine="709"/>
        <w:jc w:val="both"/>
      </w:pPr>
      <w:r w:rsidRPr="00AC2ED3">
        <w:t xml:space="preserve">O delineamento experimental foi em blocos </w:t>
      </w:r>
      <w:proofErr w:type="spellStart"/>
      <w:r w:rsidRPr="00AC2ED3">
        <w:t>casualizados</w:t>
      </w:r>
      <w:proofErr w:type="spellEnd"/>
      <w:r w:rsidRPr="00AC2ED3">
        <w:t xml:space="preserve">, em esquema fatorial 3 × 3, constituído por três sistemas de manejo e três profundidades de amostragem (0–0,10; 0,10–0,20 e 0,20–0,30 m), com cinco repetições. A macrofauna edáfica foi amostrada pelo método Tropical </w:t>
      </w:r>
      <w:proofErr w:type="spellStart"/>
      <w:r w:rsidRPr="00AC2ED3">
        <w:t>Soil</w:t>
      </w:r>
      <w:proofErr w:type="spellEnd"/>
      <w:r w:rsidRPr="00AC2ED3">
        <w:t xml:space="preserve"> </w:t>
      </w:r>
      <w:proofErr w:type="spellStart"/>
      <w:r w:rsidRPr="00AC2ED3">
        <w:t>Biology</w:t>
      </w:r>
      <w:proofErr w:type="spellEnd"/>
      <w:r w:rsidRPr="00AC2ED3">
        <w:t xml:space="preserve"> </w:t>
      </w:r>
      <w:proofErr w:type="spellStart"/>
      <w:r w:rsidRPr="00AC2ED3">
        <w:t>and</w:t>
      </w:r>
      <w:proofErr w:type="spellEnd"/>
      <w:r w:rsidRPr="00AC2ED3">
        <w:t xml:space="preserve"> Fertility (TSBF), conforme Anderson e Ingram (1993), utilizando monólitos de 0,25 × 0,25 × 0,30 m. Os organismos foram triados manualmente, preservados em álcool 70% e identificados de acordo com Pereira et al. (2018).</w:t>
      </w:r>
    </w:p>
    <w:p w14:paraId="78A8E55F" w14:textId="4BC58063" w:rsidR="00F13E0A" w:rsidRPr="00AC2ED3" w:rsidRDefault="00AC2ED3" w:rsidP="00AC2ED3">
      <w:pPr>
        <w:pStyle w:val="isselectedend"/>
        <w:spacing w:before="0" w:beforeAutospacing="0" w:after="0" w:afterAutospacing="0" w:line="360" w:lineRule="auto"/>
        <w:ind w:firstLine="709"/>
        <w:jc w:val="both"/>
      </w:pPr>
      <w:r w:rsidRPr="00AC2ED3">
        <w:t>Foram determinados a densidade de indivíduos (</w:t>
      </w:r>
      <w:proofErr w:type="spellStart"/>
      <w:r w:rsidRPr="00AC2ED3">
        <w:t>ind</w:t>
      </w:r>
      <w:proofErr w:type="spellEnd"/>
      <w:r w:rsidRPr="00AC2ED3">
        <w:t xml:space="preserve"> m⁻²), a riqueza de grupos taxonômicos e os índices de diversidade de Shannon (H') e de </w:t>
      </w:r>
      <w:proofErr w:type="spellStart"/>
      <w:r w:rsidRPr="00AC2ED3">
        <w:t>equitabilidade</w:t>
      </w:r>
      <w:proofErr w:type="spellEnd"/>
      <w:r w:rsidRPr="00AC2ED3">
        <w:t xml:space="preserve"> de </w:t>
      </w:r>
      <w:proofErr w:type="spellStart"/>
      <w:r w:rsidRPr="00AC2ED3">
        <w:t>Pielou</w:t>
      </w:r>
      <w:proofErr w:type="spellEnd"/>
      <w:r w:rsidRPr="00AC2ED3">
        <w:t xml:space="preserve"> (J). A normalidade dos resíduos e a homogeneidade das variâncias foram verificadas pelos testes de </w:t>
      </w:r>
      <w:proofErr w:type="spellStart"/>
      <w:r w:rsidRPr="00AC2ED3">
        <w:lastRenderedPageBreak/>
        <w:t>Lilliefors</w:t>
      </w:r>
      <w:proofErr w:type="spellEnd"/>
      <w:r w:rsidRPr="00AC2ED3">
        <w:t xml:space="preserve"> e </w:t>
      </w:r>
      <w:proofErr w:type="spellStart"/>
      <w:r w:rsidRPr="00AC2ED3">
        <w:t>Cochran-Bartlett</w:t>
      </w:r>
      <w:proofErr w:type="spellEnd"/>
      <w:r w:rsidRPr="00AC2ED3">
        <w:t xml:space="preserve">. Quando os pressupostos não foram atendidos, aplicou-se o teste de </w:t>
      </w:r>
      <w:proofErr w:type="spellStart"/>
      <w:r w:rsidRPr="00AC2ED3">
        <w:t>Kruskal</w:t>
      </w:r>
      <w:proofErr w:type="spellEnd"/>
      <w:r w:rsidRPr="00AC2ED3">
        <w:t>-Wallis (p ≤ 0,05). As análises estatísticas foram realizadas no software R, versão 3.6.3</w:t>
      </w:r>
      <w:r w:rsidR="00590D62" w:rsidRPr="00AC2ED3">
        <w:t>.</w:t>
      </w:r>
    </w:p>
    <w:p w14:paraId="6AB1C1F9" w14:textId="77777777" w:rsidR="00E3782C" w:rsidRPr="008C4131" w:rsidRDefault="00E3782C" w:rsidP="008246E3">
      <w:pPr>
        <w:pStyle w:val="Corpodetexto"/>
        <w:spacing w:line="360" w:lineRule="auto"/>
        <w:rPr>
          <w:sz w:val="24"/>
          <w:szCs w:val="24"/>
        </w:rPr>
      </w:pPr>
    </w:p>
    <w:p w14:paraId="71573541" w14:textId="4E79BD08" w:rsidR="00E3782C" w:rsidRPr="008C4131" w:rsidRDefault="00E3782C" w:rsidP="008246E3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8C4131">
        <w:rPr>
          <w:b/>
          <w:bCs/>
          <w:sz w:val="28"/>
          <w:szCs w:val="28"/>
        </w:rPr>
        <w:t>Resultados e Discussão</w:t>
      </w:r>
    </w:p>
    <w:p w14:paraId="2B979E54" w14:textId="03DCA79C" w:rsidR="00A8658D" w:rsidRDefault="00AC2ED3" w:rsidP="009B1C09">
      <w:pPr>
        <w:spacing w:line="360" w:lineRule="auto"/>
        <w:ind w:firstLine="709"/>
        <w:jc w:val="both"/>
        <w:rPr>
          <w:sz w:val="24"/>
          <w:szCs w:val="24"/>
        </w:rPr>
      </w:pPr>
      <w:r w:rsidRPr="00AC2ED3">
        <w:rPr>
          <w:sz w:val="24"/>
          <w:szCs w:val="24"/>
        </w:rPr>
        <w:t>A macrofauna edáfica apresentou elevada riqueza taxonômica, totalizando 2.944 indivíduos distribuídos em 28 grupos, evidenciando a elevada diversidade biológica dos sistemas avaliados. A mata nativa em regeneração (MN20) apresentou a maior densidade de organismos, seguida da área sob Sistema Plantio Direto de Hortaliças implantado há um ano (SPDH1), enquanto o SPDH3 apresentou menor número de indivíduos. Independentemente do sistema de manejo, destacaram-se Hymenoptera: Formicidae, Isoptera e Coleoptera, grupos reconhecidos pela contribuição à estrutura e ao funcionamento dos ecossistemas edáficos (Tabela 1).</w:t>
      </w:r>
    </w:p>
    <w:p w14:paraId="2D301939" w14:textId="77777777" w:rsidR="009B1C09" w:rsidRPr="008C4131" w:rsidRDefault="009B1C09" w:rsidP="00D24B54">
      <w:pPr>
        <w:spacing w:line="360" w:lineRule="auto"/>
        <w:jc w:val="both"/>
        <w:rPr>
          <w:b/>
          <w:bCs/>
          <w:sz w:val="24"/>
          <w:szCs w:val="24"/>
        </w:rPr>
      </w:pPr>
    </w:p>
    <w:p w14:paraId="48FC95AF" w14:textId="17376DB8" w:rsidR="004452D7" w:rsidRPr="008C4131" w:rsidRDefault="004452D7" w:rsidP="008B175F">
      <w:pPr>
        <w:spacing w:line="360" w:lineRule="auto"/>
        <w:jc w:val="both"/>
        <w:rPr>
          <w:b/>
          <w:bCs/>
          <w:sz w:val="20"/>
          <w:szCs w:val="20"/>
        </w:rPr>
      </w:pPr>
      <w:r w:rsidRPr="008C4131">
        <w:rPr>
          <w:b/>
          <w:bCs/>
          <w:sz w:val="20"/>
          <w:szCs w:val="20"/>
        </w:rPr>
        <w:t xml:space="preserve">Tabela </w:t>
      </w:r>
      <w:r w:rsidR="007E38CA" w:rsidRPr="008C4131">
        <w:rPr>
          <w:b/>
          <w:bCs/>
          <w:sz w:val="20"/>
          <w:szCs w:val="20"/>
        </w:rPr>
        <w:t>1</w:t>
      </w:r>
      <w:r w:rsidRPr="008C4131">
        <w:rPr>
          <w:b/>
          <w:bCs/>
          <w:sz w:val="20"/>
          <w:szCs w:val="20"/>
        </w:rPr>
        <w:t xml:space="preserve">. </w:t>
      </w:r>
      <w:r w:rsidR="00C41180" w:rsidRPr="00C41180">
        <w:rPr>
          <w:sz w:val="20"/>
          <w:szCs w:val="20"/>
        </w:rPr>
        <w:t>Densidade dos principais grupos taxonômicos da macrofauna edáfica e índices ecológicos em áreas irrigadas sob Sistema Plantio Direto de Hortaliças e mata nativa no Cerrado mineiro.</w:t>
      </w:r>
    </w:p>
    <w:tbl>
      <w:tblPr>
        <w:tblW w:w="910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5"/>
        <w:gridCol w:w="2037"/>
        <w:gridCol w:w="2037"/>
        <w:gridCol w:w="2037"/>
      </w:tblGrid>
      <w:tr w:rsidR="008C4131" w:rsidRPr="008C4131" w14:paraId="1C02A6D0" w14:textId="77777777" w:rsidTr="008401BA">
        <w:trPr>
          <w:trHeight w:val="60"/>
          <w:jc w:val="center"/>
        </w:trPr>
        <w:tc>
          <w:tcPr>
            <w:tcW w:w="29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73384" w14:textId="77777777" w:rsidR="004452D7" w:rsidRPr="008C4131" w:rsidRDefault="004452D7" w:rsidP="008B175F">
            <w:pPr>
              <w:jc w:val="both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Grupos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019BB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SPDH1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F7FF69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SPDH3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0E4F3E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MN20</w:t>
            </w:r>
          </w:p>
        </w:tc>
      </w:tr>
      <w:tr w:rsidR="008C4131" w:rsidRPr="008C4131" w14:paraId="1EF81507" w14:textId="77777777" w:rsidTr="008401BA">
        <w:trPr>
          <w:trHeight w:val="60"/>
          <w:jc w:val="center"/>
        </w:trPr>
        <w:tc>
          <w:tcPr>
            <w:tcW w:w="299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63043" w14:textId="77777777" w:rsidR="004452D7" w:rsidRPr="008C4131" w:rsidRDefault="004452D7" w:rsidP="008B175F">
            <w:pPr>
              <w:jc w:val="both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 </w:t>
            </w:r>
          </w:p>
        </w:tc>
        <w:tc>
          <w:tcPr>
            <w:tcW w:w="611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644BE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....................................</w:t>
            </w:r>
            <w:bookmarkStart w:id="1" w:name="_Hlk87433790"/>
            <w:r w:rsidRPr="008C4131">
              <w:rPr>
                <w:sz w:val="20"/>
                <w:szCs w:val="20"/>
              </w:rPr>
              <w:t>ind m</w:t>
            </w:r>
            <w:r w:rsidRPr="008C4131">
              <w:rPr>
                <w:sz w:val="20"/>
                <w:szCs w:val="20"/>
                <w:vertAlign w:val="superscript"/>
              </w:rPr>
              <w:t>-2</w:t>
            </w:r>
            <w:bookmarkEnd w:id="1"/>
            <w:r w:rsidRPr="008C4131">
              <w:rPr>
                <w:sz w:val="20"/>
                <w:szCs w:val="20"/>
              </w:rPr>
              <w:t>....................................</w:t>
            </w:r>
          </w:p>
        </w:tc>
      </w:tr>
      <w:tr w:rsidR="008C4131" w:rsidRPr="008C4131" w14:paraId="68BA00EB" w14:textId="77777777" w:rsidTr="008401BA">
        <w:trPr>
          <w:trHeight w:val="60"/>
          <w:jc w:val="center"/>
        </w:trPr>
        <w:tc>
          <w:tcPr>
            <w:tcW w:w="29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E4B6584" w14:textId="77777777" w:rsidR="004452D7" w:rsidRPr="008C4131" w:rsidRDefault="004452D7" w:rsidP="008B175F">
            <w:pPr>
              <w:jc w:val="both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Araneae</w:t>
            </w:r>
          </w:p>
        </w:tc>
        <w:tc>
          <w:tcPr>
            <w:tcW w:w="203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D8246BB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22 ± 4 a</w:t>
            </w:r>
          </w:p>
        </w:tc>
        <w:tc>
          <w:tcPr>
            <w:tcW w:w="203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9E03C3E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13 ± 3 a</w:t>
            </w:r>
          </w:p>
        </w:tc>
        <w:tc>
          <w:tcPr>
            <w:tcW w:w="203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A73D4DE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35 ± 8 a</w:t>
            </w:r>
          </w:p>
        </w:tc>
      </w:tr>
      <w:tr w:rsidR="008C4131" w:rsidRPr="008C4131" w14:paraId="7E0298A3" w14:textId="77777777" w:rsidTr="008401BA">
        <w:trPr>
          <w:trHeight w:val="70"/>
          <w:jc w:val="center"/>
        </w:trPr>
        <w:tc>
          <w:tcPr>
            <w:tcW w:w="2995" w:type="dxa"/>
            <w:shd w:val="clear" w:color="auto" w:fill="auto"/>
            <w:noWrap/>
            <w:vAlign w:val="center"/>
            <w:hideMark/>
          </w:tcPr>
          <w:p w14:paraId="42C22105" w14:textId="77777777" w:rsidR="004452D7" w:rsidRPr="008C4131" w:rsidRDefault="004452D7" w:rsidP="008B175F">
            <w:pPr>
              <w:ind w:right="-70"/>
              <w:jc w:val="both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Hemiptera: Auchenorryncha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2C799B01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16 ± 10 b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503C3534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0 ± 0 b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30D1DC71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29 ± 21 a</w:t>
            </w:r>
          </w:p>
        </w:tc>
      </w:tr>
      <w:tr w:rsidR="008C4131" w:rsidRPr="008C4131" w14:paraId="3E60A48F" w14:textId="77777777" w:rsidTr="008401BA">
        <w:trPr>
          <w:trHeight w:val="70"/>
          <w:jc w:val="center"/>
        </w:trPr>
        <w:tc>
          <w:tcPr>
            <w:tcW w:w="2995" w:type="dxa"/>
            <w:shd w:val="clear" w:color="auto" w:fill="auto"/>
            <w:noWrap/>
            <w:vAlign w:val="center"/>
            <w:hideMark/>
          </w:tcPr>
          <w:p w14:paraId="44A6B142" w14:textId="77777777" w:rsidR="004452D7" w:rsidRPr="008C4131" w:rsidRDefault="004452D7" w:rsidP="008B175F">
            <w:pPr>
              <w:jc w:val="both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Coleoptera (adulto)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49EAF72F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64 ± 27 b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5619A77B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16 ± 0 b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313AF89E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86 ± 21 a</w:t>
            </w:r>
          </w:p>
        </w:tc>
      </w:tr>
      <w:tr w:rsidR="008C4131" w:rsidRPr="008C4131" w14:paraId="5E92BAD5" w14:textId="77777777" w:rsidTr="008401BA">
        <w:trPr>
          <w:trHeight w:val="70"/>
          <w:jc w:val="center"/>
        </w:trPr>
        <w:tc>
          <w:tcPr>
            <w:tcW w:w="2995" w:type="dxa"/>
            <w:shd w:val="clear" w:color="auto" w:fill="auto"/>
            <w:noWrap/>
            <w:vAlign w:val="center"/>
          </w:tcPr>
          <w:p w14:paraId="1C95CFA7" w14:textId="77777777" w:rsidR="004452D7" w:rsidRPr="008C4131" w:rsidRDefault="004452D7" w:rsidP="008B175F">
            <w:pPr>
              <w:jc w:val="both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Dermaptera</w:t>
            </w:r>
          </w:p>
        </w:tc>
        <w:tc>
          <w:tcPr>
            <w:tcW w:w="2037" w:type="dxa"/>
            <w:shd w:val="clear" w:color="auto" w:fill="auto"/>
            <w:noWrap/>
            <w:vAlign w:val="center"/>
          </w:tcPr>
          <w:p w14:paraId="3A4BFB02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45 ± 16 a</w:t>
            </w:r>
          </w:p>
        </w:tc>
        <w:tc>
          <w:tcPr>
            <w:tcW w:w="2037" w:type="dxa"/>
            <w:shd w:val="clear" w:color="auto" w:fill="auto"/>
            <w:noWrap/>
            <w:vAlign w:val="center"/>
          </w:tcPr>
          <w:p w14:paraId="0FE93E31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13 ± 6 ab</w:t>
            </w:r>
          </w:p>
        </w:tc>
        <w:tc>
          <w:tcPr>
            <w:tcW w:w="2037" w:type="dxa"/>
            <w:shd w:val="clear" w:color="auto" w:fill="auto"/>
            <w:noWrap/>
            <w:vAlign w:val="center"/>
          </w:tcPr>
          <w:p w14:paraId="020395B4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0 ± 0 b</w:t>
            </w:r>
          </w:p>
        </w:tc>
      </w:tr>
      <w:tr w:rsidR="008C4131" w:rsidRPr="008C4131" w14:paraId="24683F6A" w14:textId="77777777" w:rsidTr="008401BA">
        <w:trPr>
          <w:trHeight w:val="70"/>
          <w:jc w:val="center"/>
        </w:trPr>
        <w:tc>
          <w:tcPr>
            <w:tcW w:w="2995" w:type="dxa"/>
            <w:shd w:val="clear" w:color="auto" w:fill="auto"/>
            <w:noWrap/>
            <w:vAlign w:val="center"/>
            <w:hideMark/>
          </w:tcPr>
          <w:p w14:paraId="3E16702C" w14:textId="77777777" w:rsidR="004452D7" w:rsidRPr="008C4131" w:rsidRDefault="004452D7" w:rsidP="008B175F">
            <w:pPr>
              <w:jc w:val="both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Diptera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7DDA1CF3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16 ± 7 b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339595BB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3 ± 3 b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0C9DFFBA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19 ± 16 a</w:t>
            </w:r>
          </w:p>
        </w:tc>
      </w:tr>
      <w:tr w:rsidR="008C4131" w:rsidRPr="008C4131" w14:paraId="3B9D796B" w14:textId="77777777" w:rsidTr="008401BA">
        <w:trPr>
          <w:trHeight w:val="70"/>
          <w:jc w:val="center"/>
        </w:trPr>
        <w:tc>
          <w:tcPr>
            <w:tcW w:w="2995" w:type="dxa"/>
            <w:shd w:val="clear" w:color="auto" w:fill="auto"/>
            <w:noWrap/>
            <w:vAlign w:val="center"/>
            <w:hideMark/>
          </w:tcPr>
          <w:p w14:paraId="4E558BDD" w14:textId="77777777" w:rsidR="004452D7" w:rsidRPr="008C4131" w:rsidRDefault="004452D7" w:rsidP="008B175F">
            <w:pPr>
              <w:jc w:val="both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Hymenoptera: Formicidae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42E38CA1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186 ± 75 b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2E96D32F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122 ± 30 b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6B306B9E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531 ± 368 a</w:t>
            </w:r>
          </w:p>
        </w:tc>
      </w:tr>
      <w:tr w:rsidR="008C4131" w:rsidRPr="008C4131" w14:paraId="0C8226E6" w14:textId="77777777" w:rsidTr="008401BA">
        <w:trPr>
          <w:trHeight w:val="70"/>
          <w:jc w:val="center"/>
        </w:trPr>
        <w:tc>
          <w:tcPr>
            <w:tcW w:w="2995" w:type="dxa"/>
            <w:shd w:val="clear" w:color="auto" w:fill="auto"/>
            <w:noWrap/>
            <w:vAlign w:val="center"/>
            <w:hideMark/>
          </w:tcPr>
          <w:p w14:paraId="2347E2CD" w14:textId="77777777" w:rsidR="004452D7" w:rsidRPr="008C4131" w:rsidRDefault="004452D7" w:rsidP="008B175F">
            <w:pPr>
              <w:jc w:val="both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Hemiptera: Heteroptera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17D49FA7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493 ± 150 a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52FD8097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26 ± 13 b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623B002A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0 ± 0 b</w:t>
            </w:r>
          </w:p>
        </w:tc>
      </w:tr>
      <w:tr w:rsidR="008C4131" w:rsidRPr="008C4131" w14:paraId="4CF158CB" w14:textId="77777777" w:rsidTr="008401BA">
        <w:trPr>
          <w:trHeight w:val="70"/>
          <w:jc w:val="center"/>
        </w:trPr>
        <w:tc>
          <w:tcPr>
            <w:tcW w:w="2995" w:type="dxa"/>
            <w:shd w:val="clear" w:color="auto" w:fill="auto"/>
            <w:noWrap/>
            <w:vAlign w:val="center"/>
          </w:tcPr>
          <w:p w14:paraId="781AFEA6" w14:textId="77777777" w:rsidR="004452D7" w:rsidRPr="008C4131" w:rsidRDefault="004452D7" w:rsidP="008B175F">
            <w:pPr>
              <w:jc w:val="both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Hymenoptera (outros)</w:t>
            </w:r>
          </w:p>
        </w:tc>
        <w:tc>
          <w:tcPr>
            <w:tcW w:w="2037" w:type="dxa"/>
            <w:shd w:val="clear" w:color="auto" w:fill="auto"/>
            <w:noWrap/>
            <w:vAlign w:val="center"/>
          </w:tcPr>
          <w:p w14:paraId="3EA80FE1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26 ± 22 a</w:t>
            </w:r>
          </w:p>
        </w:tc>
        <w:tc>
          <w:tcPr>
            <w:tcW w:w="2037" w:type="dxa"/>
            <w:shd w:val="clear" w:color="auto" w:fill="auto"/>
            <w:noWrap/>
            <w:vAlign w:val="center"/>
          </w:tcPr>
          <w:p w14:paraId="50760207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10 ± 4 a</w:t>
            </w:r>
          </w:p>
        </w:tc>
        <w:tc>
          <w:tcPr>
            <w:tcW w:w="2037" w:type="dxa"/>
            <w:shd w:val="clear" w:color="auto" w:fill="auto"/>
            <w:noWrap/>
            <w:vAlign w:val="center"/>
          </w:tcPr>
          <w:p w14:paraId="5A38B7D5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6 ± 4 a</w:t>
            </w:r>
          </w:p>
        </w:tc>
      </w:tr>
      <w:tr w:rsidR="008C4131" w:rsidRPr="008C4131" w14:paraId="64F34229" w14:textId="77777777" w:rsidTr="008401BA">
        <w:trPr>
          <w:trHeight w:val="70"/>
          <w:jc w:val="center"/>
        </w:trPr>
        <w:tc>
          <w:tcPr>
            <w:tcW w:w="2995" w:type="dxa"/>
            <w:shd w:val="clear" w:color="auto" w:fill="auto"/>
            <w:noWrap/>
            <w:vAlign w:val="center"/>
          </w:tcPr>
          <w:p w14:paraId="61E84B98" w14:textId="77777777" w:rsidR="004452D7" w:rsidRPr="008C4131" w:rsidRDefault="004452D7" w:rsidP="008B175F">
            <w:pPr>
              <w:jc w:val="both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Isoptera</w:t>
            </w:r>
          </w:p>
        </w:tc>
        <w:tc>
          <w:tcPr>
            <w:tcW w:w="2037" w:type="dxa"/>
            <w:shd w:val="clear" w:color="auto" w:fill="auto"/>
            <w:noWrap/>
            <w:vAlign w:val="center"/>
          </w:tcPr>
          <w:p w14:paraId="27A8FCFB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125 ± 117 b</w:t>
            </w:r>
          </w:p>
        </w:tc>
        <w:tc>
          <w:tcPr>
            <w:tcW w:w="2037" w:type="dxa"/>
            <w:shd w:val="clear" w:color="auto" w:fill="auto"/>
            <w:noWrap/>
            <w:vAlign w:val="center"/>
          </w:tcPr>
          <w:p w14:paraId="18FDFF34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0 ± 0 b</w:t>
            </w:r>
          </w:p>
        </w:tc>
        <w:tc>
          <w:tcPr>
            <w:tcW w:w="2037" w:type="dxa"/>
            <w:shd w:val="clear" w:color="auto" w:fill="auto"/>
            <w:noWrap/>
            <w:vAlign w:val="center"/>
          </w:tcPr>
          <w:p w14:paraId="63343572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656 ± 282 a</w:t>
            </w:r>
          </w:p>
        </w:tc>
      </w:tr>
      <w:tr w:rsidR="008C4131" w:rsidRPr="008C4131" w14:paraId="4E95D3D2" w14:textId="77777777" w:rsidTr="008401BA">
        <w:trPr>
          <w:trHeight w:val="70"/>
          <w:jc w:val="center"/>
        </w:trPr>
        <w:tc>
          <w:tcPr>
            <w:tcW w:w="2995" w:type="dxa"/>
            <w:shd w:val="clear" w:color="auto" w:fill="auto"/>
            <w:noWrap/>
            <w:vAlign w:val="center"/>
            <w:hideMark/>
          </w:tcPr>
          <w:p w14:paraId="633E0060" w14:textId="77777777" w:rsidR="004452D7" w:rsidRPr="008C4131" w:rsidRDefault="004452D7" w:rsidP="008B175F">
            <w:pPr>
              <w:jc w:val="both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Coleoptera (larva)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5CA148C7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80 ± 21 a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3271D555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10 ± 6 b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5411EBF4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54 ± 15 a</w:t>
            </w:r>
          </w:p>
        </w:tc>
      </w:tr>
      <w:tr w:rsidR="008C4131" w:rsidRPr="008C4131" w14:paraId="51B7E0F7" w14:textId="77777777" w:rsidTr="008401BA">
        <w:trPr>
          <w:trHeight w:val="70"/>
          <w:jc w:val="center"/>
        </w:trPr>
        <w:tc>
          <w:tcPr>
            <w:tcW w:w="2995" w:type="dxa"/>
            <w:shd w:val="clear" w:color="auto" w:fill="auto"/>
            <w:noWrap/>
            <w:vAlign w:val="center"/>
            <w:hideMark/>
          </w:tcPr>
          <w:p w14:paraId="64EBF382" w14:textId="77777777" w:rsidR="004452D7" w:rsidRPr="008C4131" w:rsidRDefault="004452D7" w:rsidP="008B175F">
            <w:pPr>
              <w:jc w:val="both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Oligochaeta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4AE9A25C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29 ± 12 a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00067EFD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51 ± 25 a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1442620A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58 ± 24 a</w:t>
            </w:r>
          </w:p>
        </w:tc>
      </w:tr>
      <w:tr w:rsidR="008C4131" w:rsidRPr="008C4131" w14:paraId="4D3CA8D3" w14:textId="77777777" w:rsidTr="008401BA">
        <w:trPr>
          <w:trHeight w:val="70"/>
          <w:jc w:val="center"/>
        </w:trPr>
        <w:tc>
          <w:tcPr>
            <w:tcW w:w="2995" w:type="dxa"/>
            <w:shd w:val="clear" w:color="auto" w:fill="auto"/>
            <w:noWrap/>
            <w:vAlign w:val="center"/>
            <w:hideMark/>
          </w:tcPr>
          <w:p w14:paraId="163E483B" w14:textId="77777777" w:rsidR="004452D7" w:rsidRPr="008C4131" w:rsidRDefault="004452D7" w:rsidP="008B175F">
            <w:pPr>
              <w:jc w:val="both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Outros *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6E65C14B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21 ± 17 b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50B54D7C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9 ± 7 b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566A75F9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58 ± 23 a</w:t>
            </w:r>
          </w:p>
        </w:tc>
      </w:tr>
      <w:tr w:rsidR="008C4131" w:rsidRPr="008C4131" w14:paraId="50CBBA73" w14:textId="77777777" w:rsidTr="008401BA">
        <w:trPr>
          <w:trHeight w:val="60"/>
          <w:jc w:val="center"/>
        </w:trPr>
        <w:tc>
          <w:tcPr>
            <w:tcW w:w="299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5788D" w14:textId="77777777" w:rsidR="004452D7" w:rsidRPr="008C4131" w:rsidRDefault="004452D7" w:rsidP="008B175F">
            <w:pPr>
              <w:jc w:val="both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Total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E8127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1133 ± 481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D9D65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278 ± 104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BF891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1533 ± 576</w:t>
            </w:r>
          </w:p>
        </w:tc>
      </w:tr>
      <w:tr w:rsidR="008C4131" w:rsidRPr="008C4131" w14:paraId="23410F2D" w14:textId="77777777" w:rsidTr="008401BA">
        <w:trPr>
          <w:trHeight w:val="60"/>
          <w:jc w:val="center"/>
        </w:trPr>
        <w:tc>
          <w:tcPr>
            <w:tcW w:w="29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CBDA5" w14:textId="77777777" w:rsidR="004452D7" w:rsidRPr="008C4131" w:rsidRDefault="004452D7" w:rsidP="008B175F">
            <w:pPr>
              <w:jc w:val="both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Riqueza Total</w:t>
            </w:r>
          </w:p>
        </w:tc>
        <w:tc>
          <w:tcPr>
            <w:tcW w:w="203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4440D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16</w:t>
            </w:r>
          </w:p>
        </w:tc>
        <w:tc>
          <w:tcPr>
            <w:tcW w:w="203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369C9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13</w:t>
            </w:r>
          </w:p>
        </w:tc>
        <w:tc>
          <w:tcPr>
            <w:tcW w:w="203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E0D4D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13</w:t>
            </w:r>
          </w:p>
        </w:tc>
      </w:tr>
      <w:tr w:rsidR="008C4131" w:rsidRPr="008C4131" w14:paraId="3E78D098" w14:textId="77777777" w:rsidTr="008401BA">
        <w:trPr>
          <w:trHeight w:val="70"/>
          <w:jc w:val="center"/>
        </w:trPr>
        <w:tc>
          <w:tcPr>
            <w:tcW w:w="2995" w:type="dxa"/>
            <w:shd w:val="clear" w:color="auto" w:fill="auto"/>
            <w:noWrap/>
            <w:vAlign w:val="center"/>
            <w:hideMark/>
          </w:tcPr>
          <w:p w14:paraId="11F000C6" w14:textId="77777777" w:rsidR="004452D7" w:rsidRPr="008C4131" w:rsidRDefault="004452D7" w:rsidP="008B175F">
            <w:pPr>
              <w:jc w:val="both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Shannon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3F5A7416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2,74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0C2446C3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2,69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14:paraId="66BB675A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2,16</w:t>
            </w:r>
          </w:p>
        </w:tc>
      </w:tr>
      <w:tr w:rsidR="008C4131" w:rsidRPr="008C4131" w14:paraId="0DB04509" w14:textId="77777777" w:rsidTr="008401BA">
        <w:trPr>
          <w:trHeight w:val="70"/>
          <w:jc w:val="center"/>
        </w:trPr>
        <w:tc>
          <w:tcPr>
            <w:tcW w:w="299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73C73" w14:textId="77777777" w:rsidR="004452D7" w:rsidRPr="008C4131" w:rsidRDefault="004452D7" w:rsidP="008B175F">
            <w:pPr>
              <w:jc w:val="both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Pielou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6CA77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0,68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20408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0,73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187B7" w14:textId="77777777" w:rsidR="004452D7" w:rsidRPr="008C4131" w:rsidRDefault="004452D7" w:rsidP="008B175F">
            <w:pPr>
              <w:jc w:val="center"/>
              <w:rPr>
                <w:sz w:val="20"/>
                <w:szCs w:val="20"/>
              </w:rPr>
            </w:pPr>
            <w:r w:rsidRPr="008C4131">
              <w:rPr>
                <w:sz w:val="20"/>
                <w:szCs w:val="20"/>
              </w:rPr>
              <w:t>0,58</w:t>
            </w:r>
          </w:p>
        </w:tc>
      </w:tr>
    </w:tbl>
    <w:p w14:paraId="3E551DAC" w14:textId="77777777" w:rsidR="004452D7" w:rsidRPr="008C4131" w:rsidRDefault="004452D7" w:rsidP="008B175F">
      <w:pPr>
        <w:jc w:val="both"/>
        <w:rPr>
          <w:sz w:val="20"/>
          <w:szCs w:val="20"/>
        </w:rPr>
      </w:pPr>
      <w:r w:rsidRPr="008C4131">
        <w:rPr>
          <w:sz w:val="20"/>
          <w:szCs w:val="20"/>
        </w:rPr>
        <w:t>Valores seguidos por letras minúsculas iguais na linha não diferem entre si pelo teste Kruskal Wallis a 5 %. SPDH1 = Sistema de plantio direto de hortaliças implantado há 1 ano; SPDH3 = Sistema de plantio direto de hortaliças implantado há 3 anos; MN20 = Mata nativa em regeneração há 20 anos. * = Outros: Acari, Blattodea, Chilopoda, Diplopoda, Diplura, Enchytraeidae, Entomobryomorpha, Isopoda, Diptera (larva), Hymenoptera: Formicidae</w:t>
      </w:r>
      <w:r w:rsidRPr="008C4131" w:rsidDel="002D079A">
        <w:rPr>
          <w:sz w:val="20"/>
          <w:szCs w:val="20"/>
        </w:rPr>
        <w:t xml:space="preserve"> </w:t>
      </w:r>
      <w:r w:rsidRPr="008C4131">
        <w:rPr>
          <w:sz w:val="20"/>
          <w:szCs w:val="20"/>
        </w:rPr>
        <w:t xml:space="preserve">(larva), Lepidoptera (larva), Opilionida, Orthoptera, Psocoptera, Mantodea e Symphyla. </w:t>
      </w:r>
    </w:p>
    <w:p w14:paraId="62601A30" w14:textId="77777777" w:rsidR="004452D7" w:rsidRPr="008C4131" w:rsidRDefault="004452D7" w:rsidP="00AC2ED3">
      <w:pPr>
        <w:spacing w:line="360" w:lineRule="auto"/>
        <w:ind w:firstLine="709"/>
        <w:jc w:val="both"/>
        <w:rPr>
          <w:sz w:val="24"/>
          <w:szCs w:val="24"/>
        </w:rPr>
      </w:pPr>
      <w:r w:rsidRPr="008C4131">
        <w:rPr>
          <w:sz w:val="24"/>
          <w:szCs w:val="24"/>
        </w:rPr>
        <w:t xml:space="preserve"> </w:t>
      </w:r>
    </w:p>
    <w:p w14:paraId="6D13AC23" w14:textId="77777777" w:rsidR="00AC2ED3" w:rsidRDefault="00AC2ED3" w:rsidP="00AC2ED3">
      <w:pPr>
        <w:pStyle w:val="isselectedend"/>
        <w:spacing w:before="0" w:beforeAutospacing="0" w:after="0" w:afterAutospacing="0" w:line="360" w:lineRule="auto"/>
        <w:ind w:firstLine="709"/>
        <w:jc w:val="both"/>
      </w:pPr>
      <w:r>
        <w:t xml:space="preserve">A predominância de Formicidae, </w:t>
      </w:r>
      <w:proofErr w:type="spellStart"/>
      <w:r>
        <w:t>Isoptera</w:t>
      </w:r>
      <w:proofErr w:type="spellEnd"/>
      <w:r>
        <w:t xml:space="preserve"> e </w:t>
      </w:r>
      <w:proofErr w:type="spellStart"/>
      <w:r>
        <w:t>Coleoptera</w:t>
      </w:r>
      <w:proofErr w:type="spellEnd"/>
      <w:r>
        <w:t xml:space="preserve"> evidencia a importância funcional desses organismos para a qualidade do solo. Segundo </w:t>
      </w:r>
      <w:proofErr w:type="spellStart"/>
      <w:r>
        <w:t>Lavelle</w:t>
      </w:r>
      <w:proofErr w:type="spellEnd"/>
      <w:r>
        <w:t xml:space="preserve"> et al. (1997), esses grupos participam ativamente da fragmentação da matéria orgânica, da ciclagem de </w:t>
      </w:r>
      <w:r>
        <w:lastRenderedPageBreak/>
        <w:t>nutrientes, da formação de agregados e da construção de galerias, processos que favorecem a infiltração de água, a aeração e a redistribuição de matéria orgânica no perfil do solo. A ocorrência desses organismos tanto na mata nativa quanto nas áreas sob SPDH demonstra que o sistema conservacionista mantém condições favoráveis ao desenvolvimento da macrofauna edáfica.</w:t>
      </w:r>
    </w:p>
    <w:p w14:paraId="633A6011" w14:textId="77777777" w:rsidR="008D3583" w:rsidRDefault="008D3583" w:rsidP="00AC2ED3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t xml:space="preserve">Além da maior abundância registrada na mata nativa, os índices ecológicos evidenciam aspectos importantes da estrutura das comunidades edáficas. A maior riqueza taxonômica observada no SPDH1, associada à elevada </w:t>
      </w:r>
      <w:proofErr w:type="spellStart"/>
      <w:r>
        <w:t>equitabilidade</w:t>
      </w:r>
      <w:proofErr w:type="spellEnd"/>
      <w:r>
        <w:t xml:space="preserve"> registrada no SPDH3, indica que diferentes estágios de consolidação do Sistema Plantio Direto de Hortaliças favorecem comunidades edáficas estruturalmente equilibradas. Esse comportamento sugere que, embora a abundância total permaneça inferior à da mata nativa, o manejo conservacionista cria condições favoráveis para a manutenção da diversidade funcional da macrofauna ao longo do tempo.</w:t>
      </w:r>
    </w:p>
    <w:p w14:paraId="24757AEA" w14:textId="646ECAAE" w:rsidR="00AC2ED3" w:rsidRDefault="00AC2ED3" w:rsidP="00AC2ED3">
      <w:pPr>
        <w:pStyle w:val="NormalWeb"/>
        <w:spacing w:before="0" w:beforeAutospacing="0" w:after="0" w:afterAutospacing="0" w:line="360" w:lineRule="auto"/>
        <w:ind w:firstLine="709"/>
        <w:jc w:val="both"/>
      </w:pPr>
      <w:bookmarkStart w:id="2" w:name="_GoBack"/>
      <w:bookmarkEnd w:id="2"/>
      <w:r>
        <w:t xml:space="preserve">A Figura 1 demonstra que a maior parte da macrofauna concentrou-se na serapilheira e na camada superficial do solo (0–0,10 m), evidenciando a estreita relação desses organismos com a disponibilidade de resíduos vegetais. A manutenção da cobertura permanente no Sistema Plantio Direto de Hortaliças cria condições favoráveis para o estabelecimento da fauna edáfica, aproximando seu funcionamento biológico daquele observado em áreas de vegetação natural. </w:t>
      </w:r>
      <w:proofErr w:type="spellStart"/>
      <w:r>
        <w:t>Baretta</w:t>
      </w:r>
      <w:proofErr w:type="spellEnd"/>
      <w:r>
        <w:t xml:space="preserve"> et al. (2011) destacam que práticas conservacionistas favorecem comunidades edáficas mais diversificadas e funcionalmente estáveis, enquanto </w:t>
      </w:r>
      <w:r w:rsidR="005F5E5A">
        <w:t>Silva</w:t>
      </w:r>
      <w:r>
        <w:t xml:space="preserve"> et al. (2021) ressaltam que a conservação desses organismos contribui diretamente para a manutenção dos serviços ecossistêmicos e da qualidade do solo em sistemas agrícolas.</w:t>
      </w:r>
    </w:p>
    <w:p w14:paraId="5BD5EC82" w14:textId="77777777" w:rsidR="008D3583" w:rsidRDefault="008D3583" w:rsidP="008D3583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  <w:r w:rsidRPr="00AC2ED3">
        <w:rPr>
          <w:sz w:val="24"/>
          <w:szCs w:val="24"/>
        </w:rPr>
        <w:t xml:space="preserve">Embora a mata nativa tenha apresentado maior densidade de organismos, as áreas conduzidas sob SPDH apresentaram valores de diversidade de Shannon e equitabilidade de Pielou semelhantes ou superiores, indicando comunidades biologicamente equilibradas. Ferreira et al. (2019) observaram comportamento semelhante em sistemas conservacionistas, nos quais a diversidade da macrofauna pode ser mantida mesmo com menor abundância total. Esses resultados evidenciam que a qualidade biológica do solo não depende exclusivamente da densidade de organismos, mas também da distribuição equilibrada dos grupos taxonômicos e das condições proporcionadas pelo manejo conservacionista. </w:t>
      </w:r>
    </w:p>
    <w:p w14:paraId="71613E84" w14:textId="77777777" w:rsidR="008D3583" w:rsidRDefault="008D3583" w:rsidP="008D3583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  <w:r w:rsidRPr="008D3583">
        <w:rPr>
          <w:sz w:val="24"/>
          <w:szCs w:val="24"/>
        </w:rPr>
        <w:t xml:space="preserve">Nesse contexto, o SPDH demonstra potencial para conciliar a produção de hortaliças com a conservação da biodiversidade edáfica e dos serviços ecossistêmicos, conforme destacado por Silva et al. (2021). Esses resultados reforçam a importância da adoção de </w:t>
      </w:r>
      <w:r w:rsidRPr="008D3583">
        <w:rPr>
          <w:sz w:val="24"/>
          <w:szCs w:val="24"/>
        </w:rPr>
        <w:lastRenderedPageBreak/>
        <w:t>práticas conservacionistas em áreas irrigadas do Cerrado, contribuindo para a manutenção das funções ecológicas do solo e para a sustentabilidade dos sistemas de produção de hortaliças.</w:t>
      </w:r>
    </w:p>
    <w:p w14:paraId="48BD16DA" w14:textId="77777777" w:rsidR="008D3583" w:rsidRPr="008D3583" w:rsidRDefault="008D3583" w:rsidP="00D24B54">
      <w:pPr>
        <w:spacing w:line="360" w:lineRule="auto"/>
        <w:ind w:firstLine="709"/>
        <w:jc w:val="both"/>
        <w:rPr>
          <w:sz w:val="24"/>
          <w:szCs w:val="24"/>
        </w:rPr>
      </w:pPr>
    </w:p>
    <w:p w14:paraId="3B3AF177" w14:textId="6174AC32" w:rsidR="008C4131" w:rsidRPr="008C4131" w:rsidRDefault="008C4131" w:rsidP="008C4131">
      <w:pPr>
        <w:spacing w:line="360" w:lineRule="auto"/>
        <w:jc w:val="both"/>
        <w:rPr>
          <w:sz w:val="20"/>
          <w:szCs w:val="20"/>
        </w:rPr>
      </w:pPr>
      <w:r w:rsidRPr="008C4131">
        <w:rPr>
          <w:b/>
          <w:bCs/>
          <w:sz w:val="20"/>
          <w:szCs w:val="20"/>
        </w:rPr>
        <w:t xml:space="preserve">Figura 1. </w:t>
      </w:r>
      <w:r w:rsidR="00C41180" w:rsidRPr="00C41180">
        <w:rPr>
          <w:sz w:val="20"/>
          <w:szCs w:val="20"/>
        </w:rPr>
        <w:t>Distribuição da frequência relativa dos principais grupos da macrofauna edáfica na serapilheira e no perfil do solo sob Sistema Plantio Direto de Hortaliças e mata nativa no Cerrado mineiro.</w:t>
      </w:r>
    </w:p>
    <w:p w14:paraId="33558162" w14:textId="7824C2C7" w:rsidR="008C4131" w:rsidRDefault="008C4131" w:rsidP="008C4131">
      <w:pPr>
        <w:pStyle w:val="Corpodetexto"/>
        <w:spacing w:before="1" w:line="360" w:lineRule="auto"/>
        <w:jc w:val="center"/>
        <w:rPr>
          <w:sz w:val="24"/>
          <w:szCs w:val="24"/>
        </w:rPr>
      </w:pPr>
      <w:r w:rsidRPr="008C4131">
        <w:rPr>
          <w:noProof/>
          <w:sz w:val="24"/>
          <w:szCs w:val="24"/>
          <w:lang w:val="en-US"/>
        </w:rPr>
        <w:drawing>
          <wp:inline distT="0" distB="0" distL="0" distR="0" wp14:anchorId="35513C03" wp14:editId="6329E731">
            <wp:extent cx="3573822" cy="3442915"/>
            <wp:effectExtent l="0" t="0" r="7620" b="5715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3" t="1114" r="20173" b="1246"/>
                    <a:stretch/>
                  </pic:blipFill>
                  <pic:spPr bwMode="auto">
                    <a:xfrm>
                      <a:off x="0" y="0"/>
                      <a:ext cx="3599915" cy="3468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CD64A8" w14:textId="77777777" w:rsidR="008D3583" w:rsidRPr="00A8658D" w:rsidRDefault="008D3583" w:rsidP="008D3583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</w:p>
    <w:p w14:paraId="32F0BFA6" w14:textId="77777777" w:rsidR="00F936AD" w:rsidRPr="008C4131" w:rsidRDefault="00F936AD" w:rsidP="00F936AD">
      <w:pPr>
        <w:pStyle w:val="Ttulo1"/>
        <w:keepNext/>
        <w:keepLines/>
        <w:widowControl/>
        <w:autoSpaceDE/>
        <w:autoSpaceDN/>
        <w:spacing w:line="360" w:lineRule="auto"/>
        <w:ind w:left="1135" w:hanging="1135"/>
        <w:jc w:val="both"/>
        <w:rPr>
          <w:sz w:val="28"/>
          <w:szCs w:val="28"/>
        </w:rPr>
      </w:pPr>
      <w:bookmarkStart w:id="3" w:name="_Toc88400292"/>
      <w:r w:rsidRPr="008C4131">
        <w:rPr>
          <w:sz w:val="28"/>
          <w:szCs w:val="28"/>
        </w:rPr>
        <w:t>Conclusão</w:t>
      </w:r>
      <w:bookmarkEnd w:id="3"/>
      <w:r w:rsidRPr="008C4131">
        <w:rPr>
          <w:sz w:val="28"/>
          <w:szCs w:val="28"/>
        </w:rPr>
        <w:t xml:space="preserve"> </w:t>
      </w:r>
    </w:p>
    <w:p w14:paraId="60C9787B" w14:textId="7392D92E" w:rsidR="009B1C09" w:rsidRDefault="00AC2ED3" w:rsidP="005F5E5A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  <w:r w:rsidRPr="00AC2ED3">
        <w:rPr>
          <w:sz w:val="24"/>
          <w:szCs w:val="24"/>
        </w:rPr>
        <w:t>A mata nativa em regeneração apresentou maior densidade de indivíduos da macrofauna edáfica, refletindo condições mais favoráveis à manutenção da biodiversidade do solo. Entretanto, o Sistema Plantio Direto de Hortaliças favoreceu o estabelecimento de comunidades edáficas diversificadas e funcionalmente importantes, com predominância de Formicidae, Isoptera e Coleoptera. Embora o tempo de adoção do sistema não tenha promovido alterações significativas na estrutura geral da macrofauna, a manutenção da cobertura permanente do solo e a redução do revolvimento demonstraram potencial para conservar a biodiversidade edáfica e os serviços ecossistêmicos em áreas irrigadas do Cerrado.</w:t>
      </w:r>
    </w:p>
    <w:p w14:paraId="5A4B387C" w14:textId="77777777" w:rsidR="005F5E5A" w:rsidRPr="008D3583" w:rsidRDefault="005F5E5A" w:rsidP="005F5E5A">
      <w:pPr>
        <w:pStyle w:val="Corpodetexto"/>
        <w:spacing w:before="120"/>
        <w:jc w:val="both"/>
        <w:rPr>
          <w:b/>
          <w:bCs/>
          <w:sz w:val="24"/>
          <w:szCs w:val="24"/>
          <w:lang w:val="pt-BR"/>
        </w:rPr>
      </w:pPr>
    </w:p>
    <w:p w14:paraId="46C53EB6" w14:textId="6D5112CD" w:rsidR="00624629" w:rsidRPr="005F5E5A" w:rsidRDefault="00624629" w:rsidP="005F5E5A">
      <w:pPr>
        <w:pStyle w:val="Corpodetexto"/>
        <w:spacing w:before="120"/>
        <w:jc w:val="both"/>
        <w:rPr>
          <w:sz w:val="28"/>
          <w:szCs w:val="28"/>
          <w:lang w:val="en-US"/>
        </w:rPr>
      </w:pPr>
      <w:proofErr w:type="spellStart"/>
      <w:r w:rsidRPr="005F5E5A">
        <w:rPr>
          <w:b/>
          <w:bCs/>
          <w:sz w:val="28"/>
          <w:szCs w:val="28"/>
          <w:lang w:val="en-US"/>
        </w:rPr>
        <w:t>Referências</w:t>
      </w:r>
      <w:proofErr w:type="spellEnd"/>
    </w:p>
    <w:p w14:paraId="0E8283B3" w14:textId="77777777" w:rsidR="005F5E5A" w:rsidRPr="005F5E5A" w:rsidRDefault="005F5E5A" w:rsidP="005F5E5A">
      <w:pPr>
        <w:pStyle w:val="isselectedend"/>
        <w:spacing w:before="120" w:beforeAutospacing="0" w:after="0" w:afterAutospacing="0"/>
        <w:jc w:val="both"/>
      </w:pPr>
      <w:bookmarkStart w:id="4" w:name="baep-author-id3"/>
      <w:r w:rsidRPr="005F5E5A">
        <w:rPr>
          <w:lang w:val="en-US"/>
        </w:rPr>
        <w:t xml:space="preserve">ANDERSON, J. M.; INGRAM, J. S. I. </w:t>
      </w:r>
      <w:r w:rsidRPr="005F5E5A">
        <w:rPr>
          <w:rStyle w:val="nfase"/>
          <w:lang w:val="en-US"/>
        </w:rPr>
        <w:t>Tropical Soil Biology and Fertility: A Handbook of Methods</w:t>
      </w:r>
      <w:r w:rsidRPr="005F5E5A">
        <w:rPr>
          <w:lang w:val="en-US"/>
        </w:rPr>
        <w:t xml:space="preserve">. </w:t>
      </w:r>
      <w:r w:rsidRPr="005F5E5A">
        <w:t xml:space="preserve">2. ed. </w:t>
      </w:r>
      <w:proofErr w:type="spellStart"/>
      <w:r w:rsidRPr="005F5E5A">
        <w:t>Wallingford</w:t>
      </w:r>
      <w:proofErr w:type="spellEnd"/>
      <w:r w:rsidRPr="005F5E5A">
        <w:t xml:space="preserve">: CAB </w:t>
      </w:r>
      <w:proofErr w:type="spellStart"/>
      <w:r w:rsidRPr="005F5E5A">
        <w:t>International</w:t>
      </w:r>
      <w:proofErr w:type="spellEnd"/>
      <w:r w:rsidRPr="005F5E5A">
        <w:t>, 1993.</w:t>
      </w:r>
    </w:p>
    <w:p w14:paraId="40032D17" w14:textId="77777777" w:rsidR="005F5E5A" w:rsidRPr="005F5E5A" w:rsidRDefault="005F5E5A" w:rsidP="005F5E5A">
      <w:pPr>
        <w:pStyle w:val="isselectedend"/>
        <w:spacing w:before="120" w:beforeAutospacing="0" w:after="0" w:afterAutospacing="0"/>
        <w:jc w:val="both"/>
      </w:pPr>
      <w:r w:rsidRPr="005F5E5A">
        <w:lastRenderedPageBreak/>
        <w:t xml:space="preserve">BARETTA, D.; SANTOS, J. C. P.; SEGAT, J. C.; GEREMIA, E. V.; OLIVEIRA FILHO, L. C. I.; ALVES, M. V. Fauna edáfica e qualidade do solo. In: KLAUBERG FILHO, O.; MAFRA, Á. L.; GATIBONI, L. C. (Ed.). </w:t>
      </w:r>
      <w:r w:rsidRPr="005F5E5A">
        <w:rPr>
          <w:rStyle w:val="nfase"/>
        </w:rPr>
        <w:t>Tópicos em Ciência do Solo</w:t>
      </w:r>
      <w:r w:rsidRPr="005F5E5A">
        <w:t>. Viçosa: Sociedade Brasileira de Ciência do Solo, v. 7, p. 119-170, 2011.</w:t>
      </w:r>
    </w:p>
    <w:p w14:paraId="11316040" w14:textId="77777777" w:rsidR="005F5E5A" w:rsidRDefault="005F5E5A" w:rsidP="005F5E5A">
      <w:pPr>
        <w:pStyle w:val="isselectedend"/>
        <w:spacing w:before="120" w:beforeAutospacing="0" w:after="0" w:afterAutospacing="0"/>
        <w:jc w:val="both"/>
        <w:rPr>
          <w:lang w:val="en-US"/>
        </w:rPr>
      </w:pPr>
      <w:r>
        <w:t xml:space="preserve">SILVA, R. M.; SILVA, R. M.; LIMA, S. S.; SOUZA, J. R. M.; SOUZA, J. K. M.; RIBEIRO, G. T.; CHAER, G. M. </w:t>
      </w:r>
      <w:proofErr w:type="spellStart"/>
      <w:r>
        <w:t>Soil</w:t>
      </w:r>
      <w:proofErr w:type="spellEnd"/>
      <w:r>
        <w:t xml:space="preserve"> macrofauna as a </w:t>
      </w:r>
      <w:proofErr w:type="spellStart"/>
      <w:r>
        <w:t>bioindicator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soil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in </w:t>
      </w:r>
      <w:proofErr w:type="spellStart"/>
      <w:r>
        <w:t>successional</w:t>
      </w:r>
      <w:proofErr w:type="spellEnd"/>
      <w:r>
        <w:t xml:space="preserve"> </w:t>
      </w:r>
      <w:proofErr w:type="spellStart"/>
      <w:r>
        <w:t>agroforestry</w:t>
      </w:r>
      <w:proofErr w:type="spellEnd"/>
      <w:r>
        <w:t xml:space="preserve"> systems. </w:t>
      </w:r>
      <w:r w:rsidRPr="005F5E5A">
        <w:rPr>
          <w:rStyle w:val="nfase"/>
          <w:lang w:val="en-US"/>
        </w:rPr>
        <w:t>Research, Society and Development</w:t>
      </w:r>
      <w:r w:rsidRPr="005F5E5A">
        <w:rPr>
          <w:lang w:val="en-US"/>
        </w:rPr>
        <w:t>, v. 10, n. 10, e580101019144, 2021.</w:t>
      </w:r>
    </w:p>
    <w:p w14:paraId="0683FD6C" w14:textId="4BF85713" w:rsidR="005F5E5A" w:rsidRPr="005F5E5A" w:rsidRDefault="005F5E5A" w:rsidP="005F5E5A">
      <w:pPr>
        <w:pStyle w:val="isselectedend"/>
        <w:spacing w:before="120" w:beforeAutospacing="0" w:after="0" w:afterAutospacing="0"/>
        <w:jc w:val="both"/>
        <w:rPr>
          <w:lang w:val="en-US"/>
        </w:rPr>
      </w:pPr>
      <w:r w:rsidRPr="005F5E5A">
        <w:rPr>
          <w:lang w:val="en-US"/>
        </w:rPr>
        <w:t xml:space="preserve">FERREIRA, C. R.; GUEDES, J. N.; ROSSET, J. S.; ANJOS, L. H. C.; PEREIRA, M. G. Diversity of the edaphic macrofauna in areas managed under no-tillage for different periods. </w:t>
      </w:r>
      <w:proofErr w:type="spellStart"/>
      <w:r w:rsidRPr="005F5E5A">
        <w:rPr>
          <w:rStyle w:val="nfase"/>
          <w:lang w:val="en-US"/>
        </w:rPr>
        <w:t>Semina</w:t>
      </w:r>
      <w:proofErr w:type="spellEnd"/>
      <w:r w:rsidRPr="005F5E5A">
        <w:rPr>
          <w:rStyle w:val="nfase"/>
          <w:lang w:val="en-US"/>
        </w:rPr>
        <w:t xml:space="preserve">: </w:t>
      </w:r>
      <w:proofErr w:type="spellStart"/>
      <w:r w:rsidRPr="005F5E5A">
        <w:rPr>
          <w:rStyle w:val="nfase"/>
          <w:lang w:val="en-US"/>
        </w:rPr>
        <w:t>Ciências</w:t>
      </w:r>
      <w:proofErr w:type="spellEnd"/>
      <w:r w:rsidRPr="005F5E5A">
        <w:rPr>
          <w:rStyle w:val="nfase"/>
          <w:lang w:val="en-US"/>
        </w:rPr>
        <w:t xml:space="preserve"> </w:t>
      </w:r>
      <w:proofErr w:type="spellStart"/>
      <w:r w:rsidRPr="005F5E5A">
        <w:rPr>
          <w:rStyle w:val="nfase"/>
          <w:lang w:val="en-US"/>
        </w:rPr>
        <w:t>Agrárias</w:t>
      </w:r>
      <w:proofErr w:type="spellEnd"/>
      <w:r w:rsidRPr="005F5E5A">
        <w:rPr>
          <w:lang w:val="en-US"/>
        </w:rPr>
        <w:t>, Londrina, v. 40, n. 2, p. 599-610, 2019.</w:t>
      </w:r>
    </w:p>
    <w:p w14:paraId="109DC14C" w14:textId="77777777" w:rsidR="005F5E5A" w:rsidRPr="005F5E5A" w:rsidRDefault="005F5E5A" w:rsidP="005F5E5A">
      <w:pPr>
        <w:pStyle w:val="isselectedend"/>
        <w:spacing w:before="120" w:beforeAutospacing="0" w:after="0" w:afterAutospacing="0"/>
        <w:jc w:val="both"/>
      </w:pPr>
      <w:r w:rsidRPr="005F5E5A">
        <w:rPr>
          <w:lang w:val="en-US"/>
        </w:rPr>
        <w:t xml:space="preserve">LAVELLE, P.; BIGNELL, D.; LEPAGE, M.; WOLTERS, V.; ROGER, P.; INESON, P.; HEAL, O. W.; DHILLION, S. Soil function in a changing world: the role of invertebrate ecosystem engineers. </w:t>
      </w:r>
      <w:proofErr w:type="spellStart"/>
      <w:r w:rsidRPr="005F5E5A">
        <w:rPr>
          <w:rStyle w:val="nfase"/>
        </w:rPr>
        <w:t>European</w:t>
      </w:r>
      <w:proofErr w:type="spellEnd"/>
      <w:r w:rsidRPr="005F5E5A">
        <w:rPr>
          <w:rStyle w:val="nfase"/>
        </w:rPr>
        <w:t xml:space="preserve"> </w:t>
      </w:r>
      <w:proofErr w:type="spellStart"/>
      <w:r w:rsidRPr="005F5E5A">
        <w:rPr>
          <w:rStyle w:val="nfase"/>
        </w:rPr>
        <w:t>Journal</w:t>
      </w:r>
      <w:proofErr w:type="spellEnd"/>
      <w:r w:rsidRPr="005F5E5A">
        <w:rPr>
          <w:rStyle w:val="nfase"/>
        </w:rPr>
        <w:t xml:space="preserve"> </w:t>
      </w:r>
      <w:proofErr w:type="spellStart"/>
      <w:r w:rsidRPr="005F5E5A">
        <w:rPr>
          <w:rStyle w:val="nfase"/>
        </w:rPr>
        <w:t>of</w:t>
      </w:r>
      <w:proofErr w:type="spellEnd"/>
      <w:r w:rsidRPr="005F5E5A">
        <w:rPr>
          <w:rStyle w:val="nfase"/>
        </w:rPr>
        <w:t xml:space="preserve"> </w:t>
      </w:r>
      <w:proofErr w:type="spellStart"/>
      <w:r w:rsidRPr="005F5E5A">
        <w:rPr>
          <w:rStyle w:val="nfase"/>
        </w:rPr>
        <w:t>Soil</w:t>
      </w:r>
      <w:proofErr w:type="spellEnd"/>
      <w:r w:rsidRPr="005F5E5A">
        <w:rPr>
          <w:rStyle w:val="nfase"/>
        </w:rPr>
        <w:t xml:space="preserve"> </w:t>
      </w:r>
      <w:proofErr w:type="spellStart"/>
      <w:r w:rsidRPr="005F5E5A">
        <w:rPr>
          <w:rStyle w:val="nfase"/>
        </w:rPr>
        <w:t>Biology</w:t>
      </w:r>
      <w:proofErr w:type="spellEnd"/>
      <w:r w:rsidRPr="005F5E5A">
        <w:t>, v. 33, p. 159-193, 1997.</w:t>
      </w:r>
    </w:p>
    <w:p w14:paraId="0F0D48C5" w14:textId="77777777" w:rsidR="005F5E5A" w:rsidRPr="005F5E5A" w:rsidRDefault="005F5E5A" w:rsidP="005F5E5A">
      <w:pPr>
        <w:pStyle w:val="isselectedend"/>
        <w:spacing w:before="120" w:beforeAutospacing="0" w:after="0" w:afterAutospacing="0"/>
        <w:jc w:val="both"/>
      </w:pPr>
      <w:r w:rsidRPr="005F5E5A">
        <w:t xml:space="preserve">MARCHÃO, R. L.; BALBINO, L. C.; SILVA, E. M.; SANTOS JÚNIOR, J. D. G.; SÁ, M. A. C.; VILELA, L.; BECQUER, T. Qualidade biológica do solo sob sistemas de integração lavoura-pecuária no Cerrado. </w:t>
      </w:r>
      <w:r w:rsidRPr="005F5E5A">
        <w:rPr>
          <w:rStyle w:val="nfase"/>
        </w:rPr>
        <w:t>Pesquisa Agropecuária Brasileira</w:t>
      </w:r>
      <w:r w:rsidRPr="005F5E5A">
        <w:t>, v. 44, n. 8, p. 1011-1020, 2009.</w:t>
      </w:r>
    </w:p>
    <w:p w14:paraId="0BAD5DF9" w14:textId="77777777" w:rsidR="005F5E5A" w:rsidRPr="005F5E5A" w:rsidRDefault="005F5E5A" w:rsidP="005F5E5A">
      <w:pPr>
        <w:pStyle w:val="isselectedend"/>
        <w:spacing w:before="120" w:beforeAutospacing="0" w:after="0" w:afterAutospacing="0"/>
        <w:jc w:val="both"/>
      </w:pPr>
      <w:r w:rsidRPr="005F5E5A">
        <w:t xml:space="preserve">MOTTER, P.; ALMEIDA, G. </w:t>
      </w:r>
      <w:r w:rsidRPr="005F5E5A">
        <w:rPr>
          <w:rStyle w:val="nfase"/>
        </w:rPr>
        <w:t>Plantio Direto de Hortaliças: aspectos tecnológicos e sustentabilidade</w:t>
      </w:r>
      <w:r w:rsidRPr="005F5E5A">
        <w:t>. Foz do Iguaçu: Itaipu Binacional, 2015.</w:t>
      </w:r>
    </w:p>
    <w:p w14:paraId="14FAD9F9" w14:textId="77777777" w:rsidR="005F5E5A" w:rsidRPr="005F5E5A" w:rsidRDefault="005F5E5A" w:rsidP="005F5E5A">
      <w:pPr>
        <w:pStyle w:val="NormalWeb"/>
        <w:spacing w:before="120" w:beforeAutospacing="0" w:after="0" w:afterAutospacing="0"/>
        <w:jc w:val="both"/>
        <w:rPr>
          <w:lang w:val="en-US"/>
        </w:rPr>
      </w:pPr>
      <w:r w:rsidRPr="005F5E5A">
        <w:t xml:space="preserve">PEREIRA, M. G.; CABREIRA, W. V.; LIMA, S. S.; ROCHA, J. E.; SANTOS, R. N.; SILVA, R. G. </w:t>
      </w:r>
      <w:r w:rsidRPr="005F5E5A">
        <w:rPr>
          <w:rStyle w:val="nfase"/>
        </w:rPr>
        <w:t>Manual de coleta e identificação da fauna edáfica</w:t>
      </w:r>
      <w:r w:rsidRPr="005F5E5A">
        <w:t xml:space="preserve">. </w:t>
      </w:r>
      <w:proofErr w:type="spellStart"/>
      <w:r w:rsidRPr="005F5E5A">
        <w:rPr>
          <w:lang w:val="en-US"/>
        </w:rPr>
        <w:t>Seropédica</w:t>
      </w:r>
      <w:proofErr w:type="spellEnd"/>
      <w:r w:rsidRPr="005F5E5A">
        <w:rPr>
          <w:lang w:val="en-US"/>
        </w:rPr>
        <w:t xml:space="preserve">: </w:t>
      </w:r>
      <w:proofErr w:type="spellStart"/>
      <w:r w:rsidRPr="005F5E5A">
        <w:rPr>
          <w:lang w:val="en-US"/>
        </w:rPr>
        <w:t>Editora</w:t>
      </w:r>
      <w:proofErr w:type="spellEnd"/>
      <w:r w:rsidRPr="005F5E5A">
        <w:rPr>
          <w:lang w:val="en-US"/>
        </w:rPr>
        <w:t xml:space="preserve"> Rural, 2018.</w:t>
      </w:r>
    </w:p>
    <w:bookmarkEnd w:id="4"/>
    <w:sectPr w:rsidR="005F5E5A" w:rsidRPr="005F5E5A" w:rsidSect="008913F4">
      <w:headerReference w:type="default" r:id="rId9"/>
      <w:footerReference w:type="default" r:id="rId10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437120" w14:textId="77777777" w:rsidR="00EA25BE" w:rsidRDefault="00EA25BE">
      <w:r>
        <w:separator/>
      </w:r>
    </w:p>
  </w:endnote>
  <w:endnote w:type="continuationSeparator" w:id="0">
    <w:p w14:paraId="3120FCFD" w14:textId="77777777" w:rsidR="00EA25BE" w:rsidRDefault="00EA2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1CC61F" w14:textId="77777777" w:rsidR="00EA25BE" w:rsidRDefault="00EA25BE">
      <w:r>
        <w:separator/>
      </w:r>
    </w:p>
  </w:footnote>
  <w:footnote w:type="continuationSeparator" w:id="0">
    <w:p w14:paraId="597EA1F7" w14:textId="77777777" w:rsidR="00EA25BE" w:rsidRDefault="00EA25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5835E2" w14:textId="07FBC6F3" w:rsidR="000815CB" w:rsidRDefault="000815CB">
    <w:pPr>
      <w:pStyle w:val="Cabealho"/>
    </w:pPr>
    <w:r w:rsidRPr="005F70B0">
      <w:rPr>
        <w:noProof/>
        <w:sz w:val="24"/>
        <w:szCs w:val="24"/>
        <w:lang w:val="en-US"/>
      </w:rPr>
      <w:drawing>
        <wp:anchor distT="0" distB="0" distL="0" distR="0" simplePos="0" relativeHeight="251659264" behindDoc="0" locked="0" layoutInCell="1" allowOverlap="1" wp14:anchorId="610C0622" wp14:editId="325BECEE">
          <wp:simplePos x="0" y="0"/>
          <wp:positionH relativeFrom="page">
            <wp:posOffset>-85725</wp:posOffset>
          </wp:positionH>
          <wp:positionV relativeFrom="page">
            <wp:posOffset>0</wp:posOffset>
          </wp:positionV>
          <wp:extent cx="7629525" cy="1066800"/>
          <wp:effectExtent l="0" t="0" r="9525" b="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E5220"/>
    <w:multiLevelType w:val="multilevel"/>
    <w:tmpl w:val="BF826BC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8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96" w:hanging="1800"/>
      </w:pPr>
      <w:rPr>
        <w:rFonts w:hint="default"/>
      </w:rPr>
    </w:lvl>
  </w:abstractNum>
  <w:abstractNum w:abstractNumId="1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5BCC"/>
    <w:rsid w:val="000449F4"/>
    <w:rsid w:val="000815CB"/>
    <w:rsid w:val="000A354C"/>
    <w:rsid w:val="000F74CF"/>
    <w:rsid w:val="00196B84"/>
    <w:rsid w:val="001C270B"/>
    <w:rsid w:val="001C5BCC"/>
    <w:rsid w:val="00231DBC"/>
    <w:rsid w:val="00243512"/>
    <w:rsid w:val="00272187"/>
    <w:rsid w:val="002C62A1"/>
    <w:rsid w:val="002E4D61"/>
    <w:rsid w:val="002F636A"/>
    <w:rsid w:val="0036697E"/>
    <w:rsid w:val="00427CD5"/>
    <w:rsid w:val="004452D7"/>
    <w:rsid w:val="004B0F66"/>
    <w:rsid w:val="004E2169"/>
    <w:rsid w:val="005259CE"/>
    <w:rsid w:val="00543BF0"/>
    <w:rsid w:val="00562E9F"/>
    <w:rsid w:val="00590D62"/>
    <w:rsid w:val="005F5E5A"/>
    <w:rsid w:val="005F70B0"/>
    <w:rsid w:val="00624629"/>
    <w:rsid w:val="00683BFA"/>
    <w:rsid w:val="00694319"/>
    <w:rsid w:val="00704DE3"/>
    <w:rsid w:val="00714E14"/>
    <w:rsid w:val="007561D8"/>
    <w:rsid w:val="007E38CA"/>
    <w:rsid w:val="008142EB"/>
    <w:rsid w:val="008246E3"/>
    <w:rsid w:val="008645D6"/>
    <w:rsid w:val="008858BD"/>
    <w:rsid w:val="008913F4"/>
    <w:rsid w:val="00891FDC"/>
    <w:rsid w:val="00896446"/>
    <w:rsid w:val="008B175F"/>
    <w:rsid w:val="008B766C"/>
    <w:rsid w:val="008C4131"/>
    <w:rsid w:val="008D3583"/>
    <w:rsid w:val="009B1C09"/>
    <w:rsid w:val="009C4B75"/>
    <w:rsid w:val="00A33E6F"/>
    <w:rsid w:val="00A42A79"/>
    <w:rsid w:val="00A8658D"/>
    <w:rsid w:val="00AA5537"/>
    <w:rsid w:val="00AC2ED3"/>
    <w:rsid w:val="00AD22F1"/>
    <w:rsid w:val="00AF5124"/>
    <w:rsid w:val="00C078E7"/>
    <w:rsid w:val="00C305A5"/>
    <w:rsid w:val="00C41180"/>
    <w:rsid w:val="00C538C1"/>
    <w:rsid w:val="00C60F3C"/>
    <w:rsid w:val="00C62829"/>
    <w:rsid w:val="00C75A60"/>
    <w:rsid w:val="00C923CB"/>
    <w:rsid w:val="00CB7603"/>
    <w:rsid w:val="00CB7608"/>
    <w:rsid w:val="00D24B54"/>
    <w:rsid w:val="00DC6583"/>
    <w:rsid w:val="00DF433F"/>
    <w:rsid w:val="00DF4904"/>
    <w:rsid w:val="00E3782C"/>
    <w:rsid w:val="00E76F4A"/>
    <w:rsid w:val="00EA25BE"/>
    <w:rsid w:val="00ED3269"/>
    <w:rsid w:val="00F12354"/>
    <w:rsid w:val="00F12449"/>
    <w:rsid w:val="00F13E0A"/>
    <w:rsid w:val="00F17222"/>
    <w:rsid w:val="00F936AD"/>
    <w:rsid w:val="00FA02C6"/>
    <w:rsid w:val="00FF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B3154C0"/>
  <w15:docId w15:val="{9B6D00F6-E962-4915-9972-D728EEE2B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923C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A6">
    <w:name w:val="A6"/>
    <w:uiPriority w:val="99"/>
    <w:rsid w:val="008645D6"/>
    <w:rPr>
      <w:rFonts w:cs="Univers"/>
      <w:color w:val="000000"/>
      <w:sz w:val="16"/>
      <w:szCs w:val="1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923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PT"/>
    </w:rPr>
  </w:style>
  <w:style w:type="paragraph" w:styleId="SemEspaamento">
    <w:name w:val="No Spacing"/>
    <w:aliases w:val="projeto,Formatação"/>
    <w:basedOn w:val="Normal"/>
    <w:uiPriority w:val="1"/>
    <w:qFormat/>
    <w:rsid w:val="00C923CB"/>
    <w:pPr>
      <w:widowControl/>
      <w:autoSpaceDE/>
      <w:autoSpaceDN/>
      <w:spacing w:line="360" w:lineRule="auto"/>
      <w:ind w:firstLine="709"/>
      <w:jc w:val="both"/>
    </w:pPr>
    <w:rPr>
      <w:rFonts w:eastAsia="Calibri"/>
      <w:sz w:val="24"/>
      <w:szCs w:val="18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923C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23CB"/>
    <w:rPr>
      <w:rFonts w:ascii="Tahoma" w:eastAsia="Times New Roman" w:hAnsi="Tahoma" w:cs="Tahoma"/>
      <w:sz w:val="16"/>
      <w:szCs w:val="16"/>
      <w:lang w:val="pt-PT"/>
    </w:rPr>
  </w:style>
  <w:style w:type="paragraph" w:customStyle="1" w:styleId="isselectedend">
    <w:name w:val="isselectedend"/>
    <w:basedOn w:val="Normal"/>
    <w:rsid w:val="00CB760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semiHidden/>
    <w:unhideWhenUsed/>
    <w:rsid w:val="00CB760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9B1C09"/>
    <w:rPr>
      <w:b/>
      <w:bCs/>
    </w:rPr>
  </w:style>
  <w:style w:type="character" w:styleId="nfase">
    <w:name w:val="Emphasis"/>
    <w:basedOn w:val="Fontepargpadro"/>
    <w:uiPriority w:val="20"/>
    <w:qFormat/>
    <w:rsid w:val="005F5E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6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6</Pages>
  <Words>2085</Words>
  <Characters>11263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CTIC UBeraba</cp:lastModifiedBy>
  <cp:revision>18</cp:revision>
  <dcterms:created xsi:type="dcterms:W3CDTF">2026-06-08T16:53:00Z</dcterms:created>
  <dcterms:modified xsi:type="dcterms:W3CDTF">2026-06-25T13:12:00Z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