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3CA1C" w14:textId="13010D1D" w:rsidR="00D83952" w:rsidRDefault="00D83952" w:rsidP="00DB3625">
      <w:pPr>
        <w:ind w:firstLine="0"/>
        <w:jc w:val="right"/>
        <w:rPr>
          <w:rFonts w:ascii="Times New Roman" w:hAnsi="Times New Roman" w:cs="Times New Roman"/>
          <w:b/>
          <w:bCs/>
          <w:sz w:val="24"/>
          <w:szCs w:val="24"/>
        </w:rPr>
      </w:pPr>
      <w:bookmarkStart w:id="0" w:name="_Hlk192524814"/>
      <w:bookmarkEnd w:id="0"/>
      <w:r w:rsidRPr="00D83952">
        <w:rPr>
          <w:rFonts w:ascii="Times New Roman" w:hAnsi="Times New Roman" w:cs="Times New Roman"/>
          <w:b/>
          <w:bCs/>
          <w:sz w:val="24"/>
          <w:szCs w:val="24"/>
        </w:rPr>
        <w:t>DECOMPOSIÇÃO DA VARIAÇÃO REFERENTE À TAXA DE DESEMPREGO SEGUNDO FATORES SOCIODEMOGRÁFICOS E REGIONAIS 2012-22</w:t>
      </w:r>
      <w:r w:rsidR="00E55980">
        <w:rPr>
          <w:rStyle w:val="Refdenotaderodap"/>
          <w:rFonts w:ascii="Times New Roman" w:hAnsi="Times New Roman" w:cs="Times New Roman"/>
          <w:b/>
          <w:bCs/>
          <w:sz w:val="24"/>
          <w:szCs w:val="24"/>
        </w:rPr>
        <w:footnoteReference w:id="1"/>
      </w:r>
    </w:p>
    <w:p w14:paraId="3B2B097D" w14:textId="7ADE956E" w:rsidR="00A67C6A" w:rsidRDefault="00A67C6A" w:rsidP="00A67C6A">
      <w:pPr>
        <w:spacing w:line="240" w:lineRule="auto"/>
        <w:ind w:firstLine="0"/>
        <w:rPr>
          <w:rFonts w:ascii="Times New Roman" w:hAnsi="Times New Roman" w:cs="Times New Roman"/>
          <w:b/>
          <w:bCs/>
          <w:sz w:val="24"/>
          <w:szCs w:val="24"/>
        </w:rPr>
      </w:pPr>
    </w:p>
    <w:p w14:paraId="48179957" w14:textId="0AD62315" w:rsidR="00617797" w:rsidRDefault="00617797" w:rsidP="00A67C6A">
      <w:pPr>
        <w:spacing w:line="240" w:lineRule="auto"/>
        <w:ind w:firstLine="0"/>
        <w:rPr>
          <w:rFonts w:ascii="Times New Roman" w:hAnsi="Times New Roman" w:cs="Times New Roman"/>
          <w:b/>
          <w:bCs/>
          <w:sz w:val="24"/>
          <w:szCs w:val="24"/>
        </w:rPr>
      </w:pPr>
    </w:p>
    <w:p w14:paraId="540C9C3E" w14:textId="402EB8D0" w:rsidR="00617797" w:rsidRPr="00560805" w:rsidRDefault="00560805" w:rsidP="00560805">
      <w:pPr>
        <w:spacing w:line="240" w:lineRule="auto"/>
        <w:ind w:firstLine="0"/>
        <w:jc w:val="right"/>
        <w:rPr>
          <w:rFonts w:ascii="Times New Roman" w:hAnsi="Times New Roman" w:cs="Times New Roman"/>
          <w:sz w:val="24"/>
          <w:szCs w:val="24"/>
        </w:rPr>
      </w:pPr>
      <w:r w:rsidRPr="00560805">
        <w:rPr>
          <w:rFonts w:ascii="Times New Roman" w:hAnsi="Times New Roman" w:cs="Times New Roman"/>
          <w:sz w:val="24"/>
          <w:szCs w:val="24"/>
        </w:rPr>
        <w:t>Aline Cristina da Cruz</w:t>
      </w:r>
      <w:r w:rsidRPr="00560805">
        <w:rPr>
          <w:rFonts w:ascii="Times New Roman" w:hAnsi="Times New Roman" w:cs="Times New Roman"/>
          <w:sz w:val="24"/>
          <w:szCs w:val="24"/>
        </w:rPr>
        <w:t xml:space="preserve"> - </w:t>
      </w:r>
      <w:hyperlink r:id="rId8" w:history="1">
        <w:r w:rsidRPr="00560805">
          <w:rPr>
            <w:rStyle w:val="Hyperlink"/>
            <w:rFonts w:ascii="Times New Roman" w:hAnsi="Times New Roman" w:cs="Times New Roman"/>
            <w:sz w:val="24"/>
            <w:szCs w:val="24"/>
          </w:rPr>
          <w:t>alinecruz@ufsj.edu.br</w:t>
        </w:r>
      </w:hyperlink>
    </w:p>
    <w:p w14:paraId="3324CF95" w14:textId="5D283F98" w:rsidR="00560805" w:rsidRPr="00560805" w:rsidRDefault="00560805" w:rsidP="00560805">
      <w:pPr>
        <w:spacing w:line="240" w:lineRule="auto"/>
        <w:ind w:firstLine="0"/>
        <w:jc w:val="right"/>
        <w:rPr>
          <w:rFonts w:ascii="Times New Roman" w:hAnsi="Times New Roman" w:cs="Times New Roman"/>
          <w:sz w:val="24"/>
          <w:szCs w:val="24"/>
        </w:rPr>
      </w:pPr>
      <w:r w:rsidRPr="00560805">
        <w:rPr>
          <w:rFonts w:ascii="Times New Roman" w:hAnsi="Times New Roman" w:cs="Times New Roman"/>
          <w:sz w:val="24"/>
          <w:szCs w:val="24"/>
        </w:rPr>
        <w:t>Karine Maria de Carvalho</w:t>
      </w:r>
      <w:r w:rsidRPr="00560805">
        <w:rPr>
          <w:rFonts w:ascii="Times New Roman" w:hAnsi="Times New Roman" w:cs="Times New Roman"/>
          <w:sz w:val="24"/>
          <w:szCs w:val="24"/>
        </w:rPr>
        <w:t xml:space="preserve"> - </w:t>
      </w:r>
      <w:hyperlink r:id="rId9" w:history="1">
        <w:r w:rsidRPr="00560805">
          <w:rPr>
            <w:rStyle w:val="Hyperlink"/>
            <w:rFonts w:ascii="Times New Roman" w:hAnsi="Times New Roman" w:cs="Times New Roman"/>
            <w:sz w:val="24"/>
            <w:szCs w:val="24"/>
          </w:rPr>
          <w:t>karine.cv.07@aluno.ufsj.edu.br</w:t>
        </w:r>
      </w:hyperlink>
    </w:p>
    <w:p w14:paraId="75611CD0" w14:textId="217C2515" w:rsidR="00560805" w:rsidRPr="00560805" w:rsidRDefault="00560805" w:rsidP="00560805">
      <w:pPr>
        <w:spacing w:line="240" w:lineRule="auto"/>
        <w:ind w:firstLine="0"/>
        <w:jc w:val="right"/>
        <w:rPr>
          <w:rFonts w:ascii="Times New Roman" w:hAnsi="Times New Roman" w:cs="Times New Roman"/>
          <w:sz w:val="24"/>
          <w:szCs w:val="24"/>
        </w:rPr>
      </w:pPr>
      <w:r w:rsidRPr="00560805">
        <w:rPr>
          <w:rFonts w:ascii="Times New Roman" w:hAnsi="Times New Roman" w:cs="Times New Roman"/>
          <w:sz w:val="24"/>
          <w:szCs w:val="24"/>
        </w:rPr>
        <w:t>Douglas Marcos Ferreira</w:t>
      </w:r>
      <w:r w:rsidRPr="00560805">
        <w:rPr>
          <w:rFonts w:ascii="Times New Roman" w:hAnsi="Times New Roman" w:cs="Times New Roman"/>
          <w:sz w:val="24"/>
          <w:szCs w:val="24"/>
        </w:rPr>
        <w:t xml:space="preserve"> - </w:t>
      </w:r>
      <w:hyperlink r:id="rId10" w:history="1">
        <w:r w:rsidRPr="00560805">
          <w:rPr>
            <w:rStyle w:val="Hyperlink"/>
            <w:rFonts w:ascii="Times New Roman" w:hAnsi="Times New Roman" w:cs="Times New Roman"/>
            <w:sz w:val="24"/>
            <w:szCs w:val="24"/>
          </w:rPr>
          <w:t>douglasferreira@ufsj.edu.br</w:t>
        </w:r>
      </w:hyperlink>
    </w:p>
    <w:p w14:paraId="6DC9A35C" w14:textId="77777777" w:rsidR="00617797" w:rsidRDefault="00617797" w:rsidP="00A67C6A">
      <w:pPr>
        <w:spacing w:line="240" w:lineRule="auto"/>
        <w:ind w:firstLine="0"/>
        <w:rPr>
          <w:rFonts w:ascii="Times New Roman" w:hAnsi="Times New Roman" w:cs="Times New Roman"/>
          <w:b/>
          <w:bCs/>
          <w:sz w:val="24"/>
          <w:szCs w:val="24"/>
        </w:rPr>
      </w:pPr>
    </w:p>
    <w:p w14:paraId="7BB5DC6C" w14:textId="77777777" w:rsidR="00617797" w:rsidRDefault="00617797" w:rsidP="00A67C6A">
      <w:pPr>
        <w:spacing w:line="240" w:lineRule="auto"/>
        <w:ind w:firstLine="0"/>
        <w:rPr>
          <w:rFonts w:ascii="Times New Roman" w:hAnsi="Times New Roman" w:cs="Times New Roman"/>
          <w:b/>
          <w:bCs/>
          <w:sz w:val="24"/>
          <w:szCs w:val="24"/>
        </w:rPr>
      </w:pPr>
    </w:p>
    <w:p w14:paraId="63067244" w14:textId="60F42D10" w:rsidR="00A67C6A" w:rsidRDefault="00A67C6A" w:rsidP="00BE475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w:t>
      </w:r>
      <w:r w:rsidR="001C4D1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1C4D12">
        <w:rPr>
          <w:rFonts w:ascii="Times New Roman" w:eastAsia="Times New Roman" w:hAnsi="Times New Roman" w:cs="Times New Roman"/>
          <w:sz w:val="24"/>
          <w:szCs w:val="24"/>
        </w:rPr>
        <w:t>Demografia, Espaço e Mercado de Trabalho.</w:t>
      </w:r>
    </w:p>
    <w:p w14:paraId="18183A70" w14:textId="77777777" w:rsidR="00A67C6A" w:rsidRDefault="00A67C6A" w:rsidP="00DB3625">
      <w:pPr>
        <w:ind w:firstLine="0"/>
        <w:jc w:val="right"/>
        <w:rPr>
          <w:rFonts w:ascii="Times New Roman" w:hAnsi="Times New Roman" w:cs="Times New Roman"/>
          <w:b/>
          <w:bCs/>
          <w:sz w:val="24"/>
          <w:szCs w:val="24"/>
        </w:rPr>
      </w:pPr>
    </w:p>
    <w:p w14:paraId="30B2ED2E" w14:textId="3B96C1A0" w:rsidR="00F05BF7" w:rsidRDefault="00DB3625" w:rsidP="00A67C6A">
      <w:pPr>
        <w:jc w:val="center"/>
        <w:rPr>
          <w:rFonts w:ascii="Times New Roman" w:hAnsi="Times New Roman" w:cs="Times New Roman"/>
          <w:b/>
          <w:sz w:val="24"/>
          <w:szCs w:val="24"/>
        </w:rPr>
      </w:pPr>
      <w:r w:rsidRPr="00DA5B62">
        <w:rPr>
          <w:rFonts w:ascii="Times New Roman" w:hAnsi="Times New Roman" w:cs="Times New Roman"/>
          <w:b/>
          <w:sz w:val="24"/>
          <w:szCs w:val="24"/>
        </w:rPr>
        <w:t>RESUMO</w:t>
      </w:r>
      <w:bookmarkStart w:id="1" w:name="_Hlk171001003"/>
    </w:p>
    <w:p w14:paraId="678A4EC3" w14:textId="77777777" w:rsidR="00A67C6A" w:rsidRPr="0006533D" w:rsidRDefault="00A67C6A" w:rsidP="00BE4754">
      <w:pPr>
        <w:jc w:val="center"/>
        <w:rPr>
          <w:rFonts w:ascii="Times New Roman" w:hAnsi="Times New Roman" w:cs="Times New Roman"/>
          <w:bCs/>
          <w:sz w:val="24"/>
          <w:szCs w:val="24"/>
        </w:rPr>
      </w:pPr>
    </w:p>
    <w:p w14:paraId="4DEEC305" w14:textId="69C38809" w:rsidR="00DB3625" w:rsidRPr="00616CAE" w:rsidRDefault="00C413E5" w:rsidP="00A80DAD">
      <w:pPr>
        <w:ind w:firstLine="0"/>
        <w:rPr>
          <w:rFonts w:ascii="Times New Roman" w:hAnsi="Times New Roman" w:cs="Times New Roman"/>
          <w:sz w:val="24"/>
          <w:szCs w:val="24"/>
        </w:rPr>
      </w:pPr>
      <w:r w:rsidRPr="00C413E5">
        <w:rPr>
          <w:rFonts w:ascii="Times New Roman" w:hAnsi="Times New Roman" w:cs="Times New Roman"/>
          <w:bCs/>
          <w:sz w:val="24"/>
          <w:szCs w:val="24"/>
        </w:rPr>
        <w:t xml:space="preserve">Este estudo analisa a evolução do desemprego no Brasil entre 2012 e 2022, por meio da decomposição da taxa de desocupação em efeitos nível e composição, com foco nos fatores sociodemográficos e regionais. Para isso, foram aplicadas Análise Estatística Descritiva e Técnica de Decomposição às variações da taxa de desemprego com base nos </w:t>
      </w:r>
      <w:proofErr w:type="spellStart"/>
      <w:r w:rsidRPr="00C413E5">
        <w:rPr>
          <w:rFonts w:ascii="Times New Roman" w:hAnsi="Times New Roman" w:cs="Times New Roman"/>
          <w:bCs/>
          <w:sz w:val="24"/>
          <w:szCs w:val="24"/>
        </w:rPr>
        <w:t>microdados</w:t>
      </w:r>
      <w:proofErr w:type="spellEnd"/>
      <w:r w:rsidRPr="00C413E5">
        <w:rPr>
          <w:rFonts w:ascii="Times New Roman" w:hAnsi="Times New Roman" w:cs="Times New Roman"/>
          <w:bCs/>
          <w:sz w:val="24"/>
          <w:szCs w:val="24"/>
        </w:rPr>
        <w:t xml:space="preserve"> da PNAD Contínua. Os resultados indicam que o desemprego afeta de forma mais intensa grupos estruturalmente vulneráveis, como mulheres, negros, jovens, indivíduos com ensino médio, residentes em áreas urbanas e metropolitanas. O efeito-composição confirma a desigualdade na distribuição do desemprego, </w:t>
      </w:r>
      <w:r>
        <w:rPr>
          <w:rFonts w:ascii="Times New Roman" w:hAnsi="Times New Roman" w:cs="Times New Roman"/>
          <w:bCs/>
          <w:sz w:val="24"/>
          <w:szCs w:val="24"/>
        </w:rPr>
        <w:t xml:space="preserve">ao </w:t>
      </w:r>
      <w:r w:rsidRPr="00C413E5">
        <w:rPr>
          <w:rFonts w:ascii="Times New Roman" w:hAnsi="Times New Roman" w:cs="Times New Roman"/>
          <w:bCs/>
          <w:sz w:val="24"/>
          <w:szCs w:val="24"/>
        </w:rPr>
        <w:t>evidencia</w:t>
      </w:r>
      <w:r>
        <w:rPr>
          <w:rFonts w:ascii="Times New Roman" w:hAnsi="Times New Roman" w:cs="Times New Roman"/>
          <w:bCs/>
          <w:sz w:val="24"/>
          <w:szCs w:val="24"/>
        </w:rPr>
        <w:t>r</w:t>
      </w:r>
      <w:r w:rsidRPr="00C413E5">
        <w:rPr>
          <w:rFonts w:ascii="Times New Roman" w:hAnsi="Times New Roman" w:cs="Times New Roman"/>
          <w:bCs/>
          <w:sz w:val="24"/>
          <w:szCs w:val="24"/>
        </w:rPr>
        <w:t xml:space="preserve"> que determinados segmentos populacionais têm maior probabilidade de permanecer fora do mercado de trabalho. Além disso, o efeito-nível representou 90% das variações médias da taxa de desemprego, o que reflete a deterioração das condições laborais no período analisado. A pesquisa reforça a influência de crises econômicas e reformas trabalhistas na ampliação do desemprego, bem como a intensificação da informalidade e a exclusão de grupos menos favorecidos. Diante desse cenário, o estudo identifica os principais fatores que influenciam a taxa de desemprego no Brasil sob perspectivas individuais e regionais</w:t>
      </w:r>
      <w:r>
        <w:rPr>
          <w:rFonts w:ascii="Times New Roman" w:hAnsi="Times New Roman" w:cs="Times New Roman"/>
          <w:bCs/>
          <w:sz w:val="24"/>
          <w:szCs w:val="24"/>
        </w:rPr>
        <w:t xml:space="preserve"> e</w:t>
      </w:r>
      <w:r w:rsidRPr="00C413E5">
        <w:rPr>
          <w:rFonts w:ascii="Times New Roman" w:hAnsi="Times New Roman" w:cs="Times New Roman"/>
          <w:bCs/>
          <w:sz w:val="24"/>
          <w:szCs w:val="24"/>
        </w:rPr>
        <w:t xml:space="preserve"> contribui para o debate sobre as desigualdades no mercado de trabalho e seus determinantes socioeconômicos.</w:t>
      </w:r>
      <w:bookmarkEnd w:id="1"/>
    </w:p>
    <w:p w14:paraId="5BBC6E08" w14:textId="77777777" w:rsidR="00DB3625" w:rsidRDefault="00DB3625" w:rsidP="00A80DAD">
      <w:pPr>
        <w:ind w:firstLine="0"/>
        <w:rPr>
          <w:rFonts w:ascii="Times New Roman" w:hAnsi="Times New Roman" w:cs="Times New Roman"/>
          <w:sz w:val="24"/>
          <w:szCs w:val="24"/>
        </w:rPr>
      </w:pPr>
      <w:r w:rsidRPr="00CD3202">
        <w:rPr>
          <w:rFonts w:ascii="Times New Roman" w:hAnsi="Times New Roman" w:cs="Times New Roman"/>
          <w:b/>
          <w:bCs/>
          <w:sz w:val="24"/>
          <w:szCs w:val="24"/>
        </w:rPr>
        <w:t>Palavras-chave</w:t>
      </w:r>
      <w:r w:rsidRPr="00616CAE">
        <w:rPr>
          <w:rFonts w:ascii="Times New Roman" w:hAnsi="Times New Roman" w:cs="Times New Roman"/>
          <w:sz w:val="24"/>
          <w:szCs w:val="24"/>
        </w:rPr>
        <w:t>: Desemprego</w:t>
      </w:r>
      <w:r>
        <w:rPr>
          <w:rFonts w:ascii="Times New Roman" w:hAnsi="Times New Roman" w:cs="Times New Roman"/>
          <w:sz w:val="24"/>
          <w:szCs w:val="24"/>
        </w:rPr>
        <w:t>;</w:t>
      </w:r>
      <w:r w:rsidRPr="00616CAE">
        <w:rPr>
          <w:rFonts w:ascii="Times New Roman" w:hAnsi="Times New Roman" w:cs="Times New Roman"/>
          <w:sz w:val="24"/>
          <w:szCs w:val="24"/>
        </w:rPr>
        <w:t xml:space="preserve"> Mercado de Trabalho</w:t>
      </w:r>
      <w:r>
        <w:rPr>
          <w:rFonts w:ascii="Times New Roman" w:hAnsi="Times New Roman" w:cs="Times New Roman"/>
          <w:sz w:val="24"/>
          <w:szCs w:val="24"/>
        </w:rPr>
        <w:t>; Grupos Vulneráveis; Crises.</w:t>
      </w:r>
    </w:p>
    <w:p w14:paraId="1D039F55" w14:textId="77777777" w:rsidR="00DB3625" w:rsidRDefault="00DB3625" w:rsidP="00A80DAD">
      <w:pPr>
        <w:ind w:firstLine="0"/>
        <w:rPr>
          <w:rFonts w:ascii="Times New Roman" w:hAnsi="Times New Roman" w:cs="Times New Roman"/>
          <w:sz w:val="24"/>
          <w:szCs w:val="24"/>
        </w:rPr>
      </w:pPr>
    </w:p>
    <w:p w14:paraId="0071FE11" w14:textId="7AD56553" w:rsidR="00F1552E" w:rsidRPr="00E42269" w:rsidRDefault="00F1552E" w:rsidP="00A80DAD">
      <w:pPr>
        <w:pStyle w:val="Ttulo1"/>
        <w:numPr>
          <w:ilvl w:val="0"/>
          <w:numId w:val="43"/>
        </w:numPr>
        <w:spacing w:before="0"/>
        <w:ind w:left="0" w:firstLine="0"/>
        <w:rPr>
          <w:b/>
          <w:bCs/>
        </w:rPr>
      </w:pPr>
      <w:bookmarkStart w:id="2" w:name="_Toc160609807"/>
      <w:r w:rsidRPr="00E42269">
        <w:rPr>
          <w:b/>
          <w:bCs/>
        </w:rPr>
        <w:t>INTRODUÇÃO</w:t>
      </w:r>
      <w:bookmarkEnd w:id="2"/>
      <w:r w:rsidRPr="00E42269">
        <w:rPr>
          <w:b/>
          <w:bCs/>
        </w:rPr>
        <w:t xml:space="preserve"> </w:t>
      </w:r>
    </w:p>
    <w:p w14:paraId="67693374" w14:textId="6ED3D3B9" w:rsidR="00DF08FD" w:rsidRDefault="66153A75" w:rsidP="00A80DAD">
      <w:pPr>
        <w:rPr>
          <w:rFonts w:ascii="Times New Roman" w:eastAsia="Times New Roman" w:hAnsi="Times New Roman" w:cs="Times New Roman"/>
          <w:sz w:val="24"/>
          <w:szCs w:val="24"/>
          <w:lang w:eastAsia="pt-BR"/>
        </w:rPr>
      </w:pPr>
      <w:r w:rsidRPr="66153A75">
        <w:rPr>
          <w:rFonts w:ascii="Times New Roman" w:eastAsia="Times New Roman" w:hAnsi="Times New Roman" w:cs="Times New Roman"/>
          <w:sz w:val="24"/>
          <w:szCs w:val="24"/>
          <w:lang w:eastAsia="pt-BR"/>
        </w:rPr>
        <w:t xml:space="preserve">O desemprego é uma realidade imposta a cerca de </w:t>
      </w:r>
      <w:r w:rsidR="001B1048">
        <w:rPr>
          <w:rFonts w:ascii="Times New Roman" w:eastAsia="Times New Roman" w:hAnsi="Times New Roman" w:cs="Times New Roman"/>
          <w:sz w:val="24"/>
          <w:szCs w:val="24"/>
          <w:lang w:eastAsia="pt-BR"/>
        </w:rPr>
        <w:t>8</w:t>
      </w:r>
      <w:r w:rsidRPr="66153A75">
        <w:rPr>
          <w:rFonts w:ascii="Times New Roman" w:eastAsia="Times New Roman" w:hAnsi="Times New Roman" w:cs="Times New Roman"/>
          <w:sz w:val="24"/>
          <w:szCs w:val="24"/>
          <w:lang w:eastAsia="pt-BR"/>
        </w:rPr>
        <w:t>,</w:t>
      </w:r>
      <w:r w:rsidR="001B1048">
        <w:rPr>
          <w:rFonts w:ascii="Times New Roman" w:eastAsia="Times New Roman" w:hAnsi="Times New Roman" w:cs="Times New Roman"/>
          <w:sz w:val="24"/>
          <w:szCs w:val="24"/>
          <w:lang w:eastAsia="pt-BR"/>
        </w:rPr>
        <w:t>5</w:t>
      </w:r>
      <w:r w:rsidRPr="66153A75">
        <w:rPr>
          <w:rFonts w:ascii="Times New Roman" w:eastAsia="Times New Roman" w:hAnsi="Times New Roman" w:cs="Times New Roman"/>
          <w:sz w:val="24"/>
          <w:szCs w:val="24"/>
          <w:lang w:eastAsia="pt-BR"/>
        </w:rPr>
        <w:t xml:space="preserve"> milhões de brasileiros, ou seja, </w:t>
      </w:r>
      <w:r w:rsidR="001B1048">
        <w:rPr>
          <w:rFonts w:ascii="Times New Roman" w:eastAsia="Times New Roman" w:hAnsi="Times New Roman" w:cs="Times New Roman"/>
          <w:sz w:val="24"/>
          <w:szCs w:val="24"/>
          <w:lang w:eastAsia="pt-BR"/>
        </w:rPr>
        <w:t>7</w:t>
      </w:r>
      <w:r w:rsidRPr="66153A75">
        <w:rPr>
          <w:rFonts w:ascii="Times New Roman" w:eastAsia="Times New Roman" w:hAnsi="Times New Roman" w:cs="Times New Roman"/>
          <w:sz w:val="24"/>
          <w:szCs w:val="24"/>
          <w:lang w:eastAsia="pt-BR"/>
        </w:rPr>
        <w:t>,</w:t>
      </w:r>
      <w:r w:rsidR="001B1048">
        <w:rPr>
          <w:rFonts w:ascii="Times New Roman" w:eastAsia="Times New Roman" w:hAnsi="Times New Roman" w:cs="Times New Roman"/>
          <w:sz w:val="24"/>
          <w:szCs w:val="24"/>
          <w:lang w:eastAsia="pt-BR"/>
        </w:rPr>
        <w:t>8</w:t>
      </w:r>
      <w:r w:rsidRPr="66153A75">
        <w:rPr>
          <w:rFonts w:ascii="Times New Roman" w:eastAsia="Times New Roman" w:hAnsi="Times New Roman" w:cs="Times New Roman"/>
          <w:sz w:val="24"/>
          <w:szCs w:val="24"/>
          <w:lang w:eastAsia="pt-BR"/>
        </w:rPr>
        <w:t xml:space="preserve">% da força de trabalho, segundo dados da Pesquisa Nacional por Amostra de </w:t>
      </w:r>
      <w:r w:rsidRPr="66153A75">
        <w:rPr>
          <w:rFonts w:ascii="Times New Roman" w:eastAsia="Times New Roman" w:hAnsi="Times New Roman" w:cs="Times New Roman"/>
          <w:sz w:val="24"/>
          <w:szCs w:val="24"/>
          <w:lang w:eastAsia="pt-BR"/>
        </w:rPr>
        <w:lastRenderedPageBreak/>
        <w:t xml:space="preserve">Domicílio Contínua (PNADC), para o </w:t>
      </w:r>
      <w:r w:rsidR="001B1048">
        <w:rPr>
          <w:rFonts w:ascii="Times New Roman" w:eastAsia="Times New Roman" w:hAnsi="Times New Roman" w:cs="Times New Roman"/>
          <w:sz w:val="24"/>
          <w:szCs w:val="24"/>
          <w:lang w:eastAsia="pt-BR"/>
        </w:rPr>
        <w:t>ano</w:t>
      </w:r>
      <w:r w:rsidRPr="66153A75">
        <w:rPr>
          <w:rFonts w:ascii="Times New Roman" w:eastAsia="Times New Roman" w:hAnsi="Times New Roman" w:cs="Times New Roman"/>
          <w:sz w:val="24"/>
          <w:szCs w:val="24"/>
          <w:lang w:eastAsia="pt-BR"/>
        </w:rPr>
        <w:t xml:space="preserve"> de 2023 (IBGE, 2023). Ademais, as desigualdades se tornam latentes, quando considerados </w:t>
      </w:r>
      <w:r w:rsidR="00AD3FEB">
        <w:rPr>
          <w:rFonts w:ascii="Times New Roman" w:eastAsia="Times New Roman" w:hAnsi="Times New Roman" w:cs="Times New Roman"/>
          <w:sz w:val="24"/>
          <w:szCs w:val="24"/>
          <w:lang w:eastAsia="pt-BR"/>
        </w:rPr>
        <w:t>marcadores sociais</w:t>
      </w:r>
      <w:r w:rsidR="00AD3FEB" w:rsidRPr="66153A75">
        <w:rPr>
          <w:rFonts w:ascii="Times New Roman" w:eastAsia="Times New Roman" w:hAnsi="Times New Roman" w:cs="Times New Roman"/>
          <w:sz w:val="24"/>
          <w:szCs w:val="24"/>
          <w:lang w:eastAsia="pt-BR"/>
        </w:rPr>
        <w:t xml:space="preserve"> </w:t>
      </w:r>
      <w:r w:rsidRPr="66153A75">
        <w:rPr>
          <w:rFonts w:ascii="Times New Roman" w:eastAsia="Times New Roman" w:hAnsi="Times New Roman" w:cs="Times New Roman"/>
          <w:sz w:val="24"/>
          <w:szCs w:val="24"/>
          <w:lang w:eastAsia="pt-BR"/>
        </w:rPr>
        <w:t>como gênero, raça, idade, nível de educação</w:t>
      </w:r>
      <w:r w:rsidR="00AD3FEB">
        <w:rPr>
          <w:rFonts w:ascii="Times New Roman" w:eastAsia="Times New Roman" w:hAnsi="Times New Roman" w:cs="Times New Roman"/>
          <w:sz w:val="24"/>
          <w:szCs w:val="24"/>
          <w:lang w:eastAsia="pt-BR"/>
        </w:rPr>
        <w:t xml:space="preserve"> e</w:t>
      </w:r>
      <w:r w:rsidRPr="66153A75">
        <w:rPr>
          <w:rFonts w:ascii="Times New Roman" w:eastAsia="Times New Roman" w:hAnsi="Times New Roman" w:cs="Times New Roman"/>
          <w:sz w:val="24"/>
          <w:szCs w:val="24"/>
          <w:lang w:eastAsia="pt-BR"/>
        </w:rPr>
        <w:t xml:space="preserve"> setor de atividade, por exemplo. </w:t>
      </w:r>
      <w:r w:rsidR="00C67CB0" w:rsidRPr="00C67CB0">
        <w:rPr>
          <w:rFonts w:ascii="Times New Roman" w:eastAsia="Times New Roman" w:hAnsi="Times New Roman" w:cs="Times New Roman"/>
          <w:sz w:val="24"/>
          <w:szCs w:val="24"/>
          <w:lang w:eastAsia="pt-BR"/>
        </w:rPr>
        <w:t>Segundo dados d</w:t>
      </w:r>
      <w:r w:rsidR="00C67CB0">
        <w:rPr>
          <w:rFonts w:ascii="Times New Roman" w:eastAsia="Times New Roman" w:hAnsi="Times New Roman" w:cs="Times New Roman"/>
          <w:sz w:val="24"/>
          <w:szCs w:val="24"/>
          <w:lang w:eastAsia="pt-BR"/>
        </w:rPr>
        <w:t>o</w:t>
      </w:r>
      <w:r w:rsidR="00C67CB0" w:rsidRPr="00C67CB0">
        <w:rPr>
          <w:rFonts w:ascii="Times New Roman" w:eastAsia="Times New Roman" w:hAnsi="Times New Roman" w:cs="Times New Roman"/>
          <w:sz w:val="24"/>
          <w:szCs w:val="24"/>
          <w:lang w:eastAsia="pt-BR"/>
        </w:rPr>
        <w:t xml:space="preserve"> Instituto Brasileiro de Economia (IBRE) da Fundação Getúlio Vargas (FGV)</w:t>
      </w:r>
      <w:r w:rsidR="00C67CB0">
        <w:rPr>
          <w:rFonts w:ascii="Times New Roman" w:eastAsia="Times New Roman" w:hAnsi="Times New Roman" w:cs="Times New Roman"/>
          <w:sz w:val="24"/>
          <w:szCs w:val="24"/>
          <w:lang w:eastAsia="pt-BR"/>
        </w:rPr>
        <w:t>,</w:t>
      </w:r>
      <w:r w:rsidR="00C67CB0" w:rsidRPr="00C67CB0">
        <w:rPr>
          <w:rFonts w:ascii="Times New Roman" w:eastAsia="Times New Roman" w:hAnsi="Times New Roman" w:cs="Times New Roman"/>
          <w:sz w:val="24"/>
          <w:szCs w:val="24"/>
          <w:lang w:eastAsia="pt-BR"/>
        </w:rPr>
        <w:t xml:space="preserve"> em 2022</w:t>
      </w:r>
      <w:r w:rsidR="001E7CD0">
        <w:rPr>
          <w:rFonts w:ascii="Times New Roman" w:eastAsia="Times New Roman" w:hAnsi="Times New Roman" w:cs="Times New Roman"/>
          <w:sz w:val="24"/>
          <w:szCs w:val="24"/>
          <w:lang w:eastAsia="pt-BR"/>
        </w:rPr>
        <w:t>,</w:t>
      </w:r>
      <w:r w:rsidR="00C67CB0" w:rsidRPr="00C67CB0">
        <w:rPr>
          <w:rFonts w:ascii="Times New Roman" w:eastAsia="Times New Roman" w:hAnsi="Times New Roman" w:cs="Times New Roman"/>
          <w:sz w:val="24"/>
          <w:szCs w:val="24"/>
          <w:lang w:eastAsia="pt-BR"/>
        </w:rPr>
        <w:t xml:space="preserve"> a participação das mulheres brasileiras no mercado de trabalho </w:t>
      </w:r>
      <w:r w:rsidR="00C67CB0">
        <w:rPr>
          <w:rFonts w:ascii="Times New Roman" w:eastAsia="Times New Roman" w:hAnsi="Times New Roman" w:cs="Times New Roman"/>
          <w:sz w:val="24"/>
          <w:szCs w:val="24"/>
          <w:lang w:eastAsia="pt-BR"/>
        </w:rPr>
        <w:t>foi</w:t>
      </w:r>
      <w:r w:rsidR="00C67CB0" w:rsidRPr="00C67CB0">
        <w:rPr>
          <w:rFonts w:ascii="Times New Roman" w:eastAsia="Times New Roman" w:hAnsi="Times New Roman" w:cs="Times New Roman"/>
          <w:sz w:val="24"/>
          <w:szCs w:val="24"/>
          <w:lang w:eastAsia="pt-BR"/>
        </w:rPr>
        <w:t xml:space="preserve"> de 54,3%, enquanto a dos homens </w:t>
      </w:r>
      <w:r w:rsidR="001E7CD0">
        <w:rPr>
          <w:rFonts w:ascii="Times New Roman" w:eastAsia="Times New Roman" w:hAnsi="Times New Roman" w:cs="Times New Roman"/>
          <w:sz w:val="24"/>
          <w:szCs w:val="24"/>
          <w:lang w:eastAsia="pt-BR"/>
        </w:rPr>
        <w:t>compreendeu</w:t>
      </w:r>
      <w:r w:rsidR="00C67CB0" w:rsidRPr="00C67CB0">
        <w:rPr>
          <w:rFonts w:ascii="Times New Roman" w:eastAsia="Times New Roman" w:hAnsi="Times New Roman" w:cs="Times New Roman"/>
          <w:sz w:val="24"/>
          <w:szCs w:val="24"/>
          <w:lang w:eastAsia="pt-BR"/>
        </w:rPr>
        <w:t xml:space="preserve"> 71%, </w:t>
      </w:r>
      <w:r w:rsidR="001E7CD0">
        <w:rPr>
          <w:rFonts w:ascii="Times New Roman" w:eastAsia="Times New Roman" w:hAnsi="Times New Roman" w:cs="Times New Roman"/>
          <w:sz w:val="24"/>
          <w:szCs w:val="24"/>
          <w:lang w:eastAsia="pt-BR"/>
        </w:rPr>
        <w:t xml:space="preserve">esses percentuais </w:t>
      </w:r>
      <w:r w:rsidR="00C67CB0" w:rsidRPr="00C67CB0">
        <w:rPr>
          <w:rFonts w:ascii="Times New Roman" w:eastAsia="Times New Roman" w:hAnsi="Times New Roman" w:cs="Times New Roman"/>
          <w:sz w:val="24"/>
          <w:szCs w:val="24"/>
          <w:lang w:eastAsia="pt-BR"/>
        </w:rPr>
        <w:t>evidencia</w:t>
      </w:r>
      <w:r w:rsidR="001E7CD0">
        <w:rPr>
          <w:rFonts w:ascii="Times New Roman" w:eastAsia="Times New Roman" w:hAnsi="Times New Roman" w:cs="Times New Roman"/>
          <w:sz w:val="24"/>
          <w:szCs w:val="24"/>
          <w:lang w:eastAsia="pt-BR"/>
        </w:rPr>
        <w:t>m</w:t>
      </w:r>
      <w:r w:rsidR="00C67CB0" w:rsidRPr="00C67CB0">
        <w:rPr>
          <w:rFonts w:ascii="Times New Roman" w:eastAsia="Times New Roman" w:hAnsi="Times New Roman" w:cs="Times New Roman"/>
          <w:sz w:val="24"/>
          <w:szCs w:val="24"/>
          <w:lang w:eastAsia="pt-BR"/>
        </w:rPr>
        <w:t xml:space="preserve"> uma menor inserção feminina</w:t>
      </w:r>
      <w:r w:rsidR="001E7CD0">
        <w:rPr>
          <w:rFonts w:ascii="Times New Roman" w:eastAsia="Times New Roman" w:hAnsi="Times New Roman" w:cs="Times New Roman"/>
          <w:sz w:val="24"/>
          <w:szCs w:val="24"/>
          <w:lang w:eastAsia="pt-BR"/>
        </w:rPr>
        <w:t xml:space="preserve"> no ambiente laboral</w:t>
      </w:r>
      <w:r w:rsidR="00C67CB0" w:rsidRPr="00C67CB0">
        <w:rPr>
          <w:rFonts w:ascii="Times New Roman" w:eastAsia="Times New Roman" w:hAnsi="Times New Roman" w:cs="Times New Roman"/>
          <w:sz w:val="24"/>
          <w:szCs w:val="24"/>
          <w:lang w:eastAsia="pt-BR"/>
        </w:rPr>
        <w:t xml:space="preserve"> </w:t>
      </w:r>
      <w:r w:rsidR="001E7CD0">
        <w:rPr>
          <w:rFonts w:ascii="Times New Roman" w:eastAsia="Times New Roman" w:hAnsi="Times New Roman" w:cs="Times New Roman"/>
          <w:sz w:val="24"/>
          <w:szCs w:val="24"/>
          <w:lang w:eastAsia="pt-BR"/>
        </w:rPr>
        <w:t>d</w:t>
      </w:r>
      <w:r w:rsidR="00C67CB0" w:rsidRPr="00C67CB0">
        <w:rPr>
          <w:rFonts w:ascii="Times New Roman" w:eastAsia="Times New Roman" w:hAnsi="Times New Roman" w:cs="Times New Roman"/>
          <w:sz w:val="24"/>
          <w:szCs w:val="24"/>
          <w:lang w:eastAsia="pt-BR"/>
        </w:rPr>
        <w:t>esse contexto (FGV, 2022).</w:t>
      </w:r>
      <w:r w:rsidR="001E7CD0">
        <w:rPr>
          <w:rFonts w:ascii="Times New Roman" w:eastAsia="Times New Roman" w:hAnsi="Times New Roman" w:cs="Times New Roman"/>
          <w:sz w:val="24"/>
          <w:szCs w:val="24"/>
          <w:lang w:eastAsia="pt-BR"/>
        </w:rPr>
        <w:t xml:space="preserve"> </w:t>
      </w:r>
      <w:r w:rsidRPr="66153A75">
        <w:rPr>
          <w:rFonts w:ascii="Times New Roman" w:eastAsia="Times New Roman" w:hAnsi="Times New Roman" w:cs="Times New Roman"/>
          <w:sz w:val="24"/>
          <w:szCs w:val="24"/>
          <w:lang w:eastAsia="pt-BR"/>
        </w:rPr>
        <w:t>Em adição, segundo dados da pesquisa Estatísticas do Cadastro Central de Empresas – 202</w:t>
      </w:r>
      <w:r w:rsidR="00585755">
        <w:rPr>
          <w:rFonts w:ascii="Times New Roman" w:eastAsia="Times New Roman" w:hAnsi="Times New Roman" w:cs="Times New Roman"/>
          <w:sz w:val="24"/>
          <w:szCs w:val="24"/>
          <w:lang w:eastAsia="pt-BR"/>
        </w:rPr>
        <w:t>1</w:t>
      </w:r>
      <w:r w:rsidRPr="66153A75">
        <w:rPr>
          <w:rFonts w:ascii="Times New Roman" w:eastAsia="Times New Roman" w:hAnsi="Times New Roman" w:cs="Times New Roman"/>
          <w:sz w:val="24"/>
          <w:szCs w:val="24"/>
          <w:lang w:eastAsia="pt-BR"/>
        </w:rPr>
        <w:t xml:space="preserve"> (CEMPRE, 202</w:t>
      </w:r>
      <w:r w:rsidR="00585755">
        <w:rPr>
          <w:rFonts w:ascii="Times New Roman" w:eastAsia="Times New Roman" w:hAnsi="Times New Roman" w:cs="Times New Roman"/>
          <w:sz w:val="24"/>
          <w:szCs w:val="24"/>
          <w:lang w:eastAsia="pt-BR"/>
        </w:rPr>
        <w:t>1</w:t>
      </w:r>
      <w:r w:rsidRPr="66153A75">
        <w:rPr>
          <w:rFonts w:ascii="Times New Roman" w:eastAsia="Times New Roman" w:hAnsi="Times New Roman" w:cs="Times New Roman"/>
          <w:sz w:val="24"/>
          <w:szCs w:val="24"/>
          <w:lang w:eastAsia="pt-BR"/>
        </w:rPr>
        <w:t xml:space="preserve">), </w:t>
      </w:r>
      <w:r w:rsidR="00585755">
        <w:rPr>
          <w:rFonts w:ascii="Times New Roman" w:eastAsia="Times New Roman" w:hAnsi="Times New Roman" w:cs="Times New Roman"/>
          <w:sz w:val="24"/>
          <w:szCs w:val="24"/>
          <w:lang w:eastAsia="pt-BR"/>
        </w:rPr>
        <w:t xml:space="preserve">em </w:t>
      </w:r>
      <w:r w:rsidRPr="66153A75">
        <w:rPr>
          <w:rFonts w:ascii="Times New Roman" w:eastAsia="Times New Roman" w:hAnsi="Times New Roman" w:cs="Times New Roman"/>
          <w:sz w:val="24"/>
          <w:szCs w:val="24"/>
          <w:lang w:eastAsia="pt-BR"/>
        </w:rPr>
        <w:t>202</w:t>
      </w:r>
      <w:r w:rsidR="00585755">
        <w:rPr>
          <w:rFonts w:ascii="Times New Roman" w:eastAsia="Times New Roman" w:hAnsi="Times New Roman" w:cs="Times New Roman"/>
          <w:sz w:val="24"/>
          <w:szCs w:val="24"/>
          <w:lang w:eastAsia="pt-BR"/>
        </w:rPr>
        <w:t>1</w:t>
      </w:r>
      <w:r w:rsidRPr="66153A75">
        <w:rPr>
          <w:rFonts w:ascii="Times New Roman" w:eastAsia="Times New Roman" w:hAnsi="Times New Roman" w:cs="Times New Roman"/>
          <w:sz w:val="24"/>
          <w:szCs w:val="24"/>
          <w:lang w:eastAsia="pt-BR"/>
        </w:rPr>
        <w:t xml:space="preserve">, </w:t>
      </w:r>
      <w:r w:rsidR="00585755" w:rsidRPr="00585755">
        <w:rPr>
          <w:rFonts w:ascii="Times New Roman" w:eastAsia="Times New Roman" w:hAnsi="Times New Roman" w:cs="Times New Roman"/>
          <w:sz w:val="24"/>
          <w:szCs w:val="24"/>
          <w:lang w:eastAsia="pt-BR"/>
        </w:rPr>
        <w:t>o pessoal ocupado assalariado era composto por 55,1% de homens e 44,9% de mulheres.</w:t>
      </w:r>
    </w:p>
    <w:p w14:paraId="56AA7DB1" w14:textId="28F42916" w:rsidR="00E65558"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Pochmann (2015), ao observar a evolução da taxa de desemprego brasileira de 2012 a 2015, também constata que </w:t>
      </w:r>
      <w:r w:rsidR="00C55524">
        <w:rPr>
          <w:rFonts w:ascii="Times New Roman" w:eastAsia="Times New Roman" w:hAnsi="Times New Roman" w:cs="Times New Roman"/>
          <w:sz w:val="24"/>
          <w:szCs w:val="24"/>
          <w:lang w:eastAsia="pt-BR"/>
        </w:rPr>
        <w:t xml:space="preserve">a ampliação </w:t>
      </w:r>
      <w:r w:rsidRPr="5C63AAD9">
        <w:rPr>
          <w:rFonts w:ascii="Times New Roman" w:eastAsia="Times New Roman" w:hAnsi="Times New Roman" w:cs="Times New Roman"/>
          <w:sz w:val="24"/>
          <w:szCs w:val="24"/>
          <w:lang w:eastAsia="pt-BR"/>
        </w:rPr>
        <w:t>do desemprego não afeta todos os trabalhadores da mesma forma. Os contingentes mais impactados incluem mulheres, pessoas com 50 anos ou mais, de baixa escolaridade, principalmente, nas regiões metropolitanas do Rio de Janeiro e Porto Alegre. Em conformidade com Pochmann (2015), Brito, Silva e Rossi (2021) analisam</w:t>
      </w:r>
      <w:r w:rsidR="00F6027A">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 xml:space="preserve">o Brasil, em 2010, e ressaltam fatores, a exemplo de educação, idade, gênero e localização geográfica, como determinantes para a participação </w:t>
      </w:r>
      <w:r w:rsidR="001E5710">
        <w:rPr>
          <w:rFonts w:ascii="Times New Roman" w:eastAsia="Times New Roman" w:hAnsi="Times New Roman" w:cs="Times New Roman"/>
          <w:sz w:val="24"/>
          <w:szCs w:val="24"/>
          <w:lang w:eastAsia="pt-BR"/>
        </w:rPr>
        <w:t>na força de trabalho d</w:t>
      </w:r>
      <w:r w:rsidRPr="5C63AAD9">
        <w:rPr>
          <w:rFonts w:ascii="Times New Roman" w:eastAsia="Times New Roman" w:hAnsi="Times New Roman" w:cs="Times New Roman"/>
          <w:sz w:val="24"/>
          <w:szCs w:val="24"/>
          <w:lang w:eastAsia="pt-BR"/>
        </w:rPr>
        <w:t>o mercado laboral. Em síntese, o desemprego aflige</w:t>
      </w:r>
      <w:r w:rsidR="00B16EC8">
        <w:rPr>
          <w:rFonts w:ascii="Times New Roman" w:eastAsia="Times New Roman" w:hAnsi="Times New Roman" w:cs="Times New Roman"/>
          <w:sz w:val="24"/>
          <w:szCs w:val="24"/>
          <w:lang w:eastAsia="pt-BR"/>
        </w:rPr>
        <w:t>,</w:t>
      </w:r>
      <w:r w:rsidRPr="5C63AAD9">
        <w:rPr>
          <w:rFonts w:ascii="Times New Roman" w:eastAsia="Times New Roman" w:hAnsi="Times New Roman" w:cs="Times New Roman"/>
          <w:sz w:val="24"/>
          <w:szCs w:val="24"/>
          <w:lang w:eastAsia="pt-BR"/>
        </w:rPr>
        <w:t xml:space="preserve"> de maneira desigual</w:t>
      </w:r>
      <w:r w:rsidR="00B16EC8">
        <w:rPr>
          <w:rFonts w:ascii="Times New Roman" w:eastAsia="Times New Roman" w:hAnsi="Times New Roman" w:cs="Times New Roman"/>
          <w:sz w:val="24"/>
          <w:szCs w:val="24"/>
          <w:lang w:eastAsia="pt-BR"/>
        </w:rPr>
        <w:t>,</w:t>
      </w:r>
      <w:r w:rsidRPr="5C63AAD9">
        <w:rPr>
          <w:rFonts w:ascii="Times New Roman" w:eastAsia="Times New Roman" w:hAnsi="Times New Roman" w:cs="Times New Roman"/>
          <w:sz w:val="24"/>
          <w:szCs w:val="24"/>
          <w:lang w:eastAsia="pt-BR"/>
        </w:rPr>
        <w:t xml:space="preserve"> os indivíduos presentes no </w:t>
      </w:r>
      <w:r w:rsidR="00654B25">
        <w:rPr>
          <w:rFonts w:ascii="Times New Roman" w:eastAsia="Times New Roman" w:hAnsi="Times New Roman" w:cs="Times New Roman"/>
          <w:sz w:val="24"/>
          <w:szCs w:val="24"/>
          <w:lang w:eastAsia="pt-BR"/>
        </w:rPr>
        <w:t>universo ocupacional</w:t>
      </w:r>
      <w:r w:rsidRPr="5C63AAD9">
        <w:rPr>
          <w:rFonts w:ascii="Times New Roman" w:eastAsia="Times New Roman" w:hAnsi="Times New Roman" w:cs="Times New Roman"/>
          <w:sz w:val="24"/>
          <w:szCs w:val="24"/>
          <w:lang w:eastAsia="pt-BR"/>
        </w:rPr>
        <w:t xml:space="preserve">, sendo intensificado por marcadores sociais, como raça, gênero e idade. </w:t>
      </w:r>
    </w:p>
    <w:p w14:paraId="6101CA6B" w14:textId="5DC6EC2E" w:rsidR="00A05AA6" w:rsidRPr="00CA3BB8" w:rsidRDefault="66153A75">
      <w:pPr>
        <w:rPr>
          <w:rFonts w:ascii="Times New Roman" w:eastAsia="Times New Roman" w:hAnsi="Times New Roman" w:cs="Times New Roman"/>
          <w:sz w:val="24"/>
          <w:szCs w:val="24"/>
          <w:lang w:eastAsia="pt-BR"/>
        </w:rPr>
      </w:pPr>
      <w:r w:rsidRPr="00CA3BB8">
        <w:rPr>
          <w:rFonts w:ascii="Times New Roman" w:eastAsia="Times New Roman" w:hAnsi="Times New Roman" w:cs="Times New Roman"/>
          <w:sz w:val="24"/>
          <w:szCs w:val="24"/>
          <w:lang w:eastAsia="pt-BR"/>
        </w:rPr>
        <w:t xml:space="preserve">Segundo </w:t>
      </w:r>
      <w:proofErr w:type="spellStart"/>
      <w:r w:rsidRPr="00CA3BB8">
        <w:rPr>
          <w:rFonts w:ascii="Times New Roman" w:eastAsia="Times New Roman" w:hAnsi="Times New Roman" w:cs="Times New Roman"/>
          <w:sz w:val="24"/>
          <w:szCs w:val="24"/>
          <w:lang w:eastAsia="pt-BR"/>
        </w:rPr>
        <w:t>Carleial</w:t>
      </w:r>
      <w:proofErr w:type="spellEnd"/>
      <w:r w:rsidRPr="00CA3BB8">
        <w:rPr>
          <w:rFonts w:ascii="Times New Roman" w:eastAsia="Times New Roman" w:hAnsi="Times New Roman" w:cs="Times New Roman"/>
          <w:sz w:val="24"/>
          <w:szCs w:val="24"/>
          <w:lang w:eastAsia="pt-BR"/>
        </w:rPr>
        <w:t xml:space="preserve"> (2015), a partir de 2015, o Brasil vivenciou o acirramento de um contexto marcado por: desaceleração significativa do crescimento econômico, </w:t>
      </w:r>
      <w:r w:rsidR="00C55524">
        <w:rPr>
          <w:rFonts w:ascii="Times New Roman" w:eastAsia="Times New Roman" w:hAnsi="Times New Roman" w:cs="Times New Roman"/>
          <w:sz w:val="24"/>
          <w:szCs w:val="24"/>
          <w:lang w:eastAsia="pt-BR"/>
        </w:rPr>
        <w:t>elevação</w:t>
      </w:r>
      <w:r w:rsidR="00C55524" w:rsidRPr="00CA3BB8">
        <w:rPr>
          <w:rFonts w:ascii="Times New Roman" w:eastAsia="Times New Roman" w:hAnsi="Times New Roman" w:cs="Times New Roman"/>
          <w:sz w:val="24"/>
          <w:szCs w:val="24"/>
          <w:lang w:eastAsia="pt-BR"/>
        </w:rPr>
        <w:t xml:space="preserve"> </w:t>
      </w:r>
      <w:r w:rsidRPr="00CA3BB8">
        <w:rPr>
          <w:rFonts w:ascii="Times New Roman" w:eastAsia="Times New Roman" w:hAnsi="Times New Roman" w:cs="Times New Roman"/>
          <w:sz w:val="24"/>
          <w:szCs w:val="24"/>
          <w:lang w:eastAsia="pt-BR"/>
        </w:rPr>
        <w:t>da inflação, desequilíbrio fiscal e alta do desemprego. Explicitamente, no segundo mandato de Dilma Rousseff</w:t>
      </w:r>
      <w:r w:rsidR="002740C2">
        <w:rPr>
          <w:rFonts w:ascii="Times New Roman" w:eastAsia="Times New Roman" w:hAnsi="Times New Roman" w:cs="Times New Roman"/>
          <w:sz w:val="24"/>
          <w:szCs w:val="24"/>
          <w:lang w:eastAsia="pt-BR"/>
        </w:rPr>
        <w:t xml:space="preserve"> (</w:t>
      </w:r>
      <w:r w:rsidR="00781142">
        <w:rPr>
          <w:rFonts w:ascii="Times New Roman" w:eastAsia="Times New Roman" w:hAnsi="Times New Roman" w:cs="Times New Roman"/>
          <w:sz w:val="24"/>
          <w:szCs w:val="24"/>
          <w:lang w:eastAsia="pt-BR"/>
        </w:rPr>
        <w:t>2015</w:t>
      </w:r>
      <w:r w:rsidR="002740C2">
        <w:rPr>
          <w:rFonts w:ascii="Times New Roman" w:eastAsia="Times New Roman" w:hAnsi="Times New Roman" w:cs="Times New Roman"/>
          <w:sz w:val="24"/>
          <w:szCs w:val="24"/>
          <w:lang w:eastAsia="pt-BR"/>
        </w:rPr>
        <w:t>-</w:t>
      </w:r>
      <w:r w:rsidR="00781142">
        <w:rPr>
          <w:rFonts w:ascii="Times New Roman" w:eastAsia="Times New Roman" w:hAnsi="Times New Roman" w:cs="Times New Roman"/>
          <w:sz w:val="24"/>
          <w:szCs w:val="24"/>
          <w:lang w:eastAsia="pt-BR"/>
        </w:rPr>
        <w:t>16</w:t>
      </w:r>
      <w:r w:rsidR="002740C2">
        <w:rPr>
          <w:rFonts w:ascii="Times New Roman" w:eastAsia="Times New Roman" w:hAnsi="Times New Roman" w:cs="Times New Roman"/>
          <w:sz w:val="24"/>
          <w:szCs w:val="24"/>
          <w:lang w:eastAsia="pt-BR"/>
        </w:rPr>
        <w:t>)</w:t>
      </w:r>
      <w:r w:rsidRPr="00CA3BB8">
        <w:rPr>
          <w:rFonts w:ascii="Times New Roman" w:eastAsia="Times New Roman" w:hAnsi="Times New Roman" w:cs="Times New Roman"/>
          <w:sz w:val="24"/>
          <w:szCs w:val="24"/>
          <w:lang w:eastAsia="pt-BR"/>
        </w:rPr>
        <w:t>, foi implementado o chamado ajuste de choque</w:t>
      </w:r>
      <w:r w:rsidR="00037D68">
        <w:rPr>
          <w:rFonts w:ascii="Times New Roman" w:eastAsia="Times New Roman" w:hAnsi="Times New Roman" w:cs="Times New Roman"/>
          <w:sz w:val="24"/>
          <w:szCs w:val="24"/>
          <w:lang w:eastAsia="pt-BR"/>
        </w:rPr>
        <w:t>, o qual</w:t>
      </w:r>
      <w:r w:rsidRPr="00CA3BB8">
        <w:rPr>
          <w:rFonts w:ascii="Times New Roman" w:eastAsia="Times New Roman" w:hAnsi="Times New Roman" w:cs="Times New Roman"/>
          <w:sz w:val="24"/>
          <w:szCs w:val="24"/>
          <w:lang w:eastAsia="pt-BR"/>
        </w:rPr>
        <w:t xml:space="preserve"> foi capaz de impor a forte redução dos gastos públicos, do salário real, do crescimento econômico, lado a lado com a elevação do desemprego e aprofundamento da desindustrialização brasileira. Dessa maneira, os impactos prejudiciais advindos do ajuste fiscal instaurado pautaram-se na perda de postos de trabalho formais, na ampliação do desemprego e na redução das possibilidades de manutenção dos ganhos reais, obtidos pelos trabalhadores brasileiros, de 2005 a 2015. </w:t>
      </w:r>
    </w:p>
    <w:p w14:paraId="1EDDA937" w14:textId="4121AABB" w:rsidR="00781142" w:rsidRDefault="66153A75">
      <w:pPr>
        <w:rPr>
          <w:rFonts w:ascii="Times New Roman" w:eastAsia="Times New Roman" w:hAnsi="Times New Roman" w:cs="Times New Roman"/>
          <w:sz w:val="24"/>
          <w:szCs w:val="24"/>
          <w:lang w:eastAsia="pt-BR"/>
        </w:rPr>
      </w:pPr>
      <w:r w:rsidRPr="00CA3BB8">
        <w:rPr>
          <w:rFonts w:ascii="Times New Roman" w:eastAsia="Times New Roman" w:hAnsi="Times New Roman" w:cs="Times New Roman"/>
          <w:sz w:val="24"/>
          <w:szCs w:val="24"/>
          <w:lang w:eastAsia="pt-BR"/>
        </w:rPr>
        <w:t>Além disso, nos anos de 20</w:t>
      </w:r>
      <w:r w:rsidR="00781142">
        <w:rPr>
          <w:rFonts w:ascii="Times New Roman" w:eastAsia="Times New Roman" w:hAnsi="Times New Roman" w:cs="Times New Roman"/>
          <w:sz w:val="24"/>
          <w:szCs w:val="24"/>
          <w:lang w:eastAsia="pt-BR"/>
        </w:rPr>
        <w:t>20</w:t>
      </w:r>
      <w:r w:rsidRPr="00CA3BB8">
        <w:rPr>
          <w:rFonts w:ascii="Times New Roman" w:eastAsia="Times New Roman" w:hAnsi="Times New Roman" w:cs="Times New Roman"/>
          <w:sz w:val="24"/>
          <w:szCs w:val="24"/>
          <w:lang w:eastAsia="pt-BR"/>
        </w:rPr>
        <w:t xml:space="preserve"> </w:t>
      </w:r>
      <w:r w:rsidR="0064445E">
        <w:rPr>
          <w:rFonts w:ascii="Times New Roman" w:eastAsia="Times New Roman" w:hAnsi="Times New Roman" w:cs="Times New Roman"/>
          <w:sz w:val="24"/>
          <w:szCs w:val="24"/>
          <w:lang w:eastAsia="pt-BR"/>
        </w:rPr>
        <w:t>e</w:t>
      </w:r>
      <w:r w:rsidRPr="00CA3BB8">
        <w:rPr>
          <w:rFonts w:ascii="Times New Roman" w:eastAsia="Times New Roman" w:hAnsi="Times New Roman" w:cs="Times New Roman"/>
          <w:sz w:val="24"/>
          <w:szCs w:val="24"/>
          <w:lang w:eastAsia="pt-BR"/>
        </w:rPr>
        <w:t xml:space="preserve"> 2021, o cenário econômico sofreu os desdobramentos da crise de COVID-19, como a desaceleração ou retração econômica generalizada, em muitos países, a queda na demanda e no consumo de bens, </w:t>
      </w:r>
      <w:r w:rsidR="00C55524">
        <w:rPr>
          <w:rFonts w:ascii="Times New Roman" w:eastAsia="Times New Roman" w:hAnsi="Times New Roman" w:cs="Times New Roman"/>
          <w:sz w:val="24"/>
          <w:szCs w:val="24"/>
          <w:lang w:eastAsia="pt-BR"/>
        </w:rPr>
        <w:t>a elevação</w:t>
      </w:r>
      <w:r w:rsidRPr="00CA3BB8">
        <w:rPr>
          <w:rFonts w:ascii="Times New Roman" w:eastAsia="Times New Roman" w:hAnsi="Times New Roman" w:cs="Times New Roman"/>
          <w:sz w:val="24"/>
          <w:szCs w:val="24"/>
          <w:lang w:eastAsia="pt-BR"/>
        </w:rPr>
        <w:t xml:space="preserve"> das taxas de desemprego e a consequente acentuação das desigualdades sociais. Para </w:t>
      </w:r>
      <w:proofErr w:type="spellStart"/>
      <w:r w:rsidRPr="00CA3BB8">
        <w:rPr>
          <w:rFonts w:ascii="Times New Roman" w:eastAsia="Times New Roman" w:hAnsi="Times New Roman" w:cs="Times New Roman"/>
          <w:sz w:val="24"/>
          <w:szCs w:val="24"/>
          <w:lang w:eastAsia="pt-BR"/>
        </w:rPr>
        <w:lastRenderedPageBreak/>
        <w:t>Auler</w:t>
      </w:r>
      <w:proofErr w:type="spellEnd"/>
      <w:r w:rsidRPr="00CA3BB8">
        <w:rPr>
          <w:rFonts w:ascii="Times New Roman" w:eastAsia="Times New Roman" w:hAnsi="Times New Roman" w:cs="Times New Roman"/>
          <w:sz w:val="24"/>
          <w:szCs w:val="24"/>
          <w:lang w:eastAsia="pt-BR"/>
        </w:rPr>
        <w:t xml:space="preserve"> (2022), a Reforma Trabalhista de 2017 e a crise pandêmica de 2020, marcadas pela retração do </w:t>
      </w:r>
      <w:r w:rsidR="00654B25">
        <w:rPr>
          <w:rFonts w:ascii="Times New Roman" w:eastAsia="Times New Roman" w:hAnsi="Times New Roman" w:cs="Times New Roman"/>
          <w:sz w:val="24"/>
          <w:szCs w:val="24"/>
          <w:lang w:eastAsia="pt-BR"/>
        </w:rPr>
        <w:t>setor empregatício</w:t>
      </w:r>
      <w:r w:rsidRPr="00CA3BB8">
        <w:rPr>
          <w:rFonts w:ascii="Times New Roman" w:eastAsia="Times New Roman" w:hAnsi="Times New Roman" w:cs="Times New Roman"/>
          <w:sz w:val="24"/>
          <w:szCs w:val="24"/>
          <w:lang w:eastAsia="pt-BR"/>
        </w:rPr>
        <w:t xml:space="preserve">, intensificaram a necessidade do trabalhador de buscar alternativas para garantir seu sustento, com </w:t>
      </w:r>
      <w:r w:rsidR="00C55524">
        <w:rPr>
          <w:rFonts w:ascii="Times New Roman" w:eastAsia="Times New Roman" w:hAnsi="Times New Roman" w:cs="Times New Roman"/>
          <w:sz w:val="24"/>
          <w:szCs w:val="24"/>
          <w:lang w:eastAsia="pt-BR"/>
        </w:rPr>
        <w:t>acréscimo</w:t>
      </w:r>
      <w:r w:rsidR="00C55524" w:rsidRPr="00CA3BB8">
        <w:rPr>
          <w:rFonts w:ascii="Times New Roman" w:eastAsia="Times New Roman" w:hAnsi="Times New Roman" w:cs="Times New Roman"/>
          <w:sz w:val="24"/>
          <w:szCs w:val="24"/>
          <w:lang w:eastAsia="pt-BR"/>
        </w:rPr>
        <w:t xml:space="preserve"> </w:t>
      </w:r>
      <w:r w:rsidRPr="00CA3BB8">
        <w:rPr>
          <w:rFonts w:ascii="Times New Roman" w:eastAsia="Times New Roman" w:hAnsi="Times New Roman" w:cs="Times New Roman"/>
          <w:sz w:val="24"/>
          <w:szCs w:val="24"/>
          <w:lang w:eastAsia="pt-BR"/>
        </w:rPr>
        <w:t xml:space="preserve">significativo </w:t>
      </w:r>
      <w:r w:rsidR="0064445E">
        <w:rPr>
          <w:rFonts w:ascii="Times New Roman" w:eastAsia="Times New Roman" w:hAnsi="Times New Roman" w:cs="Times New Roman"/>
          <w:sz w:val="24"/>
          <w:szCs w:val="24"/>
          <w:lang w:eastAsia="pt-BR"/>
        </w:rPr>
        <w:t>da representatividade do</w:t>
      </w:r>
      <w:r w:rsidR="0064445E" w:rsidRPr="00CA3BB8">
        <w:rPr>
          <w:rFonts w:ascii="Times New Roman" w:eastAsia="Times New Roman" w:hAnsi="Times New Roman" w:cs="Times New Roman"/>
          <w:sz w:val="24"/>
          <w:szCs w:val="24"/>
          <w:lang w:eastAsia="pt-BR"/>
        </w:rPr>
        <w:t xml:space="preserve"> </w:t>
      </w:r>
      <w:r w:rsidRPr="00CA3BB8">
        <w:rPr>
          <w:rFonts w:ascii="Times New Roman" w:eastAsia="Times New Roman" w:hAnsi="Times New Roman" w:cs="Times New Roman"/>
          <w:sz w:val="24"/>
          <w:szCs w:val="24"/>
          <w:lang w:eastAsia="pt-BR"/>
        </w:rPr>
        <w:t>setor informal. Em adição, os grupos sociais mais desassistidos pelas leis trabalhistas e pelos acessos a direitos dos trabalhadores foram, especialmente, mais afetados por este cenário</w:t>
      </w:r>
      <w:r w:rsidR="003A0DF2">
        <w:rPr>
          <w:rFonts w:ascii="Times New Roman" w:eastAsia="Times New Roman" w:hAnsi="Times New Roman" w:cs="Times New Roman"/>
          <w:sz w:val="24"/>
          <w:szCs w:val="24"/>
          <w:lang w:eastAsia="pt-BR"/>
        </w:rPr>
        <w:t xml:space="preserve">, os quais </w:t>
      </w:r>
      <w:r w:rsidR="00781142" w:rsidRPr="00781142">
        <w:rPr>
          <w:rFonts w:ascii="Times New Roman" w:eastAsia="Times New Roman" w:hAnsi="Times New Roman" w:cs="Times New Roman"/>
          <w:sz w:val="24"/>
          <w:szCs w:val="24"/>
          <w:lang w:eastAsia="pt-BR"/>
        </w:rPr>
        <w:t>incluem jovens, mulheres, minorias étnicas e raciais, indivíduos com baixa escolaridade,</w:t>
      </w:r>
      <w:r w:rsidR="00FD04B0">
        <w:rPr>
          <w:rFonts w:ascii="Times New Roman" w:eastAsia="Times New Roman" w:hAnsi="Times New Roman" w:cs="Times New Roman"/>
          <w:sz w:val="24"/>
          <w:szCs w:val="24"/>
          <w:lang w:eastAsia="pt-BR"/>
        </w:rPr>
        <w:t xml:space="preserve"> entre outros</w:t>
      </w:r>
      <w:r w:rsidR="00781142" w:rsidRPr="00781142">
        <w:rPr>
          <w:rFonts w:ascii="Times New Roman" w:eastAsia="Times New Roman" w:hAnsi="Times New Roman" w:cs="Times New Roman"/>
          <w:sz w:val="24"/>
          <w:szCs w:val="24"/>
          <w:lang w:eastAsia="pt-BR"/>
        </w:rPr>
        <w:t>.</w:t>
      </w:r>
    </w:p>
    <w:p w14:paraId="258B2065" w14:textId="762497D4" w:rsidR="00A05AA6" w:rsidRDefault="003A0DF2">
      <w:pPr>
        <w:rPr>
          <w:rFonts w:ascii="Times New Roman" w:eastAsia="Times New Roman" w:hAnsi="Times New Roman" w:cs="Times New Roman"/>
          <w:sz w:val="24"/>
          <w:szCs w:val="24"/>
          <w:lang w:eastAsia="pt-BR"/>
        </w:rPr>
      </w:pPr>
      <w:r w:rsidRPr="00B96CE8">
        <w:rPr>
          <w:rFonts w:ascii="Times New Roman" w:eastAsia="Times New Roman" w:hAnsi="Times New Roman" w:cs="Times New Roman"/>
          <w:sz w:val="24"/>
          <w:szCs w:val="24"/>
          <w:lang w:eastAsia="pt-BR"/>
        </w:rPr>
        <w:t>Diante do exposto</w:t>
      </w:r>
      <w:r w:rsidR="66153A75" w:rsidRPr="00B96CE8">
        <w:rPr>
          <w:rFonts w:ascii="Times New Roman" w:eastAsia="Times New Roman" w:hAnsi="Times New Roman" w:cs="Times New Roman"/>
          <w:sz w:val="24"/>
          <w:szCs w:val="24"/>
          <w:lang w:eastAsia="pt-BR"/>
        </w:rPr>
        <w:t>, a principal indagação da presente pesquisa é: Quais são os principais fatores capazes de influenciar a taxa de desemprego no Brasil, sob as perspectivas individual e regional</w:t>
      </w:r>
      <w:r w:rsidR="007505E0" w:rsidRPr="00B96CE8">
        <w:rPr>
          <w:rFonts w:ascii="Times New Roman" w:eastAsia="Times New Roman" w:hAnsi="Times New Roman" w:cs="Times New Roman"/>
          <w:sz w:val="24"/>
          <w:szCs w:val="24"/>
          <w:lang w:eastAsia="pt-BR"/>
        </w:rPr>
        <w:t>, no período de 2012 a 2022</w:t>
      </w:r>
      <w:r w:rsidR="66153A75" w:rsidRPr="00B96CE8">
        <w:rPr>
          <w:rFonts w:ascii="Times New Roman" w:eastAsia="Times New Roman" w:hAnsi="Times New Roman" w:cs="Times New Roman"/>
          <w:sz w:val="24"/>
          <w:szCs w:val="24"/>
          <w:lang w:eastAsia="pt-BR"/>
        </w:rPr>
        <w:t>? Dito isso,</w:t>
      </w:r>
      <w:r w:rsidR="007D4B4E" w:rsidRPr="00B96CE8">
        <w:rPr>
          <w:rFonts w:ascii="Times New Roman" w:eastAsia="Times New Roman" w:hAnsi="Times New Roman" w:cs="Times New Roman"/>
          <w:sz w:val="24"/>
          <w:szCs w:val="24"/>
          <w:lang w:eastAsia="pt-BR"/>
        </w:rPr>
        <w:t xml:space="preserve"> </w:t>
      </w:r>
      <w:r w:rsidR="00405825" w:rsidRPr="00B96CE8">
        <w:rPr>
          <w:rFonts w:ascii="Times New Roman" w:eastAsia="Times New Roman" w:hAnsi="Times New Roman" w:cs="Times New Roman"/>
          <w:sz w:val="24"/>
          <w:szCs w:val="24"/>
          <w:lang w:eastAsia="pt-BR"/>
        </w:rPr>
        <w:t xml:space="preserve">a hipótese desta análise, </w:t>
      </w:r>
      <w:r w:rsidR="00F94B52" w:rsidRPr="00B96CE8">
        <w:rPr>
          <w:rFonts w:ascii="Times New Roman" w:eastAsia="Times New Roman" w:hAnsi="Times New Roman" w:cs="Times New Roman"/>
          <w:sz w:val="24"/>
          <w:szCs w:val="24"/>
          <w:lang w:eastAsia="pt-BR"/>
        </w:rPr>
        <w:t>com base nos estudos de</w:t>
      </w:r>
      <w:r w:rsidR="007D4B4E" w:rsidRPr="00B96CE8">
        <w:rPr>
          <w:rFonts w:ascii="Times New Roman" w:eastAsia="Times New Roman" w:hAnsi="Times New Roman" w:cs="Times New Roman"/>
          <w:sz w:val="24"/>
          <w:szCs w:val="24"/>
          <w:lang w:eastAsia="pt-BR"/>
        </w:rPr>
        <w:t xml:space="preserve"> Alves (2022), Brito, Silva e Rossi (2021)</w:t>
      </w:r>
      <w:r w:rsidR="00F94B52" w:rsidRPr="00B96CE8">
        <w:rPr>
          <w:rFonts w:ascii="Times New Roman" w:eastAsia="Times New Roman" w:hAnsi="Times New Roman" w:cs="Times New Roman"/>
          <w:sz w:val="24"/>
          <w:szCs w:val="24"/>
          <w:lang w:eastAsia="pt-BR"/>
        </w:rPr>
        <w:t xml:space="preserve"> e Pochmann (2015), </w:t>
      </w:r>
      <w:r w:rsidR="66153A75" w:rsidRPr="00B96CE8">
        <w:rPr>
          <w:rFonts w:ascii="Times New Roman" w:eastAsia="Times New Roman" w:hAnsi="Times New Roman" w:cs="Times New Roman"/>
          <w:sz w:val="24"/>
          <w:szCs w:val="24"/>
          <w:lang w:eastAsia="pt-BR"/>
        </w:rPr>
        <w:t xml:space="preserve">é de que: </w:t>
      </w:r>
      <w:r w:rsidR="00405825" w:rsidRPr="00B96CE8">
        <w:rPr>
          <w:rFonts w:ascii="Times New Roman" w:eastAsia="Times New Roman" w:hAnsi="Times New Roman" w:cs="Times New Roman"/>
          <w:sz w:val="24"/>
          <w:szCs w:val="24"/>
          <w:lang w:eastAsia="pt-BR"/>
        </w:rPr>
        <w:t xml:space="preserve">No período </w:t>
      </w:r>
      <w:r w:rsidR="007505E0" w:rsidRPr="00B96CE8">
        <w:rPr>
          <w:rFonts w:ascii="Times New Roman" w:eastAsia="Times New Roman" w:hAnsi="Times New Roman" w:cs="Times New Roman"/>
          <w:sz w:val="24"/>
          <w:szCs w:val="24"/>
          <w:lang w:eastAsia="pt-BR"/>
        </w:rPr>
        <w:t xml:space="preserve">em análise, </w:t>
      </w:r>
      <w:r w:rsidR="00405825" w:rsidRPr="00B96CE8">
        <w:rPr>
          <w:rFonts w:ascii="Times New Roman" w:eastAsia="Times New Roman" w:hAnsi="Times New Roman" w:cs="Times New Roman"/>
          <w:sz w:val="24"/>
          <w:szCs w:val="24"/>
          <w:lang w:eastAsia="pt-BR"/>
        </w:rPr>
        <w:t xml:space="preserve">o </w:t>
      </w:r>
      <w:r w:rsidR="66153A75" w:rsidRPr="00B96CE8">
        <w:rPr>
          <w:rFonts w:ascii="Times New Roman" w:eastAsia="Times New Roman" w:hAnsi="Times New Roman" w:cs="Times New Roman"/>
          <w:sz w:val="24"/>
          <w:szCs w:val="24"/>
          <w:lang w:eastAsia="pt-BR"/>
        </w:rPr>
        <w:t>impacto do desemprego nas diversas coletividades é desigual, de acordo com as características socio</w:t>
      </w:r>
      <w:r w:rsidR="00792FCE" w:rsidRPr="00B96CE8">
        <w:rPr>
          <w:rFonts w:ascii="Times New Roman" w:eastAsia="Times New Roman" w:hAnsi="Times New Roman" w:cs="Times New Roman"/>
          <w:sz w:val="24"/>
          <w:szCs w:val="24"/>
          <w:lang w:eastAsia="pt-BR"/>
        </w:rPr>
        <w:t xml:space="preserve">econômicas e </w:t>
      </w:r>
      <w:r w:rsidR="66153A75" w:rsidRPr="00B96CE8">
        <w:rPr>
          <w:rFonts w:ascii="Times New Roman" w:eastAsia="Times New Roman" w:hAnsi="Times New Roman" w:cs="Times New Roman"/>
          <w:sz w:val="24"/>
          <w:szCs w:val="24"/>
          <w:lang w:eastAsia="pt-BR"/>
        </w:rPr>
        <w:t xml:space="preserve">demográficas, resultando em maior probabilidade de grupos sociais </w:t>
      </w:r>
      <w:r w:rsidR="00792FCE" w:rsidRPr="00B96CE8">
        <w:rPr>
          <w:rFonts w:ascii="Times New Roman" w:eastAsia="Times New Roman" w:hAnsi="Times New Roman" w:cs="Times New Roman"/>
          <w:sz w:val="24"/>
          <w:szCs w:val="24"/>
          <w:lang w:eastAsia="pt-BR"/>
        </w:rPr>
        <w:t xml:space="preserve">marginalizados </w:t>
      </w:r>
      <w:r w:rsidR="66153A75" w:rsidRPr="00B96CE8">
        <w:rPr>
          <w:rFonts w:ascii="Times New Roman" w:eastAsia="Times New Roman" w:hAnsi="Times New Roman" w:cs="Times New Roman"/>
          <w:sz w:val="24"/>
          <w:szCs w:val="24"/>
          <w:lang w:eastAsia="pt-BR"/>
        </w:rPr>
        <w:t>se encontrarem em situação de desocupação.</w:t>
      </w:r>
    </w:p>
    <w:p w14:paraId="43BDB1BE" w14:textId="3E0203AC" w:rsidR="00996E96" w:rsidRDefault="5C63AAD9" w:rsidP="00A80DAD">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Diante desse contexto, </w:t>
      </w:r>
      <w:bookmarkStart w:id="3" w:name="_Hlk144839849"/>
      <w:r w:rsidR="000021FD">
        <w:rPr>
          <w:rFonts w:ascii="Times New Roman" w:eastAsia="Times New Roman" w:hAnsi="Times New Roman" w:cs="Times New Roman"/>
          <w:sz w:val="24"/>
          <w:szCs w:val="24"/>
          <w:lang w:eastAsia="pt-BR"/>
        </w:rPr>
        <w:t xml:space="preserve">o </w:t>
      </w:r>
      <w:r w:rsidRPr="5C63AAD9">
        <w:rPr>
          <w:rFonts w:ascii="Times New Roman" w:eastAsia="Times New Roman" w:hAnsi="Times New Roman" w:cs="Times New Roman"/>
          <w:sz w:val="24"/>
          <w:szCs w:val="24"/>
          <w:lang w:eastAsia="pt-BR"/>
        </w:rPr>
        <w:t xml:space="preserve">principal objetivo </w:t>
      </w:r>
      <w:r w:rsidR="000021FD">
        <w:rPr>
          <w:rFonts w:ascii="Times New Roman" w:eastAsia="Times New Roman" w:hAnsi="Times New Roman" w:cs="Times New Roman"/>
          <w:sz w:val="24"/>
          <w:szCs w:val="24"/>
          <w:lang w:eastAsia="pt-BR"/>
        </w:rPr>
        <w:t xml:space="preserve">é </w:t>
      </w:r>
      <w:r w:rsidRPr="5C63AAD9">
        <w:rPr>
          <w:rFonts w:ascii="Times New Roman" w:eastAsia="Times New Roman" w:hAnsi="Times New Roman" w:cs="Times New Roman"/>
          <w:sz w:val="24"/>
          <w:szCs w:val="24"/>
          <w:lang w:eastAsia="pt-BR"/>
        </w:rPr>
        <w:t>avaliar a evolução do desemprego</w:t>
      </w:r>
      <w:r w:rsidR="007C443D">
        <w:rPr>
          <w:rFonts w:ascii="Times New Roman" w:eastAsia="Times New Roman" w:hAnsi="Times New Roman" w:cs="Times New Roman"/>
          <w:sz w:val="24"/>
          <w:szCs w:val="24"/>
          <w:lang w:eastAsia="pt-BR"/>
        </w:rPr>
        <w:t xml:space="preserve"> nacional</w:t>
      </w:r>
      <w:r w:rsidRPr="5C63AAD9">
        <w:rPr>
          <w:rFonts w:ascii="Times New Roman" w:eastAsia="Times New Roman" w:hAnsi="Times New Roman" w:cs="Times New Roman"/>
          <w:sz w:val="24"/>
          <w:szCs w:val="24"/>
          <w:lang w:eastAsia="pt-BR"/>
        </w:rPr>
        <w:t>, a partir da decomposição da taxa de desocupação, com ênfase aos atributos sociodemográficos e regionais, entre os anos de 2012 e 202</w:t>
      </w:r>
      <w:bookmarkEnd w:id="3"/>
      <w:r w:rsidR="003C366A">
        <w:rPr>
          <w:rFonts w:ascii="Times New Roman" w:eastAsia="Times New Roman" w:hAnsi="Times New Roman" w:cs="Times New Roman"/>
          <w:sz w:val="24"/>
          <w:szCs w:val="24"/>
          <w:lang w:eastAsia="pt-BR"/>
        </w:rPr>
        <w:t>2</w:t>
      </w:r>
      <w:r w:rsidRPr="5C63AAD9">
        <w:rPr>
          <w:rFonts w:ascii="Times New Roman" w:eastAsia="Times New Roman" w:hAnsi="Times New Roman" w:cs="Times New Roman"/>
          <w:sz w:val="24"/>
          <w:szCs w:val="24"/>
          <w:lang w:eastAsia="pt-BR"/>
        </w:rPr>
        <w:t>. De forma específica, busca-se</w:t>
      </w:r>
      <w:r w:rsidR="00BB4ADB">
        <w:rPr>
          <w:rFonts w:ascii="Times New Roman" w:eastAsia="Times New Roman" w:hAnsi="Times New Roman" w:cs="Times New Roman"/>
          <w:sz w:val="24"/>
          <w:szCs w:val="24"/>
          <w:lang w:eastAsia="pt-BR"/>
        </w:rPr>
        <w:t xml:space="preserve">: </w:t>
      </w:r>
      <w:r w:rsidR="00000F3F" w:rsidRPr="00A64530">
        <w:rPr>
          <w:rFonts w:ascii="Times New Roman" w:eastAsia="Times New Roman" w:hAnsi="Times New Roman" w:cs="Times New Roman"/>
          <w:sz w:val="24"/>
          <w:szCs w:val="24"/>
          <w:lang w:eastAsia="pt-BR"/>
        </w:rPr>
        <w:t>A</w:t>
      </w:r>
      <w:r w:rsidRPr="00A64530">
        <w:rPr>
          <w:rFonts w:ascii="Times New Roman" w:eastAsia="Times New Roman" w:hAnsi="Times New Roman" w:cs="Times New Roman"/>
          <w:sz w:val="24"/>
          <w:szCs w:val="24"/>
          <w:lang w:eastAsia="pt-BR"/>
        </w:rPr>
        <w:t xml:space="preserve">valiar os fatores de maior influência sobre as oscilações de desemprego, ao longo do período, </w:t>
      </w:r>
      <w:r w:rsidR="00F94B52" w:rsidRPr="00A64530">
        <w:rPr>
          <w:rFonts w:ascii="Times New Roman" w:eastAsia="Times New Roman" w:hAnsi="Times New Roman" w:cs="Times New Roman"/>
          <w:sz w:val="24"/>
          <w:szCs w:val="24"/>
          <w:lang w:eastAsia="pt-BR"/>
        </w:rPr>
        <w:t xml:space="preserve">em </w:t>
      </w:r>
      <w:r w:rsidR="00A64530" w:rsidRPr="00A64530">
        <w:rPr>
          <w:rFonts w:ascii="Times New Roman" w:eastAsia="Times New Roman" w:hAnsi="Times New Roman" w:cs="Times New Roman"/>
          <w:sz w:val="24"/>
          <w:szCs w:val="24"/>
          <w:lang w:eastAsia="pt-BR"/>
        </w:rPr>
        <w:t>efeito-nível</w:t>
      </w:r>
      <w:r w:rsidR="00AC467F">
        <w:rPr>
          <w:rFonts w:ascii="Times New Roman" w:eastAsia="Times New Roman" w:hAnsi="Times New Roman" w:cs="Times New Roman"/>
          <w:sz w:val="24"/>
          <w:szCs w:val="24"/>
          <w:lang w:eastAsia="pt-BR"/>
        </w:rPr>
        <w:t xml:space="preserve"> (</w:t>
      </w:r>
      <w:r w:rsidR="00A64530" w:rsidRPr="00A64530">
        <w:rPr>
          <w:rFonts w:ascii="Times New Roman" w:eastAsia="Times New Roman" w:hAnsi="Times New Roman" w:cs="Times New Roman"/>
          <w:sz w:val="24"/>
          <w:szCs w:val="24"/>
          <w:lang w:eastAsia="pt-BR"/>
        </w:rPr>
        <w:t>variação da taxa de desemprego dentro de cada grupo</w:t>
      </w:r>
      <w:r w:rsidR="00AC467F">
        <w:rPr>
          <w:rFonts w:ascii="Times New Roman" w:eastAsia="Times New Roman" w:hAnsi="Times New Roman" w:cs="Times New Roman"/>
          <w:sz w:val="24"/>
          <w:szCs w:val="24"/>
          <w:lang w:eastAsia="pt-BR"/>
        </w:rPr>
        <w:t>)</w:t>
      </w:r>
      <w:r w:rsidR="00A64530" w:rsidRPr="00A64530">
        <w:rPr>
          <w:rFonts w:ascii="Times New Roman" w:eastAsia="Times New Roman" w:hAnsi="Times New Roman" w:cs="Times New Roman"/>
          <w:sz w:val="24"/>
          <w:szCs w:val="24"/>
          <w:lang w:eastAsia="pt-BR"/>
        </w:rPr>
        <w:t xml:space="preserve"> e efeito-composição</w:t>
      </w:r>
      <w:r w:rsidR="00AC467F">
        <w:rPr>
          <w:rFonts w:ascii="Times New Roman" w:eastAsia="Times New Roman" w:hAnsi="Times New Roman" w:cs="Times New Roman"/>
          <w:sz w:val="24"/>
          <w:szCs w:val="24"/>
          <w:lang w:eastAsia="pt-BR"/>
        </w:rPr>
        <w:t xml:space="preserve"> (</w:t>
      </w:r>
      <w:r w:rsidR="009C1CFA" w:rsidRPr="00A64530">
        <w:rPr>
          <w:rFonts w:ascii="Times New Roman" w:eastAsia="Times New Roman" w:hAnsi="Times New Roman" w:cs="Times New Roman"/>
          <w:sz w:val="24"/>
          <w:szCs w:val="24"/>
          <w:lang w:eastAsia="pt-BR"/>
        </w:rPr>
        <w:t>variação da taxa de desemprego</w:t>
      </w:r>
      <w:r w:rsidR="00A64530" w:rsidRPr="00A64530">
        <w:rPr>
          <w:rFonts w:ascii="Times New Roman" w:eastAsia="Times New Roman" w:hAnsi="Times New Roman" w:cs="Times New Roman"/>
          <w:sz w:val="24"/>
          <w:szCs w:val="24"/>
          <w:lang w:eastAsia="pt-BR"/>
        </w:rPr>
        <w:t xml:space="preserve"> </w:t>
      </w:r>
      <w:r w:rsidR="00F4513E">
        <w:rPr>
          <w:rFonts w:ascii="Times New Roman" w:eastAsia="Times New Roman" w:hAnsi="Times New Roman" w:cs="Times New Roman"/>
          <w:sz w:val="24"/>
          <w:szCs w:val="24"/>
          <w:lang w:eastAsia="pt-BR"/>
        </w:rPr>
        <w:t>em função das</w:t>
      </w:r>
      <w:r w:rsidR="00F4513E" w:rsidRPr="00A64530">
        <w:rPr>
          <w:rFonts w:ascii="Times New Roman" w:eastAsia="Times New Roman" w:hAnsi="Times New Roman" w:cs="Times New Roman"/>
          <w:sz w:val="24"/>
          <w:szCs w:val="24"/>
          <w:lang w:eastAsia="pt-BR"/>
        </w:rPr>
        <w:t xml:space="preserve"> </w:t>
      </w:r>
      <w:r w:rsidR="00A64530" w:rsidRPr="00A64530">
        <w:rPr>
          <w:rFonts w:ascii="Times New Roman" w:eastAsia="Times New Roman" w:hAnsi="Times New Roman" w:cs="Times New Roman"/>
          <w:sz w:val="24"/>
          <w:szCs w:val="24"/>
          <w:lang w:eastAsia="pt-BR"/>
        </w:rPr>
        <w:t>alterações do peso relativo de diferentes conjuntos na PEA</w:t>
      </w:r>
      <w:r w:rsidR="009C1CFA">
        <w:rPr>
          <w:rFonts w:ascii="Times New Roman" w:eastAsia="Times New Roman" w:hAnsi="Times New Roman" w:cs="Times New Roman"/>
          <w:sz w:val="24"/>
          <w:szCs w:val="24"/>
          <w:lang w:eastAsia="pt-BR"/>
        </w:rPr>
        <w:t>)</w:t>
      </w:r>
      <w:r w:rsidR="00A64530" w:rsidRPr="00A64530">
        <w:rPr>
          <w:rFonts w:ascii="Times New Roman" w:eastAsia="Times New Roman" w:hAnsi="Times New Roman" w:cs="Times New Roman"/>
          <w:sz w:val="24"/>
          <w:szCs w:val="24"/>
          <w:lang w:eastAsia="pt-BR"/>
        </w:rPr>
        <w:t>.</w:t>
      </w:r>
      <w:r w:rsidR="00A80DAD">
        <w:rPr>
          <w:rFonts w:ascii="Times New Roman" w:eastAsia="Times New Roman" w:hAnsi="Times New Roman" w:cs="Times New Roman"/>
          <w:sz w:val="24"/>
          <w:szCs w:val="24"/>
          <w:lang w:eastAsia="pt-BR"/>
        </w:rPr>
        <w:t xml:space="preserve"> </w:t>
      </w:r>
      <w:r w:rsidR="66153A75" w:rsidRPr="66153A75">
        <w:rPr>
          <w:rFonts w:ascii="Times New Roman" w:eastAsia="Times New Roman" w:hAnsi="Times New Roman" w:cs="Times New Roman"/>
          <w:sz w:val="24"/>
          <w:szCs w:val="24"/>
          <w:lang w:eastAsia="pt-BR"/>
        </w:rPr>
        <w:t xml:space="preserve">Para tal, este artigo é composto por </w:t>
      </w:r>
      <w:r w:rsidR="005C2DEA">
        <w:rPr>
          <w:rFonts w:ascii="Times New Roman" w:eastAsia="Times New Roman" w:hAnsi="Times New Roman" w:cs="Times New Roman"/>
          <w:sz w:val="24"/>
          <w:szCs w:val="24"/>
          <w:lang w:eastAsia="pt-BR"/>
        </w:rPr>
        <w:t>uma</w:t>
      </w:r>
      <w:r w:rsidR="005C2DEA" w:rsidRPr="66153A75">
        <w:rPr>
          <w:rFonts w:ascii="Times New Roman" w:eastAsia="Times New Roman" w:hAnsi="Times New Roman" w:cs="Times New Roman"/>
          <w:sz w:val="24"/>
          <w:szCs w:val="24"/>
          <w:lang w:eastAsia="pt-BR"/>
        </w:rPr>
        <w:t xml:space="preserve"> seção</w:t>
      </w:r>
      <w:r w:rsidR="66153A75" w:rsidRPr="66153A75">
        <w:rPr>
          <w:rFonts w:ascii="Times New Roman" w:eastAsia="Times New Roman" w:hAnsi="Times New Roman" w:cs="Times New Roman"/>
          <w:sz w:val="24"/>
          <w:szCs w:val="24"/>
          <w:lang w:eastAsia="pt-BR"/>
        </w:rPr>
        <w:t xml:space="preserve">, para além da metodologia, dos resultados e das considerações finais. </w:t>
      </w:r>
      <w:r w:rsidR="005C2DEA">
        <w:rPr>
          <w:rFonts w:ascii="Times New Roman" w:eastAsia="Times New Roman" w:hAnsi="Times New Roman" w:cs="Times New Roman"/>
          <w:sz w:val="24"/>
          <w:szCs w:val="24"/>
          <w:lang w:eastAsia="pt-BR"/>
        </w:rPr>
        <w:t>Essa</w:t>
      </w:r>
      <w:r w:rsidR="66153A75" w:rsidRPr="66153A75">
        <w:rPr>
          <w:rFonts w:ascii="Times New Roman" w:eastAsia="Times New Roman" w:hAnsi="Times New Roman" w:cs="Times New Roman"/>
          <w:sz w:val="24"/>
          <w:szCs w:val="24"/>
          <w:lang w:eastAsia="pt-BR"/>
        </w:rPr>
        <w:t xml:space="preserve"> tem como propósito abordar</w:t>
      </w:r>
      <w:r w:rsidR="00800277">
        <w:rPr>
          <w:rFonts w:ascii="Times New Roman" w:eastAsia="Times New Roman" w:hAnsi="Times New Roman" w:cs="Times New Roman"/>
          <w:sz w:val="24"/>
          <w:szCs w:val="24"/>
          <w:lang w:eastAsia="pt-BR"/>
        </w:rPr>
        <w:t xml:space="preserve">, a partir de revisão de literatura, </w:t>
      </w:r>
      <w:r w:rsidR="66153A75" w:rsidRPr="66153A75">
        <w:rPr>
          <w:rFonts w:ascii="Times New Roman" w:eastAsia="Times New Roman" w:hAnsi="Times New Roman" w:cs="Times New Roman"/>
          <w:sz w:val="24"/>
          <w:szCs w:val="24"/>
          <w:lang w:eastAsia="pt-BR"/>
        </w:rPr>
        <w:t xml:space="preserve">a origem da estrutura de pensamento neoliberal, assim como seu impacto sobre o Brasil e as consequências </w:t>
      </w:r>
      <w:r w:rsidR="00DA2C6D">
        <w:rPr>
          <w:rFonts w:ascii="Times New Roman" w:eastAsia="Times New Roman" w:hAnsi="Times New Roman" w:cs="Times New Roman"/>
          <w:sz w:val="24"/>
          <w:szCs w:val="24"/>
          <w:lang w:eastAsia="pt-BR"/>
        </w:rPr>
        <w:t xml:space="preserve">para o mercado laboral </w:t>
      </w:r>
      <w:r w:rsidR="66153A75" w:rsidRPr="66153A75">
        <w:rPr>
          <w:rFonts w:ascii="Times New Roman" w:eastAsia="Times New Roman" w:hAnsi="Times New Roman" w:cs="Times New Roman"/>
          <w:sz w:val="24"/>
          <w:szCs w:val="24"/>
          <w:lang w:eastAsia="pt-BR"/>
        </w:rPr>
        <w:t xml:space="preserve">advindas desse cenário. </w:t>
      </w:r>
    </w:p>
    <w:p w14:paraId="61DA5045" w14:textId="45573BC6" w:rsidR="00052689" w:rsidRPr="00E42269" w:rsidRDefault="66153A75" w:rsidP="00A80DAD">
      <w:pPr>
        <w:pStyle w:val="Ttulo1"/>
        <w:numPr>
          <w:ilvl w:val="0"/>
          <w:numId w:val="44"/>
        </w:numPr>
        <w:ind w:left="0" w:firstLine="0"/>
        <w:rPr>
          <w:b/>
          <w:bCs/>
        </w:rPr>
      </w:pPr>
      <w:bookmarkStart w:id="4" w:name="_Toc160609819"/>
      <w:r w:rsidRPr="00E42269">
        <w:rPr>
          <w:b/>
          <w:bCs/>
          <w:color w:val="000000" w:themeColor="text1"/>
        </w:rPr>
        <w:t xml:space="preserve">LITERATURA </w:t>
      </w:r>
      <w:r w:rsidRPr="00E42269">
        <w:rPr>
          <w:b/>
          <w:bCs/>
        </w:rPr>
        <w:t xml:space="preserve">EMPÍRICA </w:t>
      </w:r>
      <w:r w:rsidR="00D743D9" w:rsidRPr="00E42269">
        <w:rPr>
          <w:b/>
          <w:bCs/>
        </w:rPr>
        <w:t xml:space="preserve">E </w:t>
      </w:r>
      <w:r w:rsidRPr="00E42269">
        <w:rPr>
          <w:b/>
          <w:bCs/>
        </w:rPr>
        <w:t>OS DETERMINANTES DO DESEMPREGO</w:t>
      </w:r>
      <w:r w:rsidR="00F94B52" w:rsidRPr="00E42269">
        <w:rPr>
          <w:b/>
          <w:bCs/>
        </w:rPr>
        <w:t xml:space="preserve"> NO BRASIL</w:t>
      </w:r>
      <w:bookmarkEnd w:id="4"/>
    </w:p>
    <w:p w14:paraId="2CE8DE91" w14:textId="0D3CF08D" w:rsidR="005C7ABC" w:rsidRPr="00CA3BB8" w:rsidRDefault="5C63AAD9" w:rsidP="00A80DAD">
      <w:pPr>
        <w:rPr>
          <w:rFonts w:ascii="Times New Roman" w:eastAsia="Times New Roman" w:hAnsi="Times New Roman" w:cs="Times New Roman"/>
          <w:sz w:val="24"/>
          <w:szCs w:val="24"/>
          <w:lang w:eastAsia="pt-BR"/>
        </w:rPr>
      </w:pPr>
      <w:bookmarkStart w:id="5" w:name="_Hlk158060570"/>
      <w:r w:rsidRPr="00CA3BB8">
        <w:rPr>
          <w:rFonts w:ascii="Times New Roman" w:eastAsia="Times New Roman" w:hAnsi="Times New Roman" w:cs="Times New Roman"/>
          <w:sz w:val="24"/>
          <w:szCs w:val="24"/>
          <w:lang w:eastAsia="pt-BR"/>
        </w:rPr>
        <w:t xml:space="preserve">O objetivo desta seção é apresentar alguns dos relevantes estudos empíricos acerca do desemprego e seu efeito desigual sobre os diversos grupos integrantes da sociedade, ao longo do século XXI. Afinal, as pesquisas empíricas fornecem subsídio para a compreensão do impacto do desemprego na vida da população e no estabelecimento das desigualdades sociais. </w:t>
      </w:r>
    </w:p>
    <w:p w14:paraId="201F3BA1" w14:textId="390F12B4" w:rsidR="00052689"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lastRenderedPageBreak/>
        <w:t xml:space="preserve">De acordo com Berg e Ribeiro (2010), houve progressos significativos no Brasil na promoção do trabalho decente, entre 1992 e 2008, especialmente, no que diz respeito à redução da informalidade, ao aumento do salário-mínimo e à implementação de políticas públicas para proteção social. Ademais, no período analisado, tornou-se perceptível a sensibilidade da trajetória do desemprego aos períodos de crise econômica e maior intensidade do crescimento do Produto Interno Bruto (PIB). Nesse cenário, ainda existem desafios a serem enfrentados, como a persistência da informalidade, por exemplo, no setor primário e no terciário, além da discriminação de gênero e raça no </w:t>
      </w:r>
      <w:r w:rsidR="00A334C1">
        <w:rPr>
          <w:rFonts w:ascii="Times New Roman" w:eastAsia="Times New Roman" w:hAnsi="Times New Roman" w:cs="Times New Roman"/>
          <w:sz w:val="24"/>
          <w:szCs w:val="24"/>
          <w:lang w:eastAsia="pt-BR"/>
        </w:rPr>
        <w:t>ambiente de emprego</w:t>
      </w:r>
      <w:r w:rsidR="00612C08">
        <w:rPr>
          <w:rFonts w:ascii="Times New Roman" w:eastAsia="Times New Roman" w:hAnsi="Times New Roman" w:cs="Times New Roman"/>
          <w:sz w:val="24"/>
          <w:szCs w:val="24"/>
          <w:lang w:eastAsia="pt-BR"/>
        </w:rPr>
        <w:t>, c</w:t>
      </w:r>
      <w:r w:rsidRPr="5C63AAD9">
        <w:rPr>
          <w:rFonts w:ascii="Times New Roman" w:eastAsia="Times New Roman" w:hAnsi="Times New Roman" w:cs="Times New Roman"/>
          <w:sz w:val="24"/>
          <w:szCs w:val="24"/>
          <w:lang w:eastAsia="pt-BR"/>
        </w:rPr>
        <w:t xml:space="preserve">ontudo, a falta de proteção social para muitos trabalhadores, como autônomos, atuantes na economia do cuidado e empreendedores de necessidade também é um obstáculo a ser superado. Dessa forma, o estudo sugere a necessidade de continuar a avançar na promoção do trabalho decente, por meio de políticas públicas voltadas para a formalização do trabalho e a proteção social, além de ações para combater a discriminação de gênero e raça no </w:t>
      </w:r>
      <w:r w:rsidR="00A334C1">
        <w:rPr>
          <w:rFonts w:ascii="Times New Roman" w:eastAsia="Times New Roman" w:hAnsi="Times New Roman" w:cs="Times New Roman"/>
          <w:sz w:val="24"/>
          <w:szCs w:val="24"/>
          <w:lang w:eastAsia="pt-BR"/>
        </w:rPr>
        <w:t>setor empregatício</w:t>
      </w:r>
      <w:r w:rsidRPr="5C63AAD9">
        <w:rPr>
          <w:rFonts w:ascii="Times New Roman" w:eastAsia="Times New Roman" w:hAnsi="Times New Roman" w:cs="Times New Roman"/>
          <w:sz w:val="24"/>
          <w:szCs w:val="24"/>
          <w:lang w:eastAsia="pt-BR"/>
        </w:rPr>
        <w:t>.</w:t>
      </w:r>
    </w:p>
    <w:p w14:paraId="15C349DA" w14:textId="69600DB8" w:rsidR="00257947"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Na mesma linha de pesquisa, segundo a interpretação feita por Silva, Queiroz e Clementino (2016), houve mudanças no </w:t>
      </w:r>
      <w:r w:rsidR="00C05996">
        <w:rPr>
          <w:rFonts w:ascii="Times New Roman" w:eastAsia="Times New Roman" w:hAnsi="Times New Roman" w:cs="Times New Roman"/>
          <w:sz w:val="24"/>
          <w:szCs w:val="24"/>
          <w:lang w:eastAsia="pt-BR"/>
        </w:rPr>
        <w:t>cenário laboral</w:t>
      </w:r>
      <w:r w:rsidRPr="5C63AAD9">
        <w:rPr>
          <w:rFonts w:ascii="Times New Roman" w:eastAsia="Times New Roman" w:hAnsi="Times New Roman" w:cs="Times New Roman"/>
          <w:sz w:val="24"/>
          <w:szCs w:val="24"/>
          <w:lang w:eastAsia="pt-BR"/>
        </w:rPr>
        <w:t xml:space="preserve"> nas regiões metropolitanas do Brasil, a partir da década de 2000, especialmente, em relação à promoção do trabalho decente. Para chegar a essa conclusão, os procedimentos metodológicos da pesquisa pautaram-se em adaptações feitas na classificação ocupacional do IBGE, do ano de 2001, à Classificação Brasileira de Ocupações (CBO) de 2002 a 2008. Dessa forma, tornou-se possível construir as categorias sócio-ocupacionais e compará-las entre os anos selecionados. As modificações observadas pautaram-se em elevação significativa na formalização do emprego, principalmente, entre mulheres e jovens, além do </w:t>
      </w:r>
      <w:r w:rsidR="00B0655C">
        <w:rPr>
          <w:rFonts w:ascii="Times New Roman" w:eastAsia="Times New Roman" w:hAnsi="Times New Roman" w:cs="Times New Roman"/>
          <w:sz w:val="24"/>
          <w:szCs w:val="24"/>
          <w:lang w:eastAsia="pt-BR"/>
        </w:rPr>
        <w:t>acréscimo</w:t>
      </w:r>
      <w:r w:rsidR="00B0655C"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na escolaridade dos trabalhadores.</w:t>
      </w:r>
    </w:p>
    <w:p w14:paraId="4D4BBC89" w14:textId="18D29CBD" w:rsidR="00A55B2B"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 Apesar dos avanços salientados por Silva</w:t>
      </w:r>
      <w:r w:rsidR="008C3071">
        <w:rPr>
          <w:rFonts w:ascii="Times New Roman" w:eastAsia="Times New Roman" w:hAnsi="Times New Roman" w:cs="Times New Roman"/>
          <w:sz w:val="24"/>
          <w:szCs w:val="24"/>
          <w:lang w:eastAsia="pt-BR"/>
        </w:rPr>
        <w:t xml:space="preserve"> Filho</w:t>
      </w:r>
      <w:r w:rsidRPr="5C63AAD9">
        <w:rPr>
          <w:rFonts w:ascii="Times New Roman" w:eastAsia="Times New Roman" w:hAnsi="Times New Roman" w:cs="Times New Roman"/>
          <w:sz w:val="24"/>
          <w:szCs w:val="24"/>
          <w:lang w:eastAsia="pt-BR"/>
        </w:rPr>
        <w:t>, Queiroz e Clementino (2016), ainda persistem desigualdades regionais e de gênero n</w:t>
      </w:r>
      <w:r w:rsidR="00A37CD5">
        <w:rPr>
          <w:rFonts w:ascii="Times New Roman" w:eastAsia="Times New Roman" w:hAnsi="Times New Roman" w:cs="Times New Roman"/>
          <w:sz w:val="24"/>
          <w:szCs w:val="24"/>
          <w:lang w:eastAsia="pt-BR"/>
        </w:rPr>
        <w:t>a</w:t>
      </w:r>
      <w:r w:rsidRPr="5C63AAD9">
        <w:rPr>
          <w:rFonts w:ascii="Times New Roman" w:eastAsia="Times New Roman" w:hAnsi="Times New Roman" w:cs="Times New Roman"/>
          <w:sz w:val="24"/>
          <w:szCs w:val="24"/>
          <w:lang w:eastAsia="pt-BR"/>
        </w:rPr>
        <w:t xml:space="preserve"> </w:t>
      </w:r>
      <w:r w:rsidR="00C05996">
        <w:rPr>
          <w:rFonts w:ascii="Times New Roman" w:eastAsia="Times New Roman" w:hAnsi="Times New Roman" w:cs="Times New Roman"/>
          <w:sz w:val="24"/>
          <w:szCs w:val="24"/>
          <w:lang w:eastAsia="pt-BR"/>
        </w:rPr>
        <w:t>esfera de empregabilidade</w:t>
      </w:r>
      <w:r w:rsidRPr="5C63AAD9">
        <w:rPr>
          <w:rFonts w:ascii="Times New Roman" w:eastAsia="Times New Roman" w:hAnsi="Times New Roman" w:cs="Times New Roman"/>
          <w:sz w:val="24"/>
          <w:szCs w:val="24"/>
          <w:lang w:eastAsia="pt-BR"/>
        </w:rPr>
        <w:t xml:space="preserve">, com as regiões Norte e Nordeste revelando os piores indicadores, a exemplo de elevadas taxas de informalidade e baixa escolaridade. Além disso, as mulheres ainda enfrentam dificuldades para acessar empregos formais e para receber salários equivalentes aos dos homens. Assim, evidencia-se a importância das políticas públicas para a promoção do emprego e da inclusão social para estimular o crescimento econômico, bem como políticas de educação e formação profissional eficientes para melhorar a qualificação dos trabalhadores. </w:t>
      </w:r>
    </w:p>
    <w:p w14:paraId="30A6E7A6" w14:textId="7911F934" w:rsidR="006554E2" w:rsidRPr="0003470B" w:rsidRDefault="00010A22">
      <w:pPr>
        <w:rPr>
          <w:rFonts w:ascii="Times New Roman" w:eastAsia="Times New Roman" w:hAnsi="Times New Roman" w:cs="Times New Roman"/>
          <w:sz w:val="24"/>
          <w:szCs w:val="24"/>
          <w:lang w:eastAsia="pt-BR"/>
        </w:rPr>
      </w:pPr>
      <w:r w:rsidRPr="0003470B">
        <w:rPr>
          <w:rFonts w:ascii="Times New Roman" w:eastAsia="Times New Roman" w:hAnsi="Times New Roman" w:cs="Times New Roman"/>
          <w:sz w:val="24"/>
          <w:szCs w:val="24"/>
          <w:lang w:eastAsia="pt-BR"/>
        </w:rPr>
        <w:lastRenderedPageBreak/>
        <w:t xml:space="preserve">Com enfoque similar </w:t>
      </w:r>
      <w:r w:rsidR="007A5595">
        <w:rPr>
          <w:rFonts w:ascii="Times New Roman" w:eastAsia="Times New Roman" w:hAnsi="Times New Roman" w:cs="Times New Roman"/>
          <w:sz w:val="24"/>
          <w:szCs w:val="24"/>
          <w:lang w:eastAsia="pt-BR"/>
        </w:rPr>
        <w:t>ao estudo supracitado,</w:t>
      </w:r>
      <w:r w:rsidRPr="0003470B">
        <w:rPr>
          <w:rFonts w:ascii="Times New Roman" w:eastAsia="Times New Roman" w:hAnsi="Times New Roman" w:cs="Times New Roman"/>
          <w:sz w:val="24"/>
          <w:szCs w:val="24"/>
          <w:lang w:eastAsia="pt-BR"/>
        </w:rPr>
        <w:t xml:space="preserve"> Barbosa Filho e </w:t>
      </w:r>
      <w:proofErr w:type="spellStart"/>
      <w:r w:rsidRPr="0003470B">
        <w:rPr>
          <w:rFonts w:ascii="Times New Roman" w:eastAsia="Times New Roman" w:hAnsi="Times New Roman" w:cs="Times New Roman"/>
          <w:sz w:val="24"/>
          <w:szCs w:val="24"/>
          <w:lang w:eastAsia="pt-BR"/>
        </w:rPr>
        <w:t>P</w:t>
      </w:r>
      <w:r w:rsidR="00B2328C" w:rsidRPr="0003470B">
        <w:rPr>
          <w:rFonts w:ascii="Times New Roman" w:eastAsia="Times New Roman" w:hAnsi="Times New Roman" w:cs="Times New Roman"/>
          <w:sz w:val="24"/>
          <w:szCs w:val="24"/>
          <w:lang w:eastAsia="pt-BR"/>
        </w:rPr>
        <w:t>ê</w:t>
      </w:r>
      <w:r w:rsidRPr="0003470B">
        <w:rPr>
          <w:rFonts w:ascii="Times New Roman" w:eastAsia="Times New Roman" w:hAnsi="Times New Roman" w:cs="Times New Roman"/>
          <w:sz w:val="24"/>
          <w:szCs w:val="24"/>
          <w:lang w:eastAsia="pt-BR"/>
        </w:rPr>
        <w:t>ssoa</w:t>
      </w:r>
      <w:proofErr w:type="spellEnd"/>
      <w:r w:rsidRPr="0003470B">
        <w:rPr>
          <w:rFonts w:ascii="Times New Roman" w:eastAsia="Times New Roman" w:hAnsi="Times New Roman" w:cs="Times New Roman"/>
          <w:sz w:val="24"/>
          <w:szCs w:val="24"/>
          <w:lang w:eastAsia="pt-BR"/>
        </w:rPr>
        <w:t xml:space="preserve"> (2011) </w:t>
      </w:r>
      <w:r w:rsidR="006554E2" w:rsidRPr="00F70702">
        <w:rPr>
          <w:rFonts w:ascii="Times New Roman" w:eastAsia="Times New Roman" w:hAnsi="Times New Roman" w:cs="Times New Roman"/>
          <w:sz w:val="24"/>
          <w:szCs w:val="24"/>
          <w:lang w:eastAsia="pt-BR"/>
        </w:rPr>
        <w:t>analisa</w:t>
      </w:r>
      <w:r w:rsidRPr="00F70702">
        <w:rPr>
          <w:rFonts w:ascii="Times New Roman" w:eastAsia="Times New Roman" w:hAnsi="Times New Roman" w:cs="Times New Roman"/>
          <w:sz w:val="24"/>
          <w:szCs w:val="24"/>
          <w:lang w:eastAsia="pt-BR"/>
        </w:rPr>
        <w:t xml:space="preserve">m </w:t>
      </w:r>
      <w:r w:rsidR="006554E2" w:rsidRPr="00F70702">
        <w:rPr>
          <w:rFonts w:ascii="Times New Roman" w:eastAsia="Times New Roman" w:hAnsi="Times New Roman" w:cs="Times New Roman"/>
          <w:sz w:val="24"/>
          <w:szCs w:val="24"/>
          <w:lang w:eastAsia="pt-BR"/>
        </w:rPr>
        <w:t>a redução da taxa de desemprego no Brasil</w:t>
      </w:r>
      <w:r w:rsidR="00BA6380" w:rsidRPr="00F70702">
        <w:rPr>
          <w:rFonts w:ascii="Times New Roman" w:eastAsia="Times New Roman" w:hAnsi="Times New Roman" w:cs="Times New Roman"/>
          <w:sz w:val="24"/>
          <w:szCs w:val="24"/>
          <w:lang w:eastAsia="pt-BR"/>
        </w:rPr>
        <w:t>,</w:t>
      </w:r>
      <w:r w:rsidR="006554E2" w:rsidRPr="00F70702">
        <w:rPr>
          <w:rFonts w:ascii="Times New Roman" w:eastAsia="Times New Roman" w:hAnsi="Times New Roman" w:cs="Times New Roman"/>
          <w:sz w:val="24"/>
          <w:szCs w:val="24"/>
          <w:lang w:eastAsia="pt-BR"/>
        </w:rPr>
        <w:t xml:space="preserve"> entre 2001 e 2008, com</w:t>
      </w:r>
      <w:r w:rsidR="00C82DB4" w:rsidRPr="00F70702">
        <w:rPr>
          <w:rFonts w:ascii="Times New Roman" w:eastAsia="Times New Roman" w:hAnsi="Times New Roman" w:cs="Times New Roman"/>
          <w:sz w:val="24"/>
          <w:szCs w:val="24"/>
          <w:lang w:eastAsia="pt-BR"/>
        </w:rPr>
        <w:t xml:space="preserve"> base</w:t>
      </w:r>
      <w:r w:rsidR="006554E2" w:rsidRPr="00F70702">
        <w:rPr>
          <w:rFonts w:ascii="Times New Roman" w:eastAsia="Times New Roman" w:hAnsi="Times New Roman" w:cs="Times New Roman"/>
          <w:sz w:val="24"/>
          <w:szCs w:val="24"/>
          <w:lang w:eastAsia="pt-BR"/>
        </w:rPr>
        <w:t xml:space="preserve"> </w:t>
      </w:r>
      <w:r w:rsidR="00D44E63" w:rsidRPr="00F70702">
        <w:rPr>
          <w:rFonts w:ascii="Times New Roman" w:eastAsia="Times New Roman" w:hAnsi="Times New Roman" w:cs="Times New Roman"/>
          <w:sz w:val="24"/>
          <w:szCs w:val="24"/>
          <w:lang w:eastAsia="pt-BR"/>
        </w:rPr>
        <w:t>na</w:t>
      </w:r>
      <w:r w:rsidR="006554E2" w:rsidRPr="00F70702">
        <w:rPr>
          <w:rFonts w:ascii="Times New Roman" w:eastAsia="Times New Roman" w:hAnsi="Times New Roman" w:cs="Times New Roman"/>
          <w:sz w:val="24"/>
          <w:szCs w:val="24"/>
          <w:lang w:eastAsia="pt-BR"/>
        </w:rPr>
        <w:t xml:space="preserve"> Pesquisa Nacional por Amostra de Domicílios (PNAD). O estudo apresenta nova decomposição da taxa de desemprego</w:t>
      </w:r>
      <w:r w:rsidR="001203C8" w:rsidRPr="00F70702">
        <w:rPr>
          <w:rFonts w:ascii="Times New Roman" w:eastAsia="Times New Roman" w:hAnsi="Times New Roman" w:cs="Times New Roman"/>
          <w:sz w:val="24"/>
          <w:szCs w:val="24"/>
          <w:lang w:eastAsia="pt-BR"/>
        </w:rPr>
        <w:t xml:space="preserve">, ao </w:t>
      </w:r>
      <w:r w:rsidR="006554E2" w:rsidRPr="00F70702">
        <w:rPr>
          <w:rFonts w:ascii="Times New Roman" w:eastAsia="Times New Roman" w:hAnsi="Times New Roman" w:cs="Times New Roman"/>
          <w:sz w:val="24"/>
          <w:szCs w:val="24"/>
          <w:lang w:eastAsia="pt-BR"/>
        </w:rPr>
        <w:t>separa</w:t>
      </w:r>
      <w:r w:rsidR="001203C8" w:rsidRPr="00F70702">
        <w:rPr>
          <w:rFonts w:ascii="Times New Roman" w:eastAsia="Times New Roman" w:hAnsi="Times New Roman" w:cs="Times New Roman"/>
          <w:sz w:val="24"/>
          <w:szCs w:val="24"/>
          <w:lang w:eastAsia="pt-BR"/>
        </w:rPr>
        <w:t>r</w:t>
      </w:r>
      <w:r w:rsidR="006554E2" w:rsidRPr="00F70702">
        <w:rPr>
          <w:rFonts w:ascii="Times New Roman" w:eastAsia="Times New Roman" w:hAnsi="Times New Roman" w:cs="Times New Roman"/>
          <w:sz w:val="24"/>
          <w:szCs w:val="24"/>
          <w:lang w:eastAsia="pt-BR"/>
        </w:rPr>
        <w:t xml:space="preserve"> a taxa em dois efeitos</w:t>
      </w:r>
      <w:r w:rsidR="00F70702">
        <w:rPr>
          <w:rFonts w:ascii="Times New Roman" w:eastAsia="Times New Roman" w:hAnsi="Times New Roman" w:cs="Times New Roman"/>
          <w:sz w:val="24"/>
          <w:szCs w:val="24"/>
          <w:lang w:eastAsia="pt-BR"/>
        </w:rPr>
        <w:t>, a saber: efeito</w:t>
      </w:r>
      <w:r w:rsidR="006554E2" w:rsidRPr="00F70702">
        <w:rPr>
          <w:rFonts w:ascii="Times New Roman" w:eastAsia="Times New Roman" w:hAnsi="Times New Roman" w:cs="Times New Roman"/>
          <w:sz w:val="24"/>
          <w:szCs w:val="24"/>
          <w:lang w:eastAsia="pt-BR"/>
        </w:rPr>
        <w:t xml:space="preserve"> nível (razão desocupados/</w:t>
      </w:r>
      <w:r w:rsidR="00F70702" w:rsidRPr="00BB1AAB">
        <w:rPr>
          <w:rFonts w:ascii="Times New Roman" w:hAnsi="Times New Roman" w:cs="Times New Roman"/>
          <w:sz w:val="24"/>
          <w:szCs w:val="24"/>
        </w:rPr>
        <w:t xml:space="preserve"> População em </w:t>
      </w:r>
      <w:r w:rsidR="00F70702">
        <w:rPr>
          <w:rFonts w:ascii="Times New Roman" w:hAnsi="Times New Roman" w:cs="Times New Roman"/>
          <w:sz w:val="24"/>
          <w:szCs w:val="24"/>
        </w:rPr>
        <w:t>I</w:t>
      </w:r>
      <w:r w:rsidR="00F70702" w:rsidRPr="00BB1AAB">
        <w:rPr>
          <w:rFonts w:ascii="Times New Roman" w:hAnsi="Times New Roman" w:cs="Times New Roman"/>
          <w:sz w:val="24"/>
          <w:szCs w:val="24"/>
        </w:rPr>
        <w:t xml:space="preserve">dade </w:t>
      </w:r>
      <w:r w:rsidR="00F70702">
        <w:rPr>
          <w:rFonts w:ascii="Times New Roman" w:hAnsi="Times New Roman" w:cs="Times New Roman"/>
          <w:sz w:val="24"/>
          <w:szCs w:val="24"/>
        </w:rPr>
        <w:t>A</w:t>
      </w:r>
      <w:r w:rsidR="00F70702" w:rsidRPr="00BB1AAB">
        <w:rPr>
          <w:rFonts w:ascii="Times New Roman" w:hAnsi="Times New Roman" w:cs="Times New Roman"/>
          <w:sz w:val="24"/>
          <w:szCs w:val="24"/>
        </w:rPr>
        <w:t>tiva (PIA)</w:t>
      </w:r>
      <w:r w:rsidR="006554E2" w:rsidRPr="00F70702">
        <w:rPr>
          <w:rFonts w:ascii="Times New Roman" w:eastAsia="Times New Roman" w:hAnsi="Times New Roman" w:cs="Times New Roman"/>
          <w:sz w:val="24"/>
          <w:szCs w:val="24"/>
          <w:lang w:eastAsia="pt-BR"/>
        </w:rPr>
        <w:t xml:space="preserve"> e taxa de participação) e seus respectivos efeitos composição. As principais conclusões</w:t>
      </w:r>
      <w:r w:rsidR="00B2328C" w:rsidRPr="00F70702">
        <w:rPr>
          <w:rFonts w:ascii="Times New Roman" w:eastAsia="Times New Roman" w:hAnsi="Times New Roman" w:cs="Times New Roman"/>
          <w:sz w:val="24"/>
          <w:szCs w:val="24"/>
          <w:lang w:eastAsia="pt-BR"/>
        </w:rPr>
        <w:t xml:space="preserve"> pautam-se</w:t>
      </w:r>
      <w:r w:rsidR="006554E2" w:rsidRPr="00F70702">
        <w:rPr>
          <w:rFonts w:ascii="Times New Roman" w:eastAsia="Times New Roman" w:hAnsi="Times New Roman" w:cs="Times New Roman"/>
          <w:sz w:val="24"/>
          <w:szCs w:val="24"/>
          <w:lang w:eastAsia="pt-BR"/>
        </w:rPr>
        <w:t xml:space="preserve"> </w:t>
      </w:r>
      <w:r w:rsidR="00B2328C" w:rsidRPr="00F70702">
        <w:rPr>
          <w:rFonts w:ascii="Times New Roman" w:eastAsia="Times New Roman" w:hAnsi="Times New Roman" w:cs="Times New Roman"/>
          <w:sz w:val="24"/>
          <w:szCs w:val="24"/>
          <w:lang w:eastAsia="pt-BR"/>
        </w:rPr>
        <w:t>n</w:t>
      </w:r>
      <w:r w:rsidR="006554E2" w:rsidRPr="00F70702">
        <w:rPr>
          <w:rFonts w:ascii="Times New Roman" w:eastAsia="Times New Roman" w:hAnsi="Times New Roman" w:cs="Times New Roman"/>
          <w:sz w:val="24"/>
          <w:szCs w:val="24"/>
          <w:lang w:eastAsia="pt-BR"/>
        </w:rPr>
        <w:t xml:space="preserve">a queda </w:t>
      </w:r>
      <w:r w:rsidR="00B2328C" w:rsidRPr="00F70702">
        <w:rPr>
          <w:rFonts w:ascii="Times New Roman" w:eastAsia="Times New Roman" w:hAnsi="Times New Roman" w:cs="Times New Roman"/>
          <w:sz w:val="24"/>
          <w:szCs w:val="24"/>
          <w:lang w:eastAsia="pt-BR"/>
        </w:rPr>
        <w:t xml:space="preserve">de 2% </w:t>
      </w:r>
      <w:r w:rsidR="006554E2" w:rsidRPr="00F70702">
        <w:rPr>
          <w:rFonts w:ascii="Times New Roman" w:eastAsia="Times New Roman" w:hAnsi="Times New Roman" w:cs="Times New Roman"/>
          <w:sz w:val="24"/>
          <w:szCs w:val="24"/>
          <w:lang w:eastAsia="pt-BR"/>
        </w:rPr>
        <w:t>do desemprego no país</w:t>
      </w:r>
      <w:r w:rsidR="00B2328C" w:rsidRPr="00F70702">
        <w:rPr>
          <w:rFonts w:ascii="Times New Roman" w:eastAsia="Times New Roman" w:hAnsi="Times New Roman" w:cs="Times New Roman"/>
          <w:sz w:val="24"/>
          <w:szCs w:val="24"/>
          <w:lang w:eastAsia="pt-BR"/>
        </w:rPr>
        <w:t>,</w:t>
      </w:r>
      <w:r w:rsidR="006554E2" w:rsidRPr="00F70702">
        <w:rPr>
          <w:rFonts w:ascii="Times New Roman" w:eastAsia="Times New Roman" w:hAnsi="Times New Roman" w:cs="Times New Roman"/>
          <w:sz w:val="24"/>
          <w:szCs w:val="24"/>
          <w:lang w:eastAsia="pt-BR"/>
        </w:rPr>
        <w:t xml:space="preserve"> de 2001 </w:t>
      </w:r>
      <w:r w:rsidR="00881611" w:rsidRPr="00F70702">
        <w:rPr>
          <w:rFonts w:ascii="Times New Roman" w:eastAsia="Times New Roman" w:hAnsi="Times New Roman" w:cs="Times New Roman"/>
          <w:sz w:val="24"/>
          <w:szCs w:val="24"/>
          <w:lang w:eastAsia="pt-BR"/>
        </w:rPr>
        <w:t xml:space="preserve">a </w:t>
      </w:r>
      <w:r w:rsidR="006554E2" w:rsidRPr="00F70702">
        <w:rPr>
          <w:rFonts w:ascii="Times New Roman" w:eastAsia="Times New Roman" w:hAnsi="Times New Roman" w:cs="Times New Roman"/>
          <w:sz w:val="24"/>
          <w:szCs w:val="24"/>
          <w:lang w:eastAsia="pt-BR"/>
        </w:rPr>
        <w:t>2008</w:t>
      </w:r>
      <w:r w:rsidR="00B2328C" w:rsidRPr="00F70702">
        <w:rPr>
          <w:rFonts w:ascii="Times New Roman" w:eastAsia="Times New Roman" w:hAnsi="Times New Roman" w:cs="Times New Roman"/>
          <w:sz w:val="24"/>
          <w:szCs w:val="24"/>
          <w:lang w:eastAsia="pt-BR"/>
        </w:rPr>
        <w:t>,</w:t>
      </w:r>
      <w:r w:rsidR="006554E2" w:rsidRPr="00F70702">
        <w:rPr>
          <w:rFonts w:ascii="Times New Roman" w:eastAsia="Times New Roman" w:hAnsi="Times New Roman" w:cs="Times New Roman"/>
          <w:sz w:val="24"/>
          <w:szCs w:val="24"/>
          <w:lang w:eastAsia="pt-BR"/>
        </w:rPr>
        <w:t xml:space="preserve"> menos </w:t>
      </w:r>
      <w:r w:rsidR="00181B3C" w:rsidRPr="00F70702">
        <w:rPr>
          <w:rFonts w:ascii="Times New Roman" w:eastAsia="Times New Roman" w:hAnsi="Times New Roman" w:cs="Times New Roman"/>
          <w:sz w:val="24"/>
          <w:szCs w:val="24"/>
          <w:lang w:eastAsia="pt-BR"/>
        </w:rPr>
        <w:t>acentuada</w:t>
      </w:r>
      <w:r w:rsidR="006554E2" w:rsidRPr="00F70702">
        <w:rPr>
          <w:rFonts w:ascii="Times New Roman" w:eastAsia="Times New Roman" w:hAnsi="Times New Roman" w:cs="Times New Roman"/>
          <w:sz w:val="24"/>
          <w:szCs w:val="24"/>
          <w:lang w:eastAsia="pt-BR"/>
        </w:rPr>
        <w:t xml:space="preserve"> </w:t>
      </w:r>
      <w:r w:rsidR="00B2328C" w:rsidRPr="00F70702">
        <w:rPr>
          <w:rFonts w:ascii="Times New Roman" w:eastAsia="Times New Roman" w:hAnsi="Times New Roman" w:cs="Times New Roman"/>
          <w:sz w:val="24"/>
          <w:szCs w:val="24"/>
          <w:lang w:eastAsia="pt-BR"/>
        </w:rPr>
        <w:t>em comparação</w:t>
      </w:r>
      <w:r w:rsidR="006554E2" w:rsidRPr="00F70702">
        <w:rPr>
          <w:rFonts w:ascii="Times New Roman" w:eastAsia="Times New Roman" w:hAnsi="Times New Roman" w:cs="Times New Roman"/>
          <w:sz w:val="24"/>
          <w:szCs w:val="24"/>
          <w:lang w:eastAsia="pt-BR"/>
        </w:rPr>
        <w:t xml:space="preserve"> </w:t>
      </w:r>
      <w:r w:rsidR="00EF73D6" w:rsidRPr="00F70702">
        <w:rPr>
          <w:rFonts w:ascii="Times New Roman" w:eastAsia="Times New Roman" w:hAnsi="Times New Roman" w:cs="Times New Roman"/>
          <w:sz w:val="24"/>
          <w:szCs w:val="24"/>
          <w:lang w:eastAsia="pt-BR"/>
        </w:rPr>
        <w:t>ao declínio</w:t>
      </w:r>
      <w:r w:rsidR="006554E2" w:rsidRPr="00F70702">
        <w:rPr>
          <w:rFonts w:ascii="Times New Roman" w:eastAsia="Times New Roman" w:hAnsi="Times New Roman" w:cs="Times New Roman"/>
          <w:sz w:val="24"/>
          <w:szCs w:val="24"/>
          <w:lang w:eastAsia="pt-BR"/>
        </w:rPr>
        <w:t xml:space="preserve"> </w:t>
      </w:r>
      <w:r w:rsidR="00EF73D6" w:rsidRPr="00F70702">
        <w:rPr>
          <w:rFonts w:ascii="Times New Roman" w:eastAsia="Times New Roman" w:hAnsi="Times New Roman" w:cs="Times New Roman"/>
          <w:sz w:val="24"/>
          <w:szCs w:val="24"/>
          <w:lang w:eastAsia="pt-BR"/>
        </w:rPr>
        <w:t xml:space="preserve">registrado </w:t>
      </w:r>
      <w:r w:rsidR="00181B3C" w:rsidRPr="00F70702">
        <w:rPr>
          <w:rFonts w:ascii="Times New Roman" w:eastAsia="Times New Roman" w:hAnsi="Times New Roman" w:cs="Times New Roman"/>
          <w:sz w:val="24"/>
          <w:szCs w:val="24"/>
          <w:lang w:eastAsia="pt-BR"/>
        </w:rPr>
        <w:t>de 3,8%</w:t>
      </w:r>
      <w:r w:rsidR="00600E11">
        <w:rPr>
          <w:rFonts w:ascii="Times New Roman" w:eastAsia="Times New Roman" w:hAnsi="Times New Roman" w:cs="Times New Roman"/>
          <w:sz w:val="24"/>
          <w:szCs w:val="24"/>
          <w:lang w:eastAsia="pt-BR"/>
        </w:rPr>
        <w:t>,</w:t>
      </w:r>
      <w:r w:rsidR="006554E2" w:rsidRPr="00F70702">
        <w:rPr>
          <w:rFonts w:ascii="Times New Roman" w:eastAsia="Times New Roman" w:hAnsi="Times New Roman" w:cs="Times New Roman"/>
          <w:sz w:val="24"/>
          <w:szCs w:val="24"/>
          <w:lang w:eastAsia="pt-BR"/>
        </w:rPr>
        <w:t xml:space="preserve"> com os dados da </w:t>
      </w:r>
      <w:r w:rsidR="00B2328C" w:rsidRPr="00F70702">
        <w:rPr>
          <w:rFonts w:ascii="Times New Roman" w:eastAsia="Times New Roman" w:hAnsi="Times New Roman" w:cs="Times New Roman"/>
          <w:sz w:val="24"/>
          <w:szCs w:val="24"/>
          <w:lang w:eastAsia="pt-BR"/>
        </w:rPr>
        <w:t>Pesquisa Mensal de Emprego (</w:t>
      </w:r>
      <w:r w:rsidR="006554E2" w:rsidRPr="00F70702">
        <w:rPr>
          <w:rFonts w:ascii="Times New Roman" w:eastAsia="Times New Roman" w:hAnsi="Times New Roman" w:cs="Times New Roman"/>
          <w:sz w:val="24"/>
          <w:szCs w:val="24"/>
          <w:lang w:eastAsia="pt-BR"/>
        </w:rPr>
        <w:t>PME</w:t>
      </w:r>
      <w:r w:rsidR="00B2328C" w:rsidRPr="00F70702">
        <w:rPr>
          <w:rFonts w:ascii="Times New Roman" w:eastAsia="Times New Roman" w:hAnsi="Times New Roman" w:cs="Times New Roman"/>
          <w:sz w:val="24"/>
          <w:szCs w:val="24"/>
          <w:lang w:eastAsia="pt-BR"/>
        </w:rPr>
        <w:t xml:space="preserve">), a qual </w:t>
      </w:r>
      <w:r w:rsidR="006554E2" w:rsidRPr="00F70702">
        <w:rPr>
          <w:rFonts w:ascii="Times New Roman" w:eastAsia="Times New Roman" w:hAnsi="Times New Roman" w:cs="Times New Roman"/>
          <w:sz w:val="24"/>
          <w:szCs w:val="24"/>
          <w:lang w:eastAsia="pt-BR"/>
        </w:rPr>
        <w:t>considera somente as regiões metropolitanas</w:t>
      </w:r>
      <w:r w:rsidR="00B2328C" w:rsidRPr="00F70702">
        <w:rPr>
          <w:rFonts w:ascii="Times New Roman" w:eastAsia="Times New Roman" w:hAnsi="Times New Roman" w:cs="Times New Roman"/>
          <w:sz w:val="24"/>
          <w:szCs w:val="24"/>
          <w:lang w:eastAsia="pt-BR"/>
        </w:rPr>
        <w:t>. Além disso,</w:t>
      </w:r>
      <w:r w:rsidR="006554E2" w:rsidRPr="00F70702">
        <w:rPr>
          <w:rFonts w:ascii="Times New Roman" w:eastAsia="Times New Roman" w:hAnsi="Times New Roman" w:cs="Times New Roman"/>
          <w:sz w:val="24"/>
          <w:szCs w:val="24"/>
          <w:lang w:eastAsia="pt-BR"/>
        </w:rPr>
        <w:t xml:space="preserve"> a variação da composição etária e de escolaridade da força de trabalho descreveu de 25% a 30% da queda do desempreg</w:t>
      </w:r>
      <w:r w:rsidR="00B2328C" w:rsidRPr="00F70702">
        <w:rPr>
          <w:rFonts w:ascii="Times New Roman" w:eastAsia="Times New Roman" w:hAnsi="Times New Roman" w:cs="Times New Roman"/>
          <w:sz w:val="24"/>
          <w:szCs w:val="24"/>
          <w:lang w:eastAsia="pt-BR"/>
        </w:rPr>
        <w:t xml:space="preserve">o, </w:t>
      </w:r>
      <w:r w:rsidR="006554E2" w:rsidRPr="00F70702">
        <w:rPr>
          <w:rFonts w:ascii="Times New Roman" w:eastAsia="Times New Roman" w:hAnsi="Times New Roman" w:cs="Times New Roman"/>
          <w:sz w:val="24"/>
          <w:szCs w:val="24"/>
          <w:lang w:eastAsia="pt-BR"/>
        </w:rPr>
        <w:t xml:space="preserve">e a </w:t>
      </w:r>
      <w:r w:rsidR="00E9202E" w:rsidRPr="00F70702">
        <w:rPr>
          <w:rFonts w:ascii="Times New Roman" w:eastAsia="Times New Roman" w:hAnsi="Times New Roman" w:cs="Times New Roman"/>
          <w:sz w:val="24"/>
          <w:szCs w:val="24"/>
          <w:lang w:eastAsia="pt-BR"/>
        </w:rPr>
        <w:t>alteração</w:t>
      </w:r>
      <w:r w:rsidR="006554E2" w:rsidRPr="00F70702">
        <w:rPr>
          <w:rFonts w:ascii="Times New Roman" w:eastAsia="Times New Roman" w:hAnsi="Times New Roman" w:cs="Times New Roman"/>
          <w:sz w:val="24"/>
          <w:szCs w:val="24"/>
          <w:lang w:eastAsia="pt-BR"/>
        </w:rPr>
        <w:t xml:space="preserve"> da taxa de participação teve impacto importante na descrição da </w:t>
      </w:r>
      <w:r w:rsidR="001C20B4" w:rsidRPr="00F70702">
        <w:rPr>
          <w:rFonts w:ascii="Times New Roman" w:eastAsia="Times New Roman" w:hAnsi="Times New Roman" w:cs="Times New Roman"/>
          <w:sz w:val="24"/>
          <w:szCs w:val="24"/>
          <w:lang w:eastAsia="pt-BR"/>
        </w:rPr>
        <w:t>redução de</w:t>
      </w:r>
      <w:r w:rsidR="001C20B4" w:rsidRPr="0003470B">
        <w:rPr>
          <w:rFonts w:ascii="Times New Roman" w:eastAsia="Times New Roman" w:hAnsi="Times New Roman" w:cs="Times New Roman"/>
          <w:sz w:val="24"/>
          <w:szCs w:val="24"/>
          <w:lang w:eastAsia="pt-BR"/>
        </w:rPr>
        <w:t xml:space="preserve"> empregos</w:t>
      </w:r>
      <w:r w:rsidR="006554E2" w:rsidRPr="0003470B">
        <w:rPr>
          <w:rFonts w:ascii="Times New Roman" w:eastAsia="Times New Roman" w:hAnsi="Times New Roman" w:cs="Times New Roman"/>
          <w:sz w:val="24"/>
          <w:szCs w:val="24"/>
          <w:lang w:eastAsia="pt-BR"/>
        </w:rPr>
        <w:t xml:space="preserve">. </w:t>
      </w:r>
      <w:r w:rsidR="001C20B4" w:rsidRPr="0003470B">
        <w:rPr>
          <w:rFonts w:ascii="Times New Roman" w:eastAsia="Times New Roman" w:hAnsi="Times New Roman" w:cs="Times New Roman"/>
          <w:sz w:val="24"/>
          <w:szCs w:val="24"/>
          <w:lang w:eastAsia="pt-BR"/>
        </w:rPr>
        <w:t>Por fim, é destacada, no período analisado,</w:t>
      </w:r>
      <w:r w:rsidR="006554E2" w:rsidRPr="0003470B">
        <w:rPr>
          <w:rFonts w:ascii="Times New Roman" w:eastAsia="Times New Roman" w:hAnsi="Times New Roman" w:cs="Times New Roman"/>
          <w:sz w:val="24"/>
          <w:szCs w:val="24"/>
          <w:lang w:eastAsia="pt-BR"/>
        </w:rPr>
        <w:t xml:space="preserve"> </w:t>
      </w:r>
      <w:r w:rsidR="001C20B4" w:rsidRPr="0003470B">
        <w:rPr>
          <w:rFonts w:ascii="Times New Roman" w:eastAsia="Times New Roman" w:hAnsi="Times New Roman" w:cs="Times New Roman"/>
          <w:sz w:val="24"/>
          <w:szCs w:val="24"/>
          <w:lang w:eastAsia="pt-BR"/>
        </w:rPr>
        <w:t>a</w:t>
      </w:r>
      <w:r w:rsidR="006554E2" w:rsidRPr="0003470B">
        <w:rPr>
          <w:rFonts w:ascii="Times New Roman" w:eastAsia="Times New Roman" w:hAnsi="Times New Roman" w:cs="Times New Roman"/>
          <w:sz w:val="24"/>
          <w:szCs w:val="24"/>
          <w:lang w:eastAsia="pt-BR"/>
        </w:rPr>
        <w:t xml:space="preserve"> ocorr</w:t>
      </w:r>
      <w:r w:rsidR="001C20B4" w:rsidRPr="0003470B">
        <w:rPr>
          <w:rFonts w:ascii="Times New Roman" w:eastAsia="Times New Roman" w:hAnsi="Times New Roman" w:cs="Times New Roman"/>
          <w:sz w:val="24"/>
          <w:szCs w:val="24"/>
          <w:lang w:eastAsia="pt-BR"/>
        </w:rPr>
        <w:t>ência de</w:t>
      </w:r>
      <w:r w:rsidR="006554E2" w:rsidRPr="0003470B">
        <w:rPr>
          <w:rFonts w:ascii="Times New Roman" w:eastAsia="Times New Roman" w:hAnsi="Times New Roman" w:cs="Times New Roman"/>
          <w:sz w:val="24"/>
          <w:szCs w:val="24"/>
          <w:lang w:eastAsia="pt-BR"/>
        </w:rPr>
        <w:t xml:space="preserve"> </w:t>
      </w:r>
      <w:r w:rsidR="001C20B4" w:rsidRPr="0003470B">
        <w:rPr>
          <w:rFonts w:ascii="Times New Roman" w:eastAsia="Times New Roman" w:hAnsi="Times New Roman" w:cs="Times New Roman"/>
          <w:sz w:val="24"/>
          <w:szCs w:val="24"/>
          <w:lang w:eastAsia="pt-BR"/>
        </w:rPr>
        <w:t>diminuição</w:t>
      </w:r>
      <w:r w:rsidR="006554E2" w:rsidRPr="0003470B">
        <w:rPr>
          <w:rFonts w:ascii="Times New Roman" w:eastAsia="Times New Roman" w:hAnsi="Times New Roman" w:cs="Times New Roman"/>
          <w:sz w:val="24"/>
          <w:szCs w:val="24"/>
          <w:lang w:eastAsia="pt-BR"/>
        </w:rPr>
        <w:t xml:space="preserve"> permanente da taxa de desemprego relacionada à universalização da educação, </w:t>
      </w:r>
      <w:r w:rsidR="001C20B4" w:rsidRPr="0003470B">
        <w:rPr>
          <w:rFonts w:ascii="Times New Roman" w:eastAsia="Times New Roman" w:hAnsi="Times New Roman" w:cs="Times New Roman"/>
          <w:sz w:val="24"/>
          <w:szCs w:val="24"/>
          <w:lang w:eastAsia="pt-BR"/>
        </w:rPr>
        <w:t>responsável por</w:t>
      </w:r>
      <w:r w:rsidR="006554E2" w:rsidRPr="0003470B">
        <w:rPr>
          <w:rFonts w:ascii="Times New Roman" w:eastAsia="Times New Roman" w:hAnsi="Times New Roman" w:cs="Times New Roman"/>
          <w:sz w:val="24"/>
          <w:szCs w:val="24"/>
          <w:lang w:eastAsia="pt-BR"/>
        </w:rPr>
        <w:t xml:space="preserve"> reduz</w:t>
      </w:r>
      <w:r w:rsidR="001C20B4" w:rsidRPr="0003470B">
        <w:rPr>
          <w:rFonts w:ascii="Times New Roman" w:eastAsia="Times New Roman" w:hAnsi="Times New Roman" w:cs="Times New Roman"/>
          <w:sz w:val="24"/>
          <w:szCs w:val="24"/>
          <w:lang w:eastAsia="pt-BR"/>
        </w:rPr>
        <w:t>ir</w:t>
      </w:r>
      <w:r w:rsidR="006554E2" w:rsidRPr="0003470B">
        <w:rPr>
          <w:rFonts w:ascii="Times New Roman" w:eastAsia="Times New Roman" w:hAnsi="Times New Roman" w:cs="Times New Roman"/>
          <w:sz w:val="24"/>
          <w:szCs w:val="24"/>
          <w:lang w:eastAsia="pt-BR"/>
        </w:rPr>
        <w:t xml:space="preserve"> o peso relativo dos mais jovens no </w:t>
      </w:r>
      <w:r w:rsidR="00C05996">
        <w:rPr>
          <w:rFonts w:ascii="Times New Roman" w:eastAsia="Times New Roman" w:hAnsi="Times New Roman" w:cs="Times New Roman"/>
          <w:sz w:val="24"/>
          <w:szCs w:val="24"/>
          <w:lang w:eastAsia="pt-BR"/>
        </w:rPr>
        <w:t>cenário laboral</w:t>
      </w:r>
      <w:r w:rsidR="006554E2" w:rsidRPr="0003470B">
        <w:rPr>
          <w:rFonts w:ascii="Times New Roman" w:eastAsia="Times New Roman" w:hAnsi="Times New Roman" w:cs="Times New Roman"/>
          <w:sz w:val="24"/>
          <w:szCs w:val="24"/>
          <w:lang w:eastAsia="pt-BR"/>
        </w:rPr>
        <w:t xml:space="preserve">, </w:t>
      </w:r>
      <w:r w:rsidR="001C20B4" w:rsidRPr="0003470B">
        <w:rPr>
          <w:rFonts w:ascii="Times New Roman" w:eastAsia="Times New Roman" w:hAnsi="Times New Roman" w:cs="Times New Roman"/>
          <w:sz w:val="24"/>
          <w:szCs w:val="24"/>
          <w:lang w:eastAsia="pt-BR"/>
        </w:rPr>
        <w:t>grupo representante dos níveis mais elevados de desemprego</w:t>
      </w:r>
      <w:r w:rsidR="006554E2" w:rsidRPr="0003470B">
        <w:rPr>
          <w:rFonts w:ascii="Times New Roman" w:eastAsia="Times New Roman" w:hAnsi="Times New Roman" w:cs="Times New Roman"/>
          <w:sz w:val="24"/>
          <w:szCs w:val="24"/>
          <w:lang w:eastAsia="pt-BR"/>
        </w:rPr>
        <w:t>.</w:t>
      </w:r>
    </w:p>
    <w:p w14:paraId="461C798A" w14:textId="76C9DA5D" w:rsidR="000F7228"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Com abordagem alternativa, Silva e Fonseca Neto (2014) analisam os efeitos da crise financeira de 2008 sobre o </w:t>
      </w:r>
      <w:r w:rsidR="00C05996">
        <w:rPr>
          <w:rFonts w:ascii="Times New Roman" w:eastAsia="Times New Roman" w:hAnsi="Times New Roman" w:cs="Times New Roman"/>
          <w:sz w:val="24"/>
          <w:szCs w:val="24"/>
          <w:lang w:eastAsia="pt-BR"/>
        </w:rPr>
        <w:t>setor empregatício</w:t>
      </w:r>
      <w:r w:rsidRPr="5C63AAD9">
        <w:rPr>
          <w:rFonts w:ascii="Times New Roman" w:eastAsia="Times New Roman" w:hAnsi="Times New Roman" w:cs="Times New Roman"/>
          <w:sz w:val="24"/>
          <w:szCs w:val="24"/>
          <w:lang w:eastAsia="pt-BR"/>
        </w:rPr>
        <w:t xml:space="preserve"> nas regiões metropolitanas brasileiras a partir da PME, com dados referentes ao ano de 2002 até 2010. Para isso, utilizaram a metodologia de decomposição da variação do desemprego em contribuições da oferta e demanda por mão de obra. As inferências são de que os reflexos da crise não devem ser entendidos como brandos, apesar da elevação aparentemente pequena da taxa de desemprego. Nesse contexto, a retração da demanda por mão de obra foi a mais intensa registrada, com os dados da atual metodologia da pesquisa, iniciada em março de 2002. A elevação do desemprego foi contida pela desaceleração da oferta de mão de obra, beneficiada pela menor pressão exercida pela PEA feminina. Setorialmente, a perda de postos de trabalho concentrou-se na indústria, sobretudo, na indústria de transformação. </w:t>
      </w:r>
    </w:p>
    <w:p w14:paraId="1CD71D9D" w14:textId="38CB0F8E" w:rsidR="0010560D" w:rsidRPr="0003470B" w:rsidRDefault="00821D89">
      <w:pPr>
        <w:rPr>
          <w:rFonts w:ascii="Times New Roman" w:eastAsia="Times New Roman" w:hAnsi="Times New Roman" w:cs="Times New Roman"/>
          <w:sz w:val="24"/>
          <w:szCs w:val="24"/>
          <w:lang w:eastAsia="pt-BR"/>
        </w:rPr>
      </w:pPr>
      <w:r w:rsidRPr="0003470B">
        <w:rPr>
          <w:rFonts w:ascii="Times New Roman" w:eastAsia="Times New Roman" w:hAnsi="Times New Roman" w:cs="Times New Roman"/>
          <w:sz w:val="24"/>
          <w:szCs w:val="24"/>
          <w:lang w:eastAsia="pt-BR"/>
        </w:rPr>
        <w:t xml:space="preserve">Adicionalmente, </w:t>
      </w:r>
      <w:proofErr w:type="spellStart"/>
      <w:r w:rsidRPr="0003470B">
        <w:rPr>
          <w:rFonts w:ascii="Times New Roman" w:eastAsia="Times New Roman" w:hAnsi="Times New Roman" w:cs="Times New Roman"/>
          <w:sz w:val="24"/>
          <w:szCs w:val="24"/>
          <w:lang w:eastAsia="pt-BR"/>
        </w:rPr>
        <w:t>Attuy</w:t>
      </w:r>
      <w:proofErr w:type="spellEnd"/>
      <w:r w:rsidRPr="0003470B">
        <w:rPr>
          <w:rFonts w:ascii="Times New Roman" w:eastAsia="Times New Roman" w:hAnsi="Times New Roman" w:cs="Times New Roman"/>
          <w:sz w:val="24"/>
          <w:szCs w:val="24"/>
          <w:lang w:eastAsia="pt-BR"/>
        </w:rPr>
        <w:t xml:space="preserve"> (2014) avalia os ciclos do desemprego no Brasil e sugere a margem de ingresso para o desemprego</w:t>
      </w:r>
      <w:r w:rsidR="009040A1" w:rsidRPr="00CA3BB8">
        <w:footnoteReference w:id="2"/>
      </w:r>
      <w:r w:rsidRPr="0003470B">
        <w:rPr>
          <w:rFonts w:ascii="Times New Roman" w:eastAsia="Times New Roman" w:hAnsi="Times New Roman" w:cs="Times New Roman"/>
          <w:sz w:val="24"/>
          <w:szCs w:val="24"/>
          <w:lang w:eastAsia="pt-BR"/>
        </w:rPr>
        <w:t xml:space="preserve"> como o principal responsável por sua flutuação</w:t>
      </w:r>
      <w:r w:rsidR="00833C95" w:rsidRPr="0003470B">
        <w:rPr>
          <w:rFonts w:ascii="Times New Roman" w:eastAsia="Times New Roman" w:hAnsi="Times New Roman" w:cs="Times New Roman"/>
          <w:sz w:val="24"/>
          <w:szCs w:val="24"/>
          <w:lang w:eastAsia="pt-BR"/>
        </w:rPr>
        <w:t xml:space="preserve">, a partir de </w:t>
      </w:r>
      <w:r w:rsidR="004D28EC" w:rsidRPr="0003470B">
        <w:rPr>
          <w:rFonts w:ascii="Times New Roman" w:eastAsia="Times New Roman" w:hAnsi="Times New Roman" w:cs="Times New Roman"/>
          <w:sz w:val="24"/>
          <w:szCs w:val="24"/>
          <w:lang w:eastAsia="pt-BR"/>
        </w:rPr>
        <w:t xml:space="preserve">dados de fluxo de trabalhadores, de 2002 a 2010, obtidos a partir </w:t>
      </w:r>
      <w:r w:rsidR="00833C95" w:rsidRPr="0003470B">
        <w:rPr>
          <w:rFonts w:ascii="Times New Roman" w:eastAsia="Times New Roman" w:hAnsi="Times New Roman" w:cs="Times New Roman"/>
          <w:sz w:val="24"/>
          <w:szCs w:val="24"/>
          <w:lang w:eastAsia="pt-BR"/>
        </w:rPr>
        <w:t xml:space="preserve">da </w:t>
      </w:r>
      <w:r w:rsidR="004D28EC" w:rsidRPr="0003470B">
        <w:rPr>
          <w:rFonts w:ascii="Times New Roman" w:eastAsia="Times New Roman" w:hAnsi="Times New Roman" w:cs="Times New Roman"/>
          <w:sz w:val="24"/>
          <w:szCs w:val="24"/>
          <w:lang w:eastAsia="pt-BR"/>
        </w:rPr>
        <w:t>PME.</w:t>
      </w:r>
      <w:r w:rsidRPr="0003470B">
        <w:rPr>
          <w:rFonts w:ascii="Times New Roman" w:eastAsia="Times New Roman" w:hAnsi="Times New Roman" w:cs="Times New Roman"/>
          <w:sz w:val="24"/>
          <w:szCs w:val="24"/>
          <w:lang w:eastAsia="pt-BR"/>
        </w:rPr>
        <w:t xml:space="preserve"> </w:t>
      </w:r>
      <w:r w:rsidR="004D28EC" w:rsidRPr="0003470B">
        <w:rPr>
          <w:rFonts w:ascii="Times New Roman" w:eastAsia="Times New Roman" w:hAnsi="Times New Roman" w:cs="Times New Roman"/>
          <w:sz w:val="24"/>
          <w:szCs w:val="24"/>
          <w:lang w:eastAsia="pt-BR"/>
        </w:rPr>
        <w:t xml:space="preserve">Conforme </w:t>
      </w:r>
      <w:r w:rsidR="00C841CB">
        <w:rPr>
          <w:rFonts w:ascii="Times New Roman" w:eastAsia="Times New Roman" w:hAnsi="Times New Roman" w:cs="Times New Roman"/>
          <w:sz w:val="24"/>
          <w:szCs w:val="24"/>
          <w:lang w:eastAsia="pt-BR"/>
        </w:rPr>
        <w:t>o estudo</w:t>
      </w:r>
      <w:r w:rsidR="004D28EC" w:rsidRPr="0003470B">
        <w:rPr>
          <w:rFonts w:ascii="Times New Roman" w:eastAsia="Times New Roman" w:hAnsi="Times New Roman" w:cs="Times New Roman"/>
          <w:sz w:val="24"/>
          <w:szCs w:val="24"/>
          <w:lang w:eastAsia="pt-BR"/>
        </w:rPr>
        <w:t xml:space="preserve">, </w:t>
      </w:r>
      <w:r w:rsidRPr="0003470B">
        <w:rPr>
          <w:rFonts w:ascii="Times New Roman" w:eastAsia="Times New Roman" w:hAnsi="Times New Roman" w:cs="Times New Roman"/>
          <w:sz w:val="24"/>
          <w:szCs w:val="24"/>
          <w:lang w:eastAsia="pt-BR"/>
        </w:rPr>
        <w:t>o</w:t>
      </w:r>
      <w:r w:rsidR="00940C5A">
        <w:rPr>
          <w:rFonts w:ascii="Times New Roman" w:eastAsia="Times New Roman" w:hAnsi="Times New Roman" w:cs="Times New Roman"/>
          <w:sz w:val="24"/>
          <w:szCs w:val="24"/>
          <w:lang w:eastAsia="pt-BR"/>
        </w:rPr>
        <w:t xml:space="preserve"> </w:t>
      </w:r>
      <w:r w:rsidR="00C05996">
        <w:rPr>
          <w:rFonts w:ascii="Times New Roman" w:eastAsia="Times New Roman" w:hAnsi="Times New Roman" w:cs="Times New Roman"/>
          <w:sz w:val="24"/>
          <w:szCs w:val="24"/>
          <w:lang w:eastAsia="pt-BR"/>
        </w:rPr>
        <w:t>setor empregatício</w:t>
      </w:r>
      <w:r w:rsidR="00940C5A">
        <w:rPr>
          <w:rFonts w:ascii="Times New Roman" w:eastAsia="Times New Roman" w:hAnsi="Times New Roman" w:cs="Times New Roman"/>
          <w:sz w:val="24"/>
          <w:szCs w:val="24"/>
          <w:lang w:eastAsia="pt-BR"/>
        </w:rPr>
        <w:t xml:space="preserve"> do</w:t>
      </w:r>
      <w:r w:rsidRPr="0003470B">
        <w:rPr>
          <w:rFonts w:ascii="Times New Roman" w:eastAsia="Times New Roman" w:hAnsi="Times New Roman" w:cs="Times New Roman"/>
          <w:sz w:val="24"/>
          <w:szCs w:val="24"/>
          <w:lang w:eastAsia="pt-BR"/>
        </w:rPr>
        <w:t xml:space="preserve"> Brasil </w:t>
      </w:r>
      <w:r w:rsidR="00940C5A">
        <w:rPr>
          <w:rFonts w:ascii="Times New Roman" w:eastAsia="Times New Roman" w:hAnsi="Times New Roman" w:cs="Times New Roman"/>
          <w:sz w:val="24"/>
          <w:szCs w:val="24"/>
          <w:lang w:eastAsia="pt-BR"/>
        </w:rPr>
        <w:t>revela</w:t>
      </w:r>
      <w:r w:rsidRPr="0003470B">
        <w:rPr>
          <w:rFonts w:ascii="Times New Roman" w:eastAsia="Times New Roman" w:hAnsi="Times New Roman" w:cs="Times New Roman"/>
          <w:sz w:val="24"/>
          <w:szCs w:val="24"/>
          <w:lang w:eastAsia="pt-BR"/>
        </w:rPr>
        <w:t xml:space="preserve"> características mais próximas de um c</w:t>
      </w:r>
      <w:r w:rsidR="007172FE">
        <w:rPr>
          <w:rFonts w:ascii="Times New Roman" w:eastAsia="Times New Roman" w:hAnsi="Times New Roman" w:cs="Times New Roman"/>
          <w:sz w:val="24"/>
          <w:szCs w:val="24"/>
          <w:lang w:eastAsia="pt-BR"/>
        </w:rPr>
        <w:t>enário</w:t>
      </w:r>
      <w:r w:rsidRPr="0003470B">
        <w:rPr>
          <w:rFonts w:ascii="Times New Roman" w:eastAsia="Times New Roman" w:hAnsi="Times New Roman" w:cs="Times New Roman"/>
          <w:sz w:val="24"/>
          <w:szCs w:val="24"/>
          <w:lang w:eastAsia="pt-BR"/>
        </w:rPr>
        <w:t xml:space="preserve"> </w:t>
      </w:r>
      <w:r w:rsidR="00833C95" w:rsidRPr="0003470B">
        <w:rPr>
          <w:rFonts w:ascii="Times New Roman" w:eastAsia="Times New Roman" w:hAnsi="Times New Roman" w:cs="Times New Roman"/>
          <w:sz w:val="24"/>
          <w:szCs w:val="24"/>
          <w:lang w:eastAsia="pt-BR"/>
        </w:rPr>
        <w:t xml:space="preserve">de </w:t>
      </w:r>
      <w:r w:rsidRPr="0003470B">
        <w:rPr>
          <w:rFonts w:ascii="Times New Roman" w:eastAsia="Times New Roman" w:hAnsi="Times New Roman" w:cs="Times New Roman"/>
          <w:sz w:val="24"/>
          <w:szCs w:val="24"/>
          <w:lang w:eastAsia="pt-BR"/>
        </w:rPr>
        <w:t xml:space="preserve">baixa regulamentação. </w:t>
      </w:r>
      <w:r w:rsidR="004D28EC" w:rsidRPr="0003470B">
        <w:rPr>
          <w:rFonts w:ascii="Times New Roman" w:eastAsia="Times New Roman" w:hAnsi="Times New Roman" w:cs="Times New Roman"/>
          <w:sz w:val="24"/>
          <w:szCs w:val="24"/>
          <w:lang w:eastAsia="pt-BR"/>
        </w:rPr>
        <w:t>Nesse sentido, a</w:t>
      </w:r>
      <w:r w:rsidRPr="0003470B">
        <w:rPr>
          <w:rFonts w:ascii="Times New Roman" w:eastAsia="Times New Roman" w:hAnsi="Times New Roman" w:cs="Times New Roman"/>
          <w:sz w:val="24"/>
          <w:szCs w:val="24"/>
          <w:lang w:eastAsia="pt-BR"/>
        </w:rPr>
        <w:t xml:space="preserve"> dinâmica da margem </w:t>
      </w:r>
      <w:r w:rsidRPr="0003470B">
        <w:rPr>
          <w:rFonts w:ascii="Times New Roman" w:eastAsia="Times New Roman" w:hAnsi="Times New Roman" w:cs="Times New Roman"/>
          <w:sz w:val="24"/>
          <w:szCs w:val="24"/>
          <w:lang w:eastAsia="pt-BR"/>
        </w:rPr>
        <w:lastRenderedPageBreak/>
        <w:t>de ingresso para o desemprego pode ser usada para entender melhor os ciclos da taxa de desemprego no país.</w:t>
      </w:r>
    </w:p>
    <w:p w14:paraId="49B1CF5F" w14:textId="695206CF" w:rsidR="004D3AAA"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Em paralelo, Saboia (2014) discute a aparente contradição entre o baixo crescimento econômico e a melhoria do </w:t>
      </w:r>
      <w:r w:rsidR="00C05996">
        <w:rPr>
          <w:rFonts w:ascii="Times New Roman" w:eastAsia="Times New Roman" w:hAnsi="Times New Roman" w:cs="Times New Roman"/>
          <w:sz w:val="24"/>
          <w:szCs w:val="24"/>
          <w:lang w:eastAsia="pt-BR"/>
        </w:rPr>
        <w:t xml:space="preserve">cenário laboral </w:t>
      </w:r>
      <w:r w:rsidRPr="5C63AAD9">
        <w:rPr>
          <w:rFonts w:ascii="Times New Roman" w:eastAsia="Times New Roman" w:hAnsi="Times New Roman" w:cs="Times New Roman"/>
          <w:sz w:val="24"/>
          <w:szCs w:val="24"/>
          <w:lang w:eastAsia="pt-BR"/>
        </w:rPr>
        <w:t>no Brasil entre 2004 e 2013, a partir de dados do Cadastro Geral de Empregados e Desempregados do Ministério do Trabalho e Emprego (</w:t>
      </w:r>
      <w:proofErr w:type="spellStart"/>
      <w:r w:rsidRPr="5C63AAD9">
        <w:rPr>
          <w:rFonts w:ascii="Times New Roman" w:eastAsia="Times New Roman" w:hAnsi="Times New Roman" w:cs="Times New Roman"/>
          <w:sz w:val="24"/>
          <w:szCs w:val="24"/>
          <w:lang w:eastAsia="pt-BR"/>
        </w:rPr>
        <w:t>Caged</w:t>
      </w:r>
      <w:proofErr w:type="spellEnd"/>
      <w:r w:rsidRPr="5C63AAD9">
        <w:rPr>
          <w:rFonts w:ascii="Times New Roman" w:eastAsia="Times New Roman" w:hAnsi="Times New Roman" w:cs="Times New Roman"/>
          <w:sz w:val="24"/>
          <w:szCs w:val="24"/>
          <w:lang w:eastAsia="pt-BR"/>
        </w:rPr>
        <w:t xml:space="preserve">) e da PME. Nessa perspectiva, a queda do PIB não implica, necessariamente, em redução na geração de empregos, pois </w:t>
      </w:r>
      <w:r w:rsidR="00C05996">
        <w:rPr>
          <w:rFonts w:ascii="Times New Roman" w:eastAsia="Times New Roman" w:hAnsi="Times New Roman" w:cs="Times New Roman"/>
          <w:sz w:val="24"/>
          <w:szCs w:val="24"/>
          <w:lang w:eastAsia="pt-BR"/>
        </w:rPr>
        <w:t>a esfera ocupacional</w:t>
      </w:r>
      <w:r w:rsidRPr="5C63AAD9">
        <w:rPr>
          <w:rFonts w:ascii="Times New Roman" w:eastAsia="Times New Roman" w:hAnsi="Times New Roman" w:cs="Times New Roman"/>
          <w:sz w:val="24"/>
          <w:szCs w:val="24"/>
          <w:lang w:eastAsia="pt-BR"/>
        </w:rPr>
        <w:t xml:space="preserve"> apresentou crescimento devido a mudanças estruturais na economia brasileira, </w:t>
      </w:r>
      <w:r w:rsidR="00C05996">
        <w:rPr>
          <w:rFonts w:ascii="Times New Roman" w:eastAsia="Times New Roman" w:hAnsi="Times New Roman" w:cs="Times New Roman"/>
          <w:sz w:val="24"/>
          <w:szCs w:val="24"/>
          <w:lang w:eastAsia="pt-BR"/>
        </w:rPr>
        <w:t>com</w:t>
      </w:r>
      <w:r w:rsidR="00C05996"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 xml:space="preserve">a formalização do trabalho e a expansão do setor de serviços. Segundo esta abordagem, a conjuntura mencionada resulta da contínua geração de empregos de baixos salários e reduzida produtividade no país. Logo, o desenvolvimento do </w:t>
      </w:r>
      <w:r w:rsidR="00C05996">
        <w:rPr>
          <w:rFonts w:ascii="Times New Roman" w:eastAsia="Times New Roman" w:hAnsi="Times New Roman" w:cs="Times New Roman"/>
          <w:sz w:val="24"/>
          <w:szCs w:val="24"/>
          <w:lang w:eastAsia="pt-BR"/>
        </w:rPr>
        <w:t>segmento trabalhista</w:t>
      </w:r>
      <w:r w:rsidRPr="5C63AAD9">
        <w:rPr>
          <w:rFonts w:ascii="Times New Roman" w:eastAsia="Times New Roman" w:hAnsi="Times New Roman" w:cs="Times New Roman"/>
          <w:sz w:val="24"/>
          <w:szCs w:val="24"/>
          <w:lang w:eastAsia="pt-BR"/>
        </w:rPr>
        <w:t xml:space="preserve"> no Brasil é um fenômeno complexo e multifacetado, não passível de ser explicado, apenas, pelo crescimento econômico. Assim, de forma semelhante à Silva</w:t>
      </w:r>
      <w:r w:rsidR="008C3071">
        <w:rPr>
          <w:rFonts w:ascii="Times New Roman" w:eastAsia="Times New Roman" w:hAnsi="Times New Roman" w:cs="Times New Roman"/>
          <w:sz w:val="24"/>
          <w:szCs w:val="24"/>
          <w:lang w:eastAsia="pt-BR"/>
        </w:rPr>
        <w:t xml:space="preserve"> Filho</w:t>
      </w:r>
      <w:r w:rsidRPr="5C63AAD9">
        <w:rPr>
          <w:rFonts w:ascii="Times New Roman" w:eastAsia="Times New Roman" w:hAnsi="Times New Roman" w:cs="Times New Roman"/>
          <w:sz w:val="24"/>
          <w:szCs w:val="24"/>
          <w:lang w:eastAsia="pt-BR"/>
        </w:rPr>
        <w:t xml:space="preserve">, Queiroz e Clementino (2016), Saboia (2014) defende políticas públicas voltadas à regularização do trabalho e ao </w:t>
      </w:r>
      <w:r w:rsidR="00B0655C">
        <w:rPr>
          <w:rFonts w:ascii="Times New Roman" w:eastAsia="Times New Roman" w:hAnsi="Times New Roman" w:cs="Times New Roman"/>
          <w:sz w:val="24"/>
          <w:szCs w:val="24"/>
          <w:lang w:eastAsia="pt-BR"/>
        </w:rPr>
        <w:t>incremento</w:t>
      </w:r>
      <w:r w:rsidR="00B0655C"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da produtividade, via investimentos voltados ao aumento da qualidade da educação pública em geral.</w:t>
      </w:r>
    </w:p>
    <w:p w14:paraId="056492C1" w14:textId="7AF3A791" w:rsidR="00D0728A" w:rsidRPr="0003470B" w:rsidRDefault="005479A3">
      <w:pPr>
        <w:rPr>
          <w:rFonts w:ascii="Times New Roman" w:eastAsia="Times New Roman" w:hAnsi="Times New Roman" w:cs="Times New Roman"/>
          <w:sz w:val="24"/>
          <w:szCs w:val="24"/>
          <w:lang w:eastAsia="pt-BR"/>
        </w:rPr>
      </w:pPr>
      <w:r w:rsidRPr="0003470B">
        <w:rPr>
          <w:rFonts w:ascii="Times New Roman" w:eastAsia="Times New Roman" w:hAnsi="Times New Roman" w:cs="Times New Roman"/>
          <w:sz w:val="24"/>
          <w:szCs w:val="24"/>
          <w:lang w:eastAsia="pt-BR"/>
        </w:rPr>
        <w:t xml:space="preserve">Sob outra perspectiva, </w:t>
      </w:r>
      <w:r w:rsidR="00D0728A" w:rsidRPr="0003470B">
        <w:rPr>
          <w:rFonts w:ascii="Times New Roman" w:eastAsia="Times New Roman" w:hAnsi="Times New Roman" w:cs="Times New Roman"/>
          <w:sz w:val="24"/>
          <w:szCs w:val="24"/>
          <w:lang w:eastAsia="pt-BR"/>
        </w:rPr>
        <w:t>Brito, Silva e Rossi (2021) an</w:t>
      </w:r>
      <w:r w:rsidR="000A0F85" w:rsidRPr="0003470B">
        <w:rPr>
          <w:rFonts w:ascii="Times New Roman" w:eastAsia="Times New Roman" w:hAnsi="Times New Roman" w:cs="Times New Roman"/>
          <w:sz w:val="24"/>
          <w:szCs w:val="24"/>
          <w:lang w:eastAsia="pt-BR"/>
        </w:rPr>
        <w:t xml:space="preserve">alisam </w:t>
      </w:r>
      <w:r w:rsidR="00D0728A" w:rsidRPr="0003470B">
        <w:rPr>
          <w:rFonts w:ascii="Times New Roman" w:eastAsia="Times New Roman" w:hAnsi="Times New Roman" w:cs="Times New Roman"/>
          <w:sz w:val="24"/>
          <w:szCs w:val="24"/>
          <w:lang w:eastAsia="pt-BR"/>
        </w:rPr>
        <w:t xml:space="preserve">a participação no </w:t>
      </w:r>
      <w:r w:rsidR="00C05996">
        <w:rPr>
          <w:rFonts w:ascii="Times New Roman" w:eastAsia="Times New Roman" w:hAnsi="Times New Roman" w:cs="Times New Roman"/>
          <w:sz w:val="24"/>
          <w:szCs w:val="24"/>
          <w:lang w:eastAsia="pt-BR"/>
        </w:rPr>
        <w:t>cenário laboral</w:t>
      </w:r>
      <w:r w:rsidR="00D0728A" w:rsidRPr="0003470B">
        <w:rPr>
          <w:rFonts w:ascii="Times New Roman" w:eastAsia="Times New Roman" w:hAnsi="Times New Roman" w:cs="Times New Roman"/>
          <w:sz w:val="24"/>
          <w:szCs w:val="24"/>
          <w:lang w:eastAsia="pt-BR"/>
        </w:rPr>
        <w:t xml:space="preserve"> no Brasil</w:t>
      </w:r>
      <w:r w:rsidR="00295703" w:rsidRPr="0003470B">
        <w:rPr>
          <w:rFonts w:ascii="Times New Roman" w:eastAsia="Times New Roman" w:hAnsi="Times New Roman" w:cs="Times New Roman"/>
          <w:sz w:val="24"/>
          <w:szCs w:val="24"/>
          <w:lang w:eastAsia="pt-BR"/>
        </w:rPr>
        <w:t>, em 2010</w:t>
      </w:r>
      <w:r w:rsidR="00D0728A" w:rsidRPr="0003470B">
        <w:rPr>
          <w:rFonts w:ascii="Times New Roman" w:eastAsia="Times New Roman" w:hAnsi="Times New Roman" w:cs="Times New Roman"/>
          <w:sz w:val="24"/>
          <w:szCs w:val="24"/>
          <w:lang w:eastAsia="pt-BR"/>
        </w:rPr>
        <w:t xml:space="preserve">, com a utilização </w:t>
      </w:r>
      <w:r w:rsidR="00230374" w:rsidRPr="0003470B">
        <w:rPr>
          <w:rFonts w:ascii="Times New Roman" w:eastAsia="Times New Roman" w:hAnsi="Times New Roman" w:cs="Times New Roman"/>
          <w:sz w:val="24"/>
          <w:szCs w:val="24"/>
          <w:lang w:eastAsia="pt-BR"/>
        </w:rPr>
        <w:t xml:space="preserve">de metodologias que incluem: o </w:t>
      </w:r>
      <w:r w:rsidR="00D0728A" w:rsidRPr="0003470B">
        <w:rPr>
          <w:rFonts w:ascii="Times New Roman" w:eastAsia="Times New Roman" w:hAnsi="Times New Roman" w:cs="Times New Roman"/>
          <w:sz w:val="24"/>
          <w:szCs w:val="24"/>
          <w:lang w:eastAsia="pt-BR"/>
        </w:rPr>
        <w:t xml:space="preserve">modelo </w:t>
      </w:r>
      <w:r w:rsidR="00230374" w:rsidRPr="0003470B">
        <w:rPr>
          <w:rFonts w:ascii="Times New Roman" w:eastAsia="Times New Roman" w:hAnsi="Times New Roman" w:cs="Times New Roman"/>
          <w:sz w:val="24"/>
          <w:szCs w:val="24"/>
          <w:lang w:eastAsia="pt-BR"/>
        </w:rPr>
        <w:t xml:space="preserve">de regressão </w:t>
      </w:r>
      <w:proofErr w:type="spellStart"/>
      <w:r w:rsidR="00CD3DF5" w:rsidRPr="00CA3BB8">
        <w:rPr>
          <w:rFonts w:ascii="Times New Roman" w:eastAsia="Times New Roman" w:hAnsi="Times New Roman" w:cs="Times New Roman"/>
          <w:sz w:val="24"/>
          <w:szCs w:val="24"/>
          <w:lang w:eastAsia="pt-BR"/>
        </w:rPr>
        <w:t>Logit</w:t>
      </w:r>
      <w:proofErr w:type="spellEnd"/>
      <w:r w:rsidR="00CD3DF5" w:rsidRPr="0003470B">
        <w:rPr>
          <w:rFonts w:ascii="Times New Roman" w:eastAsia="Times New Roman" w:hAnsi="Times New Roman" w:cs="Times New Roman"/>
          <w:sz w:val="24"/>
          <w:szCs w:val="24"/>
          <w:lang w:eastAsia="pt-BR"/>
        </w:rPr>
        <w:t xml:space="preserve"> Multinível</w:t>
      </w:r>
      <w:r w:rsidR="00D0728A" w:rsidRPr="0003470B">
        <w:rPr>
          <w:rFonts w:ascii="Times New Roman" w:eastAsia="Times New Roman" w:hAnsi="Times New Roman" w:cs="Times New Roman"/>
          <w:sz w:val="24"/>
          <w:szCs w:val="24"/>
          <w:lang w:eastAsia="pt-BR"/>
        </w:rPr>
        <w:t xml:space="preserve">, técnicas de </w:t>
      </w:r>
      <w:r w:rsidR="006519F1" w:rsidRPr="0003470B">
        <w:rPr>
          <w:rFonts w:ascii="Times New Roman" w:eastAsia="Times New Roman" w:hAnsi="Times New Roman" w:cs="Times New Roman"/>
          <w:sz w:val="24"/>
          <w:szCs w:val="24"/>
          <w:lang w:eastAsia="pt-BR"/>
        </w:rPr>
        <w:t xml:space="preserve">Análise Espacial </w:t>
      </w:r>
      <w:r w:rsidR="00D0728A" w:rsidRPr="0003470B">
        <w:rPr>
          <w:rFonts w:ascii="Times New Roman" w:eastAsia="Times New Roman" w:hAnsi="Times New Roman" w:cs="Times New Roman"/>
          <w:sz w:val="24"/>
          <w:szCs w:val="24"/>
          <w:lang w:eastAsia="pt-BR"/>
        </w:rPr>
        <w:t xml:space="preserve">e um </w:t>
      </w:r>
      <w:r w:rsidR="006519F1" w:rsidRPr="0003470B">
        <w:rPr>
          <w:rFonts w:ascii="Times New Roman" w:eastAsia="Times New Roman" w:hAnsi="Times New Roman" w:cs="Times New Roman"/>
          <w:sz w:val="24"/>
          <w:szCs w:val="24"/>
          <w:lang w:eastAsia="pt-BR"/>
        </w:rPr>
        <w:t>Arquétipo Hierárquico-Social</w:t>
      </w:r>
      <w:r w:rsidR="00145D7B" w:rsidRPr="00CA3BB8">
        <w:footnoteReference w:id="3"/>
      </w:r>
      <w:r w:rsidR="00D0728A" w:rsidRPr="0003470B">
        <w:rPr>
          <w:rFonts w:ascii="Times New Roman" w:eastAsia="Times New Roman" w:hAnsi="Times New Roman" w:cs="Times New Roman"/>
          <w:sz w:val="24"/>
          <w:szCs w:val="24"/>
          <w:lang w:eastAsia="pt-BR"/>
        </w:rPr>
        <w:t xml:space="preserve">, para ponderar a existência de </w:t>
      </w:r>
      <w:r w:rsidR="00CD3DF5" w:rsidRPr="0003470B">
        <w:rPr>
          <w:rFonts w:ascii="Times New Roman" w:eastAsia="Times New Roman" w:hAnsi="Times New Roman" w:cs="Times New Roman"/>
          <w:sz w:val="24"/>
          <w:szCs w:val="24"/>
          <w:lang w:eastAsia="pt-BR"/>
        </w:rPr>
        <w:t>Autocorrelação Espacial</w:t>
      </w:r>
      <w:r w:rsidR="00401DEC" w:rsidRPr="0003470B">
        <w:rPr>
          <w:rFonts w:ascii="Times New Roman" w:eastAsia="Times New Roman" w:hAnsi="Times New Roman" w:cs="Times New Roman"/>
          <w:sz w:val="24"/>
          <w:szCs w:val="24"/>
          <w:lang w:eastAsia="pt-BR"/>
        </w:rPr>
        <w:t xml:space="preserve">, em relação as chances de um indivíduo estar </w:t>
      </w:r>
      <w:r w:rsidR="00295703" w:rsidRPr="0003470B">
        <w:rPr>
          <w:rFonts w:ascii="Times New Roman" w:eastAsia="Times New Roman" w:hAnsi="Times New Roman" w:cs="Times New Roman"/>
          <w:sz w:val="24"/>
          <w:szCs w:val="24"/>
          <w:lang w:eastAsia="pt-BR"/>
        </w:rPr>
        <w:t>empregado</w:t>
      </w:r>
      <w:r w:rsidR="001F093D" w:rsidRPr="0003470B">
        <w:rPr>
          <w:rFonts w:ascii="Times New Roman" w:eastAsia="Times New Roman" w:hAnsi="Times New Roman" w:cs="Times New Roman"/>
          <w:sz w:val="24"/>
          <w:szCs w:val="24"/>
          <w:lang w:eastAsia="pt-BR"/>
        </w:rPr>
        <w:t>. N</w:t>
      </w:r>
      <w:r w:rsidR="006D291E">
        <w:rPr>
          <w:rFonts w:ascii="Times New Roman" w:eastAsia="Times New Roman" w:hAnsi="Times New Roman" w:cs="Times New Roman"/>
          <w:sz w:val="24"/>
          <w:szCs w:val="24"/>
          <w:lang w:eastAsia="pt-BR"/>
        </w:rPr>
        <w:t>as</w:t>
      </w:r>
      <w:r w:rsidR="00D0728A" w:rsidRPr="0003470B">
        <w:rPr>
          <w:rFonts w:ascii="Times New Roman" w:eastAsia="Times New Roman" w:hAnsi="Times New Roman" w:cs="Times New Roman"/>
          <w:sz w:val="24"/>
          <w:szCs w:val="24"/>
          <w:lang w:eastAsia="pt-BR"/>
        </w:rPr>
        <w:t xml:space="preserve"> c</w:t>
      </w:r>
      <w:r w:rsidR="006D291E">
        <w:rPr>
          <w:rFonts w:ascii="Times New Roman" w:eastAsia="Times New Roman" w:hAnsi="Times New Roman" w:cs="Times New Roman"/>
          <w:sz w:val="24"/>
          <w:szCs w:val="24"/>
          <w:lang w:eastAsia="pt-BR"/>
        </w:rPr>
        <w:t>ircunstâncias</w:t>
      </w:r>
      <w:r w:rsidR="00D0728A" w:rsidRPr="0003470B">
        <w:rPr>
          <w:rFonts w:ascii="Times New Roman" w:eastAsia="Times New Roman" w:hAnsi="Times New Roman" w:cs="Times New Roman"/>
          <w:sz w:val="24"/>
          <w:szCs w:val="24"/>
          <w:lang w:eastAsia="pt-BR"/>
        </w:rPr>
        <w:t xml:space="preserve"> estudad</w:t>
      </w:r>
      <w:r w:rsidR="006D291E">
        <w:rPr>
          <w:rFonts w:ascii="Times New Roman" w:eastAsia="Times New Roman" w:hAnsi="Times New Roman" w:cs="Times New Roman"/>
          <w:sz w:val="24"/>
          <w:szCs w:val="24"/>
          <w:lang w:eastAsia="pt-BR"/>
        </w:rPr>
        <w:t>as</w:t>
      </w:r>
      <w:r w:rsidR="00D0728A" w:rsidRPr="0003470B">
        <w:rPr>
          <w:rFonts w:ascii="Times New Roman" w:eastAsia="Times New Roman" w:hAnsi="Times New Roman" w:cs="Times New Roman"/>
          <w:sz w:val="24"/>
          <w:szCs w:val="24"/>
          <w:lang w:eastAsia="pt-BR"/>
        </w:rPr>
        <w:t xml:space="preserve">, fatores como a educação, idade, gênero e localização geográfica </w:t>
      </w:r>
      <w:r w:rsidR="003F18DE" w:rsidRPr="0003470B">
        <w:rPr>
          <w:rFonts w:ascii="Times New Roman" w:eastAsia="Times New Roman" w:hAnsi="Times New Roman" w:cs="Times New Roman"/>
          <w:sz w:val="24"/>
          <w:szCs w:val="24"/>
          <w:lang w:eastAsia="pt-BR"/>
        </w:rPr>
        <w:t xml:space="preserve">são determinantes para </w:t>
      </w:r>
      <w:r w:rsidR="00D0728A" w:rsidRPr="0003470B">
        <w:rPr>
          <w:rFonts w:ascii="Times New Roman" w:eastAsia="Times New Roman" w:hAnsi="Times New Roman" w:cs="Times New Roman"/>
          <w:sz w:val="24"/>
          <w:szCs w:val="24"/>
          <w:lang w:eastAsia="pt-BR"/>
        </w:rPr>
        <w:t>a participação</w:t>
      </w:r>
      <w:r w:rsidR="00C05996">
        <w:rPr>
          <w:rFonts w:ascii="Times New Roman" w:eastAsia="Times New Roman" w:hAnsi="Times New Roman" w:cs="Times New Roman"/>
          <w:sz w:val="24"/>
          <w:szCs w:val="24"/>
          <w:lang w:eastAsia="pt-BR"/>
        </w:rPr>
        <w:t xml:space="preserve"> na esfera ocupacional</w:t>
      </w:r>
      <w:r w:rsidR="00D0728A" w:rsidRPr="0003470B">
        <w:rPr>
          <w:rFonts w:ascii="Times New Roman" w:eastAsia="Times New Roman" w:hAnsi="Times New Roman" w:cs="Times New Roman"/>
          <w:sz w:val="24"/>
          <w:szCs w:val="24"/>
          <w:lang w:eastAsia="pt-BR"/>
        </w:rPr>
        <w:t xml:space="preserve">, com diferenças significativas entre </w:t>
      </w:r>
      <w:r w:rsidR="00212665" w:rsidRPr="0003470B">
        <w:rPr>
          <w:rFonts w:ascii="Times New Roman" w:eastAsia="Times New Roman" w:hAnsi="Times New Roman" w:cs="Times New Roman"/>
          <w:sz w:val="24"/>
          <w:szCs w:val="24"/>
          <w:lang w:eastAsia="pt-BR"/>
        </w:rPr>
        <w:t>os municípios</w:t>
      </w:r>
      <w:r w:rsidR="00D0728A" w:rsidRPr="0003470B">
        <w:rPr>
          <w:rFonts w:ascii="Times New Roman" w:eastAsia="Times New Roman" w:hAnsi="Times New Roman" w:cs="Times New Roman"/>
          <w:sz w:val="24"/>
          <w:szCs w:val="24"/>
          <w:lang w:eastAsia="pt-BR"/>
        </w:rPr>
        <w:t xml:space="preserve"> do país. </w:t>
      </w:r>
      <w:r w:rsidR="001F093D" w:rsidRPr="0003470B">
        <w:rPr>
          <w:rFonts w:ascii="Times New Roman" w:eastAsia="Times New Roman" w:hAnsi="Times New Roman" w:cs="Times New Roman"/>
          <w:sz w:val="24"/>
          <w:szCs w:val="24"/>
          <w:lang w:eastAsia="pt-BR"/>
        </w:rPr>
        <w:t xml:space="preserve">Em conformidade com Berg e Ribeiro (2010), </w:t>
      </w:r>
      <w:r w:rsidR="00721C7F">
        <w:rPr>
          <w:rFonts w:ascii="Times New Roman" w:eastAsia="Times New Roman" w:hAnsi="Times New Roman" w:cs="Times New Roman"/>
          <w:sz w:val="24"/>
          <w:szCs w:val="24"/>
          <w:lang w:eastAsia="pt-BR"/>
        </w:rPr>
        <w:t>o</w:t>
      </w:r>
      <w:r w:rsidR="00D0728A" w:rsidRPr="0003470B">
        <w:rPr>
          <w:rFonts w:ascii="Times New Roman" w:eastAsia="Times New Roman" w:hAnsi="Times New Roman" w:cs="Times New Roman"/>
          <w:sz w:val="24"/>
          <w:szCs w:val="24"/>
          <w:lang w:eastAsia="pt-BR"/>
        </w:rPr>
        <w:t xml:space="preserve"> </w:t>
      </w:r>
      <w:r w:rsidR="00721C7F">
        <w:rPr>
          <w:rFonts w:ascii="Times New Roman" w:eastAsia="Times New Roman" w:hAnsi="Times New Roman" w:cs="Times New Roman"/>
          <w:sz w:val="24"/>
          <w:szCs w:val="24"/>
          <w:lang w:eastAsia="pt-BR"/>
        </w:rPr>
        <w:t>estudo</w:t>
      </w:r>
      <w:r w:rsidR="001F093D" w:rsidRPr="0003470B">
        <w:rPr>
          <w:rFonts w:ascii="Times New Roman" w:eastAsia="Times New Roman" w:hAnsi="Times New Roman" w:cs="Times New Roman"/>
          <w:sz w:val="24"/>
          <w:szCs w:val="24"/>
          <w:lang w:eastAsia="pt-BR"/>
        </w:rPr>
        <w:t xml:space="preserve"> analisado também</w:t>
      </w:r>
      <w:r w:rsidR="00D0728A" w:rsidRPr="0003470B">
        <w:rPr>
          <w:rFonts w:ascii="Times New Roman" w:eastAsia="Times New Roman" w:hAnsi="Times New Roman" w:cs="Times New Roman"/>
          <w:sz w:val="24"/>
          <w:szCs w:val="24"/>
          <w:lang w:eastAsia="pt-BR"/>
        </w:rPr>
        <w:t xml:space="preserve"> destaca as desigualdades de gênero no mercado ocupacional trabalhista, com as mulheres enfrentando maior dificuldade </w:t>
      </w:r>
      <w:r w:rsidR="009B59AD" w:rsidRPr="0003470B">
        <w:rPr>
          <w:rFonts w:ascii="Times New Roman" w:eastAsia="Times New Roman" w:hAnsi="Times New Roman" w:cs="Times New Roman"/>
          <w:sz w:val="24"/>
          <w:szCs w:val="24"/>
          <w:lang w:eastAsia="pt-BR"/>
        </w:rPr>
        <w:t xml:space="preserve">de ingresso </w:t>
      </w:r>
      <w:r w:rsidR="00D0728A" w:rsidRPr="0003470B">
        <w:rPr>
          <w:rFonts w:ascii="Times New Roman" w:eastAsia="Times New Roman" w:hAnsi="Times New Roman" w:cs="Times New Roman"/>
          <w:sz w:val="24"/>
          <w:szCs w:val="24"/>
          <w:lang w:eastAsia="pt-BR"/>
        </w:rPr>
        <w:t xml:space="preserve">e </w:t>
      </w:r>
      <w:r w:rsidR="009B59AD" w:rsidRPr="0003470B">
        <w:rPr>
          <w:rFonts w:ascii="Times New Roman" w:eastAsia="Times New Roman" w:hAnsi="Times New Roman" w:cs="Times New Roman"/>
          <w:sz w:val="24"/>
          <w:szCs w:val="24"/>
          <w:lang w:eastAsia="pt-BR"/>
        </w:rPr>
        <w:t>manutenção do posto de trabalho</w:t>
      </w:r>
      <w:r w:rsidR="00D0728A" w:rsidRPr="0003470B">
        <w:rPr>
          <w:rFonts w:ascii="Times New Roman" w:eastAsia="Times New Roman" w:hAnsi="Times New Roman" w:cs="Times New Roman"/>
          <w:sz w:val="24"/>
          <w:szCs w:val="24"/>
          <w:lang w:eastAsia="pt-BR"/>
        </w:rPr>
        <w:t>, especialmente</w:t>
      </w:r>
      <w:r w:rsidR="000C7F36" w:rsidRPr="0003470B">
        <w:rPr>
          <w:rFonts w:ascii="Times New Roman" w:eastAsia="Times New Roman" w:hAnsi="Times New Roman" w:cs="Times New Roman"/>
          <w:sz w:val="24"/>
          <w:szCs w:val="24"/>
          <w:lang w:eastAsia="pt-BR"/>
        </w:rPr>
        <w:t>,</w:t>
      </w:r>
      <w:r w:rsidR="00D0728A" w:rsidRPr="0003470B">
        <w:rPr>
          <w:rFonts w:ascii="Times New Roman" w:eastAsia="Times New Roman" w:hAnsi="Times New Roman" w:cs="Times New Roman"/>
          <w:sz w:val="24"/>
          <w:szCs w:val="24"/>
          <w:lang w:eastAsia="pt-BR"/>
        </w:rPr>
        <w:t xml:space="preserve"> em posições de liderança. Para superar essas adversidades, </w:t>
      </w:r>
      <w:r w:rsidR="009B59AD" w:rsidRPr="0003470B">
        <w:rPr>
          <w:rFonts w:ascii="Times New Roman" w:eastAsia="Times New Roman" w:hAnsi="Times New Roman" w:cs="Times New Roman"/>
          <w:sz w:val="24"/>
          <w:szCs w:val="24"/>
          <w:lang w:eastAsia="pt-BR"/>
        </w:rPr>
        <w:t>o estudo, de modo similar aos autores mencionados, sugere</w:t>
      </w:r>
      <w:r w:rsidR="00BF6EC9" w:rsidRPr="0003470B">
        <w:rPr>
          <w:rFonts w:ascii="Times New Roman" w:eastAsia="Times New Roman" w:hAnsi="Times New Roman" w:cs="Times New Roman"/>
          <w:sz w:val="24"/>
          <w:szCs w:val="24"/>
          <w:lang w:eastAsia="pt-BR"/>
        </w:rPr>
        <w:t>, para além da</w:t>
      </w:r>
      <w:r w:rsidR="00D0728A" w:rsidRPr="0003470B">
        <w:rPr>
          <w:rFonts w:ascii="Times New Roman" w:eastAsia="Times New Roman" w:hAnsi="Times New Roman" w:cs="Times New Roman"/>
          <w:sz w:val="24"/>
          <w:szCs w:val="24"/>
          <w:lang w:eastAsia="pt-BR"/>
        </w:rPr>
        <w:t xml:space="preserve"> implementação de políticas públicas focadas às necessidades locais de empregabilidade</w:t>
      </w:r>
      <w:r w:rsidR="00BF6EC9" w:rsidRPr="0003470B">
        <w:rPr>
          <w:rFonts w:ascii="Times New Roman" w:eastAsia="Times New Roman" w:hAnsi="Times New Roman" w:cs="Times New Roman"/>
          <w:sz w:val="24"/>
          <w:szCs w:val="24"/>
          <w:lang w:eastAsia="pt-BR"/>
        </w:rPr>
        <w:t xml:space="preserve"> (</w:t>
      </w:r>
      <w:r w:rsidR="00D0728A" w:rsidRPr="0003470B">
        <w:rPr>
          <w:rFonts w:ascii="Times New Roman" w:eastAsia="Times New Roman" w:hAnsi="Times New Roman" w:cs="Times New Roman"/>
          <w:sz w:val="24"/>
          <w:szCs w:val="24"/>
          <w:lang w:eastAsia="pt-BR"/>
        </w:rPr>
        <w:t>investimento em educação e treinamento</w:t>
      </w:r>
      <w:r w:rsidR="00BF6EC9" w:rsidRPr="0003470B">
        <w:rPr>
          <w:rFonts w:ascii="Times New Roman" w:eastAsia="Times New Roman" w:hAnsi="Times New Roman" w:cs="Times New Roman"/>
          <w:sz w:val="24"/>
          <w:szCs w:val="24"/>
          <w:lang w:eastAsia="pt-BR"/>
        </w:rPr>
        <w:t xml:space="preserve">), </w:t>
      </w:r>
      <w:r w:rsidR="00D0728A" w:rsidRPr="0003470B">
        <w:rPr>
          <w:rFonts w:ascii="Times New Roman" w:eastAsia="Times New Roman" w:hAnsi="Times New Roman" w:cs="Times New Roman"/>
          <w:sz w:val="24"/>
          <w:szCs w:val="24"/>
          <w:lang w:eastAsia="pt-BR"/>
        </w:rPr>
        <w:t xml:space="preserve">ações </w:t>
      </w:r>
      <w:r w:rsidR="00F63C3E" w:rsidRPr="0003470B">
        <w:rPr>
          <w:rFonts w:ascii="Times New Roman" w:eastAsia="Times New Roman" w:hAnsi="Times New Roman" w:cs="Times New Roman"/>
          <w:sz w:val="24"/>
          <w:szCs w:val="24"/>
          <w:lang w:eastAsia="pt-BR"/>
        </w:rPr>
        <w:t>com vistas a</w:t>
      </w:r>
      <w:r w:rsidR="00D0728A" w:rsidRPr="0003470B">
        <w:rPr>
          <w:rFonts w:ascii="Times New Roman" w:eastAsia="Times New Roman" w:hAnsi="Times New Roman" w:cs="Times New Roman"/>
          <w:sz w:val="24"/>
          <w:szCs w:val="24"/>
          <w:lang w:eastAsia="pt-BR"/>
        </w:rPr>
        <w:t xml:space="preserve"> aumentar a participação </w:t>
      </w:r>
      <w:r w:rsidR="00F63C3E" w:rsidRPr="0003470B">
        <w:rPr>
          <w:rFonts w:ascii="Times New Roman" w:eastAsia="Times New Roman" w:hAnsi="Times New Roman" w:cs="Times New Roman"/>
          <w:sz w:val="24"/>
          <w:szCs w:val="24"/>
          <w:lang w:eastAsia="pt-BR"/>
        </w:rPr>
        <w:t xml:space="preserve">feminina </w:t>
      </w:r>
      <w:r w:rsidR="00D0728A" w:rsidRPr="0003470B">
        <w:rPr>
          <w:rFonts w:ascii="Times New Roman" w:eastAsia="Times New Roman" w:hAnsi="Times New Roman" w:cs="Times New Roman"/>
          <w:sz w:val="24"/>
          <w:szCs w:val="24"/>
          <w:lang w:eastAsia="pt-BR"/>
        </w:rPr>
        <w:t xml:space="preserve">no </w:t>
      </w:r>
      <w:r w:rsidR="00C05996">
        <w:rPr>
          <w:rFonts w:ascii="Times New Roman" w:eastAsia="Times New Roman" w:hAnsi="Times New Roman" w:cs="Times New Roman"/>
          <w:sz w:val="24"/>
          <w:szCs w:val="24"/>
          <w:lang w:eastAsia="pt-BR"/>
        </w:rPr>
        <w:t>universo ocupacional</w:t>
      </w:r>
      <w:r w:rsidR="00D0728A" w:rsidRPr="0003470B">
        <w:rPr>
          <w:rFonts w:ascii="Times New Roman" w:eastAsia="Times New Roman" w:hAnsi="Times New Roman" w:cs="Times New Roman"/>
          <w:sz w:val="24"/>
          <w:szCs w:val="24"/>
          <w:lang w:eastAsia="pt-BR"/>
        </w:rPr>
        <w:t xml:space="preserve"> e melhorar a qualidade do emprego no Brasil. </w:t>
      </w:r>
    </w:p>
    <w:p w14:paraId="2699C8C9" w14:textId="06DC8ED3" w:rsidR="00874DD7" w:rsidRPr="0003470B" w:rsidRDefault="5C63AAD9">
      <w:pPr>
        <w:rPr>
          <w:rFonts w:ascii="Times New Roman" w:eastAsia="Times New Roman" w:hAnsi="Times New Roman" w:cs="Times New Roman"/>
          <w:sz w:val="24"/>
          <w:szCs w:val="24"/>
          <w:lang w:eastAsia="pt-BR"/>
        </w:rPr>
      </w:pPr>
      <w:bookmarkStart w:id="6" w:name="_Hlk134106199"/>
      <w:r w:rsidRPr="5C63AAD9">
        <w:rPr>
          <w:rFonts w:ascii="Times New Roman" w:eastAsia="Times New Roman" w:hAnsi="Times New Roman" w:cs="Times New Roman"/>
          <w:sz w:val="24"/>
          <w:szCs w:val="24"/>
          <w:lang w:eastAsia="pt-BR"/>
        </w:rPr>
        <w:lastRenderedPageBreak/>
        <w:t xml:space="preserve">Com a mesma abordagem de Brito, Silva e Rossi (2021), </w:t>
      </w:r>
      <w:bookmarkEnd w:id="6"/>
      <w:r w:rsidRPr="5C63AAD9">
        <w:rPr>
          <w:rFonts w:ascii="Times New Roman" w:eastAsia="Times New Roman" w:hAnsi="Times New Roman" w:cs="Times New Roman"/>
          <w:sz w:val="24"/>
          <w:szCs w:val="24"/>
          <w:lang w:eastAsia="pt-BR"/>
        </w:rPr>
        <w:t xml:space="preserve">Pochmann (2015) aponta a participação desigual dos indivíduos no </w:t>
      </w:r>
      <w:r w:rsidR="00CA5438">
        <w:rPr>
          <w:rFonts w:ascii="Times New Roman" w:eastAsia="Times New Roman" w:hAnsi="Times New Roman" w:cs="Times New Roman"/>
          <w:sz w:val="24"/>
          <w:szCs w:val="24"/>
          <w:lang w:eastAsia="pt-BR"/>
        </w:rPr>
        <w:t>universo ocupacional</w:t>
      </w:r>
      <w:r w:rsidRPr="5C63AAD9">
        <w:rPr>
          <w:rFonts w:ascii="Times New Roman" w:eastAsia="Times New Roman" w:hAnsi="Times New Roman" w:cs="Times New Roman"/>
          <w:sz w:val="24"/>
          <w:szCs w:val="24"/>
          <w:lang w:eastAsia="pt-BR"/>
        </w:rPr>
        <w:t>, determinada por fatores como educação, idade, gênero e localização geográfica. Nessa perspectiva, ao observar a evolução da taxa de desemprego de 2012 a 2015, constata-se a alta dessa taxa nas áreas metropolitanas do Brasil, diretamente, influenciada pelas políticas de ajuste econômico, responsáveis pela recessão econômica brasileira recente (2014-2016)</w:t>
      </w:r>
      <w:r w:rsidR="00612C08">
        <w:rPr>
          <w:rFonts w:ascii="Times New Roman" w:eastAsia="Times New Roman" w:hAnsi="Times New Roman" w:cs="Times New Roman"/>
          <w:sz w:val="24"/>
          <w:szCs w:val="24"/>
          <w:lang w:eastAsia="pt-BR"/>
        </w:rPr>
        <w:t>, c</w:t>
      </w:r>
      <w:r w:rsidRPr="5C63AAD9">
        <w:rPr>
          <w:rFonts w:ascii="Times New Roman" w:eastAsia="Times New Roman" w:hAnsi="Times New Roman" w:cs="Times New Roman"/>
          <w:sz w:val="24"/>
          <w:szCs w:val="24"/>
          <w:lang w:eastAsia="pt-BR"/>
        </w:rPr>
        <w:t xml:space="preserve">ontudo, </w:t>
      </w:r>
      <w:r w:rsidR="00B0655C">
        <w:rPr>
          <w:rFonts w:ascii="Times New Roman" w:eastAsia="Times New Roman" w:hAnsi="Times New Roman" w:cs="Times New Roman"/>
          <w:sz w:val="24"/>
          <w:szCs w:val="24"/>
          <w:lang w:eastAsia="pt-BR"/>
        </w:rPr>
        <w:t>a</w:t>
      </w:r>
      <w:r w:rsidR="00B0655C" w:rsidRPr="5C63AAD9">
        <w:rPr>
          <w:rFonts w:ascii="Times New Roman" w:eastAsia="Times New Roman" w:hAnsi="Times New Roman" w:cs="Times New Roman"/>
          <w:sz w:val="24"/>
          <w:szCs w:val="24"/>
          <w:lang w:eastAsia="pt-BR"/>
        </w:rPr>
        <w:t xml:space="preserve"> </w:t>
      </w:r>
      <w:r w:rsidR="00B0655C">
        <w:rPr>
          <w:rFonts w:ascii="Times New Roman" w:eastAsia="Times New Roman" w:hAnsi="Times New Roman" w:cs="Times New Roman"/>
          <w:sz w:val="24"/>
          <w:szCs w:val="24"/>
          <w:lang w:eastAsia="pt-BR"/>
        </w:rPr>
        <w:t>intensificação</w:t>
      </w:r>
      <w:r w:rsidR="00B0655C"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do desemprego não afetou todos os trabalhadores da mesma forma. Os contingentes mais afetados incluem mulheres, pessoas com 50 anos ou mais, com baixa escolaridade, chefes de família e trabalhadores nos setores de trabalho doméstico, construção civil e indústria, principalmente, nas regiões metropolitanas do Rio de Janeiro e Porto Alegre.</w:t>
      </w:r>
    </w:p>
    <w:p w14:paraId="01BB0B6D" w14:textId="1B4CE800" w:rsidR="00D0154A"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No mesmo tema de pesquisa, Lima, da Silva e </w:t>
      </w:r>
      <w:proofErr w:type="spellStart"/>
      <w:r w:rsidRPr="5C63AAD9">
        <w:rPr>
          <w:rFonts w:ascii="Times New Roman" w:eastAsia="Times New Roman" w:hAnsi="Times New Roman" w:cs="Times New Roman"/>
          <w:sz w:val="24"/>
          <w:szCs w:val="24"/>
          <w:lang w:eastAsia="pt-BR"/>
        </w:rPr>
        <w:t>Cavini</w:t>
      </w:r>
      <w:proofErr w:type="spellEnd"/>
      <w:r w:rsidRPr="5C63AAD9">
        <w:rPr>
          <w:rFonts w:ascii="Times New Roman" w:eastAsia="Times New Roman" w:hAnsi="Times New Roman" w:cs="Times New Roman"/>
          <w:sz w:val="24"/>
          <w:szCs w:val="24"/>
          <w:lang w:eastAsia="pt-BR"/>
        </w:rPr>
        <w:t xml:space="preserve"> (2019) também abordam as relações desiguais presentes no setor de emprego, em especial, a discriminação sofrida pelo gênero feminino. Dentro dessa pauta, analisa-se a decomposição do desemprego de mulheres brancas, negras e pardas, em 2002 e 2015, no Brasil, via metodologia de </w:t>
      </w:r>
      <w:proofErr w:type="spellStart"/>
      <w:r w:rsidRPr="5C63AAD9">
        <w:rPr>
          <w:rFonts w:ascii="Times New Roman" w:eastAsia="Times New Roman" w:hAnsi="Times New Roman" w:cs="Times New Roman"/>
          <w:sz w:val="24"/>
          <w:szCs w:val="24"/>
          <w:lang w:eastAsia="pt-BR"/>
        </w:rPr>
        <w:t>Corseiul</w:t>
      </w:r>
      <w:proofErr w:type="spellEnd"/>
      <w:r w:rsidRPr="5C63AAD9">
        <w:rPr>
          <w:rFonts w:ascii="Times New Roman" w:eastAsia="Times New Roman" w:hAnsi="Times New Roman" w:cs="Times New Roman"/>
          <w:sz w:val="24"/>
          <w:szCs w:val="24"/>
          <w:lang w:eastAsia="pt-BR"/>
        </w:rPr>
        <w:t xml:space="preserve"> (1997) com dados da PNAD. Em momentos de retração do nível de emprego, as mulheres são as mais prejudicadas, ao enfrentarem taxas de desemprego superiores às dos homens, 3,4% mais elevadas em 2001 e 3,8% em 2015. Os resultados revelaram o </w:t>
      </w:r>
      <w:r w:rsidR="00B0655C">
        <w:rPr>
          <w:rFonts w:ascii="Times New Roman" w:eastAsia="Times New Roman" w:hAnsi="Times New Roman" w:cs="Times New Roman"/>
          <w:sz w:val="24"/>
          <w:szCs w:val="24"/>
          <w:lang w:eastAsia="pt-BR"/>
        </w:rPr>
        <w:t xml:space="preserve">acréscimo </w:t>
      </w:r>
      <w:r w:rsidRPr="5C63AAD9">
        <w:rPr>
          <w:rFonts w:ascii="Times New Roman" w:eastAsia="Times New Roman" w:hAnsi="Times New Roman" w:cs="Times New Roman"/>
          <w:sz w:val="24"/>
          <w:szCs w:val="24"/>
          <w:lang w:eastAsia="pt-BR"/>
        </w:rPr>
        <w:t>da participação do público feminino na composição do desemprego total e a elevação da participação das mulheres negras e pardas entre as mulheres desempregadas, em função, principalmente, da redução da demanda por trabalho. Nesse panorama, a situação das mulheres negras é ainda mais desfavorecida, devido ao fato de serem menos escolarizadas e ocuparem os piores postos de trabalho, com as menores remunerações.</w:t>
      </w:r>
    </w:p>
    <w:p w14:paraId="39CC2554" w14:textId="7B1D72EC" w:rsidR="00412651"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De forma similar, Alves (2022) salienta como o Racismo </w:t>
      </w:r>
      <w:r w:rsidR="00292B15">
        <w:rPr>
          <w:rFonts w:ascii="Times New Roman" w:eastAsia="Times New Roman" w:hAnsi="Times New Roman" w:cs="Times New Roman"/>
          <w:sz w:val="24"/>
          <w:szCs w:val="24"/>
          <w:lang w:eastAsia="pt-BR"/>
        </w:rPr>
        <w:t>E</w:t>
      </w:r>
      <w:r w:rsidRPr="5C63AAD9">
        <w:rPr>
          <w:rFonts w:ascii="Times New Roman" w:eastAsia="Times New Roman" w:hAnsi="Times New Roman" w:cs="Times New Roman"/>
          <w:sz w:val="24"/>
          <w:szCs w:val="24"/>
          <w:lang w:eastAsia="pt-BR"/>
        </w:rPr>
        <w:t xml:space="preserve">strutural </w:t>
      </w:r>
      <w:r w:rsidR="00292B15" w:rsidRPr="5C63AAD9">
        <w:rPr>
          <w:rFonts w:ascii="Times New Roman" w:eastAsia="Times New Roman" w:hAnsi="Times New Roman" w:cs="Times New Roman"/>
          <w:sz w:val="24"/>
          <w:szCs w:val="24"/>
          <w:lang w:eastAsia="pt-BR"/>
        </w:rPr>
        <w:t>se manifesta</w:t>
      </w:r>
      <w:r w:rsidR="00292B15">
        <w:rPr>
          <w:rFonts w:ascii="Times New Roman" w:eastAsia="Times New Roman" w:hAnsi="Times New Roman" w:cs="Times New Roman"/>
          <w:sz w:val="24"/>
          <w:szCs w:val="24"/>
          <w:lang w:eastAsia="pt-BR"/>
        </w:rPr>
        <w:t>,</w:t>
      </w:r>
      <w:r w:rsidR="00292B15"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no mercado de trabalho assalariado brasileiro</w:t>
      </w:r>
      <w:r w:rsidR="00292B15">
        <w:rPr>
          <w:rFonts w:ascii="Times New Roman" w:eastAsia="Times New Roman" w:hAnsi="Times New Roman" w:cs="Times New Roman"/>
          <w:sz w:val="24"/>
          <w:szCs w:val="24"/>
          <w:lang w:eastAsia="pt-BR"/>
        </w:rPr>
        <w:t>,</w:t>
      </w:r>
      <w:r w:rsidRPr="5C63AAD9">
        <w:rPr>
          <w:rFonts w:ascii="Times New Roman" w:eastAsia="Times New Roman" w:hAnsi="Times New Roman" w:cs="Times New Roman"/>
          <w:sz w:val="24"/>
          <w:szCs w:val="24"/>
          <w:lang w:eastAsia="pt-BR"/>
        </w:rPr>
        <w:t xml:space="preserve"> através da exclusão da população negra dos postos de trabalho formais, bem como na </w:t>
      </w:r>
      <w:r w:rsidR="000500C5">
        <w:rPr>
          <w:rFonts w:ascii="Times New Roman" w:eastAsia="Times New Roman" w:hAnsi="Times New Roman" w:cs="Times New Roman"/>
          <w:sz w:val="24"/>
          <w:szCs w:val="24"/>
          <w:lang w:eastAsia="pt-BR"/>
        </w:rPr>
        <w:t xml:space="preserve">sua </w:t>
      </w:r>
      <w:r w:rsidRPr="5C63AAD9">
        <w:rPr>
          <w:rFonts w:ascii="Times New Roman" w:eastAsia="Times New Roman" w:hAnsi="Times New Roman" w:cs="Times New Roman"/>
          <w:sz w:val="24"/>
          <w:szCs w:val="24"/>
          <w:lang w:eastAsia="pt-BR"/>
        </w:rPr>
        <w:t>alocação no desemprego. Além disso, quando inseridos no mercado, os negros tendem a ocupar postos de trabalho precarizados, subalternizados e com baixa ou nenhuma remuneração.</w:t>
      </w:r>
    </w:p>
    <w:p w14:paraId="12D2BA88" w14:textId="6D2AE562" w:rsidR="005841D8"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Sob um ângulo diferente, </w:t>
      </w:r>
      <w:proofErr w:type="spellStart"/>
      <w:r w:rsidRPr="5C63AAD9">
        <w:rPr>
          <w:rFonts w:ascii="Times New Roman" w:eastAsia="Times New Roman" w:hAnsi="Times New Roman" w:cs="Times New Roman"/>
          <w:sz w:val="24"/>
          <w:szCs w:val="24"/>
          <w:lang w:eastAsia="pt-BR"/>
        </w:rPr>
        <w:t>Carleial</w:t>
      </w:r>
      <w:proofErr w:type="spellEnd"/>
      <w:r w:rsidRPr="5C63AAD9">
        <w:rPr>
          <w:rFonts w:ascii="Times New Roman" w:eastAsia="Times New Roman" w:hAnsi="Times New Roman" w:cs="Times New Roman"/>
          <w:sz w:val="24"/>
          <w:szCs w:val="24"/>
          <w:lang w:eastAsia="pt-BR"/>
        </w:rPr>
        <w:t xml:space="preserve"> (2015) examina, criticamente, a política econômica brasileira do segundo mandato de Dilma Rousseff (2015-16). No cenário analisado, o ex-ministro da Fazenda, Guido Mantega, apresentou a proposta de ajuste gradual contraposta ao ajuste de choque. Esta alteração, intitulada de neoliberal pelo ex-ministro, seria capaz de impor a forte redução dos gastos públicos, do salário real, do crescimento econômico, lado a lado com o aumento do desemprego e aprofundamento da </w:t>
      </w:r>
      <w:r w:rsidRPr="5C63AAD9">
        <w:rPr>
          <w:rFonts w:ascii="Times New Roman" w:eastAsia="Times New Roman" w:hAnsi="Times New Roman" w:cs="Times New Roman"/>
          <w:sz w:val="24"/>
          <w:szCs w:val="24"/>
          <w:lang w:eastAsia="pt-BR"/>
        </w:rPr>
        <w:lastRenderedPageBreak/>
        <w:t>desindustrialização brasileira</w:t>
      </w:r>
      <w:r w:rsidR="00612C08">
        <w:rPr>
          <w:rFonts w:ascii="Times New Roman" w:eastAsia="Times New Roman" w:hAnsi="Times New Roman" w:cs="Times New Roman"/>
          <w:sz w:val="24"/>
          <w:szCs w:val="24"/>
          <w:lang w:eastAsia="pt-BR"/>
        </w:rPr>
        <w:t>, n</w:t>
      </w:r>
      <w:r w:rsidRPr="5C63AAD9">
        <w:rPr>
          <w:rFonts w:ascii="Times New Roman" w:eastAsia="Times New Roman" w:hAnsi="Times New Roman" w:cs="Times New Roman"/>
          <w:sz w:val="24"/>
          <w:szCs w:val="24"/>
          <w:lang w:eastAsia="pt-BR"/>
        </w:rPr>
        <w:t xml:space="preserve">o entanto, no segundo mandato de Dilma Rousseff, foi implementado o chamado ajuste de choque, dessa maneira, o estudo discute os efeitos do ajuste fiscal implementado, responsável por gerar resultados negativos, especialmente, sobre o </w:t>
      </w:r>
      <w:r w:rsidR="00C05996">
        <w:rPr>
          <w:rFonts w:ascii="Times New Roman" w:eastAsia="Times New Roman" w:hAnsi="Times New Roman" w:cs="Times New Roman"/>
          <w:sz w:val="24"/>
          <w:szCs w:val="24"/>
          <w:lang w:eastAsia="pt-BR"/>
        </w:rPr>
        <w:t>cenário laboral</w:t>
      </w:r>
      <w:r w:rsidRPr="5C63AAD9">
        <w:rPr>
          <w:rFonts w:ascii="Times New Roman" w:eastAsia="Times New Roman" w:hAnsi="Times New Roman" w:cs="Times New Roman"/>
          <w:sz w:val="24"/>
          <w:szCs w:val="24"/>
          <w:lang w:eastAsia="pt-BR"/>
        </w:rPr>
        <w:t xml:space="preserve"> brasileiro. Estes impactos prejudiciais pautaram-se na perda de postos de trabalho formais, na ampliação do desemprego e na redução das possibilidades de manutenção dos ganhos reais, obtidos pelos trabalhadores brasileiros, de 2005 a 2015. </w:t>
      </w:r>
    </w:p>
    <w:p w14:paraId="29508B58" w14:textId="3E63B991" w:rsidR="00C40C9B" w:rsidRPr="0003470B" w:rsidRDefault="001C6BCB">
      <w:pPr>
        <w:rPr>
          <w:rFonts w:ascii="Times New Roman" w:eastAsia="Times New Roman" w:hAnsi="Times New Roman" w:cs="Times New Roman"/>
          <w:sz w:val="24"/>
          <w:szCs w:val="24"/>
          <w:lang w:eastAsia="pt-BR"/>
        </w:rPr>
      </w:pPr>
      <w:r w:rsidRPr="0003470B">
        <w:rPr>
          <w:rFonts w:ascii="Times New Roman" w:eastAsia="Times New Roman" w:hAnsi="Times New Roman" w:cs="Times New Roman"/>
          <w:sz w:val="24"/>
          <w:szCs w:val="24"/>
          <w:lang w:eastAsia="pt-BR"/>
        </w:rPr>
        <w:t xml:space="preserve">Em suma, </w:t>
      </w:r>
      <w:proofErr w:type="spellStart"/>
      <w:r w:rsidRPr="0003470B">
        <w:rPr>
          <w:rFonts w:ascii="Times New Roman" w:eastAsia="Times New Roman" w:hAnsi="Times New Roman" w:cs="Times New Roman"/>
          <w:sz w:val="24"/>
          <w:szCs w:val="24"/>
          <w:lang w:eastAsia="pt-BR"/>
        </w:rPr>
        <w:t>Carleial</w:t>
      </w:r>
      <w:proofErr w:type="spellEnd"/>
      <w:r w:rsidRPr="0003470B">
        <w:rPr>
          <w:rFonts w:ascii="Times New Roman" w:eastAsia="Times New Roman" w:hAnsi="Times New Roman" w:cs="Times New Roman"/>
          <w:sz w:val="24"/>
          <w:szCs w:val="24"/>
          <w:lang w:eastAsia="pt-BR"/>
        </w:rPr>
        <w:t xml:space="preserve"> (2015)</w:t>
      </w:r>
      <w:r w:rsidR="0051734F" w:rsidRPr="0003470B">
        <w:rPr>
          <w:rFonts w:ascii="Times New Roman" w:eastAsia="Times New Roman" w:hAnsi="Times New Roman" w:cs="Times New Roman"/>
          <w:sz w:val="24"/>
          <w:szCs w:val="24"/>
          <w:lang w:eastAsia="pt-BR"/>
        </w:rPr>
        <w:t xml:space="preserve"> destaca que</w:t>
      </w:r>
      <w:r w:rsidRPr="0003470B">
        <w:rPr>
          <w:rFonts w:ascii="Times New Roman" w:eastAsia="Times New Roman" w:hAnsi="Times New Roman" w:cs="Times New Roman"/>
          <w:sz w:val="24"/>
          <w:szCs w:val="24"/>
          <w:lang w:eastAsia="pt-BR"/>
        </w:rPr>
        <w:t xml:space="preserve"> a</w:t>
      </w:r>
      <w:r w:rsidR="00A8422F" w:rsidRPr="0003470B">
        <w:rPr>
          <w:rFonts w:ascii="Times New Roman" w:eastAsia="Times New Roman" w:hAnsi="Times New Roman" w:cs="Times New Roman"/>
          <w:sz w:val="24"/>
          <w:szCs w:val="24"/>
          <w:lang w:eastAsia="pt-BR"/>
        </w:rPr>
        <w:t xml:space="preserve"> mitigação dos efeitos desse ajuste exig</w:t>
      </w:r>
      <w:r w:rsidRPr="0003470B">
        <w:rPr>
          <w:rFonts w:ascii="Times New Roman" w:eastAsia="Times New Roman" w:hAnsi="Times New Roman" w:cs="Times New Roman"/>
          <w:sz w:val="24"/>
          <w:szCs w:val="24"/>
          <w:lang w:eastAsia="pt-BR"/>
        </w:rPr>
        <w:t>e</w:t>
      </w:r>
      <w:r w:rsidR="00A8422F" w:rsidRPr="0003470B">
        <w:rPr>
          <w:rFonts w:ascii="Times New Roman" w:eastAsia="Times New Roman" w:hAnsi="Times New Roman" w:cs="Times New Roman"/>
          <w:sz w:val="24"/>
          <w:szCs w:val="24"/>
          <w:lang w:eastAsia="pt-BR"/>
        </w:rPr>
        <w:t xml:space="preserve"> forte negociação política em torno de um projeto nacional de desenvolvimento</w:t>
      </w:r>
      <w:r w:rsidR="00527E92" w:rsidRPr="0003470B">
        <w:rPr>
          <w:rFonts w:ascii="Times New Roman" w:eastAsia="Times New Roman" w:hAnsi="Times New Roman" w:cs="Times New Roman"/>
          <w:sz w:val="24"/>
          <w:szCs w:val="24"/>
          <w:lang w:eastAsia="pt-BR"/>
        </w:rPr>
        <w:t>, com o objetivo de recuperar a indústria brasileira</w:t>
      </w:r>
      <w:r w:rsidR="00A8422F" w:rsidRPr="0003470B">
        <w:rPr>
          <w:rFonts w:ascii="Times New Roman" w:eastAsia="Times New Roman" w:hAnsi="Times New Roman" w:cs="Times New Roman"/>
          <w:sz w:val="24"/>
          <w:szCs w:val="24"/>
          <w:lang w:eastAsia="pt-BR"/>
        </w:rPr>
        <w:t>.</w:t>
      </w:r>
      <w:r w:rsidR="0072566D" w:rsidRPr="0003470B">
        <w:rPr>
          <w:rFonts w:ascii="Times New Roman" w:eastAsia="Times New Roman" w:hAnsi="Times New Roman" w:cs="Times New Roman"/>
          <w:sz w:val="24"/>
          <w:szCs w:val="24"/>
          <w:lang w:eastAsia="pt-BR"/>
        </w:rPr>
        <w:t xml:space="preserve"> </w:t>
      </w:r>
      <w:r w:rsidR="0051734F" w:rsidRPr="0003470B">
        <w:rPr>
          <w:rFonts w:ascii="Times New Roman" w:eastAsia="Times New Roman" w:hAnsi="Times New Roman" w:cs="Times New Roman"/>
          <w:sz w:val="24"/>
          <w:szCs w:val="24"/>
          <w:lang w:eastAsia="pt-BR"/>
        </w:rPr>
        <w:t xml:space="preserve">Nesse sentido, evidenciam-se os impactos negativos de políticas econômicas influenciadas por ideais neoliberais, </w:t>
      </w:r>
      <w:r w:rsidR="000C3AE4" w:rsidRPr="0003470B">
        <w:rPr>
          <w:rFonts w:ascii="Times New Roman" w:eastAsia="Times New Roman" w:hAnsi="Times New Roman" w:cs="Times New Roman"/>
          <w:sz w:val="24"/>
          <w:szCs w:val="24"/>
          <w:lang w:eastAsia="pt-BR"/>
        </w:rPr>
        <w:t>responsáveis por precarizar, principalmente, a qualidade de vidas dos grupos mais vulneráveis socialmente, os quais também são os mais afetados pelo desemprego, como foi supracitado.</w:t>
      </w:r>
    </w:p>
    <w:p w14:paraId="08193325" w14:textId="376D9D8E" w:rsidR="0072566D"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Mattei e da Cunha (2020) avaliam a evolução do emprego formal no Brasil, de 2010 a 2016, ao decompor as variações do fluxo de emprego das regiões brasileiras e setores econômicos, com a utilização do método </w:t>
      </w:r>
      <w:r w:rsidRPr="00CA3BB8">
        <w:rPr>
          <w:rFonts w:ascii="Times New Roman" w:eastAsia="Times New Roman" w:hAnsi="Times New Roman" w:cs="Times New Roman"/>
          <w:sz w:val="24"/>
          <w:szCs w:val="24"/>
          <w:lang w:eastAsia="pt-BR"/>
        </w:rPr>
        <w:t>shift-</w:t>
      </w:r>
      <w:proofErr w:type="spellStart"/>
      <w:r w:rsidRPr="00CA3BB8">
        <w:rPr>
          <w:rFonts w:ascii="Times New Roman" w:eastAsia="Times New Roman" w:hAnsi="Times New Roman" w:cs="Times New Roman"/>
          <w:sz w:val="24"/>
          <w:szCs w:val="24"/>
          <w:lang w:eastAsia="pt-BR"/>
        </w:rPr>
        <w:t>share</w:t>
      </w:r>
      <w:proofErr w:type="spellEnd"/>
      <w:r w:rsidRPr="5C63AAD9">
        <w:rPr>
          <w:rFonts w:ascii="Times New Roman" w:eastAsia="Times New Roman" w:hAnsi="Times New Roman" w:cs="Times New Roman"/>
          <w:sz w:val="24"/>
          <w:szCs w:val="24"/>
          <w:lang w:eastAsia="pt-BR"/>
        </w:rPr>
        <w:t xml:space="preserve"> estocástico. O procedimento utilizado na investigação possibilita decompor as variações do fluxo de emprego das regiões brasileiras e setores econômicos. A pesquisa aponta que a recessão econômica brasileira teve impacto significativo no </w:t>
      </w:r>
      <w:r w:rsidR="00654B25">
        <w:rPr>
          <w:rFonts w:ascii="Times New Roman" w:eastAsia="Times New Roman" w:hAnsi="Times New Roman" w:cs="Times New Roman"/>
          <w:sz w:val="24"/>
          <w:szCs w:val="24"/>
          <w:lang w:eastAsia="pt-BR"/>
        </w:rPr>
        <w:t>segmento trabalhista</w:t>
      </w:r>
      <w:r w:rsidRPr="5C63AAD9">
        <w:rPr>
          <w:rFonts w:ascii="Times New Roman" w:eastAsia="Times New Roman" w:hAnsi="Times New Roman" w:cs="Times New Roman"/>
          <w:sz w:val="24"/>
          <w:szCs w:val="24"/>
          <w:lang w:eastAsia="pt-BR"/>
        </w:rPr>
        <w:t xml:space="preserve"> do país. Entre 2013 e 2016, o emprego formal reduziu quase 6%, com perda de, aproximadamente, 3 milhões de empregos. Os efeitos foram sentidos em todas as regiões, com mais intensidade na região Sudeste, com a queda de 7% do emprego total, tendo sido o setor de construção civil o mais prejudicado</w:t>
      </w:r>
      <w:r w:rsidR="00612C08">
        <w:rPr>
          <w:rFonts w:ascii="Times New Roman" w:eastAsia="Times New Roman" w:hAnsi="Times New Roman" w:cs="Times New Roman"/>
          <w:sz w:val="24"/>
          <w:szCs w:val="24"/>
          <w:lang w:eastAsia="pt-BR"/>
        </w:rPr>
        <w:t>, c</w:t>
      </w:r>
      <w:r w:rsidRPr="5C63AAD9">
        <w:rPr>
          <w:rFonts w:ascii="Times New Roman" w:eastAsia="Times New Roman" w:hAnsi="Times New Roman" w:cs="Times New Roman"/>
          <w:sz w:val="24"/>
          <w:szCs w:val="24"/>
          <w:lang w:eastAsia="pt-BR"/>
        </w:rPr>
        <w:t>ontudo, os setores de atividades industriais de utilidade pública, comércio, serviços, administração pública e agropecuária conseguiram manter o crescimento, apesar dos adventos da recessão. Em síntese, as conclusões descrevem efeitos diferentes da recessão econômica nas regiões e setores econômicos.</w:t>
      </w:r>
    </w:p>
    <w:p w14:paraId="750A3828" w14:textId="3A111E23" w:rsidR="00524191" w:rsidRPr="0003470B" w:rsidRDefault="5C63AAD9">
      <w:pPr>
        <w:rPr>
          <w:rFonts w:ascii="Times New Roman" w:eastAsia="Times New Roman" w:hAnsi="Times New Roman" w:cs="Times New Roman"/>
          <w:sz w:val="24"/>
          <w:szCs w:val="24"/>
          <w:lang w:eastAsia="pt-BR"/>
        </w:rPr>
      </w:pPr>
      <w:r w:rsidRPr="5C63AAD9">
        <w:rPr>
          <w:rFonts w:ascii="Times New Roman" w:eastAsia="Times New Roman" w:hAnsi="Times New Roman" w:cs="Times New Roman"/>
          <w:sz w:val="24"/>
          <w:szCs w:val="24"/>
          <w:lang w:eastAsia="pt-BR"/>
        </w:rPr>
        <w:t xml:space="preserve">Adicionalmente, Carvalho e </w:t>
      </w:r>
      <w:proofErr w:type="spellStart"/>
      <w:r w:rsidRPr="5C63AAD9">
        <w:rPr>
          <w:rFonts w:ascii="Times New Roman" w:eastAsia="Times New Roman" w:hAnsi="Times New Roman" w:cs="Times New Roman"/>
          <w:sz w:val="24"/>
          <w:szCs w:val="24"/>
          <w:lang w:eastAsia="pt-BR"/>
        </w:rPr>
        <w:t>Viego</w:t>
      </w:r>
      <w:proofErr w:type="spellEnd"/>
      <w:r w:rsidRPr="5C63AAD9">
        <w:rPr>
          <w:rFonts w:ascii="Times New Roman" w:eastAsia="Times New Roman" w:hAnsi="Times New Roman" w:cs="Times New Roman"/>
          <w:sz w:val="24"/>
          <w:szCs w:val="24"/>
          <w:lang w:eastAsia="pt-BR"/>
        </w:rPr>
        <w:t xml:space="preserve"> (2023) tratam da evolução do emprego feminino no </w:t>
      </w:r>
      <w:r w:rsidR="00654B25">
        <w:rPr>
          <w:rFonts w:ascii="Times New Roman" w:eastAsia="Times New Roman" w:hAnsi="Times New Roman" w:cs="Times New Roman"/>
          <w:sz w:val="24"/>
          <w:szCs w:val="24"/>
          <w:lang w:eastAsia="pt-BR"/>
        </w:rPr>
        <w:t>setor empregatício</w:t>
      </w:r>
      <w:r w:rsidRPr="5C63AAD9">
        <w:rPr>
          <w:rFonts w:ascii="Times New Roman" w:eastAsia="Times New Roman" w:hAnsi="Times New Roman" w:cs="Times New Roman"/>
          <w:sz w:val="24"/>
          <w:szCs w:val="24"/>
          <w:lang w:eastAsia="pt-BR"/>
        </w:rPr>
        <w:t xml:space="preserve"> brasileiro, entre 2003 e 2018, com base no método </w:t>
      </w:r>
      <w:r w:rsidRPr="00CA3BB8">
        <w:rPr>
          <w:rFonts w:ascii="Times New Roman" w:eastAsia="Times New Roman" w:hAnsi="Times New Roman" w:cs="Times New Roman"/>
          <w:sz w:val="24"/>
          <w:szCs w:val="24"/>
          <w:lang w:eastAsia="pt-BR"/>
        </w:rPr>
        <w:t>shift-</w:t>
      </w:r>
      <w:proofErr w:type="spellStart"/>
      <w:r w:rsidRPr="00CA3BB8">
        <w:rPr>
          <w:rFonts w:ascii="Times New Roman" w:eastAsia="Times New Roman" w:hAnsi="Times New Roman" w:cs="Times New Roman"/>
          <w:sz w:val="24"/>
          <w:szCs w:val="24"/>
          <w:lang w:eastAsia="pt-BR"/>
        </w:rPr>
        <w:t>share</w:t>
      </w:r>
      <w:proofErr w:type="spellEnd"/>
      <w:r w:rsidRPr="5C63AAD9">
        <w:rPr>
          <w:rFonts w:ascii="Times New Roman" w:eastAsia="Times New Roman" w:hAnsi="Times New Roman" w:cs="Times New Roman"/>
          <w:sz w:val="24"/>
          <w:szCs w:val="24"/>
          <w:lang w:eastAsia="pt-BR"/>
        </w:rPr>
        <w:t xml:space="preserve">. Nesta abordagem, é mostrada a ampliação da participação feminina nos postos de trabalho decente. Enquanto o emprego formal masculino aumentou 46%, entre 2003 e 2018, o feminino cresceu 74%. Ademais, no panorama em questão, a superação de outros obstáculos, como a melhoria nos níveis de renda média e nas taxas de desemprego relativas, também se mostra presente. Em contraste, salienta-se a permanência de estagnação da participação do gênero feminino no </w:t>
      </w:r>
      <w:r w:rsidR="00654B25">
        <w:rPr>
          <w:rFonts w:ascii="Times New Roman" w:eastAsia="Times New Roman" w:hAnsi="Times New Roman" w:cs="Times New Roman"/>
          <w:sz w:val="24"/>
          <w:szCs w:val="24"/>
          <w:lang w:eastAsia="pt-BR"/>
        </w:rPr>
        <w:t>ambiente de emprego</w:t>
      </w:r>
      <w:r w:rsidRPr="5C63AAD9">
        <w:rPr>
          <w:rFonts w:ascii="Times New Roman" w:eastAsia="Times New Roman" w:hAnsi="Times New Roman" w:cs="Times New Roman"/>
          <w:sz w:val="24"/>
          <w:szCs w:val="24"/>
          <w:lang w:eastAsia="pt-BR"/>
        </w:rPr>
        <w:t xml:space="preserve">, no contexto analisado. A abordagem empírica aborda o quanto da variação total do emprego feminino </w:t>
      </w:r>
      <w:r w:rsidRPr="5C63AAD9">
        <w:rPr>
          <w:rFonts w:ascii="Times New Roman" w:eastAsia="Times New Roman" w:hAnsi="Times New Roman" w:cs="Times New Roman"/>
          <w:sz w:val="24"/>
          <w:szCs w:val="24"/>
          <w:lang w:eastAsia="pt-BR"/>
        </w:rPr>
        <w:lastRenderedPageBreak/>
        <w:t xml:space="preserve">pode ser explicada por fatores nacionais ou setoriais e quanto corresponde a avanços efetivos na inserção das mulheres no </w:t>
      </w:r>
      <w:r w:rsidR="00654B25">
        <w:rPr>
          <w:rFonts w:ascii="Times New Roman" w:eastAsia="Times New Roman" w:hAnsi="Times New Roman" w:cs="Times New Roman"/>
          <w:sz w:val="24"/>
          <w:szCs w:val="24"/>
          <w:lang w:eastAsia="pt-BR"/>
        </w:rPr>
        <w:t>universo ocupacional</w:t>
      </w:r>
      <w:r w:rsidRPr="5C63AAD9">
        <w:rPr>
          <w:rFonts w:ascii="Times New Roman" w:eastAsia="Times New Roman" w:hAnsi="Times New Roman" w:cs="Times New Roman"/>
          <w:sz w:val="24"/>
          <w:szCs w:val="24"/>
          <w:lang w:eastAsia="pt-BR"/>
        </w:rPr>
        <w:t>.</w:t>
      </w:r>
    </w:p>
    <w:p w14:paraId="5A150E6D" w14:textId="61E5EC62" w:rsidR="009D4E91" w:rsidRPr="0003470B" w:rsidRDefault="5C63AAD9">
      <w:pPr>
        <w:rPr>
          <w:rFonts w:ascii="Times New Roman" w:eastAsia="Times New Roman" w:hAnsi="Times New Roman" w:cs="Times New Roman"/>
          <w:sz w:val="24"/>
          <w:szCs w:val="24"/>
          <w:lang w:eastAsia="pt-BR"/>
        </w:rPr>
      </w:pPr>
      <w:bookmarkStart w:id="7" w:name="_Hlk135232220"/>
      <w:r w:rsidRPr="00CA3BB8">
        <w:rPr>
          <w:rFonts w:ascii="Times New Roman" w:eastAsia="Times New Roman" w:hAnsi="Times New Roman" w:cs="Times New Roman"/>
          <w:sz w:val="24"/>
          <w:szCs w:val="24"/>
          <w:lang w:eastAsia="pt-BR"/>
        </w:rPr>
        <w:t>Em conclusão, os estudos empíricos aqui abordados permitem identificar os grupos da sociedade mais vulneráveis ​​à desocupação. Adicionalmente, as pesquisas de natureza empírica, do século XXI, evidenciam como esse agravante social afeta, principalmente em cenários de crises econômicas, diferentes aspectos da vida cotidiana ligados a: saúde, em sentido amplo, renda, perspectivas de carreira, relacionamentos, oportunidades de crescimento, participação social, autoestima e identidade, entre outros. Ao analisar a ampla gama de estudos e pesquisas nacionais, observa-se como o desemprego afeta de forma desigual os cidadãos brasileiros, com base na</w:t>
      </w:r>
      <w:r w:rsidRPr="5C63AAD9">
        <w:rPr>
          <w:rFonts w:ascii="Times New Roman" w:eastAsia="Times New Roman" w:hAnsi="Times New Roman" w:cs="Times New Roman"/>
          <w:sz w:val="24"/>
          <w:szCs w:val="24"/>
          <w:lang w:eastAsia="pt-BR"/>
        </w:rPr>
        <w:t xml:space="preserve"> existência de vários marcadores sociais, como gênero, raça e etnia, idade, nível educacional e localização geográfica. Dessa forma, as coletividades mais afetadas pelo </w:t>
      </w:r>
      <w:r w:rsidR="00B0655C">
        <w:rPr>
          <w:rFonts w:ascii="Times New Roman" w:eastAsia="Times New Roman" w:hAnsi="Times New Roman" w:cs="Times New Roman"/>
          <w:sz w:val="24"/>
          <w:szCs w:val="24"/>
          <w:lang w:eastAsia="pt-BR"/>
        </w:rPr>
        <w:t>acréscimo</w:t>
      </w:r>
      <w:r w:rsidR="00B0655C" w:rsidRPr="5C63AAD9">
        <w:rPr>
          <w:rFonts w:ascii="Times New Roman" w:eastAsia="Times New Roman" w:hAnsi="Times New Roman" w:cs="Times New Roman"/>
          <w:sz w:val="24"/>
          <w:szCs w:val="24"/>
          <w:lang w:eastAsia="pt-BR"/>
        </w:rPr>
        <w:t xml:space="preserve"> </w:t>
      </w:r>
      <w:r w:rsidRPr="5C63AAD9">
        <w:rPr>
          <w:rFonts w:ascii="Times New Roman" w:eastAsia="Times New Roman" w:hAnsi="Times New Roman" w:cs="Times New Roman"/>
          <w:sz w:val="24"/>
          <w:szCs w:val="24"/>
          <w:lang w:eastAsia="pt-BR"/>
        </w:rPr>
        <w:t>da desocupação tendem a ser a população negra, as mulheres, os jovens ingressantes no meio de trabalho e os residentes das grandes regiões metropolitanas do país.</w:t>
      </w:r>
    </w:p>
    <w:p w14:paraId="550ADA3C" w14:textId="4F101E15" w:rsidR="00F94B52" w:rsidRDefault="66153A75">
      <w:pPr>
        <w:rPr>
          <w:rFonts w:ascii="Times New Roman" w:eastAsia="Times New Roman" w:hAnsi="Times New Roman" w:cs="Times New Roman"/>
          <w:sz w:val="24"/>
          <w:szCs w:val="24"/>
          <w:lang w:eastAsia="pt-BR"/>
        </w:rPr>
      </w:pPr>
      <w:r w:rsidRPr="00CA3BB8">
        <w:rPr>
          <w:rFonts w:ascii="Times New Roman" w:eastAsia="Times New Roman" w:hAnsi="Times New Roman" w:cs="Times New Roman"/>
          <w:sz w:val="24"/>
          <w:szCs w:val="24"/>
          <w:lang w:eastAsia="pt-BR"/>
        </w:rPr>
        <w:t xml:space="preserve">Cabe destacar que a revisão da literatura destacou o desemprego como desafio persistente no Brasil, afetado pela combinação de fatores estruturais e conjunturais, à exemplo de flutuações econômicas, políticas governamentais e características demográficas importantes. Ademais, foram observadas diferenças significativas entre taxas de desemprego das regiões do país, urbanas e rurais, devido às particularidades de cada contexto socioeconômico. Além disso, os estudos de campo permitem identificar as razões por trás das discrepâncias no acesso ao </w:t>
      </w:r>
      <w:r w:rsidR="00654B25">
        <w:rPr>
          <w:rFonts w:ascii="Times New Roman" w:eastAsia="Times New Roman" w:hAnsi="Times New Roman" w:cs="Times New Roman"/>
          <w:sz w:val="24"/>
          <w:szCs w:val="24"/>
          <w:lang w:eastAsia="pt-BR"/>
        </w:rPr>
        <w:t>setor empregatício</w:t>
      </w:r>
      <w:r w:rsidRPr="00CA3BB8">
        <w:rPr>
          <w:rFonts w:ascii="Times New Roman" w:eastAsia="Times New Roman" w:hAnsi="Times New Roman" w:cs="Times New Roman"/>
          <w:sz w:val="24"/>
          <w:szCs w:val="24"/>
          <w:lang w:eastAsia="pt-BR"/>
        </w:rPr>
        <w:t xml:space="preserve"> e as barreiras dificultadoras para o estabelecimento de situação propícia </w:t>
      </w:r>
      <w:r w:rsidR="00B0655C">
        <w:rPr>
          <w:rFonts w:ascii="Times New Roman" w:eastAsia="Times New Roman" w:hAnsi="Times New Roman" w:cs="Times New Roman"/>
          <w:sz w:val="24"/>
          <w:szCs w:val="24"/>
          <w:lang w:eastAsia="pt-BR"/>
        </w:rPr>
        <w:t>à expansão</w:t>
      </w:r>
      <w:r w:rsidRPr="00CA3BB8">
        <w:rPr>
          <w:rFonts w:ascii="Times New Roman" w:eastAsia="Times New Roman" w:hAnsi="Times New Roman" w:cs="Times New Roman"/>
          <w:sz w:val="24"/>
          <w:szCs w:val="24"/>
          <w:lang w:eastAsia="pt-BR"/>
        </w:rPr>
        <w:t xml:space="preserve"> do trabalho descente para ambos os grupos sociais. Nessas circunstâncias, a maioria das pessoas economicamente ativas, em determinada região ou país, está empregada ou tem acesso a oportunidades de emprego adequadas, a oferta de empregos disponíveis é suficiente para atender à demanda da força de trabalho e a taxa de desemprego é relativamente baixa.</w:t>
      </w:r>
    </w:p>
    <w:p w14:paraId="4272B81E" w14:textId="79DAAC24" w:rsidR="00E20E7E" w:rsidRDefault="00E20E7E" w:rsidP="00A80DAD">
      <w:pPr>
        <w:rPr>
          <w:rFonts w:ascii="Times New Roman" w:eastAsia="Times New Roman" w:hAnsi="Times New Roman" w:cs="Times New Roman"/>
          <w:sz w:val="24"/>
          <w:szCs w:val="24"/>
          <w:lang w:eastAsia="pt-BR"/>
        </w:rPr>
      </w:pPr>
      <w:r w:rsidRPr="00CA3BB8">
        <w:rPr>
          <w:rFonts w:ascii="Times New Roman" w:eastAsia="Times New Roman" w:hAnsi="Times New Roman" w:cs="Times New Roman"/>
          <w:sz w:val="24"/>
          <w:szCs w:val="24"/>
          <w:lang w:eastAsia="pt-BR"/>
        </w:rPr>
        <w:t xml:space="preserve">Dessa forma, a compreensão </w:t>
      </w:r>
      <w:r w:rsidR="00A82008" w:rsidRPr="00CA3BB8">
        <w:rPr>
          <w:rFonts w:ascii="Times New Roman" w:eastAsia="Times New Roman" w:hAnsi="Times New Roman" w:cs="Times New Roman"/>
          <w:sz w:val="24"/>
          <w:szCs w:val="24"/>
          <w:lang w:eastAsia="pt-BR"/>
        </w:rPr>
        <w:t>dos estudos empíricos sobre os determinantes do desemprego</w:t>
      </w:r>
      <w:r w:rsidR="00D006BB" w:rsidRPr="00CA3BB8">
        <w:rPr>
          <w:rFonts w:ascii="Times New Roman" w:eastAsia="Times New Roman" w:hAnsi="Times New Roman" w:cs="Times New Roman"/>
          <w:sz w:val="24"/>
          <w:szCs w:val="24"/>
          <w:lang w:eastAsia="pt-BR"/>
        </w:rPr>
        <w:t xml:space="preserve"> é fundamental </w:t>
      </w:r>
      <w:r w:rsidRPr="00CA3BB8">
        <w:rPr>
          <w:rFonts w:ascii="Times New Roman" w:eastAsia="Times New Roman" w:hAnsi="Times New Roman" w:cs="Times New Roman"/>
          <w:sz w:val="24"/>
          <w:szCs w:val="24"/>
          <w:lang w:eastAsia="pt-BR"/>
        </w:rPr>
        <w:t xml:space="preserve">para o desenvolvimento de políticas públicas mais eficazes e equitativas capazes de auxiliar a reduzir as desigualdades e promover um </w:t>
      </w:r>
      <w:r w:rsidR="00654B25">
        <w:rPr>
          <w:rFonts w:ascii="Times New Roman" w:eastAsia="Times New Roman" w:hAnsi="Times New Roman" w:cs="Times New Roman"/>
          <w:sz w:val="24"/>
          <w:szCs w:val="24"/>
          <w:lang w:eastAsia="pt-BR"/>
        </w:rPr>
        <w:t>ambiente de emprego</w:t>
      </w:r>
      <w:r w:rsidRPr="00CA3BB8">
        <w:rPr>
          <w:rFonts w:ascii="Times New Roman" w:eastAsia="Times New Roman" w:hAnsi="Times New Roman" w:cs="Times New Roman"/>
          <w:sz w:val="24"/>
          <w:szCs w:val="24"/>
          <w:lang w:eastAsia="pt-BR"/>
        </w:rPr>
        <w:t xml:space="preserve"> </w:t>
      </w:r>
      <w:r w:rsidR="001643C8" w:rsidRPr="00CA3BB8">
        <w:rPr>
          <w:rFonts w:ascii="Times New Roman" w:eastAsia="Times New Roman" w:hAnsi="Times New Roman" w:cs="Times New Roman"/>
          <w:sz w:val="24"/>
          <w:szCs w:val="24"/>
          <w:lang w:eastAsia="pt-BR"/>
        </w:rPr>
        <w:t xml:space="preserve">nacional </w:t>
      </w:r>
      <w:r w:rsidRPr="00CA3BB8">
        <w:rPr>
          <w:rFonts w:ascii="Times New Roman" w:eastAsia="Times New Roman" w:hAnsi="Times New Roman" w:cs="Times New Roman"/>
          <w:sz w:val="24"/>
          <w:szCs w:val="24"/>
          <w:lang w:eastAsia="pt-BR"/>
        </w:rPr>
        <w:t xml:space="preserve">justo e inclusivo. Os estudos empíricos também podem ser utilizados para monitorar o impacto das políticas governamentais e avaliar a eficácia de diferentes abordagens para </w:t>
      </w:r>
      <w:r w:rsidR="001643C8" w:rsidRPr="00CA3BB8">
        <w:rPr>
          <w:rFonts w:ascii="Times New Roman" w:eastAsia="Times New Roman" w:hAnsi="Times New Roman" w:cs="Times New Roman"/>
          <w:sz w:val="24"/>
          <w:szCs w:val="24"/>
          <w:lang w:eastAsia="pt-BR"/>
        </w:rPr>
        <w:t>subsidiar a form</w:t>
      </w:r>
      <w:r w:rsidR="006F1B34" w:rsidRPr="00CA3BB8">
        <w:rPr>
          <w:rFonts w:ascii="Times New Roman" w:eastAsia="Times New Roman" w:hAnsi="Times New Roman" w:cs="Times New Roman"/>
          <w:sz w:val="24"/>
          <w:szCs w:val="24"/>
          <w:lang w:eastAsia="pt-BR"/>
        </w:rPr>
        <w:t xml:space="preserve">ulação de estratégias para </w:t>
      </w:r>
      <w:r w:rsidRPr="00CA3BB8">
        <w:rPr>
          <w:rFonts w:ascii="Times New Roman" w:eastAsia="Times New Roman" w:hAnsi="Times New Roman" w:cs="Times New Roman"/>
          <w:sz w:val="24"/>
          <w:szCs w:val="24"/>
          <w:lang w:eastAsia="pt-BR"/>
        </w:rPr>
        <w:t>combater o desemprego e suas consequências</w:t>
      </w:r>
      <w:r w:rsidR="006F1B34" w:rsidRPr="00CA3BB8">
        <w:rPr>
          <w:rFonts w:ascii="Times New Roman" w:eastAsia="Times New Roman" w:hAnsi="Times New Roman" w:cs="Times New Roman"/>
          <w:sz w:val="24"/>
          <w:szCs w:val="24"/>
          <w:lang w:eastAsia="pt-BR"/>
        </w:rPr>
        <w:t xml:space="preserve"> socioeconô</w:t>
      </w:r>
      <w:r w:rsidR="00043D4C" w:rsidRPr="00CA3BB8">
        <w:rPr>
          <w:rFonts w:ascii="Times New Roman" w:eastAsia="Times New Roman" w:hAnsi="Times New Roman" w:cs="Times New Roman"/>
          <w:sz w:val="24"/>
          <w:szCs w:val="24"/>
          <w:lang w:eastAsia="pt-BR"/>
        </w:rPr>
        <w:t>micas</w:t>
      </w:r>
      <w:r w:rsidRPr="00CA3BB8">
        <w:rPr>
          <w:rFonts w:ascii="Times New Roman" w:eastAsia="Times New Roman" w:hAnsi="Times New Roman" w:cs="Times New Roman"/>
          <w:sz w:val="24"/>
          <w:szCs w:val="24"/>
          <w:lang w:eastAsia="pt-BR"/>
        </w:rPr>
        <w:t>.</w:t>
      </w:r>
      <w:r w:rsidR="0003133F">
        <w:rPr>
          <w:rFonts w:ascii="Times New Roman" w:eastAsia="Times New Roman" w:hAnsi="Times New Roman" w:cs="Times New Roman"/>
          <w:sz w:val="24"/>
          <w:szCs w:val="24"/>
          <w:lang w:eastAsia="pt-BR"/>
        </w:rPr>
        <w:t xml:space="preserve"> </w:t>
      </w:r>
    </w:p>
    <w:p w14:paraId="2F12C2B2" w14:textId="7943AA27" w:rsidR="0003133F" w:rsidRPr="003F7519" w:rsidRDefault="0003133F" w:rsidP="00A80DAD">
      <w:pPr>
        <w:pStyle w:val="Ttulo1"/>
        <w:numPr>
          <w:ilvl w:val="0"/>
          <w:numId w:val="44"/>
        </w:numPr>
        <w:spacing w:before="0"/>
        <w:ind w:left="0" w:firstLine="0"/>
        <w:rPr>
          <w:rFonts w:eastAsia="Times New Roman"/>
          <w:b/>
          <w:bCs/>
          <w:lang w:eastAsia="pt-BR"/>
        </w:rPr>
      </w:pPr>
      <w:bookmarkStart w:id="8" w:name="_Toc160609820"/>
      <w:bookmarkEnd w:id="5"/>
      <w:r w:rsidRPr="003F7519">
        <w:rPr>
          <w:b/>
          <w:bCs/>
        </w:rPr>
        <w:lastRenderedPageBreak/>
        <w:t>METODOLOGIA</w:t>
      </w:r>
      <w:bookmarkEnd w:id="8"/>
      <w:r w:rsidRPr="003F7519">
        <w:rPr>
          <w:b/>
          <w:bCs/>
        </w:rPr>
        <w:t xml:space="preserve"> </w:t>
      </w:r>
    </w:p>
    <w:p w14:paraId="224B241D" w14:textId="4DE8F154" w:rsidR="0003133F" w:rsidRDefault="00B8564D" w:rsidP="00A80DAD">
      <w:pPr>
        <w:rPr>
          <w:rFonts w:ascii="Times New Roman" w:eastAsia="Times New Roman" w:hAnsi="Times New Roman" w:cs="Times New Roman"/>
          <w:sz w:val="24"/>
          <w:szCs w:val="24"/>
          <w:lang w:eastAsia="pt-BR"/>
        </w:rPr>
      </w:pPr>
      <w:r w:rsidRPr="00B8564D">
        <w:rPr>
          <w:rFonts w:ascii="Times New Roman" w:eastAsia="Times New Roman" w:hAnsi="Times New Roman" w:cs="Times New Roman"/>
          <w:sz w:val="24"/>
          <w:szCs w:val="24"/>
          <w:lang w:eastAsia="pt-BR"/>
        </w:rPr>
        <w:t>Na presente seção, descreve</w:t>
      </w:r>
      <w:r>
        <w:rPr>
          <w:rFonts w:ascii="Times New Roman" w:eastAsia="Times New Roman" w:hAnsi="Times New Roman" w:cs="Times New Roman"/>
          <w:sz w:val="24"/>
          <w:szCs w:val="24"/>
          <w:lang w:eastAsia="pt-BR"/>
        </w:rPr>
        <w:t xml:space="preserve">-se </w:t>
      </w:r>
      <w:r w:rsidRPr="00B8564D">
        <w:rPr>
          <w:rFonts w:ascii="Times New Roman" w:eastAsia="Times New Roman" w:hAnsi="Times New Roman" w:cs="Times New Roman"/>
          <w:sz w:val="24"/>
          <w:szCs w:val="24"/>
          <w:lang w:eastAsia="pt-BR"/>
        </w:rPr>
        <w:t>a metodologia empregada na análise da evolução da taxa de desemprego em escala nacional, tendo como base atributos</w:t>
      </w:r>
      <w:r w:rsidR="007C3C49">
        <w:rPr>
          <w:rFonts w:ascii="Times New Roman" w:eastAsia="Times New Roman" w:hAnsi="Times New Roman" w:cs="Times New Roman"/>
          <w:sz w:val="24"/>
          <w:szCs w:val="24"/>
          <w:lang w:eastAsia="pt-BR"/>
        </w:rPr>
        <w:t xml:space="preserve"> observáveis</w:t>
      </w:r>
      <w:r w:rsidRPr="00B8564D">
        <w:rPr>
          <w:rFonts w:ascii="Times New Roman" w:eastAsia="Times New Roman" w:hAnsi="Times New Roman" w:cs="Times New Roman"/>
          <w:sz w:val="24"/>
          <w:szCs w:val="24"/>
          <w:lang w:eastAsia="pt-BR"/>
        </w:rPr>
        <w:t xml:space="preserve"> </w:t>
      </w:r>
      <w:r w:rsidR="007C3C49">
        <w:rPr>
          <w:rFonts w:ascii="Times New Roman" w:eastAsia="Times New Roman" w:hAnsi="Times New Roman" w:cs="Times New Roman"/>
          <w:sz w:val="24"/>
          <w:szCs w:val="24"/>
          <w:lang w:eastAsia="pt-BR"/>
        </w:rPr>
        <w:t>d</w:t>
      </w:r>
      <w:r w:rsidRPr="00B8564D">
        <w:rPr>
          <w:rFonts w:ascii="Times New Roman" w:eastAsia="Times New Roman" w:hAnsi="Times New Roman" w:cs="Times New Roman"/>
          <w:sz w:val="24"/>
          <w:szCs w:val="24"/>
          <w:lang w:eastAsia="pt-BR"/>
        </w:rPr>
        <w:t>a força de trabalho, a exemplo de gênero, raça, faixa etária</w:t>
      </w:r>
      <w:r>
        <w:rPr>
          <w:rFonts w:ascii="Times New Roman" w:eastAsia="Times New Roman" w:hAnsi="Times New Roman" w:cs="Times New Roman"/>
          <w:sz w:val="24"/>
          <w:szCs w:val="24"/>
          <w:lang w:eastAsia="pt-BR"/>
        </w:rPr>
        <w:t xml:space="preserve"> e </w:t>
      </w:r>
      <w:r w:rsidRPr="00B8564D">
        <w:rPr>
          <w:rFonts w:ascii="Times New Roman" w:eastAsia="Times New Roman" w:hAnsi="Times New Roman" w:cs="Times New Roman"/>
          <w:sz w:val="24"/>
          <w:szCs w:val="24"/>
          <w:lang w:eastAsia="pt-BR"/>
        </w:rPr>
        <w:t>nível educacional</w:t>
      </w:r>
      <w:r>
        <w:rPr>
          <w:rFonts w:ascii="Times New Roman" w:eastAsia="Times New Roman" w:hAnsi="Times New Roman" w:cs="Times New Roman"/>
          <w:sz w:val="24"/>
          <w:szCs w:val="24"/>
          <w:lang w:eastAsia="pt-BR"/>
        </w:rPr>
        <w:t xml:space="preserve">. </w:t>
      </w:r>
      <w:r w:rsidR="007C3C49">
        <w:rPr>
          <w:rFonts w:ascii="Times New Roman" w:eastAsia="Times New Roman" w:hAnsi="Times New Roman" w:cs="Times New Roman"/>
          <w:sz w:val="24"/>
          <w:szCs w:val="24"/>
          <w:lang w:eastAsia="pt-BR"/>
        </w:rPr>
        <w:t>De forma específica, c</w:t>
      </w:r>
      <w:r w:rsidR="007C3C49" w:rsidRPr="007C3C49">
        <w:rPr>
          <w:rFonts w:ascii="Times New Roman" w:eastAsia="Times New Roman" w:hAnsi="Times New Roman" w:cs="Times New Roman"/>
          <w:sz w:val="24"/>
          <w:szCs w:val="24"/>
          <w:lang w:eastAsia="pt-BR"/>
        </w:rPr>
        <w:t xml:space="preserve">om base no conjunto de </w:t>
      </w:r>
      <w:proofErr w:type="spellStart"/>
      <w:r w:rsidR="007C3C49" w:rsidRPr="007C3C49">
        <w:rPr>
          <w:rFonts w:ascii="Times New Roman" w:eastAsia="Times New Roman" w:hAnsi="Times New Roman" w:cs="Times New Roman"/>
          <w:sz w:val="24"/>
          <w:szCs w:val="24"/>
          <w:lang w:eastAsia="pt-BR"/>
        </w:rPr>
        <w:t>microdados</w:t>
      </w:r>
      <w:proofErr w:type="spellEnd"/>
      <w:r w:rsidR="007C3C49" w:rsidRPr="007C3C49">
        <w:rPr>
          <w:rFonts w:ascii="Times New Roman" w:eastAsia="Times New Roman" w:hAnsi="Times New Roman" w:cs="Times New Roman"/>
          <w:sz w:val="24"/>
          <w:szCs w:val="24"/>
          <w:lang w:eastAsia="pt-BR"/>
        </w:rPr>
        <w:t xml:space="preserve"> da PNAD Contínua</w:t>
      </w:r>
      <w:r w:rsidR="007C3C49">
        <w:rPr>
          <w:rFonts w:ascii="Times New Roman" w:eastAsia="Times New Roman" w:hAnsi="Times New Roman" w:cs="Times New Roman"/>
          <w:sz w:val="24"/>
          <w:szCs w:val="24"/>
          <w:lang w:eastAsia="pt-BR"/>
        </w:rPr>
        <w:t xml:space="preserve">, </w:t>
      </w:r>
      <w:r w:rsidR="007C3C49" w:rsidRPr="007C3C49">
        <w:rPr>
          <w:rFonts w:ascii="Times New Roman" w:eastAsia="Times New Roman" w:hAnsi="Times New Roman" w:cs="Times New Roman"/>
          <w:sz w:val="24"/>
          <w:szCs w:val="24"/>
          <w:lang w:eastAsia="pt-BR"/>
        </w:rPr>
        <w:t>emprega-se a metodologia de decomposição das variações na taxa de desemprego</w:t>
      </w:r>
      <w:r w:rsidR="006F7211">
        <w:rPr>
          <w:rFonts w:ascii="Times New Roman" w:eastAsia="Times New Roman" w:hAnsi="Times New Roman" w:cs="Times New Roman"/>
          <w:sz w:val="24"/>
          <w:szCs w:val="24"/>
          <w:lang w:eastAsia="pt-BR"/>
        </w:rPr>
        <w:t xml:space="preserve">, </w:t>
      </w:r>
      <w:r w:rsidR="007C3C49" w:rsidRPr="007C3C49">
        <w:rPr>
          <w:rFonts w:ascii="Times New Roman" w:eastAsia="Times New Roman" w:hAnsi="Times New Roman" w:cs="Times New Roman"/>
          <w:sz w:val="24"/>
          <w:szCs w:val="24"/>
          <w:lang w:eastAsia="pt-BR"/>
        </w:rPr>
        <w:t xml:space="preserve">conforme </w:t>
      </w:r>
      <w:r w:rsidR="007C3C49">
        <w:rPr>
          <w:rFonts w:ascii="Times New Roman" w:eastAsia="Times New Roman" w:hAnsi="Times New Roman" w:cs="Times New Roman"/>
          <w:sz w:val="24"/>
          <w:szCs w:val="24"/>
          <w:lang w:eastAsia="pt-BR"/>
        </w:rPr>
        <w:t xml:space="preserve">Barbosa Filho e </w:t>
      </w:r>
      <w:proofErr w:type="spellStart"/>
      <w:r w:rsidR="007C3C49">
        <w:rPr>
          <w:rFonts w:ascii="Times New Roman" w:eastAsia="Times New Roman" w:hAnsi="Times New Roman" w:cs="Times New Roman"/>
          <w:sz w:val="24"/>
          <w:szCs w:val="24"/>
          <w:lang w:eastAsia="pt-BR"/>
        </w:rPr>
        <w:t>Pessôa</w:t>
      </w:r>
      <w:proofErr w:type="spellEnd"/>
      <w:r w:rsidR="007C3C49">
        <w:rPr>
          <w:rFonts w:ascii="Times New Roman" w:eastAsia="Times New Roman" w:hAnsi="Times New Roman" w:cs="Times New Roman"/>
          <w:sz w:val="24"/>
          <w:szCs w:val="24"/>
          <w:lang w:eastAsia="pt-BR"/>
        </w:rPr>
        <w:t xml:space="preserve"> (2011),</w:t>
      </w:r>
      <w:r w:rsidR="007C3C49" w:rsidRPr="007C3C49">
        <w:t xml:space="preserve"> </w:t>
      </w:r>
      <w:proofErr w:type="spellStart"/>
      <w:r w:rsidR="007C3C49" w:rsidRPr="007C3C49">
        <w:rPr>
          <w:rFonts w:ascii="Times New Roman" w:eastAsia="Times New Roman" w:hAnsi="Times New Roman" w:cs="Times New Roman"/>
          <w:sz w:val="24"/>
          <w:szCs w:val="24"/>
          <w:lang w:eastAsia="pt-BR"/>
        </w:rPr>
        <w:t>Banerjee</w:t>
      </w:r>
      <w:proofErr w:type="spellEnd"/>
      <w:r w:rsidR="007C3C49" w:rsidRPr="007C3C49">
        <w:rPr>
          <w:rFonts w:ascii="Times New Roman" w:eastAsia="Times New Roman" w:hAnsi="Times New Roman" w:cs="Times New Roman"/>
          <w:sz w:val="24"/>
          <w:szCs w:val="24"/>
          <w:lang w:eastAsia="pt-BR"/>
        </w:rPr>
        <w:t xml:space="preserve"> et al</w:t>
      </w:r>
      <w:r w:rsidR="007C3C49">
        <w:rPr>
          <w:rFonts w:ascii="Times New Roman" w:eastAsia="Times New Roman" w:hAnsi="Times New Roman" w:cs="Times New Roman"/>
          <w:sz w:val="24"/>
          <w:szCs w:val="24"/>
          <w:lang w:eastAsia="pt-BR"/>
        </w:rPr>
        <w:t>.</w:t>
      </w:r>
      <w:r w:rsidR="007C3C49" w:rsidRPr="007C3C49">
        <w:rPr>
          <w:rFonts w:ascii="Times New Roman" w:eastAsia="Times New Roman" w:hAnsi="Times New Roman" w:cs="Times New Roman"/>
          <w:sz w:val="24"/>
          <w:szCs w:val="24"/>
          <w:lang w:eastAsia="pt-BR"/>
        </w:rPr>
        <w:t xml:space="preserve"> (2007), </w:t>
      </w:r>
      <w:proofErr w:type="spellStart"/>
      <w:r w:rsidR="007C3C49" w:rsidRPr="007C3C49">
        <w:rPr>
          <w:rFonts w:ascii="Times New Roman" w:eastAsia="Times New Roman" w:hAnsi="Times New Roman" w:cs="Times New Roman"/>
          <w:sz w:val="24"/>
          <w:szCs w:val="24"/>
          <w:lang w:eastAsia="pt-BR"/>
        </w:rPr>
        <w:t>Hipple</w:t>
      </w:r>
      <w:proofErr w:type="spellEnd"/>
      <w:r w:rsidR="007C3C49" w:rsidRPr="007C3C49">
        <w:rPr>
          <w:rFonts w:ascii="Times New Roman" w:eastAsia="Times New Roman" w:hAnsi="Times New Roman" w:cs="Times New Roman"/>
          <w:sz w:val="24"/>
          <w:szCs w:val="24"/>
          <w:lang w:eastAsia="pt-BR"/>
        </w:rPr>
        <w:t xml:space="preserve"> (1997), </w:t>
      </w:r>
      <w:proofErr w:type="spellStart"/>
      <w:r w:rsidR="007C3C49" w:rsidRPr="007C3C49">
        <w:rPr>
          <w:rFonts w:ascii="Times New Roman" w:eastAsia="Times New Roman" w:hAnsi="Times New Roman" w:cs="Times New Roman"/>
          <w:sz w:val="24"/>
          <w:szCs w:val="24"/>
          <w:lang w:eastAsia="pt-BR"/>
        </w:rPr>
        <w:t>Shimer</w:t>
      </w:r>
      <w:proofErr w:type="spellEnd"/>
      <w:r w:rsidR="007C3C49" w:rsidRPr="007C3C49">
        <w:rPr>
          <w:rFonts w:ascii="Times New Roman" w:eastAsia="Times New Roman" w:hAnsi="Times New Roman" w:cs="Times New Roman"/>
          <w:sz w:val="24"/>
          <w:szCs w:val="24"/>
          <w:lang w:eastAsia="pt-BR"/>
        </w:rPr>
        <w:t xml:space="preserve"> (1999)</w:t>
      </w:r>
      <w:r w:rsidR="007C3C49">
        <w:rPr>
          <w:rFonts w:ascii="Times New Roman" w:eastAsia="Times New Roman" w:hAnsi="Times New Roman" w:cs="Times New Roman"/>
          <w:sz w:val="24"/>
          <w:szCs w:val="24"/>
          <w:lang w:eastAsia="pt-BR"/>
        </w:rPr>
        <w:t xml:space="preserve">, </w:t>
      </w:r>
      <w:r w:rsidR="008C3071">
        <w:rPr>
          <w:rFonts w:ascii="Times New Roman" w:eastAsia="Times New Roman" w:hAnsi="Times New Roman" w:cs="Times New Roman"/>
          <w:sz w:val="24"/>
          <w:szCs w:val="24"/>
          <w:lang w:eastAsia="pt-BR"/>
        </w:rPr>
        <w:t>Campbell</w:t>
      </w:r>
      <w:r w:rsidR="008C3071" w:rsidRPr="007C3C49">
        <w:rPr>
          <w:rFonts w:ascii="Times New Roman" w:eastAsia="Times New Roman" w:hAnsi="Times New Roman" w:cs="Times New Roman"/>
          <w:sz w:val="24"/>
          <w:szCs w:val="24"/>
          <w:lang w:eastAsia="pt-BR"/>
        </w:rPr>
        <w:t xml:space="preserve"> </w:t>
      </w:r>
      <w:r w:rsidR="007C3C49" w:rsidRPr="007C3C49">
        <w:rPr>
          <w:rFonts w:ascii="Times New Roman" w:eastAsia="Times New Roman" w:hAnsi="Times New Roman" w:cs="Times New Roman"/>
          <w:sz w:val="24"/>
          <w:szCs w:val="24"/>
          <w:lang w:eastAsia="pt-BR"/>
        </w:rPr>
        <w:t>e</w:t>
      </w:r>
      <w:r w:rsidR="007C3C49">
        <w:rPr>
          <w:rFonts w:ascii="Times New Roman" w:eastAsia="Times New Roman" w:hAnsi="Times New Roman" w:cs="Times New Roman"/>
          <w:sz w:val="24"/>
          <w:szCs w:val="24"/>
          <w:lang w:eastAsia="pt-BR"/>
        </w:rPr>
        <w:t xml:space="preserve"> </w:t>
      </w:r>
      <w:proofErr w:type="spellStart"/>
      <w:r w:rsidR="008C3071">
        <w:rPr>
          <w:rFonts w:ascii="Times New Roman" w:eastAsia="Times New Roman" w:hAnsi="Times New Roman" w:cs="Times New Roman"/>
          <w:sz w:val="24"/>
          <w:szCs w:val="24"/>
          <w:lang w:eastAsia="pt-BR"/>
        </w:rPr>
        <w:t>Duca</w:t>
      </w:r>
      <w:proofErr w:type="spellEnd"/>
      <w:r w:rsidR="008C3071" w:rsidRPr="007C3C49">
        <w:rPr>
          <w:rFonts w:ascii="Times New Roman" w:eastAsia="Times New Roman" w:hAnsi="Times New Roman" w:cs="Times New Roman"/>
          <w:sz w:val="24"/>
          <w:szCs w:val="24"/>
          <w:lang w:eastAsia="pt-BR"/>
        </w:rPr>
        <w:t xml:space="preserve"> </w:t>
      </w:r>
      <w:r w:rsidR="007C3C49" w:rsidRPr="007C3C49">
        <w:rPr>
          <w:rFonts w:ascii="Times New Roman" w:eastAsia="Times New Roman" w:hAnsi="Times New Roman" w:cs="Times New Roman"/>
          <w:sz w:val="24"/>
          <w:szCs w:val="24"/>
          <w:lang w:eastAsia="pt-BR"/>
        </w:rPr>
        <w:t>(2007)</w:t>
      </w:r>
      <w:r w:rsidR="007C3C49">
        <w:rPr>
          <w:rFonts w:ascii="Times New Roman" w:eastAsia="Times New Roman" w:hAnsi="Times New Roman" w:cs="Times New Roman"/>
          <w:sz w:val="24"/>
          <w:szCs w:val="24"/>
          <w:lang w:eastAsia="pt-BR"/>
        </w:rPr>
        <w:t xml:space="preserve"> e Costa (2015). </w:t>
      </w:r>
      <w:r w:rsidR="005C2DEA" w:rsidRPr="005C2DEA">
        <w:rPr>
          <w:rFonts w:ascii="Times New Roman" w:eastAsia="Times New Roman" w:hAnsi="Times New Roman" w:cs="Times New Roman"/>
          <w:sz w:val="24"/>
          <w:szCs w:val="24"/>
          <w:lang w:eastAsia="pt-BR"/>
        </w:rPr>
        <w:t xml:space="preserve">Inicialmente, ao definir a taxa de desemprego no período t por </w:t>
      </w:r>
      <w:proofErr w:type="spellStart"/>
      <w:r w:rsidR="005C2DEA" w:rsidRPr="005C2DEA">
        <w:rPr>
          <w:rFonts w:ascii="Times New Roman" w:eastAsia="Times New Roman" w:hAnsi="Times New Roman" w:cs="Times New Roman"/>
          <w:sz w:val="24"/>
          <w:szCs w:val="24"/>
          <w:lang w:eastAsia="pt-BR"/>
        </w:rPr>
        <w:t>Dt</w:t>
      </w:r>
      <w:proofErr w:type="spellEnd"/>
      <w:r w:rsidR="005C2DEA" w:rsidRPr="005C2DEA">
        <w:rPr>
          <w:rFonts w:ascii="Times New Roman" w:eastAsia="Times New Roman" w:hAnsi="Times New Roman" w:cs="Times New Roman"/>
          <w:sz w:val="24"/>
          <w:szCs w:val="24"/>
          <w:lang w:eastAsia="pt-BR"/>
        </w:rPr>
        <w:t>, essa pode ser escrita da seguinte forma:</w:t>
      </w:r>
    </w:p>
    <w:p w14:paraId="102B5305" w14:textId="7FB17EAF" w:rsidR="0003133F" w:rsidRPr="005C689D" w:rsidRDefault="00617797">
      <w:pPr>
        <w:rPr>
          <w:rFonts w:ascii="Times New Roman" w:eastAsia="Times New Roman" w:hAnsi="Times New Roman" w:cs="Times New Roman"/>
          <w:sz w:val="24"/>
          <w:szCs w:val="24"/>
          <w:lang w:eastAsia="pt-BR"/>
        </w:rPr>
      </w:pPr>
      <m:oMathPara>
        <m:oMathParaPr>
          <m:jc m:val="center"/>
        </m:oMathParaPr>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desocupados</m:t>
                      </m:r>
                    </m:e>
                    <m:sub>
                      <m:r>
                        <w:rPr>
                          <w:rFonts w:ascii="Cambria Math" w:eastAsia="Times New Roman" w:hAnsi="Cambria Math" w:cs="Times New Roman"/>
                          <w:sz w:val="24"/>
                          <w:szCs w:val="24"/>
                          <w:lang w:eastAsia="pt-BR"/>
                        </w:rPr>
                        <m:t>t</m:t>
                      </m:r>
                    </m:sub>
                  </m:sSub>
                </m:num>
                <m:den>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desocupados</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ocupados</m:t>
                      </m:r>
                    </m:e>
                    <m:sub>
                      <m:r>
                        <w:rPr>
                          <w:rFonts w:ascii="Cambria Math" w:eastAsia="Times New Roman" w:hAnsi="Cambria Math" w:cs="Times New Roman"/>
                          <w:sz w:val="24"/>
                          <w:szCs w:val="24"/>
                          <w:lang w:eastAsia="pt-BR"/>
                        </w:rPr>
                        <m:t>t</m:t>
                      </m:r>
                    </m:sub>
                  </m:sSub>
                </m:den>
              </m:f>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num>
                <m:den>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t</m:t>
                      </m:r>
                    </m:sub>
                  </m:sSub>
                </m:den>
              </m:f>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1</m:t>
                  </m:r>
                </m:e>
              </m:d>
            </m:e>
          </m:eqArr>
        </m:oMath>
      </m:oMathPara>
    </w:p>
    <w:p w14:paraId="7D801A06" w14:textId="10F66BB9" w:rsidR="005C689D" w:rsidRPr="00DE4CC7" w:rsidRDefault="005C689D">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forma subsequente, a</w:t>
      </w:r>
      <w:r w:rsidR="00DE4CC7">
        <w:rPr>
          <w:rFonts w:ascii="Times New Roman" w:eastAsia="Times New Roman" w:hAnsi="Times New Roman" w:cs="Times New Roman"/>
          <w:sz w:val="24"/>
          <w:szCs w:val="24"/>
          <w:lang w:eastAsia="pt-BR"/>
        </w:rPr>
        <w:t xml:space="preserve">crescenta-se a variável </w:t>
      </w:r>
      <w:r w:rsidR="00DE4CC7" w:rsidRPr="00DE4CC7">
        <w:rPr>
          <w:rFonts w:ascii="Times New Roman" w:eastAsia="Times New Roman" w:hAnsi="Times New Roman" w:cs="Times New Roman"/>
          <w:i/>
          <w:iCs/>
          <w:sz w:val="24"/>
          <w:szCs w:val="24"/>
          <w:lang w:eastAsia="pt-BR"/>
        </w:rPr>
        <w:t>i</w:t>
      </w:r>
      <w:r w:rsidR="00DE4CC7">
        <w:rPr>
          <w:rFonts w:ascii="Times New Roman" w:eastAsia="Times New Roman" w:hAnsi="Times New Roman" w:cs="Times New Roman"/>
          <w:sz w:val="24"/>
          <w:szCs w:val="24"/>
          <w:lang w:eastAsia="pt-BR"/>
        </w:rPr>
        <w:t>, a qual representa</w:t>
      </w:r>
      <w:r w:rsidR="00DE4CC7">
        <w:rPr>
          <w:rFonts w:ascii="Times New Roman" w:eastAsia="Times New Roman" w:hAnsi="Times New Roman" w:cs="Times New Roman"/>
          <w:i/>
          <w:iCs/>
          <w:sz w:val="24"/>
          <w:szCs w:val="24"/>
          <w:lang w:eastAsia="pt-BR"/>
        </w:rPr>
        <w:t xml:space="preserve"> </w:t>
      </w:r>
      <w:r w:rsidR="00DE4CC7">
        <w:rPr>
          <w:rFonts w:ascii="Times New Roman" w:eastAsia="Times New Roman" w:hAnsi="Times New Roman" w:cs="Times New Roman"/>
          <w:sz w:val="24"/>
          <w:szCs w:val="24"/>
          <w:lang w:eastAsia="pt-BR"/>
        </w:rPr>
        <w:t>um grupo específico, baseado em critérios, como por exemplo, gênero, raça ou faixa etária.</w:t>
      </w:r>
    </w:p>
    <w:p w14:paraId="33FBF5A4" w14:textId="296FC04F" w:rsidR="00EC028C" w:rsidRPr="00EC028C" w:rsidRDefault="00617797">
      <w:pPr>
        <w:pStyle w:val="PargrafodaLista"/>
        <w:ind w:left="0" w:firstLine="0"/>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num>
                <m:den>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t</m:t>
                      </m:r>
                    </m:sub>
                  </m:sSub>
                </m:den>
              </m:f>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e>
                  </m:nary>
                </m:num>
                <m:den>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e>
                  </m:nary>
                </m:den>
              </m:f>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e>
                  </m:nary>
                </m:num>
                <m:den>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e>
                  </m:nary>
                </m:den>
              </m:f>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num>
                <m:den>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den>
              </m:f>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2</m:t>
                  </m:r>
                </m:e>
              </m:d>
            </m:e>
          </m:eqArr>
        </m:oMath>
      </m:oMathPara>
    </w:p>
    <w:p w14:paraId="308577D5" w14:textId="19CB3FD8" w:rsidR="00D90498" w:rsidRPr="00D90498" w:rsidRDefault="00617797">
      <w:pPr>
        <w:pStyle w:val="PargrafodaLista"/>
        <w:ind w:left="0" w:firstLine="0"/>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num>
                    <m:den>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e>
                      </m:nary>
                    </m:den>
                  </m:f>
                </m:e>
              </m:nary>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num>
                <m:den>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den>
              </m:f>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3</m:t>
                  </m:r>
                </m:e>
              </m:d>
            </m:e>
          </m:eqArr>
        </m:oMath>
      </m:oMathPara>
    </w:p>
    <w:p w14:paraId="663015E2" w14:textId="5D841500" w:rsidR="00EC028C" w:rsidRDefault="00EC028C">
      <w:pPr>
        <w:pStyle w:val="PargrafodaLista"/>
        <w:ind w:left="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Assim, a participação de cada agrupamento é dada por </w:t>
      </w:r>
      <m:oMath>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f>
              <m:fPr>
                <m:ctrlPr>
                  <w:rPr>
                    <w:rFonts w:ascii="Cambria Math" w:eastAsia="Times New Roman" w:hAnsi="Cambria Math" w:cs="Times New Roman"/>
                    <w:i/>
                    <w:sz w:val="24"/>
                    <w:szCs w:val="24"/>
                    <w:lang w:eastAsia="pt-BR"/>
                  </w:rPr>
                </m:ctrlPr>
              </m:fPr>
              <m:num>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num>
              <m:den>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L</m:t>
                        </m:r>
                      </m:e>
                      <m:sub>
                        <m:r>
                          <w:rPr>
                            <w:rFonts w:ascii="Cambria Math" w:eastAsia="Times New Roman" w:hAnsi="Cambria Math" w:cs="Times New Roman"/>
                            <w:sz w:val="24"/>
                            <w:szCs w:val="24"/>
                            <w:lang w:eastAsia="pt-BR"/>
                          </w:rPr>
                          <m:t>i,t</m:t>
                        </m:r>
                      </m:sub>
                    </m:sSub>
                  </m:e>
                </m:nary>
              </m:den>
            </m:f>
          </m:sub>
        </m:sSub>
      </m:oMath>
      <w:r w:rsidR="00D96A24">
        <w:rPr>
          <w:rFonts w:ascii="Times New Roman" w:eastAsia="Times New Roman" w:hAnsi="Times New Roman" w:cs="Times New Roman"/>
          <w:sz w:val="24"/>
          <w:szCs w:val="24"/>
          <w:lang w:eastAsia="pt-BR"/>
        </w:rPr>
        <w:t xml:space="preserve"> e </w:t>
      </w:r>
      <w:r w:rsidR="00D90498">
        <w:rPr>
          <w:rFonts w:ascii="Times New Roman" w:eastAsia="Times New Roman" w:hAnsi="Times New Roman" w:cs="Times New Roman"/>
          <w:sz w:val="24"/>
          <w:szCs w:val="24"/>
          <w:lang w:eastAsia="pt-BR"/>
        </w:rPr>
        <w:t>o</w:t>
      </w:r>
      <w:r w:rsidR="00D96A24">
        <w:rPr>
          <w:rFonts w:ascii="Times New Roman" w:eastAsia="Times New Roman" w:hAnsi="Times New Roman" w:cs="Times New Roman"/>
          <w:sz w:val="24"/>
          <w:szCs w:val="24"/>
          <w:lang w:eastAsia="pt-BR"/>
        </w:rPr>
        <w:t>s respectiv</w:t>
      </w:r>
      <w:r w:rsidR="00D90498">
        <w:rPr>
          <w:rFonts w:ascii="Times New Roman" w:eastAsia="Times New Roman" w:hAnsi="Times New Roman" w:cs="Times New Roman"/>
          <w:sz w:val="24"/>
          <w:szCs w:val="24"/>
          <w:lang w:eastAsia="pt-BR"/>
        </w:rPr>
        <w:t>o</w:t>
      </w:r>
      <w:r w:rsidR="00D96A24">
        <w:rPr>
          <w:rFonts w:ascii="Times New Roman" w:eastAsia="Times New Roman" w:hAnsi="Times New Roman" w:cs="Times New Roman"/>
          <w:sz w:val="24"/>
          <w:szCs w:val="24"/>
          <w:lang w:eastAsia="pt-BR"/>
        </w:rPr>
        <w:t>s</w:t>
      </w:r>
      <w:r w:rsidR="00D90498">
        <w:rPr>
          <w:rFonts w:ascii="Times New Roman" w:eastAsia="Times New Roman" w:hAnsi="Times New Roman" w:cs="Times New Roman"/>
          <w:sz w:val="24"/>
          <w:szCs w:val="24"/>
          <w:lang w:eastAsia="pt-BR"/>
        </w:rPr>
        <w:t xml:space="preserve"> percentuais de </w:t>
      </w:r>
      <w:r w:rsidR="00DA1346">
        <w:rPr>
          <w:rFonts w:ascii="Times New Roman" w:eastAsia="Times New Roman" w:hAnsi="Times New Roman" w:cs="Times New Roman"/>
          <w:sz w:val="24"/>
          <w:szCs w:val="24"/>
          <w:lang w:eastAsia="pt-BR"/>
        </w:rPr>
        <w:t xml:space="preserve">desocupação </w:t>
      </w:r>
      <w:r w:rsidR="00D96A24">
        <w:rPr>
          <w:rFonts w:ascii="Times New Roman" w:eastAsia="Times New Roman" w:hAnsi="Times New Roman" w:cs="Times New Roman"/>
          <w:sz w:val="24"/>
          <w:szCs w:val="24"/>
          <w:lang w:eastAsia="pt-BR"/>
        </w:rPr>
        <w:t>são definid</w:t>
      </w:r>
      <w:r w:rsidR="00D90498">
        <w:rPr>
          <w:rFonts w:ascii="Times New Roman" w:eastAsia="Times New Roman" w:hAnsi="Times New Roman" w:cs="Times New Roman"/>
          <w:sz w:val="24"/>
          <w:szCs w:val="24"/>
          <w:lang w:eastAsia="pt-BR"/>
        </w:rPr>
        <w:t>o</w:t>
      </w:r>
      <w:r w:rsidR="00D96A24">
        <w:rPr>
          <w:rFonts w:ascii="Times New Roman" w:eastAsia="Times New Roman" w:hAnsi="Times New Roman" w:cs="Times New Roman"/>
          <w:sz w:val="24"/>
          <w:szCs w:val="24"/>
          <w:lang w:eastAsia="pt-BR"/>
        </w:rPr>
        <w:t xml:space="preserve">s por </w:t>
      </w:r>
      <m:oMath>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oMath>
      <w:r w:rsidR="00D96A24">
        <w:rPr>
          <w:rFonts w:ascii="Times New Roman" w:eastAsia="Times New Roman" w:hAnsi="Times New Roman" w:cs="Times New Roman"/>
          <w:sz w:val="24"/>
          <w:szCs w:val="24"/>
          <w:lang w:eastAsia="pt-BR"/>
        </w:rPr>
        <w:t>. Por conseguinte, com base na decomposição d</w:t>
      </w:r>
      <w:r w:rsidR="00B4683D">
        <w:rPr>
          <w:rFonts w:ascii="Times New Roman" w:eastAsia="Times New Roman" w:hAnsi="Times New Roman" w:cs="Times New Roman"/>
          <w:sz w:val="24"/>
          <w:szCs w:val="24"/>
          <w:lang w:eastAsia="pt-BR"/>
        </w:rPr>
        <w:t xml:space="preserve">a variação da taxa de desocupação, </w:t>
      </w:r>
      <w:r w:rsidR="00D96A24">
        <w:rPr>
          <w:rFonts w:ascii="Times New Roman" w:eastAsia="Times New Roman" w:hAnsi="Times New Roman" w:cs="Times New Roman"/>
          <w:sz w:val="24"/>
          <w:szCs w:val="24"/>
          <w:lang w:eastAsia="pt-BR"/>
        </w:rPr>
        <w:t>nos componentes de participação</w:t>
      </w:r>
      <w:r w:rsidR="00460B81">
        <w:rPr>
          <w:rFonts w:ascii="Times New Roman" w:eastAsia="Times New Roman" w:hAnsi="Times New Roman" w:cs="Times New Roman"/>
          <w:sz w:val="24"/>
          <w:szCs w:val="24"/>
          <w:lang w:eastAsia="pt-BR"/>
        </w:rPr>
        <w:t xml:space="preserve"> (intragrupo)</w:t>
      </w:r>
      <w:r w:rsidR="00D96A24">
        <w:rPr>
          <w:rFonts w:ascii="Times New Roman" w:eastAsia="Times New Roman" w:hAnsi="Times New Roman" w:cs="Times New Roman"/>
          <w:sz w:val="24"/>
          <w:szCs w:val="24"/>
          <w:lang w:eastAsia="pt-BR"/>
        </w:rPr>
        <w:t xml:space="preserve"> e nível, é possível </w:t>
      </w:r>
      <w:r w:rsidR="00D90498">
        <w:rPr>
          <w:rFonts w:ascii="Times New Roman" w:eastAsia="Times New Roman" w:hAnsi="Times New Roman" w:cs="Times New Roman"/>
          <w:sz w:val="24"/>
          <w:szCs w:val="24"/>
          <w:lang w:eastAsia="pt-BR"/>
        </w:rPr>
        <w:t>avaliar os aspectos mais influentes</w:t>
      </w:r>
      <w:r w:rsidR="00460B81">
        <w:rPr>
          <w:rFonts w:ascii="Times New Roman" w:eastAsia="Times New Roman" w:hAnsi="Times New Roman" w:cs="Times New Roman"/>
          <w:sz w:val="24"/>
          <w:szCs w:val="24"/>
          <w:lang w:eastAsia="pt-BR"/>
        </w:rPr>
        <w:t xml:space="preserve"> para sua evolução</w:t>
      </w:r>
      <w:r w:rsidR="00B4683D">
        <w:rPr>
          <w:rFonts w:ascii="Times New Roman" w:eastAsia="Times New Roman" w:hAnsi="Times New Roman" w:cs="Times New Roman"/>
          <w:sz w:val="24"/>
          <w:szCs w:val="24"/>
          <w:lang w:eastAsia="pt-BR"/>
        </w:rPr>
        <w:t>,</w:t>
      </w:r>
      <w:r w:rsidR="00D90498">
        <w:rPr>
          <w:rFonts w:ascii="Times New Roman" w:eastAsia="Times New Roman" w:hAnsi="Times New Roman" w:cs="Times New Roman"/>
          <w:sz w:val="24"/>
          <w:szCs w:val="24"/>
          <w:lang w:eastAsia="pt-BR"/>
        </w:rPr>
        <w:t xml:space="preserve"> </w:t>
      </w:r>
      <w:r w:rsidR="00616BD2">
        <w:rPr>
          <w:rFonts w:ascii="Times New Roman" w:eastAsia="Times New Roman" w:hAnsi="Times New Roman" w:cs="Times New Roman"/>
          <w:sz w:val="24"/>
          <w:szCs w:val="24"/>
          <w:lang w:eastAsia="pt-BR"/>
        </w:rPr>
        <w:t>no</w:t>
      </w:r>
      <w:r w:rsidR="00D90498">
        <w:rPr>
          <w:rFonts w:ascii="Times New Roman" w:eastAsia="Times New Roman" w:hAnsi="Times New Roman" w:cs="Times New Roman"/>
          <w:sz w:val="24"/>
          <w:szCs w:val="24"/>
          <w:lang w:eastAsia="pt-BR"/>
        </w:rPr>
        <w:t xml:space="preserve"> decorrer do tempo: </w:t>
      </w:r>
    </w:p>
    <w:p w14:paraId="75F0FABE" w14:textId="0ECD6583" w:rsidR="00D90498" w:rsidRPr="00D90498" w:rsidRDefault="00617797">
      <w:pPr>
        <w:pStyle w:val="PargrafodaLista"/>
        <w:ind w:left="0"/>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e>
              </m:nary>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4</m:t>
                  </m:r>
                </m:e>
              </m:d>
            </m:e>
          </m:eqArr>
        </m:oMath>
      </m:oMathPara>
    </w:p>
    <w:p w14:paraId="2438CAC0" w14:textId="4EA5C80F" w:rsidR="00D90498" w:rsidRPr="00D67D43" w:rsidRDefault="00617797">
      <w:pPr>
        <w:pStyle w:val="PargrafodaLista"/>
        <w:ind w:left="0"/>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5</m:t>
                  </m:r>
                </m:e>
              </m:d>
            </m:e>
          </m:eqArr>
        </m:oMath>
      </m:oMathPara>
    </w:p>
    <w:p w14:paraId="13BF5869" w14:textId="568E0B4D" w:rsidR="00D67D43" w:rsidRPr="00D67D43" w:rsidRDefault="00617797">
      <w:pPr>
        <w:ind w:firstLine="0"/>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box>
                <m:boxPr>
                  <m:ctrlPr>
                    <w:rPr>
                      <w:rFonts w:ascii="Cambria Math" w:eastAsia="Times New Roman" w:hAnsi="Cambria Math" w:cs="Times New Roman"/>
                      <w:i/>
                      <w:sz w:val="24"/>
                      <w:szCs w:val="24"/>
                      <w:lang w:eastAsia="pt-BR"/>
                    </w:rPr>
                  </m:ctrlPr>
                </m:boxPr>
                <m:e>
                  <m:argPr>
                    <m:argSz m:val="-1"/>
                  </m:argP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e>
              </m:box>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e>
              </m:nary>
              <m:r>
                <w:rPr>
                  <w:rFonts w:ascii="Cambria Math" w:eastAsia="Times New Roman" w:hAnsi="Cambria Math" w:cs="Times New Roman"/>
                  <w:sz w:val="24"/>
                  <w:szCs w:val="24"/>
                  <w:lang w:eastAsia="pt-BR"/>
                </w:rPr>
                <m:t>+</m:t>
              </m:r>
              <m:box>
                <m:boxPr>
                  <m:ctrlPr>
                    <w:rPr>
                      <w:rFonts w:ascii="Cambria Math" w:eastAsia="Times New Roman" w:hAnsi="Cambria Math" w:cs="Times New Roman"/>
                      <w:i/>
                      <w:sz w:val="24"/>
                      <w:szCs w:val="24"/>
                      <w:lang w:eastAsia="pt-BR"/>
                    </w:rPr>
                  </m:ctrlPr>
                </m:boxPr>
                <m:e>
                  <m:argPr>
                    <m:argSz m:val="-1"/>
                  </m:argP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e>
              </m:box>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6</m:t>
                  </m:r>
                </m:e>
              </m:d>
            </m:e>
          </m:eqArr>
        </m:oMath>
      </m:oMathPara>
    </w:p>
    <w:p w14:paraId="55FC8F39" w14:textId="118A281A" w:rsidR="00D67D43" w:rsidRDefault="00D67D43">
      <w:pPr>
        <w:rPr>
          <w:rFonts w:ascii="Times New Roman" w:eastAsia="Times New Roman" w:hAnsi="Times New Roman" w:cs="Times New Roman"/>
          <w:sz w:val="24"/>
          <w:szCs w:val="24"/>
          <w:lang w:eastAsia="pt-BR"/>
        </w:rPr>
      </w:pPr>
      <w:r w:rsidRPr="00D67D43">
        <w:rPr>
          <w:rFonts w:ascii="Times New Roman" w:eastAsia="Times New Roman" w:hAnsi="Times New Roman" w:cs="Times New Roman"/>
          <w:sz w:val="24"/>
          <w:szCs w:val="24"/>
          <w:lang w:eastAsia="pt-BR"/>
        </w:rPr>
        <w:t xml:space="preserve">Ao adicionar e </w:t>
      </w:r>
      <w:r w:rsidR="00857660">
        <w:rPr>
          <w:rFonts w:ascii="Times New Roman" w:eastAsia="Times New Roman" w:hAnsi="Times New Roman" w:cs="Times New Roman"/>
          <w:sz w:val="24"/>
          <w:szCs w:val="24"/>
          <w:lang w:eastAsia="pt-BR"/>
        </w:rPr>
        <w:t>subtrair</w:t>
      </w:r>
      <w:r w:rsidR="00857660" w:rsidRPr="00D67D43">
        <w:rPr>
          <w:rFonts w:ascii="Times New Roman" w:eastAsia="Times New Roman" w:hAnsi="Times New Roman" w:cs="Times New Roman"/>
          <w:sz w:val="24"/>
          <w:szCs w:val="24"/>
          <w:lang w:eastAsia="pt-BR"/>
        </w:rPr>
        <w:t xml:space="preserve"> </w:t>
      </w:r>
      <w:r w:rsidRPr="00D67D43">
        <w:rPr>
          <w:rFonts w:ascii="Times New Roman" w:eastAsia="Times New Roman" w:hAnsi="Times New Roman" w:cs="Times New Roman"/>
          <w:sz w:val="24"/>
          <w:szCs w:val="24"/>
          <w:lang w:eastAsia="pt-BR"/>
        </w:rPr>
        <w:t xml:space="preserve">o termo </w:t>
      </w:r>
      <m:oMath>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oMath>
      <w:r>
        <w:rPr>
          <w:rFonts w:ascii="Times New Roman" w:eastAsia="Times New Roman" w:hAnsi="Times New Roman" w:cs="Times New Roman"/>
          <w:sz w:val="24"/>
          <w:szCs w:val="24"/>
          <w:lang w:eastAsia="pt-BR"/>
        </w:rPr>
        <w:t xml:space="preserve"> </w:t>
      </w:r>
      <w:r w:rsidRPr="00D67D43">
        <w:rPr>
          <w:rFonts w:ascii="Times New Roman" w:eastAsia="Times New Roman" w:hAnsi="Times New Roman" w:cs="Times New Roman"/>
          <w:sz w:val="24"/>
          <w:szCs w:val="24"/>
          <w:lang w:eastAsia="pt-BR"/>
        </w:rPr>
        <w:t xml:space="preserve">ao </w:t>
      </w:r>
      <w:r w:rsidR="00606C67" w:rsidRPr="00D67D43">
        <w:rPr>
          <w:rFonts w:ascii="Times New Roman" w:eastAsia="Times New Roman" w:hAnsi="Times New Roman" w:cs="Times New Roman"/>
          <w:sz w:val="24"/>
          <w:szCs w:val="24"/>
          <w:lang w:eastAsia="pt-BR"/>
        </w:rPr>
        <w:t>primeiro parêntese</w:t>
      </w:r>
      <w:r w:rsidR="00360303">
        <w:rPr>
          <w:rFonts w:ascii="Times New Roman" w:eastAsia="Times New Roman" w:hAnsi="Times New Roman" w:cs="Times New Roman"/>
          <w:sz w:val="24"/>
          <w:szCs w:val="24"/>
          <w:lang w:eastAsia="pt-BR"/>
        </w:rPr>
        <w:t>,</w:t>
      </w:r>
      <w:r w:rsidRPr="00D67D43">
        <w:rPr>
          <w:rFonts w:ascii="Times New Roman" w:eastAsia="Times New Roman" w:hAnsi="Times New Roman" w:cs="Times New Roman"/>
          <w:sz w:val="24"/>
          <w:szCs w:val="24"/>
          <w:lang w:eastAsia="pt-BR"/>
        </w:rPr>
        <w:t xml:space="preserve"> e </w:t>
      </w:r>
      <w:r w:rsidR="00606C67">
        <w:rPr>
          <w:rFonts w:ascii="Times New Roman" w:eastAsia="Times New Roman" w:hAnsi="Times New Roman" w:cs="Times New Roman"/>
          <w:sz w:val="24"/>
          <w:szCs w:val="24"/>
          <w:lang w:eastAsia="pt-BR"/>
        </w:rPr>
        <w:t>somar</w:t>
      </w:r>
      <w:r w:rsidRPr="00D67D43">
        <w:rPr>
          <w:rFonts w:ascii="Times New Roman" w:eastAsia="Times New Roman" w:hAnsi="Times New Roman" w:cs="Times New Roman"/>
          <w:sz w:val="24"/>
          <w:szCs w:val="24"/>
          <w:lang w:eastAsia="pt-BR"/>
        </w:rPr>
        <w:t xml:space="preserve"> e </w:t>
      </w:r>
      <w:r w:rsidR="00606C67">
        <w:rPr>
          <w:rFonts w:ascii="Times New Roman" w:eastAsia="Times New Roman" w:hAnsi="Times New Roman" w:cs="Times New Roman"/>
          <w:sz w:val="24"/>
          <w:szCs w:val="24"/>
          <w:lang w:eastAsia="pt-BR"/>
        </w:rPr>
        <w:t xml:space="preserve">subtrair </w:t>
      </w:r>
      <w:r w:rsidRPr="00D67D43">
        <w:rPr>
          <w:rFonts w:ascii="Times New Roman" w:eastAsia="Times New Roman" w:hAnsi="Times New Roman" w:cs="Times New Roman"/>
          <w:sz w:val="24"/>
          <w:szCs w:val="24"/>
          <w:lang w:eastAsia="pt-BR"/>
        </w:rPr>
        <w:t xml:space="preserve">o termo </w:t>
      </w:r>
      <m:oMath>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oMath>
      <w:r w:rsidRPr="00D67D43">
        <w:rPr>
          <w:rFonts w:ascii="Times New Roman" w:eastAsia="Times New Roman" w:hAnsi="Times New Roman" w:cs="Times New Roman"/>
          <w:sz w:val="24"/>
          <w:szCs w:val="24"/>
          <w:lang w:eastAsia="pt-BR"/>
        </w:rPr>
        <w:t xml:space="preserve"> ao segundo </w:t>
      </w:r>
      <w:r w:rsidR="00606C67">
        <w:rPr>
          <w:rFonts w:ascii="Times New Roman" w:eastAsia="Times New Roman" w:hAnsi="Times New Roman" w:cs="Times New Roman"/>
          <w:sz w:val="24"/>
          <w:szCs w:val="24"/>
          <w:lang w:eastAsia="pt-BR"/>
        </w:rPr>
        <w:t>parêntese</w:t>
      </w:r>
      <w:r w:rsidRPr="00D67D43">
        <w:rPr>
          <w:rFonts w:ascii="Times New Roman" w:eastAsia="Times New Roman" w:hAnsi="Times New Roman" w:cs="Times New Roman"/>
          <w:sz w:val="24"/>
          <w:szCs w:val="24"/>
          <w:lang w:eastAsia="pt-BR"/>
        </w:rPr>
        <w:t>, as expressões obtidas</w:t>
      </w:r>
      <w:r w:rsidR="00360303" w:rsidRPr="00360303">
        <w:rPr>
          <w:rFonts w:ascii="Times New Roman" w:eastAsia="Times New Roman" w:hAnsi="Times New Roman" w:cs="Times New Roman"/>
          <w:sz w:val="24"/>
          <w:szCs w:val="24"/>
          <w:lang w:eastAsia="pt-BR"/>
        </w:rPr>
        <w:t xml:space="preserve"> </w:t>
      </w:r>
      <w:r w:rsidR="00360303" w:rsidRPr="00D67D43">
        <w:rPr>
          <w:rFonts w:ascii="Times New Roman" w:eastAsia="Times New Roman" w:hAnsi="Times New Roman" w:cs="Times New Roman"/>
          <w:sz w:val="24"/>
          <w:szCs w:val="24"/>
          <w:lang w:eastAsia="pt-BR"/>
        </w:rPr>
        <w:t>são</w:t>
      </w:r>
      <w:r w:rsidR="00606C67">
        <w:rPr>
          <w:rFonts w:ascii="Times New Roman" w:eastAsia="Times New Roman" w:hAnsi="Times New Roman" w:cs="Times New Roman"/>
          <w:sz w:val="24"/>
          <w:szCs w:val="24"/>
          <w:lang w:eastAsia="pt-BR"/>
        </w:rPr>
        <w:t xml:space="preserve">: </w:t>
      </w:r>
    </w:p>
    <w:p w14:paraId="0082269F" w14:textId="6A9D0C5C" w:rsidR="00606C67" w:rsidRPr="00606C67" w:rsidRDefault="00617797">
      <w:pPr>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box>
                <m:boxPr>
                  <m:ctrlPr>
                    <w:rPr>
                      <w:rFonts w:ascii="Cambria Math" w:eastAsia="Times New Roman" w:hAnsi="Cambria Math" w:cs="Times New Roman"/>
                      <w:i/>
                      <w:sz w:val="24"/>
                      <w:szCs w:val="24"/>
                      <w:lang w:eastAsia="pt-BR"/>
                    </w:rPr>
                  </m:ctrlPr>
                </m:boxPr>
                <m:e>
                  <m:argPr>
                    <m:argSz m:val="-1"/>
                  </m:argP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e>
              </m:box>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r>
                        <m:rPr>
                          <m:sty m:val="p"/>
                        </m:rPr>
                        <w:rPr>
                          <w:rFonts w:ascii="Cambria Math" w:eastAsia="Times New Roman" w:hAnsi="Times New Roman"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r>
                        <m:rPr>
                          <m:sty m:val="p"/>
                        </m:rPr>
                        <w:rPr>
                          <w:rFonts w:ascii="Cambria Math" w:eastAsia="Times New Roman" w:hAnsi="Cambria Math" w:cs="Times New Roman"/>
                          <w:sz w:val="24"/>
                          <w:szCs w:val="24"/>
                          <w:lang w:eastAsia="pt-BR"/>
                        </w:rPr>
                        <m:t xml:space="preserve"> </m:t>
                      </m:r>
                    </m:e>
                  </m:d>
                </m:e>
              </m:nary>
              <m:ctrlPr>
                <w:rPr>
                  <w:rFonts w:ascii="Cambria Math" w:eastAsia="Cambria Math" w:hAnsi="Cambria Math" w:cs="Cambria Math"/>
                  <w:i/>
                  <w:sz w:val="24"/>
                  <w:szCs w:val="24"/>
                </w:rPr>
              </m:ctrlPr>
            </m:e>
            <m:e>
              <m:r>
                <w:rPr>
                  <w:rFonts w:ascii="Cambria Math" w:eastAsia="Times New Roman" w:hAnsi="Cambria Math" w:cs="Times New Roman"/>
                  <w:sz w:val="24"/>
                  <w:szCs w:val="24"/>
                  <w:lang w:eastAsia="pt-BR"/>
                </w:rPr>
                <m:t>+</m:t>
              </m:r>
              <m:box>
                <m:boxPr>
                  <m:ctrlPr>
                    <w:rPr>
                      <w:rFonts w:ascii="Cambria Math" w:eastAsia="Times New Roman" w:hAnsi="Cambria Math" w:cs="Times New Roman"/>
                      <w:i/>
                      <w:sz w:val="24"/>
                      <w:szCs w:val="24"/>
                      <w:lang w:eastAsia="pt-BR"/>
                    </w:rPr>
                  </m:ctrlPr>
                </m:boxPr>
                <m:e>
                  <m:argPr>
                    <m:argSz m:val="-1"/>
                  </m:argP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e>
              </m:box>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e>
                  </m:d>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7</m:t>
                  </m:r>
                </m:e>
              </m:d>
            </m:e>
          </m:eqArr>
        </m:oMath>
      </m:oMathPara>
    </w:p>
    <w:p w14:paraId="17DAFC8A" w14:textId="5B1FFA86" w:rsidR="00606C67" w:rsidRPr="002C46D5" w:rsidRDefault="00617797">
      <w:pPr>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box>
                <m:boxPr>
                  <m:ctrlPr>
                    <w:rPr>
                      <w:rFonts w:ascii="Cambria Math" w:eastAsia="Times New Roman" w:hAnsi="Cambria Math" w:cs="Times New Roman"/>
                      <w:i/>
                      <w:sz w:val="24"/>
                      <w:szCs w:val="24"/>
                      <w:lang w:eastAsia="pt-BR"/>
                    </w:rPr>
                  </m:ctrlPr>
                </m:boxPr>
                <m:e>
                  <m:argPr>
                    <m:argSz m:val="-1"/>
                  </m:argP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e>
              </m:box>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begChr m:val="["/>
                      <m:endChr m:val="]"/>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e>
                      </m:d>
                    </m:e>
                  </m:d>
                </m:e>
              </m:nary>
              <m:ctrlPr>
                <w:rPr>
                  <w:rFonts w:ascii="Cambria Math" w:eastAsia="Cambria Math" w:hAnsi="Cambria Math" w:cs="Cambria Math"/>
                  <w:i/>
                  <w:sz w:val="24"/>
                  <w:szCs w:val="24"/>
                </w:rPr>
              </m:ctrlPr>
            </m:e>
            <m:e>
              <m:r>
                <w:rPr>
                  <w:rFonts w:ascii="Cambria Math" w:eastAsia="Times New Roman" w:hAnsi="Cambria Math" w:cs="Times New Roman"/>
                  <w:sz w:val="24"/>
                  <w:szCs w:val="24"/>
                  <w:lang w:eastAsia="pt-BR"/>
                </w:rPr>
                <m:t>+</m:t>
              </m: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1</m:t>
                  </m:r>
                </m:num>
                <m:den>
                  <m:r>
                    <w:rPr>
                      <w:rFonts w:ascii="Cambria Math" w:eastAsia="Times New Roman" w:hAnsi="Cambria Math" w:cs="Times New Roman"/>
                      <w:sz w:val="24"/>
                      <w:szCs w:val="24"/>
                      <w:lang w:eastAsia="pt-BR"/>
                    </w:rPr>
                    <m:t>2</m:t>
                  </m:r>
                </m:den>
              </m:f>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d>
                    <m:dPr>
                      <m:begChr m:val="["/>
                      <m:endChr m:val="]"/>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e>
                      </m:d>
                    </m:e>
                  </m:d>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8</m:t>
                  </m:r>
                </m:e>
              </m:d>
            </m:e>
          </m:eqArr>
        </m:oMath>
      </m:oMathPara>
    </w:p>
    <w:p w14:paraId="17D35D15" w14:textId="7C31C925" w:rsidR="002C46D5" w:rsidRPr="002C46D5" w:rsidRDefault="00617797">
      <w:pPr>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f>
                    <m:fPr>
                      <m:ctrlPr>
                        <w:rPr>
                          <w:rFonts w:ascii="Cambria Math" w:eastAsia="Times New Roman" w:hAnsi="Cambria Math" w:cs="Times New Roman"/>
                          <w:i/>
                          <w:sz w:val="24"/>
                          <w:szCs w:val="24"/>
                          <w:lang w:eastAsia="pt-BR"/>
                        </w:rPr>
                      </m:ctrlPr>
                    </m:fPr>
                    <m:num>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e>
                      </m:d>
                    </m:num>
                    <m:den>
                      <m:r>
                        <w:rPr>
                          <w:rFonts w:ascii="Cambria Math" w:eastAsia="Times New Roman" w:hAnsi="Cambria Math" w:cs="Times New Roman"/>
                          <w:sz w:val="24"/>
                          <w:szCs w:val="24"/>
                          <w:lang w:eastAsia="pt-BR"/>
                        </w:rPr>
                        <m:t>2</m:t>
                      </m:r>
                    </m:den>
                  </m:f>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e>
              </m:nary>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f>
                    <m:fPr>
                      <m:ctrlPr>
                        <w:rPr>
                          <w:rFonts w:ascii="Cambria Math" w:eastAsia="Times New Roman" w:hAnsi="Cambria Math" w:cs="Times New Roman"/>
                          <w:i/>
                          <w:sz w:val="24"/>
                          <w:szCs w:val="24"/>
                          <w:lang w:eastAsia="pt-BR"/>
                        </w:rPr>
                      </m:ctrlPr>
                    </m:fPr>
                    <m:num>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i,t-1</m:t>
                              </m:r>
                            </m:sub>
                          </m:sSub>
                        </m:e>
                      </m:d>
                    </m:num>
                    <m:den>
                      <m:r>
                        <w:rPr>
                          <w:rFonts w:ascii="Cambria Math" w:eastAsia="Times New Roman" w:hAnsi="Cambria Math" w:cs="Times New Roman"/>
                          <w:sz w:val="24"/>
                          <w:szCs w:val="24"/>
                          <w:lang w:eastAsia="pt-BR"/>
                        </w:rPr>
                        <m:t>2</m:t>
                      </m:r>
                    </m:den>
                  </m:f>
                  <m:d>
                    <m:dPr>
                      <m:ctrlPr>
                        <w:rPr>
                          <w:rFonts w:ascii="Cambria Math" w:eastAsia="Times New Roman" w:hAnsi="Cambria Math" w:cs="Times New Roman"/>
                          <w:i/>
                          <w:sz w:val="24"/>
                          <w:szCs w:val="24"/>
                          <w:lang w:eastAsia="pt-BR"/>
                        </w:rPr>
                      </m:ctrlPr>
                    </m:d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φ</m:t>
                          </m:r>
                        </m:e>
                        <m:sub>
                          <m:r>
                            <w:rPr>
                              <w:rFonts w:ascii="Cambria Math" w:eastAsia="Times New Roman" w:hAnsi="Cambria Math" w:cs="Times New Roman"/>
                              <w:sz w:val="24"/>
                              <w:szCs w:val="24"/>
                              <w:lang w:eastAsia="pt-BR"/>
                            </w:rPr>
                            <m:t>i,t-1</m:t>
                          </m:r>
                        </m:sub>
                      </m:sSub>
                    </m:e>
                  </m:d>
                </m:e>
              </m:nary>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9</m:t>
                  </m:r>
                </m:e>
              </m:d>
            </m:e>
          </m:eqArr>
        </m:oMath>
      </m:oMathPara>
    </w:p>
    <w:p w14:paraId="71943C8B" w14:textId="25CE6066" w:rsidR="00452C0C" w:rsidRPr="00452C0C" w:rsidRDefault="00617797">
      <w:pPr>
        <w:rPr>
          <w:rFonts w:ascii="Times New Roman" w:eastAsia="Times New Roman" w:hAnsi="Times New Roman" w:cs="Times New Roman"/>
          <w:sz w:val="24"/>
          <w:szCs w:val="24"/>
          <w:lang w:eastAsia="pt-BR"/>
        </w:rPr>
      </w:pPr>
      <m:oMathPara>
        <m:oMath>
          <m:eqArr>
            <m:eqArrPr>
              <m:maxDist m:val="1"/>
              <m:ctrlPr>
                <w:rPr>
                  <w:rFonts w:ascii="Cambria Math" w:eastAsia="Times New Roman" w:hAnsi="Cambria Math" w:cs="Times New Roman"/>
                  <w:i/>
                  <w:sz w:val="24"/>
                  <w:szCs w:val="24"/>
                  <w:lang w:eastAsia="pt-BR"/>
                </w:rPr>
              </m:ctrlPr>
            </m:eqArrPr>
            <m:e>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Sub>
              <m:r>
                <w:rPr>
                  <w:rFonts w:ascii="Cambria Math" w:eastAsia="Times New Roman" w:hAnsi="Cambria Math" w:cs="Times New Roman"/>
                  <w:sz w:val="24"/>
                  <w:szCs w:val="24"/>
                  <w:lang w:eastAsia="pt-BR"/>
                </w:rPr>
                <m:t>-</m:t>
              </m:r>
              <m:sSub>
                <m:sSubPr>
                  <m:ctrlPr>
                    <w:rPr>
                      <w:rFonts w:ascii="Cambria Math" w:eastAsia="Times New Roman" w:hAnsi="Cambria Math" w:cs="Times New Roman"/>
                      <w:i/>
                      <w:sz w:val="24"/>
                      <w:szCs w:val="24"/>
                      <w:lang w:eastAsia="pt-BR"/>
                    </w:rPr>
                  </m:ctrlPr>
                </m:sSub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t-1</m:t>
                  </m:r>
                </m:sub>
              </m:sSub>
              <m:r>
                <w:rPr>
                  <w:rFonts w:ascii="Cambria Math" w:eastAsia="Times New Roman" w:hAnsi="Cambria Math" w:cs="Times New Roman"/>
                  <w:sz w:val="24"/>
                  <w:szCs w:val="24"/>
                  <w:lang w:eastAsia="pt-BR"/>
                </w:rPr>
                <m:t>=</m:t>
              </m:r>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up>
                      <m:r>
                        <w:rPr>
                          <w:rFonts w:ascii="Cambria Math" w:eastAsia="Times New Roman" w:hAnsi="Cambria Math" w:cs="Times New Roman"/>
                          <w:sz w:val="24"/>
                          <w:szCs w:val="24"/>
                          <w:lang w:eastAsia="pt-BR"/>
                        </w:rPr>
                        <m:t>N</m:t>
                      </m:r>
                    </m:sup>
                  </m:sSubSup>
                </m:e>
              </m:nary>
              <m:nary>
                <m:naryPr>
                  <m:chr m:val="∑"/>
                  <m:limLoc m:val="undOvr"/>
                  <m:supHide m:val="1"/>
                  <m:ctrlPr>
                    <w:rPr>
                      <w:rFonts w:ascii="Cambria Math" w:eastAsia="Times New Roman" w:hAnsi="Cambria Math" w:cs="Times New Roman"/>
                      <w:i/>
                      <w:sz w:val="24"/>
                      <w:szCs w:val="24"/>
                      <w:lang w:eastAsia="pt-BR"/>
                    </w:rPr>
                  </m:ctrlPr>
                </m:naryPr>
                <m:sub>
                  <m:r>
                    <w:rPr>
                      <w:rFonts w:ascii="Cambria Math" w:eastAsia="Times New Roman" w:hAnsi="Cambria Math" w:cs="Times New Roman"/>
                      <w:sz w:val="24"/>
                      <w:szCs w:val="24"/>
                      <w:lang w:eastAsia="pt-BR"/>
                    </w:rPr>
                    <m:t>i</m:t>
                  </m:r>
                </m:sub>
                <m:sup/>
                <m:e>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i,t</m:t>
                      </m:r>
                    </m:sub>
                    <m:sup>
                      <m:r>
                        <w:rPr>
                          <w:rFonts w:ascii="Cambria Math" w:eastAsia="Times New Roman" w:hAnsi="Cambria Math" w:cs="Times New Roman"/>
                          <w:sz w:val="24"/>
                          <w:szCs w:val="24"/>
                          <w:lang w:eastAsia="pt-BR"/>
                        </w:rPr>
                        <m:t>C</m:t>
                      </m:r>
                    </m:sup>
                  </m:sSubSup>
                </m:e>
              </m:nary>
              <m:r>
                <w:rPr>
                  <w:rFonts w:ascii="Cambria Math" w:eastAsia="Times New Roman" w:hAnsi="Cambria Math" w:cs="Times New Roman"/>
                  <w:sz w:val="24"/>
                  <w:szCs w:val="24"/>
                  <w:lang w:eastAsia="pt-BR"/>
                </w:rPr>
                <m:t>=</m:t>
              </m:r>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up>
                  <m:r>
                    <w:rPr>
                      <w:rFonts w:ascii="Cambria Math" w:eastAsia="Times New Roman" w:hAnsi="Cambria Math" w:cs="Times New Roman"/>
                      <w:sz w:val="24"/>
                      <w:szCs w:val="24"/>
                      <w:lang w:eastAsia="pt-BR"/>
                    </w:rPr>
                    <m:t>N</m:t>
                  </m:r>
                </m:sup>
              </m:sSubSup>
              <m:r>
                <w:rPr>
                  <w:rFonts w:ascii="Cambria Math" w:eastAsia="Times New Roman" w:hAnsi="Cambria Math" w:cs="Times New Roman"/>
                  <w:sz w:val="24"/>
                  <w:szCs w:val="24"/>
                  <w:lang w:eastAsia="pt-BR"/>
                </w:rPr>
                <m:t>+</m:t>
              </m:r>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up>
                  <m:r>
                    <w:rPr>
                      <w:rFonts w:ascii="Cambria Math" w:eastAsia="Times New Roman" w:hAnsi="Cambria Math" w:cs="Times New Roman"/>
                      <w:sz w:val="24"/>
                      <w:szCs w:val="24"/>
                      <w:lang w:eastAsia="pt-BR"/>
                    </w:rPr>
                    <m:t>C</m:t>
                  </m:r>
                </m:sup>
              </m:sSubSup>
              <m:r>
                <w:rPr>
                  <w:rFonts w:ascii="Cambria Math" w:eastAsia="Times New Roman" w:hAnsi="Cambria Math" w:cs="Times New Roman"/>
                  <w:sz w:val="24"/>
                  <w:szCs w:val="24"/>
                  <w:lang w:eastAsia="pt-BR"/>
                </w:rPr>
                <m:t xml:space="preserve"> #</m:t>
              </m:r>
              <m:d>
                <m:dPr>
                  <m:ctrlPr>
                    <w:rPr>
                      <w:rFonts w:ascii="Cambria Math" w:eastAsia="Times New Roman" w:hAnsi="Cambria Math" w:cs="Times New Roman"/>
                      <w:i/>
                      <w:sz w:val="24"/>
                      <w:szCs w:val="24"/>
                      <w:lang w:eastAsia="pt-BR"/>
                    </w:rPr>
                  </m:ctrlPr>
                </m:dPr>
                <m:e>
                  <m:r>
                    <w:rPr>
                      <w:rFonts w:ascii="Cambria Math" w:eastAsia="Times New Roman" w:hAnsi="Cambria Math" w:cs="Times New Roman"/>
                      <w:sz w:val="24"/>
                      <w:szCs w:val="24"/>
                      <w:lang w:eastAsia="pt-BR"/>
                    </w:rPr>
                    <m:t>10</m:t>
                  </m:r>
                </m:e>
              </m:d>
            </m:e>
          </m:eqArr>
        </m:oMath>
      </m:oMathPara>
    </w:p>
    <w:p w14:paraId="3442414B" w14:textId="2CDDDD74" w:rsidR="00756EFE" w:rsidRDefault="00756EFE">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Dessa forma, torna-se possível decompor a variação da </w:t>
      </w:r>
      <w:r w:rsidRPr="007C3C49">
        <w:rPr>
          <w:rFonts w:ascii="Times New Roman" w:eastAsia="Times New Roman" w:hAnsi="Times New Roman" w:cs="Times New Roman"/>
          <w:sz w:val="24"/>
          <w:szCs w:val="24"/>
          <w:lang w:eastAsia="pt-BR"/>
        </w:rPr>
        <w:t xml:space="preserve">taxa de </w:t>
      </w:r>
      <w:r w:rsidR="007C3C49">
        <w:rPr>
          <w:rFonts w:ascii="Times New Roman" w:eastAsia="Times New Roman" w:hAnsi="Times New Roman" w:cs="Times New Roman"/>
          <w:sz w:val="24"/>
          <w:szCs w:val="24"/>
          <w:lang w:eastAsia="pt-BR"/>
        </w:rPr>
        <w:t>desocupação</w:t>
      </w:r>
      <w:r>
        <w:rPr>
          <w:rFonts w:ascii="Times New Roman" w:eastAsia="Times New Roman" w:hAnsi="Times New Roman" w:cs="Times New Roman"/>
          <w:sz w:val="24"/>
          <w:szCs w:val="24"/>
          <w:lang w:eastAsia="pt-BR"/>
        </w:rPr>
        <w:t xml:space="preserve"> em duas componentes: o fator relacionado à mudança do nível da taxa de desemprego (</w:t>
      </w:r>
      <m:oMath>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up>
            <m:r>
              <w:rPr>
                <w:rFonts w:ascii="Cambria Math" w:eastAsia="Times New Roman" w:hAnsi="Cambria Math" w:cs="Times New Roman"/>
                <w:sz w:val="24"/>
                <w:szCs w:val="24"/>
                <w:lang w:eastAsia="pt-BR"/>
              </w:rPr>
              <m:t>N</m:t>
            </m:r>
          </m:sup>
        </m:sSubSup>
        <m:r>
          <w:rPr>
            <w:rFonts w:ascii="Cambria Math" w:eastAsia="Times New Roman" w:hAnsi="Cambria Math" w:cs="Times New Roman"/>
            <w:sz w:val="24"/>
            <w:szCs w:val="24"/>
            <w:lang w:eastAsia="pt-BR"/>
          </w:rPr>
          <m:t>)</m:t>
        </m:r>
      </m:oMath>
      <w:r>
        <w:rPr>
          <w:rFonts w:ascii="Times New Roman" w:eastAsia="Times New Roman" w:hAnsi="Times New Roman" w:cs="Times New Roman"/>
          <w:sz w:val="24"/>
          <w:szCs w:val="24"/>
          <w:lang w:eastAsia="pt-BR"/>
        </w:rPr>
        <w:t xml:space="preserve"> e o fator associado à variação do percentual de </w:t>
      </w:r>
      <w:r w:rsidR="007C3C49">
        <w:rPr>
          <w:rFonts w:ascii="Times New Roman" w:eastAsia="Times New Roman" w:hAnsi="Times New Roman" w:cs="Times New Roman"/>
          <w:sz w:val="24"/>
          <w:szCs w:val="24"/>
          <w:lang w:eastAsia="pt-BR"/>
        </w:rPr>
        <w:t>desocupação</w:t>
      </w:r>
      <w:r>
        <w:rPr>
          <w:rFonts w:ascii="Times New Roman" w:eastAsia="Times New Roman" w:hAnsi="Times New Roman" w:cs="Times New Roman"/>
          <w:sz w:val="24"/>
          <w:szCs w:val="24"/>
          <w:lang w:eastAsia="pt-BR"/>
        </w:rPr>
        <w:t>, em virtude da mudança da composição da PEA</w:t>
      </w:r>
      <w:r w:rsidR="007C3C49">
        <w:rPr>
          <w:rStyle w:val="Refdenotaderodap"/>
          <w:rFonts w:ascii="Times New Roman" w:eastAsia="Times New Roman" w:hAnsi="Times New Roman" w:cs="Times New Roman"/>
          <w:sz w:val="24"/>
          <w:szCs w:val="24"/>
          <w:lang w:eastAsia="pt-BR"/>
        </w:rPr>
        <w:footnoteReference w:id="4"/>
      </w:r>
      <w:r w:rsidR="007C3C4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m:oMath>
        <m:sSubSup>
          <m:sSubSupPr>
            <m:ctrlPr>
              <w:rPr>
                <w:rFonts w:ascii="Cambria Math" w:eastAsia="Times New Roman" w:hAnsi="Cambria Math" w:cs="Times New Roman"/>
                <w:i/>
                <w:sz w:val="24"/>
                <w:szCs w:val="24"/>
                <w:lang w:eastAsia="pt-BR"/>
              </w:rPr>
            </m:ctrlPr>
          </m:sSubSupPr>
          <m:e>
            <m:r>
              <w:rPr>
                <w:rFonts w:ascii="Cambria Math" w:eastAsia="Times New Roman" w:hAnsi="Cambria Math" w:cs="Times New Roman"/>
                <w:sz w:val="24"/>
                <w:szCs w:val="24"/>
                <w:lang w:eastAsia="pt-BR"/>
              </w:rPr>
              <m:t>∆D</m:t>
            </m:r>
          </m:e>
          <m:sub>
            <m:r>
              <w:rPr>
                <w:rFonts w:ascii="Cambria Math" w:eastAsia="Times New Roman" w:hAnsi="Cambria Math" w:cs="Times New Roman"/>
                <w:sz w:val="24"/>
                <w:szCs w:val="24"/>
                <w:lang w:eastAsia="pt-BR"/>
              </w:rPr>
              <m:t>t</m:t>
            </m:r>
          </m:sub>
          <m:sup>
            <m:r>
              <w:rPr>
                <w:rFonts w:ascii="Cambria Math" w:eastAsia="Times New Roman" w:hAnsi="Cambria Math" w:cs="Times New Roman"/>
                <w:sz w:val="24"/>
                <w:szCs w:val="24"/>
                <w:lang w:eastAsia="pt-BR"/>
              </w:rPr>
              <m:t>C</m:t>
            </m:r>
          </m:sup>
        </m:sSubSup>
        <m:r>
          <w:rPr>
            <w:rFonts w:ascii="Cambria Math" w:eastAsia="Times New Roman" w:hAnsi="Cambria Math" w:cs="Times New Roman"/>
            <w:sz w:val="24"/>
            <w:szCs w:val="24"/>
            <w:lang w:eastAsia="pt-BR"/>
          </w:rPr>
          <m:t>)</m:t>
        </m:r>
      </m:oMath>
      <w:r>
        <w:rPr>
          <w:rFonts w:ascii="Times New Roman" w:eastAsia="Times New Roman" w:hAnsi="Times New Roman" w:cs="Times New Roman"/>
          <w:sz w:val="24"/>
          <w:szCs w:val="24"/>
          <w:lang w:eastAsia="pt-BR"/>
        </w:rPr>
        <w:t xml:space="preserve">. </w:t>
      </w:r>
      <w:r w:rsidR="0070007E">
        <w:rPr>
          <w:rFonts w:ascii="Times New Roman" w:eastAsia="Times New Roman" w:hAnsi="Times New Roman" w:cs="Times New Roman"/>
          <w:sz w:val="24"/>
          <w:szCs w:val="24"/>
          <w:lang w:eastAsia="pt-BR"/>
        </w:rPr>
        <w:t>Especificamente</w:t>
      </w:r>
      <w:r>
        <w:rPr>
          <w:rFonts w:ascii="Times New Roman" w:eastAsia="Times New Roman" w:hAnsi="Times New Roman" w:cs="Times New Roman"/>
          <w:sz w:val="24"/>
          <w:szCs w:val="24"/>
          <w:lang w:eastAsia="pt-BR"/>
        </w:rPr>
        <w:t xml:space="preserve">, </w:t>
      </w:r>
      <w:bookmarkStart w:id="9" w:name="_Hlk159148886"/>
      <w:r>
        <w:rPr>
          <w:rFonts w:ascii="Times New Roman" w:eastAsia="Times New Roman" w:hAnsi="Times New Roman" w:cs="Times New Roman"/>
          <w:sz w:val="24"/>
          <w:szCs w:val="24"/>
          <w:lang w:eastAsia="pt-BR"/>
        </w:rPr>
        <w:t>o chamado efeito-nível analisa a variação da taxa de desemprego dentro de cada grupo</w:t>
      </w:r>
      <w:r w:rsidR="002C0908">
        <w:rPr>
          <w:rFonts w:ascii="Times New Roman" w:eastAsia="Times New Roman" w:hAnsi="Times New Roman" w:cs="Times New Roman"/>
          <w:sz w:val="24"/>
          <w:szCs w:val="24"/>
          <w:lang w:eastAsia="pt-BR"/>
        </w:rPr>
        <w:t xml:space="preserve"> (intragrupo)</w:t>
      </w:r>
      <w:r>
        <w:rPr>
          <w:rFonts w:ascii="Times New Roman" w:eastAsia="Times New Roman" w:hAnsi="Times New Roman" w:cs="Times New Roman"/>
          <w:sz w:val="24"/>
          <w:szCs w:val="24"/>
          <w:lang w:eastAsia="pt-BR"/>
        </w:rPr>
        <w:t xml:space="preserve"> e o efeito-composição examina as mudanças causadas no percentual de </w:t>
      </w:r>
      <w:r w:rsidR="007C3C49">
        <w:rPr>
          <w:rFonts w:ascii="Times New Roman" w:eastAsia="Times New Roman" w:hAnsi="Times New Roman" w:cs="Times New Roman"/>
          <w:sz w:val="24"/>
          <w:szCs w:val="24"/>
          <w:lang w:eastAsia="pt-BR"/>
        </w:rPr>
        <w:t>desocupação</w:t>
      </w:r>
      <w:r w:rsidR="00CF6442">
        <w:rPr>
          <w:rFonts w:ascii="Times New Roman" w:eastAsia="Times New Roman" w:hAnsi="Times New Roman" w:cs="Times New Roman"/>
          <w:sz w:val="24"/>
          <w:szCs w:val="24"/>
          <w:lang w:eastAsia="pt-BR"/>
        </w:rPr>
        <w:t xml:space="preserve"> em razão das</w:t>
      </w:r>
      <w:r>
        <w:rPr>
          <w:rFonts w:ascii="Times New Roman" w:eastAsia="Times New Roman" w:hAnsi="Times New Roman" w:cs="Times New Roman"/>
          <w:sz w:val="24"/>
          <w:szCs w:val="24"/>
          <w:lang w:eastAsia="pt-BR"/>
        </w:rPr>
        <w:t xml:space="preserve"> alterações do peso relativo de diferentes conjuntos</w:t>
      </w:r>
      <w:r w:rsidR="00CF6442">
        <w:rPr>
          <w:rFonts w:ascii="Times New Roman" w:eastAsia="Times New Roman" w:hAnsi="Times New Roman" w:cs="Times New Roman"/>
          <w:sz w:val="24"/>
          <w:szCs w:val="24"/>
          <w:lang w:eastAsia="pt-BR"/>
        </w:rPr>
        <w:t xml:space="preserve"> (grupos)</w:t>
      </w:r>
      <w:r>
        <w:rPr>
          <w:rFonts w:ascii="Times New Roman" w:eastAsia="Times New Roman" w:hAnsi="Times New Roman" w:cs="Times New Roman"/>
          <w:sz w:val="24"/>
          <w:szCs w:val="24"/>
          <w:lang w:eastAsia="pt-BR"/>
        </w:rPr>
        <w:t xml:space="preserve"> na PEA.</w:t>
      </w:r>
      <w:r w:rsidR="007C3746">
        <w:rPr>
          <w:rFonts w:ascii="Times New Roman" w:eastAsia="Times New Roman" w:hAnsi="Times New Roman" w:cs="Times New Roman"/>
          <w:sz w:val="24"/>
          <w:szCs w:val="24"/>
          <w:lang w:eastAsia="pt-BR"/>
        </w:rPr>
        <w:t xml:space="preserve"> </w:t>
      </w:r>
    </w:p>
    <w:bookmarkEnd w:id="9"/>
    <w:p w14:paraId="52839344" w14:textId="262FBF6B" w:rsidR="00CB5F8B" w:rsidRDefault="007C3746">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CB5F8B">
        <w:rPr>
          <w:rFonts w:ascii="Times New Roman" w:eastAsia="Times New Roman" w:hAnsi="Times New Roman" w:cs="Times New Roman"/>
          <w:sz w:val="24"/>
          <w:szCs w:val="24"/>
          <w:lang w:eastAsia="pt-BR"/>
        </w:rPr>
        <w:t xml:space="preserve"> exemplo, em 2012, o índice de desemprego para as mulheres era, aproximadamente, 9,07%, </w:t>
      </w:r>
      <w:r w:rsidR="00B12BD4">
        <w:rPr>
          <w:rFonts w:ascii="Times New Roman" w:eastAsia="Times New Roman" w:hAnsi="Times New Roman" w:cs="Times New Roman"/>
          <w:sz w:val="24"/>
          <w:szCs w:val="24"/>
          <w:lang w:eastAsia="pt-BR"/>
        </w:rPr>
        <w:t>tendo</w:t>
      </w:r>
      <w:r>
        <w:rPr>
          <w:rFonts w:ascii="Times New Roman" w:eastAsia="Times New Roman" w:hAnsi="Times New Roman" w:cs="Times New Roman"/>
          <w:sz w:val="24"/>
          <w:szCs w:val="24"/>
          <w:lang w:eastAsia="pt-BR"/>
        </w:rPr>
        <w:t xml:space="preserve">, </w:t>
      </w:r>
      <w:r w:rsidR="00CB5F8B">
        <w:rPr>
          <w:rFonts w:ascii="Times New Roman" w:eastAsia="Times New Roman" w:hAnsi="Times New Roman" w:cs="Times New Roman"/>
          <w:sz w:val="24"/>
          <w:szCs w:val="24"/>
          <w:lang w:eastAsia="pt-BR"/>
        </w:rPr>
        <w:t xml:space="preserve">em 2022, </w:t>
      </w:r>
      <w:r w:rsidR="00A8052D">
        <w:rPr>
          <w:rFonts w:ascii="Times New Roman" w:eastAsia="Times New Roman" w:hAnsi="Times New Roman" w:cs="Times New Roman"/>
          <w:sz w:val="24"/>
          <w:szCs w:val="24"/>
          <w:lang w:eastAsia="pt-BR"/>
        </w:rPr>
        <w:t>aument</w:t>
      </w:r>
      <w:r w:rsidR="00B12BD4">
        <w:rPr>
          <w:rFonts w:ascii="Times New Roman" w:eastAsia="Times New Roman" w:hAnsi="Times New Roman" w:cs="Times New Roman"/>
          <w:sz w:val="24"/>
          <w:szCs w:val="24"/>
          <w:lang w:eastAsia="pt-BR"/>
        </w:rPr>
        <w:t>ado</w:t>
      </w:r>
      <w:r w:rsidR="00A8052D">
        <w:rPr>
          <w:rFonts w:ascii="Times New Roman" w:eastAsia="Times New Roman" w:hAnsi="Times New Roman" w:cs="Times New Roman"/>
          <w:sz w:val="24"/>
          <w:szCs w:val="24"/>
          <w:lang w:eastAsia="pt-BR"/>
        </w:rPr>
        <w:t xml:space="preserve"> </w:t>
      </w:r>
      <w:r w:rsidR="00CB5F8B">
        <w:rPr>
          <w:rFonts w:ascii="Times New Roman" w:eastAsia="Times New Roman" w:hAnsi="Times New Roman" w:cs="Times New Roman"/>
          <w:sz w:val="24"/>
          <w:szCs w:val="24"/>
          <w:lang w:eastAsia="pt-BR"/>
        </w:rPr>
        <w:t>para</w:t>
      </w:r>
      <w:r w:rsidR="00A8052D">
        <w:rPr>
          <w:rFonts w:ascii="Times New Roman" w:eastAsia="Times New Roman" w:hAnsi="Times New Roman" w:cs="Times New Roman"/>
          <w:sz w:val="24"/>
          <w:szCs w:val="24"/>
          <w:lang w:eastAsia="pt-BR"/>
        </w:rPr>
        <w:t xml:space="preserve"> 10,77</w:t>
      </w:r>
      <w:r>
        <w:rPr>
          <w:rFonts w:ascii="Times New Roman" w:eastAsia="Times New Roman" w:hAnsi="Times New Roman" w:cs="Times New Roman"/>
          <w:sz w:val="24"/>
          <w:szCs w:val="24"/>
          <w:lang w:eastAsia="pt-BR"/>
        </w:rPr>
        <w:t>%</w:t>
      </w:r>
      <w:r w:rsidR="00A8052D">
        <w:rPr>
          <w:rFonts w:ascii="Times New Roman" w:eastAsia="Times New Roman" w:hAnsi="Times New Roman" w:cs="Times New Roman"/>
          <w:sz w:val="24"/>
          <w:szCs w:val="24"/>
          <w:lang w:eastAsia="pt-BR"/>
        </w:rPr>
        <w:t>. Em 2012, para os homens, a taxa de desocupação era próxima de 5,66</w:t>
      </w:r>
      <w:r w:rsidR="006110FC">
        <w:rPr>
          <w:rFonts w:ascii="Times New Roman" w:eastAsia="Times New Roman" w:hAnsi="Times New Roman" w:cs="Times New Roman"/>
          <w:sz w:val="24"/>
          <w:szCs w:val="24"/>
          <w:lang w:eastAsia="pt-BR"/>
        </w:rPr>
        <w:t>%</w:t>
      </w:r>
      <w:r w:rsidR="00A8052D">
        <w:rPr>
          <w:rFonts w:ascii="Times New Roman" w:eastAsia="Times New Roman" w:hAnsi="Times New Roman" w:cs="Times New Roman"/>
          <w:sz w:val="24"/>
          <w:szCs w:val="24"/>
          <w:lang w:eastAsia="pt-BR"/>
        </w:rPr>
        <w:t xml:space="preserve">, </w:t>
      </w:r>
      <w:r w:rsidR="0040704B">
        <w:rPr>
          <w:rFonts w:ascii="Times New Roman" w:eastAsia="Times New Roman" w:hAnsi="Times New Roman" w:cs="Times New Roman"/>
          <w:sz w:val="24"/>
          <w:szCs w:val="24"/>
          <w:lang w:eastAsia="pt-BR"/>
        </w:rPr>
        <w:t xml:space="preserve">e, </w:t>
      </w:r>
      <w:r w:rsidR="00A8052D">
        <w:rPr>
          <w:rFonts w:ascii="Times New Roman" w:eastAsia="Times New Roman" w:hAnsi="Times New Roman" w:cs="Times New Roman"/>
          <w:sz w:val="24"/>
          <w:szCs w:val="24"/>
          <w:lang w:eastAsia="pt-BR"/>
        </w:rPr>
        <w:t xml:space="preserve">em 2022, aumentou para 7,11%. Nesse cenário, o efeito-nível observado mostrou a variação </w:t>
      </w:r>
      <w:r w:rsidR="006110FC">
        <w:rPr>
          <w:rFonts w:ascii="Times New Roman" w:eastAsia="Times New Roman" w:hAnsi="Times New Roman" w:cs="Times New Roman"/>
          <w:sz w:val="24"/>
          <w:szCs w:val="24"/>
          <w:lang w:eastAsia="pt-BR"/>
        </w:rPr>
        <w:t xml:space="preserve">positiva </w:t>
      </w:r>
      <w:r w:rsidR="00A8052D">
        <w:rPr>
          <w:rFonts w:ascii="Times New Roman" w:eastAsia="Times New Roman" w:hAnsi="Times New Roman" w:cs="Times New Roman"/>
          <w:sz w:val="24"/>
          <w:szCs w:val="24"/>
          <w:lang w:eastAsia="pt-BR"/>
        </w:rPr>
        <w:t>de 1,5</w:t>
      </w:r>
      <w:r w:rsidR="006110FC">
        <w:rPr>
          <w:rFonts w:ascii="Times New Roman" w:eastAsia="Times New Roman" w:hAnsi="Times New Roman" w:cs="Times New Roman"/>
          <w:sz w:val="24"/>
          <w:szCs w:val="24"/>
          <w:lang w:eastAsia="pt-BR"/>
        </w:rPr>
        <w:t>6</w:t>
      </w:r>
      <w:r w:rsidR="00A8052D">
        <w:rPr>
          <w:rFonts w:ascii="Times New Roman" w:eastAsia="Times New Roman" w:hAnsi="Times New Roman" w:cs="Times New Roman"/>
          <w:sz w:val="24"/>
          <w:szCs w:val="24"/>
          <w:lang w:eastAsia="pt-BR"/>
        </w:rPr>
        <w:t>%</w:t>
      </w:r>
      <w:r w:rsidR="006110FC">
        <w:rPr>
          <w:rFonts w:ascii="Times New Roman" w:eastAsia="Times New Roman" w:hAnsi="Times New Roman" w:cs="Times New Roman"/>
          <w:sz w:val="24"/>
          <w:szCs w:val="24"/>
          <w:lang w:eastAsia="pt-BR"/>
        </w:rPr>
        <w:t xml:space="preserve"> nos índices de desemprego </w:t>
      </w:r>
      <w:r w:rsidR="00BE6C80">
        <w:rPr>
          <w:rFonts w:ascii="Times New Roman" w:eastAsia="Times New Roman" w:hAnsi="Times New Roman" w:cs="Times New Roman"/>
          <w:sz w:val="24"/>
          <w:szCs w:val="24"/>
          <w:lang w:eastAsia="pt-BR"/>
        </w:rPr>
        <w:t xml:space="preserve">de 2022 </w:t>
      </w:r>
      <w:r w:rsidR="006110FC">
        <w:rPr>
          <w:rFonts w:ascii="Times New Roman" w:eastAsia="Times New Roman" w:hAnsi="Times New Roman" w:cs="Times New Roman"/>
          <w:sz w:val="24"/>
          <w:szCs w:val="24"/>
          <w:lang w:eastAsia="pt-BR"/>
        </w:rPr>
        <w:t xml:space="preserve">para ambos os sexos, em comparação a </w:t>
      </w:r>
      <w:r w:rsidR="00857660">
        <w:rPr>
          <w:rFonts w:ascii="Times New Roman" w:eastAsia="Times New Roman" w:hAnsi="Times New Roman" w:cs="Times New Roman"/>
          <w:sz w:val="24"/>
          <w:szCs w:val="24"/>
          <w:lang w:eastAsia="pt-BR"/>
        </w:rPr>
        <w:t>2012</w:t>
      </w:r>
      <w:r w:rsidR="006110FC">
        <w:rPr>
          <w:rFonts w:ascii="Times New Roman" w:eastAsia="Times New Roman" w:hAnsi="Times New Roman" w:cs="Times New Roman"/>
          <w:sz w:val="24"/>
          <w:szCs w:val="24"/>
          <w:lang w:eastAsia="pt-BR"/>
        </w:rPr>
        <w:t>. Adem</w:t>
      </w:r>
      <w:r w:rsidR="0040704B">
        <w:rPr>
          <w:rFonts w:ascii="Times New Roman" w:eastAsia="Times New Roman" w:hAnsi="Times New Roman" w:cs="Times New Roman"/>
          <w:sz w:val="24"/>
          <w:szCs w:val="24"/>
          <w:lang w:eastAsia="pt-BR"/>
        </w:rPr>
        <w:t>ai</w:t>
      </w:r>
      <w:r w:rsidR="006110FC">
        <w:rPr>
          <w:rFonts w:ascii="Times New Roman" w:eastAsia="Times New Roman" w:hAnsi="Times New Roman" w:cs="Times New Roman"/>
          <w:sz w:val="24"/>
          <w:szCs w:val="24"/>
          <w:lang w:eastAsia="pt-BR"/>
        </w:rPr>
        <w:t>s, o efeito-composição positivo</w:t>
      </w:r>
      <w:r w:rsidR="004F4EB8">
        <w:rPr>
          <w:rFonts w:ascii="Times New Roman" w:eastAsia="Times New Roman" w:hAnsi="Times New Roman" w:cs="Times New Roman"/>
          <w:sz w:val="24"/>
          <w:szCs w:val="24"/>
          <w:lang w:eastAsia="pt-BR"/>
        </w:rPr>
        <w:t xml:space="preserve"> (</w:t>
      </w:r>
      <w:r w:rsidR="006110FC">
        <w:rPr>
          <w:rFonts w:ascii="Times New Roman" w:eastAsia="Times New Roman" w:hAnsi="Times New Roman" w:cs="Times New Roman"/>
          <w:sz w:val="24"/>
          <w:szCs w:val="24"/>
          <w:lang w:eastAsia="pt-BR"/>
        </w:rPr>
        <w:t>cerca de 0,07%</w:t>
      </w:r>
      <w:r w:rsidR="004F4EB8">
        <w:rPr>
          <w:rFonts w:ascii="Times New Roman" w:eastAsia="Times New Roman" w:hAnsi="Times New Roman" w:cs="Times New Roman"/>
          <w:sz w:val="24"/>
          <w:szCs w:val="24"/>
          <w:lang w:eastAsia="pt-BR"/>
        </w:rPr>
        <w:t>)</w:t>
      </w:r>
      <w:r w:rsidR="006110FC">
        <w:rPr>
          <w:rFonts w:ascii="Times New Roman" w:eastAsia="Times New Roman" w:hAnsi="Times New Roman" w:cs="Times New Roman"/>
          <w:sz w:val="24"/>
          <w:szCs w:val="24"/>
          <w:lang w:eastAsia="pt-BR"/>
        </w:rPr>
        <w:t xml:space="preserve"> evidencia </w:t>
      </w:r>
      <w:r w:rsidR="0040704B">
        <w:rPr>
          <w:rFonts w:ascii="Times New Roman" w:eastAsia="Times New Roman" w:hAnsi="Times New Roman" w:cs="Times New Roman"/>
          <w:sz w:val="24"/>
          <w:szCs w:val="24"/>
          <w:lang w:eastAsia="pt-BR"/>
        </w:rPr>
        <w:t xml:space="preserve">a </w:t>
      </w:r>
      <w:r w:rsidR="007106A8">
        <w:rPr>
          <w:rFonts w:ascii="Times New Roman" w:eastAsia="Times New Roman" w:hAnsi="Times New Roman" w:cs="Times New Roman"/>
          <w:sz w:val="24"/>
          <w:szCs w:val="24"/>
          <w:lang w:eastAsia="pt-BR"/>
        </w:rPr>
        <w:t xml:space="preserve">mudança </w:t>
      </w:r>
      <w:r w:rsidR="006110FC">
        <w:rPr>
          <w:rFonts w:ascii="Times New Roman" w:eastAsia="Times New Roman" w:hAnsi="Times New Roman" w:cs="Times New Roman"/>
          <w:sz w:val="24"/>
          <w:szCs w:val="24"/>
          <w:lang w:eastAsia="pt-BR"/>
        </w:rPr>
        <w:t>do peso relativo de homens e mulheres na PEA</w:t>
      </w:r>
      <w:r w:rsidR="004F4EB8">
        <w:rPr>
          <w:rFonts w:ascii="Times New Roman" w:eastAsia="Times New Roman" w:hAnsi="Times New Roman" w:cs="Times New Roman"/>
          <w:sz w:val="24"/>
          <w:szCs w:val="24"/>
          <w:lang w:eastAsia="pt-BR"/>
        </w:rPr>
        <w:t xml:space="preserve"> (</w:t>
      </w:r>
      <w:r w:rsidR="00C71643">
        <w:rPr>
          <w:rFonts w:ascii="Times New Roman" w:eastAsia="Times New Roman" w:hAnsi="Times New Roman" w:cs="Times New Roman"/>
          <w:sz w:val="24"/>
          <w:szCs w:val="24"/>
          <w:lang w:eastAsia="pt-BR"/>
        </w:rPr>
        <w:t>alteração positiva de 3,5% na participação feminina</w:t>
      </w:r>
      <w:r w:rsidR="004F4EB8">
        <w:rPr>
          <w:rFonts w:ascii="Times New Roman" w:eastAsia="Times New Roman" w:hAnsi="Times New Roman" w:cs="Times New Roman"/>
          <w:sz w:val="24"/>
          <w:szCs w:val="24"/>
          <w:lang w:eastAsia="pt-BR"/>
        </w:rPr>
        <w:t>)</w:t>
      </w:r>
      <w:r w:rsidR="002A1435">
        <w:rPr>
          <w:rFonts w:ascii="Times New Roman" w:eastAsia="Times New Roman" w:hAnsi="Times New Roman" w:cs="Times New Roman"/>
          <w:sz w:val="24"/>
          <w:szCs w:val="24"/>
          <w:lang w:eastAsia="pt-BR"/>
        </w:rPr>
        <w:t xml:space="preserve"> e é </w:t>
      </w:r>
      <w:r w:rsidR="006110FC">
        <w:rPr>
          <w:rFonts w:ascii="Times New Roman" w:eastAsia="Times New Roman" w:hAnsi="Times New Roman" w:cs="Times New Roman"/>
          <w:sz w:val="24"/>
          <w:szCs w:val="24"/>
          <w:lang w:eastAsia="pt-BR"/>
        </w:rPr>
        <w:t xml:space="preserve">responsável </w:t>
      </w:r>
      <w:r w:rsidR="004F4EB8">
        <w:rPr>
          <w:rFonts w:ascii="Times New Roman" w:eastAsia="Times New Roman" w:hAnsi="Times New Roman" w:cs="Times New Roman"/>
          <w:sz w:val="24"/>
          <w:szCs w:val="24"/>
          <w:lang w:eastAsia="pt-BR"/>
        </w:rPr>
        <w:t>pelo</w:t>
      </w:r>
      <w:r w:rsidR="006110FC">
        <w:rPr>
          <w:rFonts w:ascii="Times New Roman" w:eastAsia="Times New Roman" w:hAnsi="Times New Roman" w:cs="Times New Roman"/>
          <w:sz w:val="24"/>
          <w:szCs w:val="24"/>
          <w:lang w:eastAsia="pt-BR"/>
        </w:rPr>
        <w:t xml:space="preserve"> acréscimo no percentual do desemprego. No panorama analisado, os indivíduos do sexo feminino apresentam maior taxa de desocupação, em comparação a pessoas do sexo masculino</w:t>
      </w:r>
      <w:r w:rsidR="004F4EB8">
        <w:rPr>
          <w:rFonts w:ascii="Times New Roman" w:eastAsia="Times New Roman" w:hAnsi="Times New Roman" w:cs="Times New Roman"/>
          <w:sz w:val="24"/>
          <w:szCs w:val="24"/>
          <w:lang w:eastAsia="pt-BR"/>
        </w:rPr>
        <w:t xml:space="preserve">, o que torna </w:t>
      </w:r>
      <w:r w:rsidR="002A1435">
        <w:rPr>
          <w:rFonts w:ascii="Times New Roman" w:eastAsia="Times New Roman" w:hAnsi="Times New Roman" w:cs="Times New Roman"/>
          <w:sz w:val="24"/>
          <w:szCs w:val="24"/>
          <w:lang w:eastAsia="pt-BR"/>
        </w:rPr>
        <w:t>possível</w:t>
      </w:r>
      <w:r w:rsidR="00ED4F57">
        <w:rPr>
          <w:rFonts w:ascii="Times New Roman" w:eastAsia="Times New Roman" w:hAnsi="Times New Roman" w:cs="Times New Roman"/>
          <w:sz w:val="24"/>
          <w:szCs w:val="24"/>
          <w:lang w:eastAsia="pt-BR"/>
        </w:rPr>
        <w:t xml:space="preserve"> deduzir</w:t>
      </w:r>
      <w:r w:rsidR="00153FAE">
        <w:rPr>
          <w:rFonts w:ascii="Times New Roman" w:eastAsia="Times New Roman" w:hAnsi="Times New Roman" w:cs="Times New Roman"/>
          <w:sz w:val="24"/>
          <w:szCs w:val="24"/>
          <w:lang w:eastAsia="pt-BR"/>
        </w:rPr>
        <w:t>,</w:t>
      </w:r>
      <w:r w:rsidR="002A1435">
        <w:rPr>
          <w:rFonts w:ascii="Times New Roman" w:eastAsia="Times New Roman" w:hAnsi="Times New Roman" w:cs="Times New Roman"/>
          <w:sz w:val="24"/>
          <w:szCs w:val="24"/>
          <w:lang w:eastAsia="pt-BR"/>
        </w:rPr>
        <w:t xml:space="preserve"> </w:t>
      </w:r>
      <w:r w:rsidR="00153FAE">
        <w:rPr>
          <w:rFonts w:ascii="Times New Roman" w:eastAsia="Times New Roman" w:hAnsi="Times New Roman" w:cs="Times New Roman"/>
          <w:sz w:val="24"/>
          <w:szCs w:val="24"/>
          <w:lang w:eastAsia="pt-BR"/>
        </w:rPr>
        <w:t>a partir do</w:t>
      </w:r>
      <w:r w:rsidR="002A1435">
        <w:rPr>
          <w:rFonts w:ascii="Times New Roman" w:eastAsia="Times New Roman" w:hAnsi="Times New Roman" w:cs="Times New Roman"/>
          <w:sz w:val="24"/>
          <w:szCs w:val="24"/>
          <w:lang w:eastAsia="pt-BR"/>
        </w:rPr>
        <w:t xml:space="preserve"> efeito-composição positivo</w:t>
      </w:r>
      <w:r w:rsidR="00153FAE">
        <w:rPr>
          <w:rFonts w:ascii="Times New Roman" w:eastAsia="Times New Roman" w:hAnsi="Times New Roman" w:cs="Times New Roman"/>
          <w:sz w:val="24"/>
          <w:szCs w:val="24"/>
          <w:lang w:eastAsia="pt-BR"/>
        </w:rPr>
        <w:t xml:space="preserve">, </w:t>
      </w:r>
      <w:r w:rsidR="0015692F">
        <w:rPr>
          <w:rFonts w:ascii="Times New Roman" w:eastAsia="Times New Roman" w:hAnsi="Times New Roman" w:cs="Times New Roman"/>
          <w:sz w:val="24"/>
          <w:szCs w:val="24"/>
          <w:lang w:eastAsia="pt-BR"/>
        </w:rPr>
        <w:t xml:space="preserve">que houve </w:t>
      </w:r>
      <w:r w:rsidR="002A1435">
        <w:rPr>
          <w:rFonts w:ascii="Times New Roman" w:eastAsia="Times New Roman" w:hAnsi="Times New Roman" w:cs="Times New Roman"/>
          <w:sz w:val="24"/>
          <w:szCs w:val="24"/>
          <w:lang w:eastAsia="pt-BR"/>
        </w:rPr>
        <w:t xml:space="preserve">maior participação das mulheres na PEA, ao se comparar 2012 </w:t>
      </w:r>
      <w:r w:rsidR="0015692F">
        <w:rPr>
          <w:rFonts w:ascii="Times New Roman" w:eastAsia="Times New Roman" w:hAnsi="Times New Roman" w:cs="Times New Roman"/>
          <w:sz w:val="24"/>
          <w:szCs w:val="24"/>
          <w:lang w:eastAsia="pt-BR"/>
        </w:rPr>
        <w:t xml:space="preserve">a </w:t>
      </w:r>
      <w:r w:rsidR="002A1435">
        <w:rPr>
          <w:rFonts w:ascii="Times New Roman" w:eastAsia="Times New Roman" w:hAnsi="Times New Roman" w:cs="Times New Roman"/>
          <w:sz w:val="24"/>
          <w:szCs w:val="24"/>
          <w:lang w:eastAsia="pt-BR"/>
        </w:rPr>
        <w:t>2022.</w:t>
      </w:r>
    </w:p>
    <w:p w14:paraId="6723A172" w14:textId="08182344" w:rsidR="00452C0C" w:rsidRDefault="00B1560F">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síntese</w:t>
      </w:r>
      <w:r w:rsidRPr="00B1560F">
        <w:rPr>
          <w:rFonts w:ascii="Times New Roman" w:eastAsia="Times New Roman" w:hAnsi="Times New Roman" w:cs="Times New Roman"/>
          <w:sz w:val="24"/>
          <w:szCs w:val="24"/>
          <w:lang w:eastAsia="pt-BR"/>
        </w:rPr>
        <w:t xml:space="preserve">, </w:t>
      </w:r>
      <w:r w:rsidR="0015692F">
        <w:rPr>
          <w:rFonts w:ascii="Times New Roman" w:eastAsia="Times New Roman" w:hAnsi="Times New Roman" w:cs="Times New Roman"/>
          <w:sz w:val="24"/>
          <w:szCs w:val="24"/>
          <w:lang w:eastAsia="pt-BR"/>
        </w:rPr>
        <w:t xml:space="preserve">esta metodologia </w:t>
      </w:r>
      <w:r w:rsidRPr="00B1560F">
        <w:rPr>
          <w:rFonts w:ascii="Times New Roman" w:eastAsia="Times New Roman" w:hAnsi="Times New Roman" w:cs="Times New Roman"/>
          <w:sz w:val="24"/>
          <w:szCs w:val="24"/>
          <w:lang w:eastAsia="pt-BR"/>
        </w:rPr>
        <w:t>viabiliza a análise d</w:t>
      </w:r>
      <w:r w:rsidR="0015692F">
        <w:rPr>
          <w:rFonts w:ascii="Times New Roman" w:eastAsia="Times New Roman" w:hAnsi="Times New Roman" w:cs="Times New Roman"/>
          <w:sz w:val="24"/>
          <w:szCs w:val="24"/>
          <w:lang w:eastAsia="pt-BR"/>
        </w:rPr>
        <w:t xml:space="preserve">a variação da taxa de </w:t>
      </w:r>
      <w:r w:rsidRPr="00B1560F">
        <w:rPr>
          <w:rFonts w:ascii="Times New Roman" w:eastAsia="Times New Roman" w:hAnsi="Times New Roman" w:cs="Times New Roman"/>
          <w:sz w:val="24"/>
          <w:szCs w:val="24"/>
          <w:lang w:eastAsia="pt-BR"/>
        </w:rPr>
        <w:t xml:space="preserve">desemprego em nível nacional, </w:t>
      </w:r>
      <w:r>
        <w:rPr>
          <w:rFonts w:ascii="Times New Roman" w:eastAsia="Times New Roman" w:hAnsi="Times New Roman" w:cs="Times New Roman"/>
          <w:sz w:val="24"/>
          <w:szCs w:val="24"/>
          <w:lang w:eastAsia="pt-BR"/>
        </w:rPr>
        <w:t>ao utilizar</w:t>
      </w:r>
      <w:r w:rsidRPr="00B1560F">
        <w:rPr>
          <w:rFonts w:ascii="Times New Roman" w:eastAsia="Times New Roman" w:hAnsi="Times New Roman" w:cs="Times New Roman"/>
          <w:sz w:val="24"/>
          <w:szCs w:val="24"/>
          <w:lang w:eastAsia="pt-BR"/>
        </w:rPr>
        <w:t xml:space="preserve"> como base atributos observáveis da mão de obra (tais como gênero, etnia, faixa etári</w:t>
      </w:r>
      <w:r>
        <w:rPr>
          <w:rFonts w:ascii="Times New Roman" w:eastAsia="Times New Roman" w:hAnsi="Times New Roman" w:cs="Times New Roman"/>
          <w:sz w:val="24"/>
          <w:szCs w:val="24"/>
          <w:lang w:eastAsia="pt-BR"/>
        </w:rPr>
        <w:t xml:space="preserve">a e </w:t>
      </w:r>
      <w:r w:rsidRPr="00B1560F">
        <w:rPr>
          <w:rFonts w:ascii="Times New Roman" w:eastAsia="Times New Roman" w:hAnsi="Times New Roman" w:cs="Times New Roman"/>
          <w:sz w:val="24"/>
          <w:szCs w:val="24"/>
          <w:lang w:eastAsia="pt-BR"/>
        </w:rPr>
        <w:t>nível educacional)</w:t>
      </w:r>
      <w:r>
        <w:rPr>
          <w:rFonts w:ascii="Times New Roman" w:eastAsia="Times New Roman" w:hAnsi="Times New Roman" w:cs="Times New Roman"/>
          <w:sz w:val="24"/>
          <w:szCs w:val="24"/>
          <w:lang w:eastAsia="pt-BR"/>
        </w:rPr>
        <w:t xml:space="preserve">. </w:t>
      </w:r>
      <w:r w:rsidR="0015692F">
        <w:rPr>
          <w:rFonts w:ascii="Times New Roman" w:eastAsia="Times New Roman" w:hAnsi="Times New Roman" w:cs="Times New Roman"/>
          <w:sz w:val="24"/>
          <w:szCs w:val="24"/>
          <w:lang w:eastAsia="pt-BR"/>
        </w:rPr>
        <w:t>Adicionalmente</w:t>
      </w:r>
      <w:r>
        <w:rPr>
          <w:rFonts w:ascii="Times New Roman" w:eastAsia="Times New Roman" w:hAnsi="Times New Roman" w:cs="Times New Roman"/>
          <w:sz w:val="24"/>
          <w:szCs w:val="24"/>
          <w:lang w:eastAsia="pt-BR"/>
        </w:rPr>
        <w:t>, é possível realizar</w:t>
      </w:r>
      <w:r w:rsidRPr="00B1560F">
        <w:rPr>
          <w:rFonts w:ascii="Times New Roman" w:eastAsia="Times New Roman" w:hAnsi="Times New Roman" w:cs="Times New Roman"/>
          <w:sz w:val="24"/>
          <w:szCs w:val="24"/>
          <w:lang w:eastAsia="pt-BR"/>
        </w:rPr>
        <w:t xml:space="preserve"> </w:t>
      </w:r>
      <w:r w:rsidR="0015692F">
        <w:rPr>
          <w:rFonts w:ascii="Times New Roman" w:eastAsia="Times New Roman" w:hAnsi="Times New Roman" w:cs="Times New Roman"/>
          <w:sz w:val="24"/>
          <w:szCs w:val="24"/>
          <w:lang w:eastAsia="pt-BR"/>
        </w:rPr>
        <w:t>a</w:t>
      </w:r>
      <w:r w:rsidR="0015692F" w:rsidRPr="00B1560F">
        <w:rPr>
          <w:rFonts w:ascii="Times New Roman" w:eastAsia="Times New Roman" w:hAnsi="Times New Roman" w:cs="Times New Roman"/>
          <w:sz w:val="24"/>
          <w:szCs w:val="24"/>
          <w:lang w:eastAsia="pt-BR"/>
        </w:rPr>
        <w:t xml:space="preserve"> </w:t>
      </w:r>
      <w:r w:rsidRPr="00B1560F">
        <w:rPr>
          <w:rFonts w:ascii="Times New Roman" w:eastAsia="Times New Roman" w:hAnsi="Times New Roman" w:cs="Times New Roman"/>
          <w:sz w:val="24"/>
          <w:szCs w:val="24"/>
          <w:lang w:eastAsia="pt-BR"/>
        </w:rPr>
        <w:t>desagregação entre áreas metropolitanas (</w:t>
      </w:r>
      <w:proofErr w:type="spellStart"/>
      <w:r w:rsidR="004362C0">
        <w:rPr>
          <w:rFonts w:ascii="Times New Roman" w:eastAsia="Times New Roman" w:hAnsi="Times New Roman" w:cs="Times New Roman"/>
          <w:sz w:val="24"/>
          <w:szCs w:val="24"/>
          <w:lang w:eastAsia="pt-BR"/>
        </w:rPr>
        <w:t>R</w:t>
      </w:r>
      <w:r w:rsidRPr="00B1560F">
        <w:rPr>
          <w:rFonts w:ascii="Times New Roman" w:eastAsia="Times New Roman" w:hAnsi="Times New Roman" w:cs="Times New Roman"/>
          <w:sz w:val="24"/>
          <w:szCs w:val="24"/>
          <w:lang w:eastAsia="pt-BR"/>
        </w:rPr>
        <w:t>Ms</w:t>
      </w:r>
      <w:proofErr w:type="spellEnd"/>
      <w:r w:rsidRPr="00B1560F">
        <w:rPr>
          <w:rFonts w:ascii="Times New Roman" w:eastAsia="Times New Roman" w:hAnsi="Times New Roman" w:cs="Times New Roman"/>
          <w:sz w:val="24"/>
          <w:szCs w:val="24"/>
          <w:lang w:eastAsia="pt-BR"/>
        </w:rPr>
        <w:t>) e não metropolitanas (</w:t>
      </w:r>
      <w:proofErr w:type="spellStart"/>
      <w:r w:rsidR="004362C0">
        <w:rPr>
          <w:rFonts w:ascii="Times New Roman" w:eastAsia="Times New Roman" w:hAnsi="Times New Roman" w:cs="Times New Roman"/>
          <w:sz w:val="24"/>
          <w:szCs w:val="24"/>
          <w:lang w:eastAsia="pt-BR"/>
        </w:rPr>
        <w:t>R</w:t>
      </w:r>
      <w:r w:rsidRPr="00B1560F">
        <w:rPr>
          <w:rFonts w:ascii="Times New Roman" w:eastAsia="Times New Roman" w:hAnsi="Times New Roman" w:cs="Times New Roman"/>
          <w:sz w:val="24"/>
          <w:szCs w:val="24"/>
          <w:lang w:eastAsia="pt-BR"/>
        </w:rPr>
        <w:t>NMs</w:t>
      </w:r>
      <w:proofErr w:type="spellEnd"/>
      <w:r w:rsidRPr="00B1560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além de possibilitar </w:t>
      </w:r>
      <w:r w:rsidRPr="00B1560F">
        <w:rPr>
          <w:rFonts w:ascii="Times New Roman" w:eastAsia="Times New Roman" w:hAnsi="Times New Roman" w:cs="Times New Roman"/>
          <w:sz w:val="24"/>
          <w:szCs w:val="24"/>
          <w:lang w:eastAsia="pt-BR"/>
        </w:rPr>
        <w:t xml:space="preserve">a distinção entre o contexto urbano brasileiro e o ambiente </w:t>
      </w:r>
      <w:r w:rsidRPr="00B1560F">
        <w:rPr>
          <w:rFonts w:ascii="Times New Roman" w:eastAsia="Times New Roman" w:hAnsi="Times New Roman" w:cs="Times New Roman"/>
          <w:sz w:val="24"/>
          <w:szCs w:val="24"/>
          <w:lang w:eastAsia="pt-BR"/>
        </w:rPr>
        <w:lastRenderedPageBreak/>
        <w:t>rural</w:t>
      </w:r>
      <w:r w:rsidR="00FC15B9">
        <w:rPr>
          <w:rFonts w:ascii="Times New Roman" w:eastAsia="Times New Roman" w:hAnsi="Times New Roman" w:cs="Times New Roman"/>
          <w:sz w:val="24"/>
          <w:szCs w:val="24"/>
          <w:lang w:eastAsia="pt-BR"/>
        </w:rPr>
        <w:t xml:space="preserve"> de forma a </w:t>
      </w:r>
      <w:r w:rsidRPr="00B1560F">
        <w:rPr>
          <w:rFonts w:ascii="Times New Roman" w:eastAsia="Times New Roman" w:hAnsi="Times New Roman" w:cs="Times New Roman"/>
          <w:sz w:val="24"/>
          <w:szCs w:val="24"/>
          <w:lang w:eastAsia="pt-BR"/>
        </w:rPr>
        <w:t>enriquece</w:t>
      </w:r>
      <w:r>
        <w:rPr>
          <w:rFonts w:ascii="Times New Roman" w:eastAsia="Times New Roman" w:hAnsi="Times New Roman" w:cs="Times New Roman"/>
          <w:sz w:val="24"/>
          <w:szCs w:val="24"/>
          <w:lang w:eastAsia="pt-BR"/>
        </w:rPr>
        <w:t>r</w:t>
      </w:r>
      <w:r w:rsidRPr="00B1560F">
        <w:rPr>
          <w:rFonts w:ascii="Times New Roman" w:eastAsia="Times New Roman" w:hAnsi="Times New Roman" w:cs="Times New Roman"/>
          <w:sz w:val="24"/>
          <w:szCs w:val="24"/>
          <w:lang w:eastAsia="pt-BR"/>
        </w:rPr>
        <w:t xml:space="preserve"> a compreensão das dinâmicas do </w:t>
      </w:r>
      <w:r>
        <w:rPr>
          <w:rFonts w:ascii="Times New Roman" w:eastAsia="Times New Roman" w:hAnsi="Times New Roman" w:cs="Times New Roman"/>
          <w:sz w:val="24"/>
          <w:szCs w:val="24"/>
          <w:lang w:eastAsia="pt-BR"/>
        </w:rPr>
        <w:t>mercado laboral</w:t>
      </w:r>
      <w:r w:rsidRPr="00B1560F">
        <w:rPr>
          <w:rFonts w:ascii="Times New Roman" w:eastAsia="Times New Roman" w:hAnsi="Times New Roman" w:cs="Times New Roman"/>
          <w:sz w:val="24"/>
          <w:szCs w:val="24"/>
          <w:lang w:eastAsia="pt-BR"/>
        </w:rPr>
        <w:t xml:space="preserve"> em diferentes </w:t>
      </w:r>
      <w:r w:rsidR="00D657BB">
        <w:rPr>
          <w:rFonts w:ascii="Times New Roman" w:eastAsia="Times New Roman" w:hAnsi="Times New Roman" w:cs="Times New Roman"/>
          <w:sz w:val="24"/>
          <w:szCs w:val="24"/>
          <w:lang w:eastAsia="pt-BR"/>
        </w:rPr>
        <w:t>territórios</w:t>
      </w:r>
      <w:r w:rsidR="00D657BB" w:rsidRPr="00B1560F">
        <w:rPr>
          <w:rFonts w:ascii="Times New Roman" w:eastAsia="Times New Roman" w:hAnsi="Times New Roman" w:cs="Times New Roman"/>
          <w:sz w:val="24"/>
          <w:szCs w:val="24"/>
          <w:lang w:eastAsia="pt-BR"/>
        </w:rPr>
        <w:t xml:space="preserve"> </w:t>
      </w:r>
      <w:r w:rsidRPr="00B1560F">
        <w:rPr>
          <w:rFonts w:ascii="Times New Roman" w:eastAsia="Times New Roman" w:hAnsi="Times New Roman" w:cs="Times New Roman"/>
          <w:sz w:val="24"/>
          <w:szCs w:val="24"/>
          <w:lang w:eastAsia="pt-BR"/>
        </w:rPr>
        <w:t>do país</w:t>
      </w:r>
      <w:r>
        <w:rPr>
          <w:rFonts w:ascii="Times New Roman" w:eastAsia="Times New Roman" w:hAnsi="Times New Roman" w:cs="Times New Roman"/>
          <w:sz w:val="24"/>
          <w:szCs w:val="24"/>
          <w:lang w:eastAsia="pt-BR"/>
        </w:rPr>
        <w:t>.</w:t>
      </w:r>
      <w:r w:rsidR="00E03E59">
        <w:rPr>
          <w:rFonts w:ascii="Times New Roman" w:eastAsia="Times New Roman" w:hAnsi="Times New Roman" w:cs="Times New Roman"/>
          <w:sz w:val="24"/>
          <w:szCs w:val="24"/>
          <w:lang w:eastAsia="pt-BR"/>
        </w:rPr>
        <w:t xml:space="preserve"> </w:t>
      </w:r>
    </w:p>
    <w:p w14:paraId="370CF2D0" w14:textId="77777777" w:rsidR="00C43861" w:rsidRDefault="00C43861">
      <w:pPr>
        <w:ind w:firstLine="0"/>
        <w:rPr>
          <w:rFonts w:ascii="Times New Roman" w:eastAsia="Times New Roman" w:hAnsi="Times New Roman" w:cs="Times New Roman"/>
          <w:sz w:val="24"/>
          <w:szCs w:val="24"/>
          <w:lang w:eastAsia="pt-BR"/>
        </w:rPr>
      </w:pPr>
    </w:p>
    <w:p w14:paraId="5850183A" w14:textId="7EF97DF2" w:rsidR="00C43861" w:rsidRPr="00E42269" w:rsidRDefault="003F7519" w:rsidP="00A80DAD">
      <w:pPr>
        <w:pStyle w:val="Ttulo1"/>
        <w:numPr>
          <w:ilvl w:val="1"/>
          <w:numId w:val="44"/>
        </w:numPr>
        <w:ind w:left="0" w:firstLine="0"/>
        <w:rPr>
          <w:b/>
          <w:bCs/>
        </w:rPr>
      </w:pPr>
      <w:r>
        <w:rPr>
          <w:b/>
          <w:bCs/>
        </w:rPr>
        <w:t xml:space="preserve"> </w:t>
      </w:r>
      <w:bookmarkStart w:id="10" w:name="_Toc160609821"/>
      <w:r w:rsidR="00C43861" w:rsidRPr="00E42269">
        <w:rPr>
          <w:b/>
          <w:bCs/>
        </w:rPr>
        <w:t>Fonte e Tratamento dos Dados</w:t>
      </w:r>
      <w:bookmarkEnd w:id="10"/>
      <w:r w:rsidR="00C929B8" w:rsidRPr="00E42269">
        <w:rPr>
          <w:b/>
          <w:bCs/>
        </w:rPr>
        <w:t xml:space="preserve"> </w:t>
      </w:r>
    </w:p>
    <w:p w14:paraId="19F1E25A" w14:textId="2ADE1E0C" w:rsidR="00C929B8" w:rsidRDefault="00C929B8">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Neste estudo</w:t>
      </w:r>
      <w:r w:rsidR="0015692F">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C929B8">
        <w:rPr>
          <w:rFonts w:ascii="Times New Roman" w:eastAsia="Times New Roman" w:hAnsi="Times New Roman" w:cs="Times New Roman"/>
          <w:sz w:val="24"/>
          <w:szCs w:val="24"/>
          <w:lang w:eastAsia="pt-BR"/>
        </w:rPr>
        <w:t xml:space="preserve">são empregados os </w:t>
      </w:r>
      <w:proofErr w:type="spellStart"/>
      <w:r w:rsidRPr="00C929B8">
        <w:rPr>
          <w:rFonts w:ascii="Times New Roman" w:eastAsia="Times New Roman" w:hAnsi="Times New Roman" w:cs="Times New Roman"/>
          <w:sz w:val="24"/>
          <w:szCs w:val="24"/>
          <w:lang w:eastAsia="pt-BR"/>
        </w:rPr>
        <w:t>microdados</w:t>
      </w:r>
      <w:proofErr w:type="spellEnd"/>
      <w:r w:rsidRPr="00C929B8">
        <w:rPr>
          <w:rFonts w:ascii="Times New Roman" w:eastAsia="Times New Roman" w:hAnsi="Times New Roman" w:cs="Times New Roman"/>
          <w:sz w:val="24"/>
          <w:szCs w:val="24"/>
          <w:lang w:eastAsia="pt-BR"/>
        </w:rPr>
        <w:t xml:space="preserve"> da Pesquisa Nacional por Amostra de Domicílios Contínua (PNAD Contínua), </w:t>
      </w:r>
      <w:r w:rsidR="004C4B26">
        <w:rPr>
          <w:rFonts w:ascii="Times New Roman" w:eastAsia="Times New Roman" w:hAnsi="Times New Roman" w:cs="Times New Roman"/>
          <w:sz w:val="24"/>
          <w:szCs w:val="24"/>
          <w:lang w:eastAsia="pt-BR"/>
        </w:rPr>
        <w:t xml:space="preserve">a qual é </w:t>
      </w:r>
      <w:r w:rsidRPr="00C929B8">
        <w:rPr>
          <w:rFonts w:ascii="Times New Roman" w:eastAsia="Times New Roman" w:hAnsi="Times New Roman" w:cs="Times New Roman"/>
          <w:sz w:val="24"/>
          <w:szCs w:val="24"/>
          <w:lang w:eastAsia="pt-BR"/>
        </w:rPr>
        <w:t>conduzida</w:t>
      </w:r>
      <w:r w:rsidR="004C4B26">
        <w:rPr>
          <w:rFonts w:ascii="Times New Roman" w:eastAsia="Times New Roman" w:hAnsi="Times New Roman" w:cs="Times New Roman"/>
          <w:sz w:val="24"/>
          <w:szCs w:val="24"/>
          <w:lang w:eastAsia="pt-BR"/>
        </w:rPr>
        <w:t>,</w:t>
      </w:r>
      <w:r w:rsidRPr="00C929B8">
        <w:rPr>
          <w:rFonts w:ascii="Times New Roman" w:eastAsia="Times New Roman" w:hAnsi="Times New Roman" w:cs="Times New Roman"/>
          <w:sz w:val="24"/>
          <w:szCs w:val="24"/>
          <w:lang w:eastAsia="pt-BR"/>
        </w:rPr>
        <w:t xml:space="preserve"> trimestralmente</w:t>
      </w:r>
      <w:r w:rsidR="004C4B26">
        <w:rPr>
          <w:rFonts w:ascii="Times New Roman" w:eastAsia="Times New Roman" w:hAnsi="Times New Roman" w:cs="Times New Roman"/>
          <w:sz w:val="24"/>
          <w:szCs w:val="24"/>
          <w:lang w:eastAsia="pt-BR"/>
        </w:rPr>
        <w:t>,</w:t>
      </w:r>
      <w:r w:rsidRPr="00C929B8">
        <w:rPr>
          <w:rFonts w:ascii="Times New Roman" w:eastAsia="Times New Roman" w:hAnsi="Times New Roman" w:cs="Times New Roman"/>
          <w:sz w:val="24"/>
          <w:szCs w:val="24"/>
          <w:lang w:eastAsia="pt-BR"/>
        </w:rPr>
        <w:t xml:space="preserve"> pelo Instituto Brasileiro de Geografia e Estatística (IBGE)</w:t>
      </w:r>
      <w:r w:rsidR="004C4B26">
        <w:rPr>
          <w:rFonts w:ascii="Times New Roman" w:eastAsia="Times New Roman" w:hAnsi="Times New Roman" w:cs="Times New Roman"/>
          <w:sz w:val="24"/>
          <w:szCs w:val="24"/>
          <w:lang w:eastAsia="pt-BR"/>
        </w:rPr>
        <w:t>,</w:t>
      </w:r>
      <w:r w:rsidRPr="00C929B8">
        <w:rPr>
          <w:rFonts w:ascii="Times New Roman" w:eastAsia="Times New Roman" w:hAnsi="Times New Roman" w:cs="Times New Roman"/>
          <w:sz w:val="24"/>
          <w:szCs w:val="24"/>
          <w:lang w:eastAsia="pt-BR"/>
        </w:rPr>
        <w:t xml:space="preserve"> desde 2012. A PNAD Contínua tem como objetivo monitorar as variações e o desenvolvimento da força de trabalho</w:t>
      </w:r>
      <w:r w:rsidR="007C6B78">
        <w:rPr>
          <w:rFonts w:ascii="Times New Roman" w:eastAsia="Times New Roman" w:hAnsi="Times New Roman" w:cs="Times New Roman"/>
          <w:sz w:val="24"/>
          <w:szCs w:val="24"/>
          <w:lang w:eastAsia="pt-BR"/>
        </w:rPr>
        <w:t>,</w:t>
      </w:r>
      <w:r w:rsidRPr="00C929B8">
        <w:rPr>
          <w:rFonts w:ascii="Times New Roman" w:eastAsia="Times New Roman" w:hAnsi="Times New Roman" w:cs="Times New Roman"/>
          <w:sz w:val="24"/>
          <w:szCs w:val="24"/>
          <w:lang w:eastAsia="pt-BR"/>
        </w:rPr>
        <w:t xml:space="preserve"> a curto, médio e longo prazo, além de coletar outras informações relevantes para o estudo do progresso socioeconômico do país (IBGE, 201</w:t>
      </w:r>
      <w:r w:rsidR="003A01F5">
        <w:rPr>
          <w:rFonts w:ascii="Times New Roman" w:eastAsia="Times New Roman" w:hAnsi="Times New Roman" w:cs="Times New Roman"/>
          <w:sz w:val="24"/>
          <w:szCs w:val="24"/>
          <w:lang w:eastAsia="pt-BR"/>
        </w:rPr>
        <w:t>4</w:t>
      </w:r>
      <w:r w:rsidRPr="00C929B8">
        <w:rPr>
          <w:rFonts w:ascii="Times New Roman" w:eastAsia="Times New Roman" w:hAnsi="Times New Roman" w:cs="Times New Roman"/>
          <w:sz w:val="24"/>
          <w:szCs w:val="24"/>
          <w:lang w:eastAsia="pt-BR"/>
        </w:rPr>
        <w:t xml:space="preserve">). </w:t>
      </w:r>
    </w:p>
    <w:p w14:paraId="4AFCA0E3" w14:textId="3602BFEB" w:rsidR="003A01F5" w:rsidRDefault="003A01F5">
      <w:pPr>
        <w:rPr>
          <w:rFonts w:ascii="Times New Roman" w:eastAsia="Times New Roman" w:hAnsi="Times New Roman" w:cs="Times New Roman"/>
          <w:sz w:val="24"/>
          <w:szCs w:val="24"/>
          <w:lang w:eastAsia="pt-BR"/>
        </w:rPr>
      </w:pPr>
      <w:r w:rsidRPr="003A01F5">
        <w:rPr>
          <w:rFonts w:ascii="Times New Roman" w:eastAsia="Times New Roman" w:hAnsi="Times New Roman" w:cs="Times New Roman"/>
          <w:sz w:val="24"/>
          <w:szCs w:val="24"/>
          <w:lang w:eastAsia="pt-BR"/>
        </w:rPr>
        <w:t>A amostra utilizada abrange os anos de 2012 a 20</w:t>
      </w:r>
      <w:r>
        <w:rPr>
          <w:rFonts w:ascii="Times New Roman" w:eastAsia="Times New Roman" w:hAnsi="Times New Roman" w:cs="Times New Roman"/>
          <w:sz w:val="24"/>
          <w:szCs w:val="24"/>
          <w:lang w:eastAsia="pt-BR"/>
        </w:rPr>
        <w:t>2</w:t>
      </w:r>
      <w:r w:rsidR="003C366A">
        <w:rPr>
          <w:rFonts w:ascii="Times New Roman" w:eastAsia="Times New Roman" w:hAnsi="Times New Roman" w:cs="Times New Roman"/>
          <w:sz w:val="24"/>
          <w:szCs w:val="24"/>
          <w:lang w:eastAsia="pt-BR"/>
        </w:rPr>
        <w:t>2</w:t>
      </w:r>
      <w:r w:rsidRPr="003A01F5">
        <w:rPr>
          <w:rFonts w:ascii="Times New Roman" w:eastAsia="Times New Roman" w:hAnsi="Times New Roman" w:cs="Times New Roman"/>
          <w:sz w:val="24"/>
          <w:szCs w:val="24"/>
          <w:lang w:eastAsia="pt-BR"/>
        </w:rPr>
        <w:t xml:space="preserve"> </w:t>
      </w:r>
      <w:r w:rsidR="007C6B78">
        <w:rPr>
          <w:rFonts w:ascii="Times New Roman" w:eastAsia="Times New Roman" w:hAnsi="Times New Roman" w:cs="Times New Roman"/>
          <w:sz w:val="24"/>
          <w:szCs w:val="24"/>
          <w:lang w:eastAsia="pt-BR"/>
        </w:rPr>
        <w:t xml:space="preserve">com o </w:t>
      </w:r>
      <w:r w:rsidRPr="003A01F5">
        <w:rPr>
          <w:rFonts w:ascii="Times New Roman" w:eastAsia="Times New Roman" w:hAnsi="Times New Roman" w:cs="Times New Roman"/>
          <w:sz w:val="24"/>
          <w:szCs w:val="24"/>
          <w:lang w:eastAsia="pt-BR"/>
        </w:rPr>
        <w:t xml:space="preserve">objetivo </w:t>
      </w:r>
      <w:r w:rsidR="007C6B78">
        <w:rPr>
          <w:rFonts w:ascii="Times New Roman" w:eastAsia="Times New Roman" w:hAnsi="Times New Roman" w:cs="Times New Roman"/>
          <w:sz w:val="24"/>
          <w:szCs w:val="24"/>
          <w:lang w:eastAsia="pt-BR"/>
        </w:rPr>
        <w:t xml:space="preserve">de </w:t>
      </w:r>
      <w:r w:rsidRPr="003A01F5">
        <w:rPr>
          <w:rFonts w:ascii="Times New Roman" w:eastAsia="Times New Roman" w:hAnsi="Times New Roman" w:cs="Times New Roman"/>
          <w:sz w:val="24"/>
          <w:szCs w:val="24"/>
          <w:lang w:eastAsia="pt-BR"/>
        </w:rPr>
        <w:t>mostrar as mudanças</w:t>
      </w:r>
      <w:r w:rsidR="0015692F">
        <w:rPr>
          <w:rFonts w:ascii="Times New Roman" w:eastAsia="Times New Roman" w:hAnsi="Times New Roman" w:cs="Times New Roman"/>
          <w:sz w:val="24"/>
          <w:szCs w:val="24"/>
          <w:lang w:eastAsia="pt-BR"/>
        </w:rPr>
        <w:t>,</w:t>
      </w:r>
      <w:r w:rsidRPr="003A01F5">
        <w:rPr>
          <w:rFonts w:ascii="Times New Roman" w:eastAsia="Times New Roman" w:hAnsi="Times New Roman" w:cs="Times New Roman"/>
          <w:sz w:val="24"/>
          <w:szCs w:val="24"/>
          <w:lang w:eastAsia="pt-BR"/>
        </w:rPr>
        <w:t xml:space="preserve"> ao longo desse período, com destaque </w:t>
      </w:r>
      <w:r w:rsidR="007C6B78">
        <w:rPr>
          <w:rFonts w:ascii="Times New Roman" w:eastAsia="Times New Roman" w:hAnsi="Times New Roman" w:cs="Times New Roman"/>
          <w:sz w:val="24"/>
          <w:szCs w:val="24"/>
          <w:lang w:eastAsia="pt-BR"/>
        </w:rPr>
        <w:t>a</w:t>
      </w:r>
      <w:r w:rsidR="007C6B78" w:rsidRPr="003A01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dois</w:t>
      </w:r>
      <w:r w:rsidRPr="003A01F5">
        <w:rPr>
          <w:rFonts w:ascii="Times New Roman" w:eastAsia="Times New Roman" w:hAnsi="Times New Roman" w:cs="Times New Roman"/>
          <w:sz w:val="24"/>
          <w:szCs w:val="24"/>
          <w:lang w:eastAsia="pt-BR"/>
        </w:rPr>
        <w:t xml:space="preserve"> ponto</w:t>
      </w:r>
      <w:r>
        <w:rPr>
          <w:rFonts w:ascii="Times New Roman" w:eastAsia="Times New Roman" w:hAnsi="Times New Roman" w:cs="Times New Roman"/>
          <w:sz w:val="24"/>
          <w:szCs w:val="24"/>
          <w:lang w:eastAsia="pt-BR"/>
        </w:rPr>
        <w:t>s</w:t>
      </w:r>
      <w:r w:rsidRPr="003A01F5">
        <w:rPr>
          <w:rFonts w:ascii="Times New Roman" w:eastAsia="Times New Roman" w:hAnsi="Times New Roman" w:cs="Times New Roman"/>
          <w:sz w:val="24"/>
          <w:szCs w:val="24"/>
          <w:lang w:eastAsia="pt-BR"/>
        </w:rPr>
        <w:t xml:space="preserve"> de inflexão</w:t>
      </w:r>
      <w:r w:rsidR="007C6B78">
        <w:rPr>
          <w:rFonts w:ascii="Times New Roman" w:eastAsia="Times New Roman" w:hAnsi="Times New Roman" w:cs="Times New Roman"/>
          <w:sz w:val="24"/>
          <w:szCs w:val="24"/>
          <w:lang w:eastAsia="pt-BR"/>
        </w:rPr>
        <w:t xml:space="preserve"> conjuntural nacional</w:t>
      </w:r>
      <w:r>
        <w:rPr>
          <w:rFonts w:ascii="Times New Roman" w:eastAsia="Times New Roman" w:hAnsi="Times New Roman" w:cs="Times New Roman"/>
          <w:sz w:val="24"/>
          <w:szCs w:val="24"/>
          <w:lang w:eastAsia="pt-BR"/>
        </w:rPr>
        <w:t xml:space="preserve">: o </w:t>
      </w:r>
      <w:r w:rsidR="00DD27DD">
        <w:rPr>
          <w:rFonts w:ascii="Times New Roman" w:eastAsia="Times New Roman" w:hAnsi="Times New Roman" w:cs="Times New Roman"/>
          <w:sz w:val="24"/>
          <w:szCs w:val="24"/>
          <w:lang w:eastAsia="pt-BR"/>
        </w:rPr>
        <w:t xml:space="preserve">triênio </w:t>
      </w:r>
      <w:r>
        <w:rPr>
          <w:rFonts w:ascii="Times New Roman" w:eastAsia="Times New Roman" w:hAnsi="Times New Roman" w:cs="Times New Roman"/>
          <w:sz w:val="24"/>
          <w:szCs w:val="24"/>
          <w:lang w:eastAsia="pt-BR"/>
        </w:rPr>
        <w:t>de</w:t>
      </w:r>
      <w:r w:rsidRPr="003A01F5">
        <w:rPr>
          <w:rFonts w:ascii="Times New Roman" w:eastAsia="Times New Roman" w:hAnsi="Times New Roman" w:cs="Times New Roman"/>
          <w:sz w:val="24"/>
          <w:szCs w:val="24"/>
          <w:lang w:eastAsia="pt-BR"/>
        </w:rPr>
        <w:t xml:space="preserve"> 2015</w:t>
      </w:r>
      <w:r>
        <w:rPr>
          <w:rFonts w:ascii="Times New Roman" w:eastAsia="Times New Roman" w:hAnsi="Times New Roman" w:cs="Times New Roman"/>
          <w:sz w:val="24"/>
          <w:szCs w:val="24"/>
          <w:lang w:eastAsia="pt-BR"/>
        </w:rPr>
        <w:t xml:space="preserve"> a 2017</w:t>
      </w:r>
      <w:r w:rsidR="007C6B78">
        <w:rPr>
          <w:rFonts w:ascii="Times New Roman" w:eastAsia="Times New Roman" w:hAnsi="Times New Roman" w:cs="Times New Roman"/>
          <w:sz w:val="24"/>
          <w:szCs w:val="24"/>
          <w:lang w:eastAsia="pt-BR"/>
        </w:rPr>
        <w:t xml:space="preserve"> (crise nacional econômica)</w:t>
      </w:r>
      <w:r>
        <w:rPr>
          <w:rFonts w:ascii="Times New Roman" w:eastAsia="Times New Roman" w:hAnsi="Times New Roman" w:cs="Times New Roman"/>
          <w:sz w:val="24"/>
          <w:szCs w:val="24"/>
          <w:lang w:eastAsia="pt-BR"/>
        </w:rPr>
        <w:t xml:space="preserve"> e o </w:t>
      </w:r>
      <w:r w:rsidR="00DD27DD">
        <w:rPr>
          <w:rFonts w:ascii="Times New Roman" w:eastAsia="Times New Roman" w:hAnsi="Times New Roman" w:cs="Times New Roman"/>
          <w:sz w:val="24"/>
          <w:szCs w:val="24"/>
          <w:lang w:eastAsia="pt-BR"/>
        </w:rPr>
        <w:t xml:space="preserve">triênio </w:t>
      </w:r>
      <w:r>
        <w:rPr>
          <w:rFonts w:ascii="Times New Roman" w:eastAsia="Times New Roman" w:hAnsi="Times New Roman" w:cs="Times New Roman"/>
          <w:sz w:val="24"/>
          <w:szCs w:val="24"/>
          <w:lang w:eastAsia="pt-BR"/>
        </w:rPr>
        <w:t>de 2020 a 202</w:t>
      </w:r>
      <w:r w:rsidR="00DD27DD">
        <w:rPr>
          <w:rFonts w:ascii="Times New Roman" w:eastAsia="Times New Roman" w:hAnsi="Times New Roman" w:cs="Times New Roman"/>
          <w:sz w:val="24"/>
          <w:szCs w:val="24"/>
          <w:lang w:eastAsia="pt-BR"/>
        </w:rPr>
        <w:t>2</w:t>
      </w:r>
      <w:r w:rsidR="007C6B78">
        <w:rPr>
          <w:rFonts w:ascii="Times New Roman" w:eastAsia="Times New Roman" w:hAnsi="Times New Roman" w:cs="Times New Roman"/>
          <w:sz w:val="24"/>
          <w:szCs w:val="24"/>
          <w:lang w:eastAsia="pt-BR"/>
        </w:rPr>
        <w:t xml:space="preserve"> (pandemia Covid-19)</w:t>
      </w:r>
      <w:r w:rsidRPr="003A01F5">
        <w:rPr>
          <w:rFonts w:ascii="Times New Roman" w:eastAsia="Times New Roman" w:hAnsi="Times New Roman" w:cs="Times New Roman"/>
          <w:sz w:val="24"/>
          <w:szCs w:val="24"/>
          <w:lang w:eastAsia="pt-BR"/>
        </w:rPr>
        <w:t xml:space="preserve">. A pesquisa restringe-se aos residentes do Brasil em áreas urbanas e rurais, </w:t>
      </w:r>
      <w:r>
        <w:rPr>
          <w:rFonts w:ascii="Times New Roman" w:eastAsia="Times New Roman" w:hAnsi="Times New Roman" w:cs="Times New Roman"/>
          <w:sz w:val="24"/>
          <w:szCs w:val="24"/>
          <w:lang w:eastAsia="pt-BR"/>
        </w:rPr>
        <w:t>com a inclusão das</w:t>
      </w:r>
      <w:r w:rsidRPr="003A01F5">
        <w:rPr>
          <w:rFonts w:ascii="Times New Roman" w:eastAsia="Times New Roman" w:hAnsi="Times New Roman" w:cs="Times New Roman"/>
          <w:sz w:val="24"/>
          <w:szCs w:val="24"/>
          <w:lang w:eastAsia="pt-BR"/>
        </w:rPr>
        <w:t xml:space="preserve"> Regiões Metropolitanas (</w:t>
      </w:r>
      <w:proofErr w:type="spellStart"/>
      <w:r w:rsidRPr="003A01F5">
        <w:rPr>
          <w:rFonts w:ascii="Times New Roman" w:eastAsia="Times New Roman" w:hAnsi="Times New Roman" w:cs="Times New Roman"/>
          <w:sz w:val="24"/>
          <w:szCs w:val="24"/>
          <w:lang w:eastAsia="pt-BR"/>
        </w:rPr>
        <w:t>RMs</w:t>
      </w:r>
      <w:proofErr w:type="spellEnd"/>
      <w:r w:rsidRPr="003A01F5">
        <w:rPr>
          <w:rFonts w:ascii="Times New Roman" w:eastAsia="Times New Roman" w:hAnsi="Times New Roman" w:cs="Times New Roman"/>
          <w:sz w:val="24"/>
          <w:szCs w:val="24"/>
          <w:lang w:eastAsia="pt-BR"/>
        </w:rPr>
        <w:t>) e Não Metropolitanas (</w:t>
      </w:r>
      <w:proofErr w:type="spellStart"/>
      <w:r w:rsidRPr="003A01F5">
        <w:rPr>
          <w:rFonts w:ascii="Times New Roman" w:eastAsia="Times New Roman" w:hAnsi="Times New Roman" w:cs="Times New Roman"/>
          <w:sz w:val="24"/>
          <w:szCs w:val="24"/>
          <w:lang w:eastAsia="pt-BR"/>
        </w:rPr>
        <w:t>RNMs</w:t>
      </w:r>
      <w:proofErr w:type="spellEnd"/>
      <w:r w:rsidRPr="003A01F5">
        <w:rPr>
          <w:rFonts w:ascii="Times New Roman" w:eastAsia="Times New Roman" w:hAnsi="Times New Roman" w:cs="Times New Roman"/>
          <w:sz w:val="24"/>
          <w:szCs w:val="24"/>
          <w:lang w:eastAsia="pt-BR"/>
        </w:rPr>
        <w:t xml:space="preserve">). Além disso, os dados são ponderados de acordo com a representatividade de cada observação. </w:t>
      </w:r>
      <w:r>
        <w:rPr>
          <w:rFonts w:ascii="Times New Roman" w:eastAsia="Times New Roman" w:hAnsi="Times New Roman" w:cs="Times New Roman"/>
          <w:sz w:val="24"/>
          <w:szCs w:val="24"/>
          <w:lang w:eastAsia="pt-BR"/>
        </w:rPr>
        <w:t>Como ferramenta de análise</w:t>
      </w:r>
      <w:r w:rsidRPr="003A01F5">
        <w:rPr>
          <w:rFonts w:ascii="Times New Roman" w:eastAsia="Times New Roman" w:hAnsi="Times New Roman" w:cs="Times New Roman"/>
          <w:sz w:val="24"/>
          <w:szCs w:val="24"/>
          <w:lang w:eastAsia="pt-BR"/>
        </w:rPr>
        <w:t xml:space="preserve">, utilizou-se o software estatístico </w:t>
      </w:r>
      <w:proofErr w:type="spellStart"/>
      <w:r w:rsidRPr="003A01F5">
        <w:rPr>
          <w:rFonts w:ascii="Times New Roman" w:eastAsia="Times New Roman" w:hAnsi="Times New Roman" w:cs="Times New Roman"/>
          <w:sz w:val="24"/>
          <w:szCs w:val="24"/>
          <w:lang w:eastAsia="pt-BR"/>
        </w:rPr>
        <w:t>Stata</w:t>
      </w:r>
      <w:proofErr w:type="spellEnd"/>
      <w:r>
        <w:rPr>
          <w:rFonts w:ascii="Times New Roman" w:eastAsia="Times New Roman" w:hAnsi="Times New Roman" w:cs="Times New Roman"/>
          <w:sz w:val="24"/>
          <w:szCs w:val="24"/>
          <w:lang w:eastAsia="pt-BR"/>
        </w:rPr>
        <w:t xml:space="preserve">, o qual </w:t>
      </w:r>
      <w:r w:rsidRPr="003A01F5">
        <w:rPr>
          <w:rFonts w:ascii="Times New Roman" w:eastAsia="Times New Roman" w:hAnsi="Times New Roman" w:cs="Times New Roman"/>
          <w:sz w:val="24"/>
          <w:szCs w:val="24"/>
          <w:lang w:eastAsia="pt-BR"/>
        </w:rPr>
        <w:t>fornece</w:t>
      </w:r>
      <w:r>
        <w:rPr>
          <w:rFonts w:ascii="Times New Roman" w:eastAsia="Times New Roman" w:hAnsi="Times New Roman" w:cs="Times New Roman"/>
          <w:sz w:val="24"/>
          <w:szCs w:val="24"/>
          <w:lang w:eastAsia="pt-BR"/>
        </w:rPr>
        <w:t>u</w:t>
      </w:r>
      <w:r w:rsidRPr="003A01F5">
        <w:rPr>
          <w:rFonts w:ascii="Times New Roman" w:eastAsia="Times New Roman" w:hAnsi="Times New Roman" w:cs="Times New Roman"/>
          <w:sz w:val="24"/>
          <w:szCs w:val="24"/>
          <w:lang w:eastAsia="pt-BR"/>
        </w:rPr>
        <w:t xml:space="preserve"> as informações necessárias para decompor a taxa de desemprego, conforme apresentado na seção de resultados. </w:t>
      </w:r>
      <w:r w:rsidR="00402BAB">
        <w:rPr>
          <w:rFonts w:ascii="Times New Roman" w:eastAsia="Times New Roman" w:hAnsi="Times New Roman" w:cs="Times New Roman"/>
          <w:sz w:val="24"/>
          <w:szCs w:val="24"/>
          <w:lang w:eastAsia="pt-BR"/>
        </w:rPr>
        <w:t>Em sequência, o</w:t>
      </w:r>
      <w:r w:rsidRPr="003A01F5">
        <w:rPr>
          <w:rFonts w:ascii="Times New Roman" w:eastAsia="Times New Roman" w:hAnsi="Times New Roman" w:cs="Times New Roman"/>
          <w:sz w:val="24"/>
          <w:szCs w:val="24"/>
          <w:lang w:eastAsia="pt-BR"/>
        </w:rPr>
        <w:t xml:space="preserve"> Quadro </w:t>
      </w:r>
      <w:r w:rsidR="00B96CE8">
        <w:rPr>
          <w:rFonts w:ascii="Times New Roman" w:eastAsia="Times New Roman" w:hAnsi="Times New Roman" w:cs="Times New Roman"/>
          <w:sz w:val="24"/>
          <w:szCs w:val="24"/>
          <w:lang w:eastAsia="pt-BR"/>
        </w:rPr>
        <w:t>1</w:t>
      </w:r>
      <w:r w:rsidRPr="003A01F5">
        <w:rPr>
          <w:rFonts w:ascii="Times New Roman" w:eastAsia="Times New Roman" w:hAnsi="Times New Roman" w:cs="Times New Roman"/>
          <w:sz w:val="24"/>
          <w:szCs w:val="24"/>
          <w:lang w:eastAsia="pt-BR"/>
        </w:rPr>
        <w:t xml:space="preserve"> apresenta os </w:t>
      </w:r>
      <w:r w:rsidR="007F3B2A">
        <w:rPr>
          <w:rFonts w:ascii="Times New Roman" w:eastAsia="Times New Roman" w:hAnsi="Times New Roman" w:cs="Times New Roman"/>
          <w:sz w:val="24"/>
          <w:szCs w:val="24"/>
          <w:lang w:eastAsia="pt-BR"/>
        </w:rPr>
        <w:t>re</w:t>
      </w:r>
      <w:r w:rsidRPr="003A01F5">
        <w:rPr>
          <w:rFonts w:ascii="Times New Roman" w:eastAsia="Times New Roman" w:hAnsi="Times New Roman" w:cs="Times New Roman"/>
          <w:sz w:val="24"/>
          <w:szCs w:val="24"/>
          <w:lang w:eastAsia="pt-BR"/>
        </w:rPr>
        <w:t>cortes da amostra selecionados para este estudo</w:t>
      </w:r>
      <w:r w:rsidR="00402BAB">
        <w:rPr>
          <w:rFonts w:ascii="Times New Roman" w:eastAsia="Times New Roman" w:hAnsi="Times New Roman" w:cs="Times New Roman"/>
          <w:sz w:val="24"/>
          <w:szCs w:val="24"/>
          <w:lang w:eastAsia="pt-BR"/>
        </w:rPr>
        <w:t>, com base na PNAD Contínua.</w:t>
      </w:r>
    </w:p>
    <w:p w14:paraId="17759A2A" w14:textId="451406F7" w:rsidR="00C71F03" w:rsidRDefault="00C71F03">
      <w:pPr>
        <w:ind w:firstLine="0"/>
        <w:rPr>
          <w:rFonts w:ascii="Times New Roman" w:eastAsia="Times New Roman" w:hAnsi="Times New Roman" w:cs="Times New Roman"/>
          <w:sz w:val="24"/>
          <w:szCs w:val="24"/>
          <w:lang w:eastAsia="pt-BR"/>
        </w:rPr>
      </w:pPr>
      <w:r w:rsidRPr="00C71F03">
        <w:rPr>
          <w:rFonts w:ascii="Times New Roman" w:eastAsia="Times New Roman" w:hAnsi="Times New Roman" w:cs="Times New Roman"/>
          <w:sz w:val="24"/>
          <w:szCs w:val="24"/>
          <w:lang w:eastAsia="pt-BR"/>
        </w:rPr>
        <w:t xml:space="preserve">Quadro </w:t>
      </w:r>
      <w:r w:rsidR="00542068">
        <w:rPr>
          <w:rFonts w:ascii="Times New Roman" w:eastAsia="Times New Roman" w:hAnsi="Times New Roman" w:cs="Times New Roman"/>
          <w:sz w:val="24"/>
          <w:szCs w:val="24"/>
          <w:lang w:eastAsia="pt-BR"/>
        </w:rPr>
        <w:t>1</w:t>
      </w:r>
      <w:r w:rsidRPr="00C71F03">
        <w:rPr>
          <w:rFonts w:ascii="Times New Roman" w:eastAsia="Times New Roman" w:hAnsi="Times New Roman" w:cs="Times New Roman"/>
          <w:sz w:val="24"/>
          <w:szCs w:val="24"/>
          <w:lang w:eastAsia="pt-BR"/>
        </w:rPr>
        <w:t xml:space="preserve"> – </w:t>
      </w:r>
      <w:r w:rsidR="00156B1F">
        <w:rPr>
          <w:rFonts w:ascii="Times New Roman" w:eastAsia="Times New Roman" w:hAnsi="Times New Roman" w:cs="Times New Roman"/>
          <w:sz w:val="24"/>
          <w:szCs w:val="24"/>
          <w:lang w:eastAsia="pt-BR"/>
        </w:rPr>
        <w:t>Variáveis categóricas</w:t>
      </w:r>
      <w:r w:rsidR="00156B1F" w:rsidRPr="00C71F03">
        <w:rPr>
          <w:rFonts w:ascii="Times New Roman" w:eastAsia="Times New Roman" w:hAnsi="Times New Roman" w:cs="Times New Roman"/>
          <w:sz w:val="24"/>
          <w:szCs w:val="24"/>
          <w:lang w:eastAsia="pt-BR"/>
        </w:rPr>
        <w:t xml:space="preserve"> </w:t>
      </w:r>
      <w:r w:rsidRPr="00C71F03">
        <w:rPr>
          <w:rFonts w:ascii="Times New Roman" w:eastAsia="Times New Roman" w:hAnsi="Times New Roman" w:cs="Times New Roman"/>
          <w:sz w:val="24"/>
          <w:szCs w:val="24"/>
          <w:lang w:eastAsia="pt-BR"/>
        </w:rPr>
        <w:t>selecionad</w:t>
      </w:r>
      <w:r w:rsidR="00156B1F">
        <w:rPr>
          <w:rFonts w:ascii="Times New Roman" w:eastAsia="Times New Roman" w:hAnsi="Times New Roman" w:cs="Times New Roman"/>
          <w:sz w:val="24"/>
          <w:szCs w:val="24"/>
          <w:lang w:eastAsia="pt-BR"/>
        </w:rPr>
        <w:t>a</w:t>
      </w:r>
      <w:r w:rsidRPr="00C71F03">
        <w:rPr>
          <w:rFonts w:ascii="Times New Roman" w:eastAsia="Times New Roman" w:hAnsi="Times New Roman" w:cs="Times New Roman"/>
          <w:sz w:val="24"/>
          <w:szCs w:val="24"/>
          <w:lang w:eastAsia="pt-BR"/>
        </w:rPr>
        <w:t xml:space="preserve">s </w:t>
      </w:r>
      <w:r w:rsidR="00156B1F">
        <w:rPr>
          <w:rFonts w:ascii="Times New Roman" w:eastAsia="Times New Roman" w:hAnsi="Times New Roman" w:cs="Times New Roman"/>
          <w:sz w:val="24"/>
          <w:szCs w:val="24"/>
          <w:lang w:eastAsia="pt-BR"/>
        </w:rPr>
        <w:t>para construção da</w:t>
      </w:r>
      <w:r w:rsidRPr="00C71F03">
        <w:rPr>
          <w:rFonts w:ascii="Times New Roman" w:eastAsia="Times New Roman" w:hAnsi="Times New Roman" w:cs="Times New Roman"/>
          <w:sz w:val="24"/>
          <w:szCs w:val="24"/>
          <w:lang w:eastAsia="pt-BR"/>
        </w:rPr>
        <w:t xml:space="preserve"> amostra</w:t>
      </w:r>
    </w:p>
    <w:tbl>
      <w:tblPr>
        <w:tblStyle w:val="Tabelacomgrade"/>
        <w:tblpPr w:leftFromText="141" w:rightFromText="141" w:vertAnchor="text" w:tblpXSpec="center" w:tblpY="1"/>
        <w:tblOverlap w:val="never"/>
        <w:tblW w:w="5000" w:type="pct"/>
        <w:tblLook w:val="04A0" w:firstRow="1" w:lastRow="0" w:firstColumn="1" w:lastColumn="0" w:noHBand="0" w:noVBand="1"/>
      </w:tblPr>
      <w:tblGrid>
        <w:gridCol w:w="991"/>
        <w:gridCol w:w="848"/>
        <w:gridCol w:w="2040"/>
        <w:gridCol w:w="1539"/>
        <w:gridCol w:w="1539"/>
        <w:gridCol w:w="1537"/>
      </w:tblGrid>
      <w:tr w:rsidR="00FC15B9" w:rsidRPr="00FC15B9" w14:paraId="068363EA" w14:textId="77777777" w:rsidTr="00BE4754">
        <w:trPr>
          <w:trHeight w:val="557"/>
        </w:trPr>
        <w:tc>
          <w:tcPr>
            <w:tcW w:w="583" w:type="pct"/>
            <w:vAlign w:val="center"/>
          </w:tcPr>
          <w:p w14:paraId="548BDF9A" w14:textId="0C6B36DB" w:rsidR="00402BAB" w:rsidRPr="00FC15B9" w:rsidRDefault="00156B1F"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Gênero</w:t>
            </w:r>
          </w:p>
        </w:tc>
        <w:tc>
          <w:tcPr>
            <w:tcW w:w="499" w:type="pct"/>
            <w:vAlign w:val="center"/>
          </w:tcPr>
          <w:p w14:paraId="150DF030" w14:textId="29746899" w:rsidR="00402BAB" w:rsidRPr="00FC15B9" w:rsidRDefault="00402BAB"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Raça</w:t>
            </w:r>
          </w:p>
        </w:tc>
        <w:tc>
          <w:tcPr>
            <w:tcW w:w="1201" w:type="pct"/>
            <w:vAlign w:val="center"/>
          </w:tcPr>
          <w:p w14:paraId="52C421BA" w14:textId="7786BCCC" w:rsidR="00402BAB" w:rsidRPr="00FC15B9" w:rsidRDefault="00402BAB"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Nível de Instrução</w:t>
            </w:r>
          </w:p>
        </w:tc>
        <w:tc>
          <w:tcPr>
            <w:tcW w:w="906" w:type="pct"/>
            <w:vAlign w:val="center"/>
          </w:tcPr>
          <w:p w14:paraId="494EB091" w14:textId="69715937" w:rsidR="00402BAB" w:rsidRPr="00FC15B9" w:rsidRDefault="002410D6"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Faixa Etária</w:t>
            </w:r>
          </w:p>
        </w:tc>
        <w:tc>
          <w:tcPr>
            <w:tcW w:w="906" w:type="pct"/>
            <w:vAlign w:val="center"/>
          </w:tcPr>
          <w:p w14:paraId="6AD875E7" w14:textId="76B7F134" w:rsidR="00402BAB" w:rsidRPr="00FC15B9" w:rsidRDefault="002410D6"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Área</w:t>
            </w:r>
            <w:r w:rsidR="00156B1F" w:rsidRPr="00FC15B9">
              <w:rPr>
                <w:rFonts w:ascii="Times New Roman" w:eastAsia="Times New Roman" w:hAnsi="Times New Roman" w:cs="Times New Roman"/>
                <w:b/>
                <w:bCs/>
                <w:lang w:eastAsia="pt-BR"/>
              </w:rPr>
              <w:t xml:space="preserve"> de </w:t>
            </w:r>
            <w:r w:rsidR="00FC15B9" w:rsidRPr="00FC15B9">
              <w:rPr>
                <w:rFonts w:ascii="Times New Roman" w:eastAsia="Times New Roman" w:hAnsi="Times New Roman" w:cs="Times New Roman"/>
                <w:b/>
                <w:bCs/>
                <w:lang w:eastAsia="pt-BR"/>
              </w:rPr>
              <w:t>R</w:t>
            </w:r>
            <w:r w:rsidR="00156B1F" w:rsidRPr="00FC15B9">
              <w:rPr>
                <w:rFonts w:ascii="Times New Roman" w:eastAsia="Times New Roman" w:hAnsi="Times New Roman" w:cs="Times New Roman"/>
                <w:b/>
                <w:bCs/>
                <w:lang w:eastAsia="pt-BR"/>
              </w:rPr>
              <w:t>esidência</w:t>
            </w:r>
          </w:p>
        </w:tc>
        <w:tc>
          <w:tcPr>
            <w:tcW w:w="905" w:type="pct"/>
            <w:vAlign w:val="center"/>
          </w:tcPr>
          <w:p w14:paraId="0D3006D9" w14:textId="1296DA9E" w:rsidR="00402BAB" w:rsidRPr="00FC15B9" w:rsidRDefault="002410D6" w:rsidP="00BE4754">
            <w:pPr>
              <w:spacing w:line="360" w:lineRule="auto"/>
              <w:ind w:firstLine="0"/>
              <w:jc w:val="center"/>
              <w:rPr>
                <w:rFonts w:ascii="Times New Roman" w:eastAsia="Times New Roman" w:hAnsi="Times New Roman" w:cs="Times New Roman"/>
                <w:b/>
                <w:bCs/>
                <w:lang w:eastAsia="pt-BR"/>
              </w:rPr>
            </w:pPr>
            <w:r w:rsidRPr="00FC15B9">
              <w:rPr>
                <w:rFonts w:ascii="Times New Roman" w:eastAsia="Times New Roman" w:hAnsi="Times New Roman" w:cs="Times New Roman"/>
                <w:b/>
                <w:bCs/>
                <w:lang w:eastAsia="pt-BR"/>
              </w:rPr>
              <w:t>Região</w:t>
            </w:r>
            <w:r w:rsidR="00156B1F" w:rsidRPr="00FC15B9">
              <w:rPr>
                <w:rFonts w:ascii="Times New Roman" w:eastAsia="Times New Roman" w:hAnsi="Times New Roman" w:cs="Times New Roman"/>
                <w:b/>
                <w:bCs/>
                <w:lang w:eastAsia="pt-BR"/>
              </w:rPr>
              <w:t xml:space="preserve"> de </w:t>
            </w:r>
            <w:r w:rsidR="00FC15B9" w:rsidRPr="00FC15B9">
              <w:rPr>
                <w:rFonts w:ascii="Times New Roman" w:eastAsia="Times New Roman" w:hAnsi="Times New Roman" w:cs="Times New Roman"/>
                <w:b/>
                <w:bCs/>
                <w:lang w:eastAsia="pt-BR"/>
              </w:rPr>
              <w:t>O</w:t>
            </w:r>
            <w:r w:rsidR="00857660" w:rsidRPr="00FC15B9">
              <w:rPr>
                <w:rFonts w:ascii="Times New Roman" w:eastAsia="Times New Roman" w:hAnsi="Times New Roman" w:cs="Times New Roman"/>
                <w:b/>
                <w:bCs/>
                <w:lang w:eastAsia="pt-BR"/>
              </w:rPr>
              <w:t>cupação</w:t>
            </w:r>
          </w:p>
        </w:tc>
      </w:tr>
      <w:tr w:rsidR="00FC15B9" w:rsidRPr="00FC15B9" w14:paraId="62752CB7" w14:textId="77777777" w:rsidTr="00FC15B9">
        <w:tc>
          <w:tcPr>
            <w:tcW w:w="583" w:type="pct"/>
            <w:vAlign w:val="center"/>
          </w:tcPr>
          <w:p w14:paraId="799CBA82" w14:textId="1F493D46" w:rsidR="00402BAB" w:rsidRPr="00FC15B9" w:rsidRDefault="00402BAB"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Homem</w:t>
            </w:r>
          </w:p>
        </w:tc>
        <w:tc>
          <w:tcPr>
            <w:tcW w:w="499" w:type="pct"/>
            <w:vAlign w:val="center"/>
          </w:tcPr>
          <w:p w14:paraId="0CABF767" w14:textId="0CD6CE4E" w:rsidR="00402BAB" w:rsidRPr="00FC15B9" w:rsidRDefault="00402BAB"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Branca</w:t>
            </w:r>
          </w:p>
        </w:tc>
        <w:tc>
          <w:tcPr>
            <w:tcW w:w="1201" w:type="pct"/>
            <w:vAlign w:val="center"/>
          </w:tcPr>
          <w:p w14:paraId="3C3EECBB" w14:textId="40E4ED59" w:rsidR="00402BAB"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Menos de 1 ano de estudo</w:t>
            </w:r>
          </w:p>
        </w:tc>
        <w:tc>
          <w:tcPr>
            <w:tcW w:w="906" w:type="pct"/>
            <w:vAlign w:val="center"/>
          </w:tcPr>
          <w:p w14:paraId="550C9241" w14:textId="054DB36C" w:rsidR="00402BAB"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14</w:t>
            </w:r>
            <w:r w:rsidR="00C71F03" w:rsidRPr="00FC15B9">
              <w:rPr>
                <w:rFonts w:ascii="Times New Roman" w:eastAsia="Times New Roman" w:hAnsi="Times New Roman" w:cs="Times New Roman"/>
                <w:lang w:eastAsia="pt-BR"/>
              </w:rPr>
              <w:t xml:space="preserve"> anos de idade ou menos</w:t>
            </w:r>
          </w:p>
        </w:tc>
        <w:tc>
          <w:tcPr>
            <w:tcW w:w="906" w:type="pct"/>
            <w:vAlign w:val="center"/>
          </w:tcPr>
          <w:p w14:paraId="5E53BD06" w14:textId="0272E29C" w:rsidR="00402BAB"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Urbana</w:t>
            </w:r>
          </w:p>
        </w:tc>
        <w:tc>
          <w:tcPr>
            <w:tcW w:w="905" w:type="pct"/>
            <w:vAlign w:val="center"/>
          </w:tcPr>
          <w:p w14:paraId="4D878138" w14:textId="593F2E00" w:rsidR="00402BAB" w:rsidRPr="00FC15B9" w:rsidRDefault="00C71F03"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Metropolitana</w:t>
            </w:r>
          </w:p>
        </w:tc>
      </w:tr>
      <w:tr w:rsidR="00FC15B9" w:rsidRPr="00FC15B9" w14:paraId="4BC2F944" w14:textId="77777777" w:rsidTr="00FC15B9">
        <w:tc>
          <w:tcPr>
            <w:tcW w:w="583" w:type="pct"/>
            <w:vAlign w:val="center"/>
          </w:tcPr>
          <w:p w14:paraId="44414D7C" w14:textId="3020050B"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Mulher</w:t>
            </w:r>
          </w:p>
        </w:tc>
        <w:tc>
          <w:tcPr>
            <w:tcW w:w="499" w:type="pct"/>
            <w:vAlign w:val="center"/>
          </w:tcPr>
          <w:p w14:paraId="18466232" w14:textId="4354F94B" w:rsidR="002410D6" w:rsidRPr="00FC15B9" w:rsidRDefault="00156B1F"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Negra</w:t>
            </w:r>
          </w:p>
        </w:tc>
        <w:tc>
          <w:tcPr>
            <w:tcW w:w="1201" w:type="pct"/>
            <w:vAlign w:val="center"/>
          </w:tcPr>
          <w:p w14:paraId="5F31CAF7" w14:textId="390D8677"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Fundamental incompleto</w:t>
            </w:r>
          </w:p>
        </w:tc>
        <w:tc>
          <w:tcPr>
            <w:tcW w:w="906" w:type="pct"/>
            <w:vAlign w:val="center"/>
          </w:tcPr>
          <w:p w14:paraId="1444456B" w14:textId="1B6EBB6D"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15 a 18 anos</w:t>
            </w:r>
          </w:p>
        </w:tc>
        <w:tc>
          <w:tcPr>
            <w:tcW w:w="906" w:type="pct"/>
            <w:vAlign w:val="center"/>
          </w:tcPr>
          <w:p w14:paraId="1A27CBA0" w14:textId="1ED697D3"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Rural</w:t>
            </w:r>
          </w:p>
        </w:tc>
        <w:tc>
          <w:tcPr>
            <w:tcW w:w="905" w:type="pct"/>
            <w:vAlign w:val="center"/>
          </w:tcPr>
          <w:p w14:paraId="03BB83FB" w14:textId="6FA19F73"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Não Metropolitana</w:t>
            </w:r>
          </w:p>
        </w:tc>
      </w:tr>
      <w:tr w:rsidR="00FC15B9" w:rsidRPr="00FC15B9" w14:paraId="5FDAE621" w14:textId="77777777" w:rsidTr="00FC15B9">
        <w:tc>
          <w:tcPr>
            <w:tcW w:w="583" w:type="pct"/>
            <w:vAlign w:val="center"/>
          </w:tcPr>
          <w:p w14:paraId="11E191AE"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499" w:type="pct"/>
            <w:vAlign w:val="center"/>
          </w:tcPr>
          <w:p w14:paraId="159E69E0"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1201" w:type="pct"/>
            <w:vAlign w:val="center"/>
          </w:tcPr>
          <w:p w14:paraId="7950698C" w14:textId="04D541DB"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Fundamental completo</w:t>
            </w:r>
          </w:p>
        </w:tc>
        <w:tc>
          <w:tcPr>
            <w:tcW w:w="906" w:type="pct"/>
            <w:vAlign w:val="center"/>
          </w:tcPr>
          <w:p w14:paraId="1CEE2263" w14:textId="17A95931"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19 a 24 anos</w:t>
            </w:r>
          </w:p>
        </w:tc>
        <w:tc>
          <w:tcPr>
            <w:tcW w:w="906" w:type="pct"/>
            <w:vAlign w:val="center"/>
          </w:tcPr>
          <w:p w14:paraId="76A9F39F"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905" w:type="pct"/>
            <w:vAlign w:val="center"/>
          </w:tcPr>
          <w:p w14:paraId="70F41BC9"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r>
      <w:tr w:rsidR="00FC15B9" w:rsidRPr="00FC15B9" w14:paraId="61A5AA26" w14:textId="77777777" w:rsidTr="00FC15B9">
        <w:tc>
          <w:tcPr>
            <w:tcW w:w="583" w:type="pct"/>
            <w:vAlign w:val="center"/>
          </w:tcPr>
          <w:p w14:paraId="6BBB606B"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499" w:type="pct"/>
            <w:vAlign w:val="center"/>
          </w:tcPr>
          <w:p w14:paraId="0E6EE04F"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1201" w:type="pct"/>
            <w:vAlign w:val="center"/>
          </w:tcPr>
          <w:p w14:paraId="4E9FFEDB" w14:textId="2FF51498"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Médio incompleto</w:t>
            </w:r>
          </w:p>
        </w:tc>
        <w:tc>
          <w:tcPr>
            <w:tcW w:w="906" w:type="pct"/>
            <w:vAlign w:val="center"/>
          </w:tcPr>
          <w:p w14:paraId="6B00EE53" w14:textId="15D9F9F3"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25 a 39 anos</w:t>
            </w:r>
          </w:p>
        </w:tc>
        <w:tc>
          <w:tcPr>
            <w:tcW w:w="906" w:type="pct"/>
            <w:vAlign w:val="center"/>
          </w:tcPr>
          <w:p w14:paraId="1DC3CD08"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905" w:type="pct"/>
            <w:vAlign w:val="center"/>
          </w:tcPr>
          <w:p w14:paraId="7B9D6E84"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r>
      <w:tr w:rsidR="00FC15B9" w:rsidRPr="00FC15B9" w14:paraId="734EC0A6" w14:textId="77777777" w:rsidTr="00FC15B9">
        <w:tc>
          <w:tcPr>
            <w:tcW w:w="583" w:type="pct"/>
            <w:vAlign w:val="center"/>
          </w:tcPr>
          <w:p w14:paraId="2B7D58BC"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499" w:type="pct"/>
            <w:vAlign w:val="center"/>
          </w:tcPr>
          <w:p w14:paraId="02C1F17A"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1201" w:type="pct"/>
            <w:vAlign w:val="center"/>
          </w:tcPr>
          <w:p w14:paraId="65598C3E" w14:textId="1E3F95F6"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Médio completo</w:t>
            </w:r>
          </w:p>
        </w:tc>
        <w:tc>
          <w:tcPr>
            <w:tcW w:w="906" w:type="pct"/>
            <w:vAlign w:val="center"/>
          </w:tcPr>
          <w:p w14:paraId="376605D6" w14:textId="784405E9"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40 a 49 anos</w:t>
            </w:r>
          </w:p>
        </w:tc>
        <w:tc>
          <w:tcPr>
            <w:tcW w:w="906" w:type="pct"/>
            <w:vAlign w:val="center"/>
          </w:tcPr>
          <w:p w14:paraId="5FFAAF04"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905" w:type="pct"/>
            <w:vAlign w:val="center"/>
          </w:tcPr>
          <w:p w14:paraId="2F192936"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r>
      <w:tr w:rsidR="00FC15B9" w:rsidRPr="00FC15B9" w14:paraId="4F1B8EB8" w14:textId="77777777" w:rsidTr="00FC15B9">
        <w:tc>
          <w:tcPr>
            <w:tcW w:w="583" w:type="pct"/>
            <w:vAlign w:val="center"/>
          </w:tcPr>
          <w:p w14:paraId="2F419DD0"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499" w:type="pct"/>
            <w:vAlign w:val="center"/>
          </w:tcPr>
          <w:p w14:paraId="034FF1A2"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1201" w:type="pct"/>
            <w:vAlign w:val="center"/>
          </w:tcPr>
          <w:p w14:paraId="2CF588C1" w14:textId="452B6EEE"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Superior incompleto</w:t>
            </w:r>
          </w:p>
        </w:tc>
        <w:tc>
          <w:tcPr>
            <w:tcW w:w="906" w:type="pct"/>
            <w:vAlign w:val="center"/>
          </w:tcPr>
          <w:p w14:paraId="628C10BB" w14:textId="3243C9D3"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50 a 59 anos</w:t>
            </w:r>
          </w:p>
        </w:tc>
        <w:tc>
          <w:tcPr>
            <w:tcW w:w="906" w:type="pct"/>
            <w:vAlign w:val="center"/>
          </w:tcPr>
          <w:p w14:paraId="326AC4C1"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905" w:type="pct"/>
            <w:vAlign w:val="center"/>
          </w:tcPr>
          <w:p w14:paraId="450AEC64"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r>
      <w:tr w:rsidR="00FC15B9" w:rsidRPr="00FC15B9" w14:paraId="5BA114B5" w14:textId="77777777" w:rsidTr="00BE4754">
        <w:trPr>
          <w:trHeight w:val="610"/>
        </w:trPr>
        <w:tc>
          <w:tcPr>
            <w:tcW w:w="583" w:type="pct"/>
            <w:vAlign w:val="center"/>
          </w:tcPr>
          <w:p w14:paraId="6F3F133D"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499" w:type="pct"/>
            <w:vAlign w:val="center"/>
          </w:tcPr>
          <w:p w14:paraId="61D208AA"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1201" w:type="pct"/>
            <w:vAlign w:val="center"/>
          </w:tcPr>
          <w:p w14:paraId="51A34530" w14:textId="5AA5F0FA"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eastAsia="Times New Roman" w:hAnsi="Times New Roman" w:cs="Times New Roman"/>
                <w:lang w:eastAsia="pt-BR"/>
              </w:rPr>
              <w:t>Superior completo</w:t>
            </w:r>
          </w:p>
        </w:tc>
        <w:tc>
          <w:tcPr>
            <w:tcW w:w="906" w:type="pct"/>
            <w:vAlign w:val="center"/>
          </w:tcPr>
          <w:p w14:paraId="7FA21DB2" w14:textId="4A302ABE" w:rsidR="002410D6" w:rsidRPr="00FC15B9" w:rsidRDefault="002410D6" w:rsidP="00BE4754">
            <w:pPr>
              <w:spacing w:line="360" w:lineRule="auto"/>
              <w:ind w:firstLine="0"/>
              <w:jc w:val="center"/>
              <w:rPr>
                <w:rFonts w:ascii="Times New Roman" w:eastAsia="Times New Roman" w:hAnsi="Times New Roman" w:cs="Times New Roman"/>
                <w:lang w:eastAsia="pt-BR"/>
              </w:rPr>
            </w:pPr>
            <w:r w:rsidRPr="00FC15B9">
              <w:rPr>
                <w:rFonts w:ascii="Times New Roman" w:hAnsi="Times New Roman" w:cs="Times New Roman"/>
              </w:rPr>
              <w:t>60 anos de idades ou mais</w:t>
            </w:r>
          </w:p>
        </w:tc>
        <w:tc>
          <w:tcPr>
            <w:tcW w:w="906" w:type="pct"/>
            <w:vAlign w:val="center"/>
          </w:tcPr>
          <w:p w14:paraId="095A3F03"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c>
          <w:tcPr>
            <w:tcW w:w="905" w:type="pct"/>
            <w:vAlign w:val="center"/>
          </w:tcPr>
          <w:p w14:paraId="6630079E" w14:textId="77777777" w:rsidR="002410D6" w:rsidRPr="00FC15B9" w:rsidRDefault="002410D6" w:rsidP="00BE4754">
            <w:pPr>
              <w:spacing w:line="360" w:lineRule="auto"/>
              <w:ind w:firstLine="0"/>
              <w:rPr>
                <w:rFonts w:ascii="Times New Roman" w:eastAsia="Times New Roman" w:hAnsi="Times New Roman" w:cs="Times New Roman"/>
                <w:lang w:eastAsia="pt-BR"/>
              </w:rPr>
            </w:pPr>
          </w:p>
        </w:tc>
      </w:tr>
    </w:tbl>
    <w:p w14:paraId="704FCBDD" w14:textId="425EA7C0" w:rsidR="00402BAB" w:rsidRPr="003A01F5" w:rsidRDefault="00C71F03">
      <w:pPr>
        <w:ind w:firstLine="0"/>
        <w:rPr>
          <w:rFonts w:ascii="Times New Roman" w:eastAsia="Times New Roman" w:hAnsi="Times New Roman" w:cs="Times New Roman"/>
          <w:sz w:val="24"/>
          <w:szCs w:val="24"/>
          <w:lang w:eastAsia="pt-BR"/>
        </w:rPr>
      </w:pPr>
      <w:r w:rsidRPr="00C71F03">
        <w:rPr>
          <w:rFonts w:ascii="Times New Roman" w:eastAsia="Times New Roman" w:hAnsi="Times New Roman" w:cs="Times New Roman"/>
          <w:sz w:val="24"/>
          <w:szCs w:val="24"/>
          <w:lang w:eastAsia="pt-BR"/>
        </w:rPr>
        <w:t>Fonte: Elaboração própria.</w:t>
      </w:r>
    </w:p>
    <w:p w14:paraId="6591FE4E" w14:textId="77777777" w:rsidR="00E03E59" w:rsidRDefault="00E03E59">
      <w:pPr>
        <w:ind w:firstLine="0"/>
        <w:rPr>
          <w:rFonts w:ascii="Times New Roman" w:eastAsia="Times New Roman" w:hAnsi="Times New Roman" w:cs="Times New Roman"/>
          <w:sz w:val="24"/>
          <w:szCs w:val="24"/>
          <w:lang w:eastAsia="pt-BR"/>
        </w:rPr>
      </w:pPr>
    </w:p>
    <w:p w14:paraId="0B1B4B11" w14:textId="0E285410" w:rsidR="000C6540" w:rsidRPr="00E42269" w:rsidRDefault="00E03E59" w:rsidP="00A80DAD">
      <w:pPr>
        <w:pStyle w:val="Ttulo1"/>
        <w:numPr>
          <w:ilvl w:val="0"/>
          <w:numId w:val="44"/>
        </w:numPr>
        <w:ind w:left="0" w:firstLine="0"/>
        <w:rPr>
          <w:b/>
          <w:bCs/>
        </w:rPr>
      </w:pPr>
      <w:bookmarkStart w:id="11" w:name="_Toc160609822"/>
      <w:r w:rsidRPr="00E42269">
        <w:rPr>
          <w:b/>
          <w:bCs/>
        </w:rPr>
        <w:t>ANÁLISE E DISCUSSÃO DE RESULTADOS</w:t>
      </w:r>
      <w:bookmarkEnd w:id="11"/>
    </w:p>
    <w:p w14:paraId="5756A170" w14:textId="5374DFE6" w:rsidR="004B3363" w:rsidRDefault="001B6C39">
      <w:pPr>
        <w:rPr>
          <w:rFonts w:ascii="Times New Roman" w:eastAsia="Times New Roman" w:hAnsi="Times New Roman" w:cs="Times New Roman"/>
          <w:sz w:val="24"/>
          <w:szCs w:val="24"/>
          <w:lang w:eastAsia="pt-BR"/>
        </w:rPr>
      </w:pPr>
      <w:r>
        <w:rPr>
          <w:rFonts w:ascii="Times New Roman" w:hAnsi="Times New Roman" w:cs="Times New Roman"/>
          <w:sz w:val="24"/>
          <w:szCs w:val="24"/>
        </w:rPr>
        <w:t>Diante dos objetivos propostos, n</w:t>
      </w:r>
      <w:r w:rsidR="00E03E59" w:rsidRPr="00C91EA7">
        <w:rPr>
          <w:rFonts w:ascii="Times New Roman" w:hAnsi="Times New Roman" w:cs="Times New Roman"/>
          <w:sz w:val="24"/>
          <w:szCs w:val="24"/>
        </w:rPr>
        <w:t xml:space="preserve">a presente seção, empreende-se a análise dos resultados obtidos no período compreendido entre os anos de 2012 </w:t>
      </w:r>
      <w:r w:rsidR="005505A0">
        <w:rPr>
          <w:rFonts w:ascii="Times New Roman" w:hAnsi="Times New Roman" w:cs="Times New Roman"/>
          <w:sz w:val="24"/>
          <w:szCs w:val="24"/>
        </w:rPr>
        <w:t>e</w:t>
      </w:r>
      <w:r w:rsidR="00E03E59" w:rsidRPr="00C91EA7">
        <w:rPr>
          <w:rFonts w:ascii="Times New Roman" w:hAnsi="Times New Roman" w:cs="Times New Roman"/>
          <w:sz w:val="24"/>
          <w:szCs w:val="24"/>
        </w:rPr>
        <w:t xml:space="preserve"> 20</w:t>
      </w:r>
      <w:r w:rsidR="00E03E59">
        <w:rPr>
          <w:rFonts w:ascii="Times New Roman" w:hAnsi="Times New Roman" w:cs="Times New Roman"/>
          <w:sz w:val="24"/>
          <w:szCs w:val="24"/>
        </w:rPr>
        <w:t>22</w:t>
      </w:r>
      <w:r w:rsidR="00E03944">
        <w:rPr>
          <w:rFonts w:ascii="Times New Roman" w:hAnsi="Times New Roman" w:cs="Times New Roman"/>
          <w:sz w:val="24"/>
          <w:szCs w:val="24"/>
        </w:rPr>
        <w:t xml:space="preserve">, </w:t>
      </w:r>
      <w:r w:rsidR="00E03E59" w:rsidRPr="00C91EA7">
        <w:rPr>
          <w:rFonts w:ascii="Times New Roman" w:hAnsi="Times New Roman" w:cs="Times New Roman"/>
          <w:sz w:val="24"/>
          <w:szCs w:val="24"/>
        </w:rPr>
        <w:t>incorpora</w:t>
      </w:r>
      <w:r w:rsidR="00E03944">
        <w:rPr>
          <w:rFonts w:ascii="Times New Roman" w:hAnsi="Times New Roman" w:cs="Times New Roman"/>
          <w:sz w:val="24"/>
          <w:szCs w:val="24"/>
        </w:rPr>
        <w:t xml:space="preserve">ndo </w:t>
      </w:r>
      <w:r w:rsidR="00E03E59" w:rsidRPr="00C91EA7">
        <w:rPr>
          <w:rFonts w:ascii="Times New Roman" w:hAnsi="Times New Roman" w:cs="Times New Roman"/>
          <w:sz w:val="24"/>
          <w:szCs w:val="24"/>
        </w:rPr>
        <w:t xml:space="preserve">informações do ambiente urbano e rural, </w:t>
      </w:r>
      <w:r w:rsidR="00E03E59">
        <w:rPr>
          <w:rFonts w:ascii="Times New Roman" w:hAnsi="Times New Roman" w:cs="Times New Roman"/>
          <w:sz w:val="24"/>
          <w:szCs w:val="24"/>
        </w:rPr>
        <w:t xml:space="preserve">com a distinção </w:t>
      </w:r>
      <w:r w:rsidR="00E03E59" w:rsidRPr="00C91EA7">
        <w:rPr>
          <w:rFonts w:ascii="Times New Roman" w:hAnsi="Times New Roman" w:cs="Times New Roman"/>
          <w:sz w:val="24"/>
          <w:szCs w:val="24"/>
        </w:rPr>
        <w:t>entre regiões metropolitanas (</w:t>
      </w:r>
      <w:proofErr w:type="spellStart"/>
      <w:r w:rsidR="00E03E59" w:rsidRPr="00C91EA7">
        <w:rPr>
          <w:rFonts w:ascii="Times New Roman" w:hAnsi="Times New Roman" w:cs="Times New Roman"/>
          <w:sz w:val="24"/>
          <w:szCs w:val="24"/>
        </w:rPr>
        <w:t>RMs</w:t>
      </w:r>
      <w:proofErr w:type="spellEnd"/>
      <w:r w:rsidR="00E03E59" w:rsidRPr="00C91EA7">
        <w:rPr>
          <w:rFonts w:ascii="Times New Roman" w:hAnsi="Times New Roman" w:cs="Times New Roman"/>
          <w:sz w:val="24"/>
          <w:szCs w:val="24"/>
        </w:rPr>
        <w:t>) e não metropolitanas (</w:t>
      </w:r>
      <w:proofErr w:type="spellStart"/>
      <w:r w:rsidR="00E03E59" w:rsidRPr="00C91EA7">
        <w:rPr>
          <w:rFonts w:ascii="Times New Roman" w:hAnsi="Times New Roman" w:cs="Times New Roman"/>
          <w:sz w:val="24"/>
          <w:szCs w:val="24"/>
        </w:rPr>
        <w:t>RNMs</w:t>
      </w:r>
      <w:proofErr w:type="spellEnd"/>
      <w:r w:rsidR="00E03E59" w:rsidRPr="00C91EA7">
        <w:rPr>
          <w:rFonts w:ascii="Times New Roman" w:hAnsi="Times New Roman" w:cs="Times New Roman"/>
          <w:sz w:val="24"/>
          <w:szCs w:val="24"/>
        </w:rPr>
        <w:t>). Inicialmente, a Tabela 1 destaca as taxas de desemprego nacionais</w:t>
      </w:r>
      <w:r w:rsidR="00E03E59">
        <w:rPr>
          <w:rFonts w:ascii="Times New Roman" w:hAnsi="Times New Roman" w:cs="Times New Roman"/>
          <w:sz w:val="24"/>
          <w:szCs w:val="24"/>
        </w:rPr>
        <w:t xml:space="preserve"> e</w:t>
      </w:r>
      <w:r w:rsidR="00E03E59" w:rsidRPr="00C91EA7">
        <w:rPr>
          <w:rFonts w:ascii="Times New Roman" w:hAnsi="Times New Roman" w:cs="Times New Roman"/>
          <w:sz w:val="24"/>
          <w:szCs w:val="24"/>
        </w:rPr>
        <w:t xml:space="preserve"> suas variações</w:t>
      </w:r>
      <w:r w:rsidR="00E03E59">
        <w:rPr>
          <w:rFonts w:ascii="Times New Roman" w:hAnsi="Times New Roman" w:cs="Times New Roman"/>
          <w:sz w:val="24"/>
          <w:szCs w:val="24"/>
        </w:rPr>
        <w:t>,</w:t>
      </w:r>
      <w:r w:rsidR="00E03E59" w:rsidRPr="00C91EA7">
        <w:rPr>
          <w:rFonts w:ascii="Times New Roman" w:hAnsi="Times New Roman" w:cs="Times New Roman"/>
          <w:sz w:val="24"/>
          <w:szCs w:val="24"/>
        </w:rPr>
        <w:t xml:space="preserve"> ao longo do referido intervalo temporal. Este exame aprofundado visa </w:t>
      </w:r>
      <w:r w:rsidR="00E03944">
        <w:rPr>
          <w:rFonts w:ascii="Times New Roman" w:hAnsi="Times New Roman" w:cs="Times New Roman"/>
          <w:sz w:val="24"/>
          <w:szCs w:val="24"/>
        </w:rPr>
        <w:t>identificar</w:t>
      </w:r>
      <w:r w:rsidR="00585155" w:rsidRPr="66153A75">
        <w:rPr>
          <w:rFonts w:ascii="Times New Roman" w:eastAsia="Times New Roman" w:hAnsi="Times New Roman" w:cs="Times New Roman"/>
          <w:sz w:val="24"/>
          <w:szCs w:val="24"/>
          <w:lang w:eastAsia="pt-BR"/>
        </w:rPr>
        <w:t xml:space="preserve"> os grupos populacionais, de acordo com suas características individuais e locacionais, mais impactados pelo desemprego, durante o período supracitado.</w:t>
      </w:r>
    </w:p>
    <w:p w14:paraId="62E931DF" w14:textId="1D4029EF" w:rsidR="00E03E59" w:rsidRDefault="00835DD6">
      <w:pPr>
        <w:ind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Figura</w:t>
      </w:r>
      <w:r w:rsidR="004B3363">
        <w:rPr>
          <w:rFonts w:ascii="Times New Roman" w:eastAsia="Times New Roman" w:hAnsi="Times New Roman" w:cs="Times New Roman"/>
          <w:color w:val="000000"/>
          <w:sz w:val="24"/>
          <w:szCs w:val="24"/>
          <w:lang w:eastAsia="pt-BR"/>
        </w:rPr>
        <w:t xml:space="preserve"> 1 - </w:t>
      </w:r>
      <w:r w:rsidR="004B3363" w:rsidRPr="00C91EA7">
        <w:rPr>
          <w:rFonts w:ascii="Times New Roman" w:eastAsia="Times New Roman" w:hAnsi="Times New Roman" w:cs="Times New Roman"/>
          <w:color w:val="000000"/>
          <w:sz w:val="24"/>
          <w:szCs w:val="24"/>
          <w:lang w:eastAsia="pt-BR"/>
        </w:rPr>
        <w:t>Taxas de desemprego e variação</w:t>
      </w:r>
      <w:r w:rsidR="00D27BB6">
        <w:rPr>
          <w:rFonts w:ascii="Times New Roman" w:eastAsia="Times New Roman" w:hAnsi="Times New Roman" w:cs="Times New Roman"/>
          <w:color w:val="000000"/>
          <w:sz w:val="24"/>
          <w:szCs w:val="24"/>
          <w:lang w:eastAsia="pt-BR"/>
        </w:rPr>
        <w:t xml:space="preserve"> ao ano</w:t>
      </w:r>
      <w:r w:rsidR="004B3363" w:rsidRPr="00C91EA7">
        <w:rPr>
          <w:rFonts w:ascii="Times New Roman" w:eastAsia="Times New Roman" w:hAnsi="Times New Roman" w:cs="Times New Roman"/>
          <w:color w:val="000000"/>
          <w:sz w:val="24"/>
          <w:szCs w:val="24"/>
          <w:lang w:eastAsia="pt-BR"/>
        </w:rPr>
        <w:t xml:space="preserve">, </w:t>
      </w:r>
      <w:r w:rsidR="00D27BB6">
        <w:rPr>
          <w:rFonts w:ascii="Times New Roman" w:eastAsia="Times New Roman" w:hAnsi="Times New Roman" w:cs="Times New Roman"/>
          <w:color w:val="000000"/>
          <w:sz w:val="24"/>
          <w:szCs w:val="24"/>
          <w:lang w:eastAsia="pt-BR"/>
        </w:rPr>
        <w:t xml:space="preserve">Brasil, </w:t>
      </w:r>
      <w:r w:rsidR="004B3363" w:rsidRPr="00C91EA7">
        <w:rPr>
          <w:rFonts w:ascii="Times New Roman" w:eastAsia="Times New Roman" w:hAnsi="Times New Roman" w:cs="Times New Roman"/>
          <w:color w:val="000000"/>
          <w:sz w:val="24"/>
          <w:szCs w:val="24"/>
          <w:lang w:eastAsia="pt-BR"/>
        </w:rPr>
        <w:t xml:space="preserve">2012 </w:t>
      </w:r>
      <w:r w:rsidR="00D27BB6">
        <w:rPr>
          <w:rFonts w:ascii="Times New Roman" w:eastAsia="Times New Roman" w:hAnsi="Times New Roman" w:cs="Times New Roman"/>
          <w:color w:val="000000"/>
          <w:sz w:val="24"/>
          <w:szCs w:val="24"/>
          <w:lang w:eastAsia="pt-BR"/>
        </w:rPr>
        <w:t>a</w:t>
      </w:r>
      <w:r w:rsidR="004B3363" w:rsidRPr="00C91EA7">
        <w:rPr>
          <w:rFonts w:ascii="Times New Roman" w:eastAsia="Times New Roman" w:hAnsi="Times New Roman" w:cs="Times New Roman"/>
          <w:color w:val="000000"/>
          <w:sz w:val="24"/>
          <w:szCs w:val="24"/>
          <w:lang w:eastAsia="pt-BR"/>
        </w:rPr>
        <w:t xml:space="preserve"> 2022</w:t>
      </w:r>
      <w:r w:rsidR="00B069E4">
        <w:rPr>
          <w:rFonts w:ascii="Times New Roman" w:eastAsia="Times New Roman" w:hAnsi="Times New Roman" w:cs="Times New Roman"/>
          <w:color w:val="000000"/>
          <w:sz w:val="24"/>
          <w:szCs w:val="24"/>
          <w:lang w:eastAsia="pt-BR"/>
        </w:rPr>
        <w:t xml:space="preserve"> </w:t>
      </w:r>
    </w:p>
    <w:p w14:paraId="6E01B35F" w14:textId="7FB3DB3F" w:rsidR="00E03E59" w:rsidRDefault="005C2DEA">
      <w:pPr>
        <w:ind w:firstLine="0"/>
        <w:rPr>
          <w:rFonts w:ascii="Times New Roman" w:hAnsi="Times New Roman" w:cs="Times New Roman"/>
          <w:sz w:val="24"/>
          <w:szCs w:val="24"/>
        </w:rPr>
      </w:pPr>
      <w:r>
        <w:rPr>
          <w:noProof/>
        </w:rPr>
        <w:drawing>
          <wp:inline distT="0" distB="0" distL="0" distR="0" wp14:anchorId="31EEF7A0" wp14:editId="246617F5">
            <wp:extent cx="5400040" cy="2541182"/>
            <wp:effectExtent l="0" t="0" r="10160" b="12065"/>
            <wp:docPr id="247523583" name="Gráfico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BA76D6" w14:textId="77777777" w:rsidR="00542068" w:rsidRDefault="00542068">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6D4F1656" w14:textId="26F59C9F" w:rsidR="007C1A8F" w:rsidRDefault="00E03E59">
      <w:pPr>
        <w:rPr>
          <w:rFonts w:ascii="Times New Roman" w:hAnsi="Times New Roman" w:cs="Times New Roman"/>
          <w:sz w:val="24"/>
          <w:szCs w:val="24"/>
        </w:rPr>
      </w:pPr>
      <w:r w:rsidRPr="00FE694E">
        <w:rPr>
          <w:rFonts w:ascii="Times New Roman" w:hAnsi="Times New Roman" w:cs="Times New Roman"/>
          <w:sz w:val="24"/>
          <w:szCs w:val="24"/>
        </w:rPr>
        <w:t xml:space="preserve">Entre 2012 e 2014, as taxas de desemprego apresentaram tendência decrescente, </w:t>
      </w:r>
      <w:r w:rsidR="00E30976">
        <w:rPr>
          <w:rFonts w:ascii="Times New Roman" w:hAnsi="Times New Roman" w:cs="Times New Roman"/>
          <w:sz w:val="24"/>
          <w:szCs w:val="24"/>
        </w:rPr>
        <w:t>com diminuição</w:t>
      </w:r>
      <w:r>
        <w:rPr>
          <w:rFonts w:ascii="Times New Roman" w:hAnsi="Times New Roman" w:cs="Times New Roman"/>
          <w:sz w:val="24"/>
          <w:szCs w:val="24"/>
        </w:rPr>
        <w:t xml:space="preserve"> </w:t>
      </w:r>
      <w:r w:rsidRPr="00FE694E">
        <w:rPr>
          <w:rFonts w:ascii="Times New Roman" w:hAnsi="Times New Roman" w:cs="Times New Roman"/>
          <w:sz w:val="24"/>
          <w:szCs w:val="24"/>
        </w:rPr>
        <w:t xml:space="preserve">de 7,09% para 6,38%. A queda </w:t>
      </w:r>
      <w:r>
        <w:rPr>
          <w:rFonts w:ascii="Times New Roman" w:hAnsi="Times New Roman" w:cs="Times New Roman"/>
          <w:sz w:val="24"/>
          <w:szCs w:val="24"/>
        </w:rPr>
        <w:t xml:space="preserve">observada </w:t>
      </w:r>
      <w:r w:rsidRPr="00FE694E">
        <w:rPr>
          <w:rFonts w:ascii="Times New Roman" w:hAnsi="Times New Roman" w:cs="Times New Roman"/>
          <w:sz w:val="24"/>
          <w:szCs w:val="24"/>
        </w:rPr>
        <w:t>foi impulsionada pelo crescimento econômico</w:t>
      </w:r>
      <w:r w:rsidR="002D7C26">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r w:rsidR="009D14D5">
        <w:rPr>
          <w:rFonts w:ascii="Times New Roman" w:hAnsi="Times New Roman" w:cs="Times New Roman"/>
          <w:sz w:val="24"/>
          <w:szCs w:val="24"/>
        </w:rPr>
        <w:t xml:space="preserve">nacional </w:t>
      </w:r>
      <w:r>
        <w:rPr>
          <w:rFonts w:ascii="Times New Roman" w:hAnsi="Times New Roman" w:cs="Times New Roman"/>
          <w:sz w:val="24"/>
          <w:szCs w:val="24"/>
        </w:rPr>
        <w:t xml:space="preserve">proveniente, em parte, da expansão significativa no mercado de commodities e </w:t>
      </w:r>
      <w:r w:rsidR="00806900">
        <w:rPr>
          <w:rFonts w:ascii="Times New Roman" w:hAnsi="Times New Roman" w:cs="Times New Roman"/>
          <w:sz w:val="24"/>
          <w:szCs w:val="24"/>
        </w:rPr>
        <w:t>d</w:t>
      </w:r>
      <w:r w:rsidR="00B0655C">
        <w:rPr>
          <w:rFonts w:ascii="Times New Roman" w:hAnsi="Times New Roman" w:cs="Times New Roman"/>
          <w:sz w:val="24"/>
          <w:szCs w:val="24"/>
        </w:rPr>
        <w:t>a</w:t>
      </w:r>
      <w:r>
        <w:rPr>
          <w:rFonts w:ascii="Times New Roman" w:hAnsi="Times New Roman" w:cs="Times New Roman"/>
          <w:sz w:val="24"/>
          <w:szCs w:val="24"/>
        </w:rPr>
        <w:t xml:space="preserve"> </w:t>
      </w:r>
      <w:r w:rsidR="00B0655C">
        <w:rPr>
          <w:rFonts w:ascii="Times New Roman" w:hAnsi="Times New Roman" w:cs="Times New Roman"/>
          <w:sz w:val="24"/>
          <w:szCs w:val="24"/>
        </w:rPr>
        <w:t xml:space="preserve">ampliação </w:t>
      </w:r>
      <w:r>
        <w:rPr>
          <w:rFonts w:ascii="Times New Roman" w:hAnsi="Times New Roman" w:cs="Times New Roman"/>
          <w:sz w:val="24"/>
          <w:szCs w:val="24"/>
        </w:rPr>
        <w:t>da demanda global</w:t>
      </w:r>
      <w:r w:rsidR="00D32DE4">
        <w:rPr>
          <w:rFonts w:ascii="Times New Roman" w:hAnsi="Times New Roman" w:cs="Times New Roman"/>
          <w:sz w:val="24"/>
          <w:szCs w:val="24"/>
        </w:rPr>
        <w:t xml:space="preserve"> por esses bens, devido à</w:t>
      </w:r>
      <w:r w:rsidR="00D32DE4" w:rsidRPr="00D32DE4">
        <w:rPr>
          <w:rFonts w:ascii="Times New Roman" w:hAnsi="Times New Roman" w:cs="Times New Roman"/>
          <w:sz w:val="24"/>
          <w:szCs w:val="24"/>
        </w:rPr>
        <w:t xml:space="preserve"> </w:t>
      </w:r>
      <w:r w:rsidR="00E879BA">
        <w:rPr>
          <w:rFonts w:ascii="Times New Roman" w:hAnsi="Times New Roman" w:cs="Times New Roman"/>
          <w:sz w:val="24"/>
          <w:szCs w:val="24"/>
        </w:rPr>
        <w:t xml:space="preserve">expansão </w:t>
      </w:r>
      <w:r w:rsidR="00D32DE4">
        <w:rPr>
          <w:rFonts w:ascii="Times New Roman" w:hAnsi="Times New Roman" w:cs="Times New Roman"/>
          <w:sz w:val="24"/>
          <w:szCs w:val="24"/>
        </w:rPr>
        <w:t>econômic</w:t>
      </w:r>
      <w:r w:rsidR="00E879BA">
        <w:rPr>
          <w:rFonts w:ascii="Times New Roman" w:hAnsi="Times New Roman" w:cs="Times New Roman"/>
          <w:sz w:val="24"/>
          <w:szCs w:val="24"/>
        </w:rPr>
        <w:t xml:space="preserve">a </w:t>
      </w:r>
      <w:r w:rsidR="00D32DE4">
        <w:rPr>
          <w:rFonts w:ascii="Times New Roman" w:hAnsi="Times New Roman" w:cs="Times New Roman"/>
          <w:sz w:val="24"/>
          <w:szCs w:val="24"/>
        </w:rPr>
        <w:t>chin</w:t>
      </w:r>
      <w:r w:rsidR="00E879BA">
        <w:rPr>
          <w:rFonts w:ascii="Times New Roman" w:hAnsi="Times New Roman" w:cs="Times New Roman"/>
          <w:sz w:val="24"/>
          <w:szCs w:val="24"/>
        </w:rPr>
        <w:t>esa</w:t>
      </w:r>
      <w:r w:rsidR="00D32DE4" w:rsidRPr="00D32DE4">
        <w:rPr>
          <w:rFonts w:ascii="Times New Roman" w:hAnsi="Times New Roman" w:cs="Times New Roman"/>
          <w:sz w:val="24"/>
          <w:szCs w:val="24"/>
        </w:rPr>
        <w:t xml:space="preserve"> e de outros países em desenvolvimento</w:t>
      </w:r>
      <w:r w:rsidR="00E879BA">
        <w:rPr>
          <w:rFonts w:ascii="Times New Roman" w:hAnsi="Times New Roman" w:cs="Times New Roman"/>
          <w:sz w:val="24"/>
          <w:szCs w:val="24"/>
        </w:rPr>
        <w:t xml:space="preserve"> (SESSA, SIMONATO, DOMINGUES, 2017)</w:t>
      </w:r>
      <w:r>
        <w:rPr>
          <w:rFonts w:ascii="Times New Roman" w:hAnsi="Times New Roman" w:cs="Times New Roman"/>
          <w:sz w:val="24"/>
          <w:szCs w:val="24"/>
        </w:rPr>
        <w:t>.</w:t>
      </w:r>
      <w:r w:rsidR="007C1A8F">
        <w:rPr>
          <w:rFonts w:ascii="Times New Roman" w:hAnsi="Times New Roman" w:cs="Times New Roman"/>
          <w:sz w:val="24"/>
          <w:szCs w:val="24"/>
        </w:rPr>
        <w:t xml:space="preserve"> </w:t>
      </w:r>
      <w:r>
        <w:rPr>
          <w:rFonts w:ascii="Times New Roman" w:hAnsi="Times New Roman" w:cs="Times New Roman"/>
          <w:sz w:val="24"/>
          <w:szCs w:val="24"/>
        </w:rPr>
        <w:t xml:space="preserve">Ademais, outros fatores, como </w:t>
      </w:r>
      <w:r w:rsidRPr="00FE694E">
        <w:rPr>
          <w:rFonts w:ascii="Times New Roman" w:hAnsi="Times New Roman" w:cs="Times New Roman"/>
          <w:sz w:val="24"/>
          <w:szCs w:val="24"/>
        </w:rPr>
        <w:t xml:space="preserve">acesso facilitado ao </w:t>
      </w:r>
      <w:r w:rsidRPr="00FE694E">
        <w:rPr>
          <w:rFonts w:ascii="Times New Roman" w:hAnsi="Times New Roman" w:cs="Times New Roman"/>
          <w:sz w:val="24"/>
          <w:szCs w:val="24"/>
        </w:rPr>
        <w:lastRenderedPageBreak/>
        <w:t>crédito</w:t>
      </w:r>
      <w:r w:rsidR="007C1A8F">
        <w:rPr>
          <w:rFonts w:ascii="Times New Roman" w:hAnsi="Times New Roman" w:cs="Times New Roman"/>
          <w:sz w:val="24"/>
          <w:szCs w:val="24"/>
        </w:rPr>
        <w:t xml:space="preserve"> para as famílias</w:t>
      </w:r>
      <w:r w:rsidR="000D4C0C">
        <w:rPr>
          <w:rFonts w:ascii="Times New Roman" w:hAnsi="Times New Roman" w:cs="Times New Roman"/>
          <w:sz w:val="24"/>
          <w:szCs w:val="24"/>
        </w:rPr>
        <w:t>, com a implementação de programas</w:t>
      </w:r>
      <w:r w:rsidR="00E57F92">
        <w:rPr>
          <w:rFonts w:ascii="Times New Roman" w:hAnsi="Times New Roman" w:cs="Times New Roman"/>
          <w:sz w:val="24"/>
          <w:szCs w:val="24"/>
        </w:rPr>
        <w:t xml:space="preserve"> do Governo,</w:t>
      </w:r>
      <w:r w:rsidR="000D4C0C">
        <w:rPr>
          <w:rFonts w:ascii="Times New Roman" w:hAnsi="Times New Roman" w:cs="Times New Roman"/>
          <w:sz w:val="24"/>
          <w:szCs w:val="24"/>
        </w:rPr>
        <w:t xml:space="preserve"> como o Minha Casa, Minha Vida,</w:t>
      </w:r>
      <w:r w:rsidRPr="00FE694E">
        <w:rPr>
          <w:rFonts w:ascii="Times New Roman" w:hAnsi="Times New Roman" w:cs="Times New Roman"/>
          <w:sz w:val="24"/>
          <w:szCs w:val="24"/>
        </w:rPr>
        <w:t xml:space="preserve"> e eventos específicos</w:t>
      </w:r>
      <w:r>
        <w:rPr>
          <w:rFonts w:ascii="Times New Roman" w:hAnsi="Times New Roman" w:cs="Times New Roman"/>
          <w:sz w:val="24"/>
          <w:szCs w:val="24"/>
        </w:rPr>
        <w:t>,</w:t>
      </w:r>
      <w:r w:rsidRPr="00FE694E">
        <w:rPr>
          <w:rFonts w:ascii="Times New Roman" w:hAnsi="Times New Roman" w:cs="Times New Roman"/>
          <w:sz w:val="24"/>
          <w:szCs w:val="24"/>
        </w:rPr>
        <w:t xml:space="preserve"> como a Copa do Mundo FIFA</w:t>
      </w:r>
      <w:r>
        <w:rPr>
          <w:rFonts w:ascii="Times New Roman" w:hAnsi="Times New Roman" w:cs="Times New Roman"/>
          <w:sz w:val="24"/>
          <w:szCs w:val="24"/>
        </w:rPr>
        <w:t>,</w:t>
      </w:r>
      <w:r w:rsidRPr="00FE694E">
        <w:rPr>
          <w:rFonts w:ascii="Times New Roman" w:hAnsi="Times New Roman" w:cs="Times New Roman"/>
          <w:sz w:val="24"/>
          <w:szCs w:val="24"/>
        </w:rPr>
        <w:t xml:space="preserve"> </w:t>
      </w:r>
      <w:r w:rsidR="00BF3EF5">
        <w:rPr>
          <w:rFonts w:ascii="Times New Roman" w:hAnsi="Times New Roman" w:cs="Times New Roman"/>
          <w:sz w:val="24"/>
          <w:szCs w:val="24"/>
        </w:rPr>
        <w:t xml:space="preserve">realizada no Brasil, </w:t>
      </w:r>
      <w:r w:rsidRPr="00FE694E">
        <w:rPr>
          <w:rFonts w:ascii="Times New Roman" w:hAnsi="Times New Roman" w:cs="Times New Roman"/>
          <w:sz w:val="24"/>
          <w:szCs w:val="24"/>
        </w:rPr>
        <w:t>em 2014</w:t>
      </w:r>
      <w:r>
        <w:rPr>
          <w:rFonts w:ascii="Times New Roman" w:hAnsi="Times New Roman" w:cs="Times New Roman"/>
          <w:sz w:val="24"/>
          <w:szCs w:val="24"/>
        </w:rPr>
        <w:t xml:space="preserve">, favoreceram o decréscimo da taxa de desocupação </w:t>
      </w:r>
      <w:r w:rsidR="000D4C0C">
        <w:rPr>
          <w:rFonts w:ascii="Times New Roman" w:hAnsi="Times New Roman" w:cs="Times New Roman"/>
          <w:sz w:val="24"/>
          <w:szCs w:val="24"/>
        </w:rPr>
        <w:t xml:space="preserve">entre 2012 e 2014 </w:t>
      </w:r>
      <w:r>
        <w:rPr>
          <w:rFonts w:ascii="Times New Roman" w:hAnsi="Times New Roman" w:cs="Times New Roman"/>
          <w:sz w:val="24"/>
          <w:szCs w:val="24"/>
        </w:rPr>
        <w:t>(MATTOS, 2015; MATTEI, 2020)</w:t>
      </w:r>
      <w:r w:rsidRPr="00FE694E">
        <w:rPr>
          <w:rFonts w:ascii="Times New Roman" w:hAnsi="Times New Roman" w:cs="Times New Roman"/>
          <w:sz w:val="24"/>
          <w:szCs w:val="24"/>
        </w:rPr>
        <w:t xml:space="preserve">. </w:t>
      </w:r>
    </w:p>
    <w:p w14:paraId="2D1DD070" w14:textId="56B8D9E1" w:rsidR="00845002" w:rsidRDefault="00E03E59">
      <w:pPr>
        <w:rPr>
          <w:rFonts w:ascii="Times New Roman" w:hAnsi="Times New Roman" w:cs="Times New Roman"/>
          <w:sz w:val="24"/>
          <w:szCs w:val="24"/>
        </w:rPr>
      </w:pPr>
      <w:r>
        <w:rPr>
          <w:rFonts w:ascii="Times New Roman" w:hAnsi="Times New Roman" w:cs="Times New Roman"/>
          <w:sz w:val="24"/>
          <w:szCs w:val="24"/>
        </w:rPr>
        <w:t>Nessa perspectiva, as condições expostas</w:t>
      </w:r>
      <w:r w:rsidRPr="00FE694E">
        <w:rPr>
          <w:rFonts w:ascii="Times New Roman" w:hAnsi="Times New Roman" w:cs="Times New Roman"/>
          <w:sz w:val="24"/>
          <w:szCs w:val="24"/>
        </w:rPr>
        <w:t xml:space="preserve"> estimularam a criação de empregos,</w:t>
      </w:r>
      <w:r w:rsidR="008D5FD8">
        <w:rPr>
          <w:rFonts w:ascii="Times New Roman" w:hAnsi="Times New Roman" w:cs="Times New Roman"/>
          <w:sz w:val="24"/>
          <w:szCs w:val="24"/>
        </w:rPr>
        <w:t xml:space="preserve"> </w:t>
      </w:r>
      <w:r>
        <w:rPr>
          <w:rFonts w:ascii="Times New Roman" w:hAnsi="Times New Roman" w:cs="Times New Roman"/>
          <w:sz w:val="24"/>
          <w:szCs w:val="24"/>
        </w:rPr>
        <w:t>n</w:t>
      </w:r>
      <w:r w:rsidRPr="00FE694E">
        <w:rPr>
          <w:rFonts w:ascii="Times New Roman" w:hAnsi="Times New Roman" w:cs="Times New Roman"/>
          <w:sz w:val="24"/>
          <w:szCs w:val="24"/>
        </w:rPr>
        <w:t>o entanto, ess</w:t>
      </w:r>
      <w:r w:rsidR="009C2F97">
        <w:rPr>
          <w:rFonts w:ascii="Times New Roman" w:hAnsi="Times New Roman" w:cs="Times New Roman"/>
          <w:sz w:val="24"/>
          <w:szCs w:val="24"/>
        </w:rPr>
        <w:t xml:space="preserve">e cenário </w:t>
      </w:r>
      <w:r w:rsidRPr="00FE694E">
        <w:rPr>
          <w:rFonts w:ascii="Times New Roman" w:hAnsi="Times New Roman" w:cs="Times New Roman"/>
          <w:sz w:val="24"/>
          <w:szCs w:val="24"/>
        </w:rPr>
        <w:t>positiv</w:t>
      </w:r>
      <w:r w:rsidR="009C2F97">
        <w:rPr>
          <w:rFonts w:ascii="Times New Roman" w:hAnsi="Times New Roman" w:cs="Times New Roman"/>
          <w:sz w:val="24"/>
          <w:szCs w:val="24"/>
        </w:rPr>
        <w:t>o</w:t>
      </w:r>
      <w:r w:rsidRPr="00FE694E">
        <w:rPr>
          <w:rFonts w:ascii="Times New Roman" w:hAnsi="Times New Roman" w:cs="Times New Roman"/>
          <w:sz w:val="24"/>
          <w:szCs w:val="24"/>
        </w:rPr>
        <w:t xml:space="preserve"> não perdurou</w:t>
      </w:r>
      <w:r>
        <w:rPr>
          <w:rFonts w:ascii="Times New Roman" w:hAnsi="Times New Roman" w:cs="Times New Roman"/>
          <w:sz w:val="24"/>
          <w:szCs w:val="24"/>
        </w:rPr>
        <w:t>,</w:t>
      </w:r>
      <w:r w:rsidRPr="00FE694E">
        <w:rPr>
          <w:rFonts w:ascii="Times New Roman" w:hAnsi="Times New Roman" w:cs="Times New Roman"/>
          <w:sz w:val="24"/>
          <w:szCs w:val="24"/>
        </w:rPr>
        <w:t xml:space="preserve"> devido a</w:t>
      </w:r>
      <w:r>
        <w:rPr>
          <w:rFonts w:ascii="Times New Roman" w:hAnsi="Times New Roman" w:cs="Times New Roman"/>
          <w:sz w:val="24"/>
          <w:szCs w:val="24"/>
        </w:rPr>
        <w:t>o estopim de</w:t>
      </w:r>
      <w:r w:rsidRPr="00FE694E">
        <w:rPr>
          <w:rFonts w:ascii="Times New Roman" w:hAnsi="Times New Roman" w:cs="Times New Roman"/>
          <w:sz w:val="24"/>
          <w:szCs w:val="24"/>
        </w:rPr>
        <w:t xml:space="preserve"> desafios econômicos</w:t>
      </w:r>
      <w:r>
        <w:rPr>
          <w:rFonts w:ascii="Times New Roman" w:hAnsi="Times New Roman" w:cs="Times New Roman"/>
          <w:sz w:val="24"/>
          <w:szCs w:val="24"/>
        </w:rPr>
        <w:t xml:space="preserve"> nacionais,</w:t>
      </w:r>
      <w:r w:rsidRPr="00FE694E">
        <w:rPr>
          <w:rFonts w:ascii="Times New Roman" w:hAnsi="Times New Roman" w:cs="Times New Roman"/>
          <w:sz w:val="24"/>
          <w:szCs w:val="24"/>
        </w:rPr>
        <w:t xml:space="preserve"> a partir de 2015, </w:t>
      </w:r>
      <w:r w:rsidR="009C2F97">
        <w:rPr>
          <w:rFonts w:ascii="Times New Roman" w:hAnsi="Times New Roman" w:cs="Times New Roman"/>
          <w:sz w:val="24"/>
          <w:szCs w:val="24"/>
        </w:rPr>
        <w:t>incluindo</w:t>
      </w:r>
      <w:r w:rsidRPr="00FE694E">
        <w:rPr>
          <w:rFonts w:ascii="Times New Roman" w:hAnsi="Times New Roman" w:cs="Times New Roman"/>
          <w:sz w:val="24"/>
          <w:szCs w:val="24"/>
        </w:rPr>
        <w:t xml:space="preserve"> desaceleração </w:t>
      </w:r>
      <w:r w:rsidR="000D588E">
        <w:rPr>
          <w:rFonts w:ascii="Times New Roman" w:hAnsi="Times New Roman" w:cs="Times New Roman"/>
          <w:sz w:val="24"/>
          <w:szCs w:val="24"/>
        </w:rPr>
        <w:t xml:space="preserve">econômica </w:t>
      </w:r>
      <w:r w:rsidRPr="00FE694E">
        <w:rPr>
          <w:rFonts w:ascii="Times New Roman" w:hAnsi="Times New Roman" w:cs="Times New Roman"/>
          <w:sz w:val="24"/>
          <w:szCs w:val="24"/>
        </w:rPr>
        <w:t>global, queda nos preços das commodities e crises políticas</w:t>
      </w:r>
      <w:r>
        <w:rPr>
          <w:rFonts w:ascii="Times New Roman" w:hAnsi="Times New Roman" w:cs="Times New Roman"/>
          <w:sz w:val="24"/>
          <w:szCs w:val="24"/>
        </w:rPr>
        <w:t xml:space="preserve"> internas</w:t>
      </w:r>
      <w:r w:rsidR="00845002">
        <w:rPr>
          <w:rFonts w:ascii="Times New Roman" w:hAnsi="Times New Roman" w:cs="Times New Roman"/>
          <w:sz w:val="24"/>
          <w:szCs w:val="24"/>
        </w:rPr>
        <w:t xml:space="preserve">. Em 2015, </w:t>
      </w:r>
      <w:r w:rsidR="00845002" w:rsidRPr="00845002">
        <w:rPr>
          <w:rFonts w:ascii="Times New Roman" w:hAnsi="Times New Roman" w:cs="Times New Roman"/>
          <w:sz w:val="24"/>
          <w:szCs w:val="24"/>
        </w:rPr>
        <w:t xml:space="preserve">a economia </w:t>
      </w:r>
      <w:r w:rsidR="00845002">
        <w:rPr>
          <w:rFonts w:ascii="Times New Roman" w:hAnsi="Times New Roman" w:cs="Times New Roman"/>
          <w:sz w:val="24"/>
          <w:szCs w:val="24"/>
        </w:rPr>
        <w:t xml:space="preserve">brasileira </w:t>
      </w:r>
      <w:r w:rsidR="00845002" w:rsidRPr="00845002">
        <w:rPr>
          <w:rFonts w:ascii="Times New Roman" w:hAnsi="Times New Roman" w:cs="Times New Roman"/>
          <w:sz w:val="24"/>
          <w:szCs w:val="24"/>
        </w:rPr>
        <w:t>enfrentou retração significativa de 3,8%, uma das mais profundas de sua história</w:t>
      </w:r>
      <w:r w:rsidR="00845002">
        <w:rPr>
          <w:rFonts w:ascii="Times New Roman" w:hAnsi="Times New Roman" w:cs="Times New Roman"/>
          <w:sz w:val="24"/>
          <w:szCs w:val="24"/>
        </w:rPr>
        <w:t xml:space="preserve"> (AMORIM NETO, 2016)</w:t>
      </w:r>
      <w:r w:rsidR="00027481">
        <w:rPr>
          <w:rFonts w:ascii="Times New Roman" w:hAnsi="Times New Roman" w:cs="Times New Roman"/>
          <w:sz w:val="24"/>
          <w:szCs w:val="24"/>
        </w:rPr>
        <w:t xml:space="preserve">, com </w:t>
      </w:r>
      <w:r w:rsidRPr="009A1049">
        <w:rPr>
          <w:rFonts w:ascii="Times New Roman" w:hAnsi="Times New Roman" w:cs="Times New Roman"/>
          <w:sz w:val="24"/>
          <w:szCs w:val="24"/>
        </w:rPr>
        <w:t xml:space="preserve">aumento </w:t>
      </w:r>
      <w:r>
        <w:rPr>
          <w:rFonts w:ascii="Times New Roman" w:hAnsi="Times New Roman" w:cs="Times New Roman"/>
          <w:sz w:val="24"/>
          <w:szCs w:val="24"/>
        </w:rPr>
        <w:t xml:space="preserve">de 23,04% </w:t>
      </w:r>
      <w:r w:rsidRPr="009A1049">
        <w:rPr>
          <w:rFonts w:ascii="Times New Roman" w:hAnsi="Times New Roman" w:cs="Times New Roman"/>
          <w:sz w:val="24"/>
          <w:szCs w:val="24"/>
        </w:rPr>
        <w:t>na taxa de desemprego</w:t>
      </w:r>
      <w:r>
        <w:rPr>
          <w:rFonts w:ascii="Times New Roman" w:hAnsi="Times New Roman" w:cs="Times New Roman"/>
          <w:sz w:val="24"/>
          <w:szCs w:val="24"/>
        </w:rPr>
        <w:t>, em relação ao ano anterior. Essa elevação</w:t>
      </w:r>
      <w:r w:rsidRPr="009A1049">
        <w:rPr>
          <w:rFonts w:ascii="Times New Roman" w:hAnsi="Times New Roman" w:cs="Times New Roman"/>
          <w:sz w:val="24"/>
          <w:szCs w:val="24"/>
        </w:rPr>
        <w:t xml:space="preserve"> foi impulsionad</w:t>
      </w:r>
      <w:r>
        <w:rPr>
          <w:rFonts w:ascii="Times New Roman" w:hAnsi="Times New Roman" w:cs="Times New Roman"/>
          <w:sz w:val="24"/>
          <w:szCs w:val="24"/>
        </w:rPr>
        <w:t>a</w:t>
      </w:r>
      <w:r w:rsidRPr="009A1049">
        <w:rPr>
          <w:rFonts w:ascii="Times New Roman" w:hAnsi="Times New Roman" w:cs="Times New Roman"/>
          <w:sz w:val="24"/>
          <w:szCs w:val="24"/>
        </w:rPr>
        <w:t xml:space="preserve"> </w:t>
      </w:r>
      <w:r w:rsidR="00792C5D">
        <w:rPr>
          <w:rFonts w:ascii="Times New Roman" w:hAnsi="Times New Roman" w:cs="Times New Roman"/>
          <w:sz w:val="24"/>
          <w:szCs w:val="24"/>
        </w:rPr>
        <w:t>pela</w:t>
      </w:r>
      <w:r w:rsidRPr="009A1049">
        <w:rPr>
          <w:rFonts w:ascii="Times New Roman" w:hAnsi="Times New Roman" w:cs="Times New Roman"/>
          <w:sz w:val="24"/>
          <w:szCs w:val="24"/>
        </w:rPr>
        <w:t xml:space="preserve"> crise econômica</w:t>
      </w:r>
      <w:r w:rsidR="000D588E">
        <w:rPr>
          <w:rFonts w:ascii="Times New Roman" w:hAnsi="Times New Roman" w:cs="Times New Roman"/>
          <w:sz w:val="24"/>
          <w:szCs w:val="24"/>
        </w:rPr>
        <w:t xml:space="preserve"> nacional</w:t>
      </w:r>
      <w:r>
        <w:rPr>
          <w:rFonts w:ascii="Times New Roman" w:hAnsi="Times New Roman" w:cs="Times New Roman"/>
          <w:sz w:val="24"/>
          <w:szCs w:val="24"/>
        </w:rPr>
        <w:t xml:space="preserve"> relacionada a mudanças na política econômica</w:t>
      </w:r>
      <w:r w:rsidR="00B55BEC">
        <w:rPr>
          <w:rFonts w:ascii="Times New Roman" w:hAnsi="Times New Roman" w:cs="Times New Roman"/>
          <w:sz w:val="24"/>
          <w:szCs w:val="24"/>
        </w:rPr>
        <w:t xml:space="preserve"> com ajustes fiscais contracionistas </w:t>
      </w:r>
      <w:r>
        <w:rPr>
          <w:rFonts w:ascii="Times New Roman" w:hAnsi="Times New Roman" w:cs="Times New Roman"/>
          <w:sz w:val="24"/>
          <w:szCs w:val="24"/>
        </w:rPr>
        <w:t>e descontrole do processo inflacionário</w:t>
      </w:r>
      <w:r w:rsidRPr="009A1049">
        <w:rPr>
          <w:rFonts w:ascii="Times New Roman" w:hAnsi="Times New Roman" w:cs="Times New Roman"/>
          <w:sz w:val="24"/>
          <w:szCs w:val="24"/>
        </w:rPr>
        <w:t>, instabilidade política</w:t>
      </w:r>
      <w:r>
        <w:rPr>
          <w:rFonts w:ascii="Times New Roman" w:hAnsi="Times New Roman" w:cs="Times New Roman"/>
          <w:sz w:val="24"/>
          <w:szCs w:val="24"/>
        </w:rPr>
        <w:t xml:space="preserve"> em virtude de escândalos de corrupção</w:t>
      </w:r>
      <w:r w:rsidR="002B5EE2">
        <w:rPr>
          <w:rFonts w:ascii="Times New Roman" w:hAnsi="Times New Roman" w:cs="Times New Roman"/>
          <w:sz w:val="24"/>
          <w:szCs w:val="24"/>
        </w:rPr>
        <w:t>,</w:t>
      </w:r>
      <w:r w:rsidR="000D588E">
        <w:rPr>
          <w:rFonts w:ascii="Times New Roman" w:hAnsi="Times New Roman" w:cs="Times New Roman"/>
          <w:sz w:val="24"/>
          <w:szCs w:val="24"/>
        </w:rPr>
        <w:t xml:space="preserve"> ocorridos de 2014 a 2016</w:t>
      </w:r>
      <w:r w:rsidR="002B5EE2">
        <w:rPr>
          <w:rFonts w:ascii="Times New Roman" w:hAnsi="Times New Roman" w:cs="Times New Roman"/>
          <w:sz w:val="24"/>
          <w:szCs w:val="24"/>
        </w:rPr>
        <w:t>,</w:t>
      </w:r>
      <w:r w:rsidR="001C1C01">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9A1049">
        <w:rPr>
          <w:rFonts w:ascii="Times New Roman" w:hAnsi="Times New Roman" w:cs="Times New Roman"/>
          <w:sz w:val="24"/>
          <w:szCs w:val="24"/>
        </w:rPr>
        <w:t>redução de investimentos</w:t>
      </w:r>
      <w:r w:rsidR="000031BA">
        <w:rPr>
          <w:rFonts w:ascii="Times New Roman" w:hAnsi="Times New Roman" w:cs="Times New Roman"/>
          <w:sz w:val="24"/>
          <w:szCs w:val="24"/>
        </w:rPr>
        <w:t>,</w:t>
      </w:r>
      <w:r>
        <w:rPr>
          <w:rFonts w:ascii="Times New Roman" w:hAnsi="Times New Roman" w:cs="Times New Roman"/>
          <w:sz w:val="24"/>
          <w:szCs w:val="24"/>
        </w:rPr>
        <w:t xml:space="preserve"> devido à incerteza sobre os rumos da economia brasileira (POCHMANN, 2015; CHAHAD, 2016; MATTEI, 2020). </w:t>
      </w:r>
      <w:r w:rsidR="00991F0C">
        <w:rPr>
          <w:rFonts w:ascii="Times New Roman" w:hAnsi="Times New Roman" w:cs="Times New Roman"/>
          <w:sz w:val="24"/>
          <w:szCs w:val="24"/>
        </w:rPr>
        <w:t xml:space="preserve">O </w:t>
      </w:r>
      <w:r w:rsidR="00583405">
        <w:rPr>
          <w:rFonts w:ascii="Times New Roman" w:hAnsi="Times New Roman" w:cs="Times New Roman"/>
          <w:sz w:val="24"/>
          <w:szCs w:val="24"/>
        </w:rPr>
        <w:t>agravamento</w:t>
      </w:r>
      <w:r w:rsidR="00991F0C">
        <w:rPr>
          <w:rFonts w:ascii="Times New Roman" w:hAnsi="Times New Roman" w:cs="Times New Roman"/>
          <w:sz w:val="24"/>
          <w:szCs w:val="24"/>
        </w:rPr>
        <w:t xml:space="preserve"> da crise política </w:t>
      </w:r>
      <w:r w:rsidR="00583405">
        <w:rPr>
          <w:rFonts w:ascii="Times New Roman" w:hAnsi="Times New Roman" w:cs="Times New Roman"/>
          <w:sz w:val="24"/>
          <w:szCs w:val="24"/>
        </w:rPr>
        <w:t>inicia</w:t>
      </w:r>
      <w:r w:rsidR="00821FD2">
        <w:rPr>
          <w:rFonts w:ascii="Times New Roman" w:hAnsi="Times New Roman" w:cs="Times New Roman"/>
          <w:sz w:val="24"/>
          <w:szCs w:val="24"/>
        </w:rPr>
        <w:t>-se</w:t>
      </w:r>
      <w:r w:rsidR="00583405">
        <w:rPr>
          <w:rFonts w:ascii="Times New Roman" w:hAnsi="Times New Roman" w:cs="Times New Roman"/>
          <w:sz w:val="24"/>
          <w:szCs w:val="24"/>
        </w:rPr>
        <w:t>, e</w:t>
      </w:r>
      <w:r w:rsidR="00845002">
        <w:rPr>
          <w:rFonts w:ascii="Times New Roman" w:hAnsi="Times New Roman" w:cs="Times New Roman"/>
          <w:sz w:val="24"/>
          <w:szCs w:val="24"/>
        </w:rPr>
        <w:t xml:space="preserve">m maio de 2016, </w:t>
      </w:r>
      <w:r w:rsidR="00583405">
        <w:rPr>
          <w:rFonts w:ascii="Times New Roman" w:hAnsi="Times New Roman" w:cs="Times New Roman"/>
          <w:sz w:val="24"/>
          <w:szCs w:val="24"/>
        </w:rPr>
        <w:t xml:space="preserve">quando </w:t>
      </w:r>
      <w:r w:rsidR="00845002" w:rsidRPr="00845002">
        <w:rPr>
          <w:rFonts w:ascii="Times New Roman" w:hAnsi="Times New Roman" w:cs="Times New Roman"/>
          <w:sz w:val="24"/>
          <w:szCs w:val="24"/>
        </w:rPr>
        <w:t xml:space="preserve">a então Presidente </w:t>
      </w:r>
      <w:r w:rsidR="00583405">
        <w:rPr>
          <w:rFonts w:ascii="Times New Roman" w:hAnsi="Times New Roman" w:cs="Times New Roman"/>
          <w:sz w:val="24"/>
          <w:szCs w:val="24"/>
        </w:rPr>
        <w:t xml:space="preserve">da República, </w:t>
      </w:r>
      <w:r w:rsidR="00845002" w:rsidRPr="00845002">
        <w:rPr>
          <w:rFonts w:ascii="Times New Roman" w:hAnsi="Times New Roman" w:cs="Times New Roman"/>
          <w:sz w:val="24"/>
          <w:szCs w:val="24"/>
        </w:rPr>
        <w:t>Dilma Rousseff</w:t>
      </w:r>
      <w:r w:rsidR="00583405">
        <w:rPr>
          <w:rFonts w:ascii="Times New Roman" w:hAnsi="Times New Roman" w:cs="Times New Roman"/>
          <w:sz w:val="24"/>
          <w:szCs w:val="24"/>
        </w:rPr>
        <w:t xml:space="preserve">, </w:t>
      </w:r>
      <w:r w:rsidR="00845002" w:rsidRPr="00845002">
        <w:rPr>
          <w:rFonts w:ascii="Times New Roman" w:hAnsi="Times New Roman" w:cs="Times New Roman"/>
          <w:sz w:val="24"/>
          <w:szCs w:val="24"/>
        </w:rPr>
        <w:t>foi afastada da presidência pelo Senado Federal</w:t>
      </w:r>
      <w:r w:rsidR="00845002">
        <w:rPr>
          <w:rFonts w:ascii="Times New Roman" w:hAnsi="Times New Roman" w:cs="Times New Roman"/>
          <w:sz w:val="24"/>
          <w:szCs w:val="24"/>
        </w:rPr>
        <w:t>,</w:t>
      </w:r>
      <w:r w:rsidR="00845002" w:rsidRPr="00845002">
        <w:rPr>
          <w:rFonts w:ascii="Times New Roman" w:hAnsi="Times New Roman" w:cs="Times New Roman"/>
          <w:sz w:val="24"/>
          <w:szCs w:val="24"/>
        </w:rPr>
        <w:t xml:space="preserve"> para ser julgada por crime de responsabilidade fiscal. Em agosto do mesmo ano, Dilma foi</w:t>
      </w:r>
      <w:r w:rsidR="00991F0C">
        <w:rPr>
          <w:rFonts w:ascii="Times New Roman" w:hAnsi="Times New Roman" w:cs="Times New Roman"/>
          <w:sz w:val="24"/>
          <w:szCs w:val="24"/>
        </w:rPr>
        <w:t>,</w:t>
      </w:r>
      <w:r w:rsidR="00845002" w:rsidRPr="00845002">
        <w:rPr>
          <w:rFonts w:ascii="Times New Roman" w:hAnsi="Times New Roman" w:cs="Times New Roman"/>
          <w:sz w:val="24"/>
          <w:szCs w:val="24"/>
        </w:rPr>
        <w:t xml:space="preserve"> definitivamente</w:t>
      </w:r>
      <w:r w:rsidR="00991F0C">
        <w:rPr>
          <w:rFonts w:ascii="Times New Roman" w:hAnsi="Times New Roman" w:cs="Times New Roman"/>
          <w:sz w:val="24"/>
          <w:szCs w:val="24"/>
        </w:rPr>
        <w:t>,</w:t>
      </w:r>
      <w:r w:rsidR="00845002" w:rsidRPr="00845002">
        <w:rPr>
          <w:rFonts w:ascii="Times New Roman" w:hAnsi="Times New Roman" w:cs="Times New Roman"/>
          <w:sz w:val="24"/>
          <w:szCs w:val="24"/>
        </w:rPr>
        <w:t xml:space="preserve"> destituída da </w:t>
      </w:r>
      <w:r w:rsidR="00845002">
        <w:rPr>
          <w:rFonts w:ascii="Times New Roman" w:hAnsi="Times New Roman" w:cs="Times New Roman"/>
          <w:sz w:val="24"/>
          <w:szCs w:val="24"/>
        </w:rPr>
        <w:t>chefia do Estado brasileiro</w:t>
      </w:r>
      <w:r w:rsidR="00845002" w:rsidRPr="00845002">
        <w:rPr>
          <w:rFonts w:ascii="Times New Roman" w:hAnsi="Times New Roman" w:cs="Times New Roman"/>
          <w:sz w:val="24"/>
          <w:szCs w:val="24"/>
        </w:rPr>
        <w:t xml:space="preserve">, dando lugar a Michel Temer como </w:t>
      </w:r>
      <w:r w:rsidR="00821FD2">
        <w:rPr>
          <w:rFonts w:ascii="Times New Roman" w:hAnsi="Times New Roman" w:cs="Times New Roman"/>
          <w:sz w:val="24"/>
          <w:szCs w:val="24"/>
        </w:rPr>
        <w:t>C</w:t>
      </w:r>
      <w:r w:rsidR="00845002" w:rsidRPr="00845002">
        <w:rPr>
          <w:rFonts w:ascii="Times New Roman" w:hAnsi="Times New Roman" w:cs="Times New Roman"/>
          <w:sz w:val="24"/>
          <w:szCs w:val="24"/>
        </w:rPr>
        <w:t xml:space="preserve">hefe de </w:t>
      </w:r>
      <w:r w:rsidR="00821FD2">
        <w:rPr>
          <w:rFonts w:ascii="Times New Roman" w:hAnsi="Times New Roman" w:cs="Times New Roman"/>
          <w:sz w:val="24"/>
          <w:szCs w:val="24"/>
        </w:rPr>
        <w:t>G</w:t>
      </w:r>
      <w:r w:rsidR="00845002" w:rsidRPr="00845002">
        <w:rPr>
          <w:rFonts w:ascii="Times New Roman" w:hAnsi="Times New Roman" w:cs="Times New Roman"/>
          <w:sz w:val="24"/>
          <w:szCs w:val="24"/>
        </w:rPr>
        <w:t>overno efetivo do país</w:t>
      </w:r>
      <w:r w:rsidR="00845002">
        <w:rPr>
          <w:rFonts w:ascii="Times New Roman" w:hAnsi="Times New Roman" w:cs="Times New Roman"/>
          <w:sz w:val="24"/>
          <w:szCs w:val="24"/>
        </w:rPr>
        <w:t xml:space="preserve"> (AMORIM NETO, 2016).</w:t>
      </w:r>
    </w:p>
    <w:p w14:paraId="524B455D" w14:textId="19435385" w:rsidR="00E03E59" w:rsidRDefault="00E5664E">
      <w:pPr>
        <w:rPr>
          <w:rFonts w:ascii="Times New Roman" w:hAnsi="Times New Roman" w:cs="Times New Roman"/>
          <w:sz w:val="24"/>
          <w:szCs w:val="24"/>
        </w:rPr>
      </w:pPr>
      <w:r>
        <w:rPr>
          <w:rFonts w:ascii="Times New Roman" w:hAnsi="Times New Roman" w:cs="Times New Roman"/>
          <w:sz w:val="24"/>
          <w:szCs w:val="24"/>
        </w:rPr>
        <w:t xml:space="preserve">Posteriormente, em 2017, com o </w:t>
      </w:r>
      <w:r w:rsidR="0040716F">
        <w:rPr>
          <w:rFonts w:ascii="Times New Roman" w:hAnsi="Times New Roman" w:cs="Times New Roman"/>
          <w:sz w:val="24"/>
          <w:szCs w:val="24"/>
        </w:rPr>
        <w:t>propósito de fomentar a formalização dos vínculos</w:t>
      </w:r>
      <w:r w:rsidR="00583405">
        <w:rPr>
          <w:rFonts w:ascii="Times New Roman" w:hAnsi="Times New Roman" w:cs="Times New Roman"/>
          <w:sz w:val="24"/>
          <w:szCs w:val="24"/>
        </w:rPr>
        <w:t xml:space="preserve"> laborais</w:t>
      </w:r>
      <w:r w:rsidR="0040716F">
        <w:rPr>
          <w:rFonts w:ascii="Times New Roman" w:hAnsi="Times New Roman" w:cs="Times New Roman"/>
          <w:sz w:val="24"/>
          <w:szCs w:val="24"/>
        </w:rPr>
        <w:t xml:space="preserve"> e o </w:t>
      </w:r>
      <w:r w:rsidR="00B0655C">
        <w:rPr>
          <w:rFonts w:ascii="Times New Roman" w:hAnsi="Times New Roman" w:cs="Times New Roman"/>
          <w:sz w:val="24"/>
          <w:szCs w:val="24"/>
        </w:rPr>
        <w:t xml:space="preserve">acréscimo </w:t>
      </w:r>
      <w:r w:rsidR="0040716F">
        <w:rPr>
          <w:rFonts w:ascii="Times New Roman" w:hAnsi="Times New Roman" w:cs="Times New Roman"/>
          <w:sz w:val="24"/>
          <w:szCs w:val="24"/>
        </w:rPr>
        <w:t>do número de empregos disponíveis,</w:t>
      </w:r>
      <w:r>
        <w:rPr>
          <w:rFonts w:ascii="Times New Roman" w:hAnsi="Times New Roman" w:cs="Times New Roman"/>
          <w:sz w:val="24"/>
          <w:szCs w:val="24"/>
        </w:rPr>
        <w:t xml:space="preserve"> </w:t>
      </w:r>
      <w:r w:rsidRPr="00CA3BB8">
        <w:rPr>
          <w:rFonts w:ascii="Times New Roman" w:eastAsia="Times New Roman" w:hAnsi="Times New Roman" w:cs="Times New Roman"/>
          <w:sz w:val="24"/>
          <w:szCs w:val="24"/>
          <w:lang w:eastAsia="pt-BR"/>
        </w:rPr>
        <w:t xml:space="preserve">a proposta de Reforma Trabalhista tornou-se lei, </w:t>
      </w:r>
      <w:r w:rsidR="002B5EE2">
        <w:rPr>
          <w:rFonts w:ascii="Times New Roman" w:eastAsia="Times New Roman" w:hAnsi="Times New Roman" w:cs="Times New Roman"/>
          <w:sz w:val="24"/>
          <w:szCs w:val="24"/>
          <w:lang w:eastAsia="pt-BR"/>
        </w:rPr>
        <w:t xml:space="preserve">em novembro, </w:t>
      </w:r>
      <w:r w:rsidRPr="00CA3BB8">
        <w:rPr>
          <w:rFonts w:ascii="Times New Roman" w:eastAsia="Times New Roman" w:hAnsi="Times New Roman" w:cs="Times New Roman"/>
          <w:sz w:val="24"/>
          <w:szCs w:val="24"/>
          <w:lang w:eastAsia="pt-BR"/>
        </w:rPr>
        <w:t>durante o mandato de Michel Temer</w:t>
      </w:r>
      <w:r w:rsidR="00826BAA">
        <w:rPr>
          <w:rFonts w:ascii="Times New Roman" w:eastAsia="Times New Roman" w:hAnsi="Times New Roman" w:cs="Times New Roman"/>
          <w:sz w:val="24"/>
          <w:szCs w:val="24"/>
          <w:lang w:eastAsia="pt-BR"/>
        </w:rPr>
        <w:t xml:space="preserve"> (</w:t>
      </w:r>
      <w:r w:rsidR="00B55BEC">
        <w:rPr>
          <w:rFonts w:ascii="Times New Roman" w:eastAsia="Times New Roman" w:hAnsi="Times New Roman" w:cs="Times New Roman"/>
          <w:sz w:val="24"/>
          <w:szCs w:val="24"/>
          <w:lang w:eastAsia="pt-BR"/>
        </w:rPr>
        <w:t>2016</w:t>
      </w:r>
      <w:r w:rsidR="00826BAA">
        <w:rPr>
          <w:rFonts w:ascii="Times New Roman" w:eastAsia="Times New Roman" w:hAnsi="Times New Roman" w:cs="Times New Roman"/>
          <w:sz w:val="24"/>
          <w:szCs w:val="24"/>
          <w:lang w:eastAsia="pt-BR"/>
        </w:rPr>
        <w:t>-</w:t>
      </w:r>
      <w:r w:rsidR="00B55BEC">
        <w:rPr>
          <w:rFonts w:ascii="Times New Roman" w:eastAsia="Times New Roman" w:hAnsi="Times New Roman" w:cs="Times New Roman"/>
          <w:sz w:val="24"/>
          <w:szCs w:val="24"/>
          <w:lang w:eastAsia="pt-BR"/>
        </w:rPr>
        <w:t>18</w:t>
      </w:r>
      <w:r w:rsidR="00826BAA">
        <w:rPr>
          <w:rFonts w:ascii="Times New Roman" w:eastAsia="Times New Roman" w:hAnsi="Times New Roman" w:cs="Times New Roman"/>
          <w:sz w:val="24"/>
          <w:szCs w:val="24"/>
          <w:lang w:eastAsia="pt-BR"/>
        </w:rPr>
        <w:t>)</w:t>
      </w:r>
      <w:r w:rsidRPr="00CA3BB8">
        <w:rPr>
          <w:rFonts w:ascii="Times New Roman" w:eastAsia="Times New Roman" w:hAnsi="Times New Roman" w:cs="Times New Roman"/>
          <w:sz w:val="24"/>
          <w:szCs w:val="24"/>
          <w:lang w:eastAsia="pt-BR"/>
        </w:rPr>
        <w:t>, e entrou em vigor</w:t>
      </w:r>
      <w:r w:rsidR="002B5EE2">
        <w:rPr>
          <w:rFonts w:ascii="Times New Roman" w:eastAsia="Times New Roman" w:hAnsi="Times New Roman" w:cs="Times New Roman"/>
          <w:sz w:val="24"/>
          <w:szCs w:val="24"/>
          <w:lang w:eastAsia="pt-BR"/>
        </w:rPr>
        <w:t>,</w:t>
      </w:r>
      <w:r w:rsidRPr="00CA3BB8">
        <w:rPr>
          <w:rFonts w:ascii="Times New Roman" w:eastAsia="Times New Roman" w:hAnsi="Times New Roman" w:cs="Times New Roman"/>
          <w:sz w:val="24"/>
          <w:szCs w:val="24"/>
          <w:lang w:eastAsia="pt-BR"/>
        </w:rPr>
        <w:t xml:space="preserve"> no final do mesmo ano</w:t>
      </w:r>
      <w:r>
        <w:rPr>
          <w:rFonts w:ascii="Times New Roman" w:eastAsia="Times New Roman" w:hAnsi="Times New Roman" w:cs="Times New Roman"/>
          <w:sz w:val="24"/>
          <w:szCs w:val="24"/>
          <w:lang w:eastAsia="pt-BR"/>
        </w:rPr>
        <w:t xml:space="preserve">. Nesse </w:t>
      </w:r>
      <w:r w:rsidR="0040716F">
        <w:rPr>
          <w:rFonts w:ascii="Times New Roman" w:eastAsia="Times New Roman" w:hAnsi="Times New Roman" w:cs="Times New Roman"/>
          <w:sz w:val="24"/>
          <w:szCs w:val="24"/>
          <w:lang w:eastAsia="pt-BR"/>
        </w:rPr>
        <w:t xml:space="preserve">cenário, </w:t>
      </w:r>
      <w:r w:rsidR="00B55BEC">
        <w:rPr>
          <w:rFonts w:ascii="Times New Roman" w:eastAsia="Times New Roman" w:hAnsi="Times New Roman" w:cs="Times New Roman"/>
          <w:sz w:val="24"/>
          <w:szCs w:val="24"/>
          <w:lang w:eastAsia="pt-BR"/>
        </w:rPr>
        <w:t xml:space="preserve">foram adotados </w:t>
      </w:r>
      <w:r w:rsidRPr="00CA3BB8">
        <w:rPr>
          <w:rFonts w:ascii="Times New Roman" w:eastAsia="Times New Roman" w:hAnsi="Times New Roman" w:cs="Times New Roman"/>
          <w:sz w:val="24"/>
          <w:szCs w:val="24"/>
          <w:lang w:eastAsia="pt-BR"/>
        </w:rPr>
        <w:t>cort</w:t>
      </w:r>
      <w:r w:rsidR="00B55BEC">
        <w:rPr>
          <w:rFonts w:ascii="Times New Roman" w:eastAsia="Times New Roman" w:hAnsi="Times New Roman" w:cs="Times New Roman"/>
          <w:sz w:val="24"/>
          <w:szCs w:val="24"/>
          <w:lang w:eastAsia="pt-BR"/>
        </w:rPr>
        <w:t>es</w:t>
      </w:r>
      <w:r w:rsidRPr="00CA3BB8">
        <w:rPr>
          <w:rFonts w:ascii="Times New Roman" w:eastAsia="Times New Roman" w:hAnsi="Times New Roman" w:cs="Times New Roman"/>
          <w:sz w:val="24"/>
          <w:szCs w:val="24"/>
          <w:lang w:eastAsia="pt-BR"/>
        </w:rPr>
        <w:t xml:space="preserve"> </w:t>
      </w:r>
      <w:r w:rsidR="00B55BEC">
        <w:rPr>
          <w:rFonts w:ascii="Times New Roman" w:eastAsia="Times New Roman" w:hAnsi="Times New Roman" w:cs="Times New Roman"/>
          <w:sz w:val="24"/>
          <w:szCs w:val="24"/>
          <w:lang w:eastAsia="pt-BR"/>
        </w:rPr>
        <w:t>n</w:t>
      </w:r>
      <w:r w:rsidRPr="00CA3BB8">
        <w:rPr>
          <w:rFonts w:ascii="Times New Roman" w:eastAsia="Times New Roman" w:hAnsi="Times New Roman" w:cs="Times New Roman"/>
          <w:sz w:val="24"/>
          <w:szCs w:val="24"/>
          <w:lang w:eastAsia="pt-BR"/>
        </w:rPr>
        <w:t xml:space="preserve">os custos diretos </w:t>
      </w:r>
      <w:r w:rsidR="00826BAA">
        <w:rPr>
          <w:rFonts w:ascii="Times New Roman" w:eastAsia="Times New Roman" w:hAnsi="Times New Roman" w:cs="Times New Roman"/>
          <w:sz w:val="24"/>
          <w:szCs w:val="24"/>
          <w:lang w:eastAsia="pt-BR"/>
        </w:rPr>
        <w:t>e</w:t>
      </w:r>
      <w:r w:rsidR="00826BAA" w:rsidRPr="00CA3BB8">
        <w:rPr>
          <w:rFonts w:ascii="Times New Roman" w:eastAsia="Times New Roman" w:hAnsi="Times New Roman" w:cs="Times New Roman"/>
          <w:sz w:val="24"/>
          <w:szCs w:val="24"/>
          <w:lang w:eastAsia="pt-BR"/>
        </w:rPr>
        <w:t xml:space="preserve"> </w:t>
      </w:r>
      <w:r w:rsidRPr="00CA3BB8">
        <w:rPr>
          <w:rFonts w:ascii="Times New Roman" w:eastAsia="Times New Roman" w:hAnsi="Times New Roman" w:cs="Times New Roman"/>
          <w:sz w:val="24"/>
          <w:szCs w:val="24"/>
          <w:lang w:eastAsia="pt-BR"/>
        </w:rPr>
        <w:t xml:space="preserve">indiretos dos empresários </w:t>
      </w:r>
      <w:r w:rsidR="00A37A5E">
        <w:rPr>
          <w:rFonts w:ascii="Times New Roman" w:eastAsia="Times New Roman" w:hAnsi="Times New Roman" w:cs="Times New Roman"/>
          <w:sz w:val="24"/>
          <w:szCs w:val="24"/>
          <w:lang w:eastAsia="pt-BR"/>
        </w:rPr>
        <w:t>com</w:t>
      </w:r>
      <w:r w:rsidR="000D4C0C" w:rsidRPr="000D4C0C">
        <w:rPr>
          <w:rFonts w:ascii="Times New Roman" w:eastAsia="Times New Roman" w:hAnsi="Times New Roman" w:cs="Times New Roman"/>
          <w:sz w:val="24"/>
          <w:szCs w:val="24"/>
          <w:lang w:eastAsia="pt-BR"/>
        </w:rPr>
        <w:t xml:space="preserve"> a força de trabalho</w:t>
      </w:r>
      <w:r w:rsidR="00B3348B">
        <w:rPr>
          <w:rFonts w:ascii="Times New Roman" w:eastAsia="Times New Roman" w:hAnsi="Times New Roman" w:cs="Times New Roman"/>
          <w:sz w:val="24"/>
          <w:szCs w:val="24"/>
          <w:lang w:eastAsia="pt-BR"/>
        </w:rPr>
        <w:t>, resultantes d</w:t>
      </w:r>
      <w:r w:rsidR="00A37A5E">
        <w:rPr>
          <w:rFonts w:ascii="Times New Roman" w:eastAsia="Times New Roman" w:hAnsi="Times New Roman" w:cs="Times New Roman"/>
          <w:sz w:val="24"/>
          <w:szCs w:val="24"/>
          <w:lang w:eastAsia="pt-BR"/>
        </w:rPr>
        <w:t>e</w:t>
      </w:r>
      <w:r w:rsidR="00B3348B">
        <w:rPr>
          <w:rFonts w:ascii="Times New Roman" w:eastAsia="Times New Roman" w:hAnsi="Times New Roman" w:cs="Times New Roman"/>
          <w:sz w:val="24"/>
          <w:szCs w:val="24"/>
          <w:lang w:eastAsia="pt-BR"/>
        </w:rPr>
        <w:t xml:space="preserve"> </w:t>
      </w:r>
      <w:r w:rsidR="00B3348B" w:rsidRPr="00B3348B">
        <w:rPr>
          <w:rFonts w:ascii="Times New Roman" w:eastAsia="Times New Roman" w:hAnsi="Times New Roman" w:cs="Times New Roman"/>
          <w:sz w:val="24"/>
          <w:szCs w:val="24"/>
          <w:lang w:eastAsia="pt-BR"/>
        </w:rPr>
        <w:t>flexibilização das leis trabalhistas, facili</w:t>
      </w:r>
      <w:r w:rsidR="00B3348B">
        <w:rPr>
          <w:rFonts w:ascii="Times New Roman" w:eastAsia="Times New Roman" w:hAnsi="Times New Roman" w:cs="Times New Roman"/>
          <w:sz w:val="24"/>
          <w:szCs w:val="24"/>
          <w:lang w:eastAsia="pt-BR"/>
        </w:rPr>
        <w:t>dade</w:t>
      </w:r>
      <w:r w:rsidR="00B3348B" w:rsidRPr="00B3348B">
        <w:rPr>
          <w:rFonts w:ascii="Times New Roman" w:eastAsia="Times New Roman" w:hAnsi="Times New Roman" w:cs="Times New Roman"/>
          <w:sz w:val="24"/>
          <w:szCs w:val="24"/>
          <w:lang w:eastAsia="pt-BR"/>
        </w:rPr>
        <w:t xml:space="preserve"> </w:t>
      </w:r>
      <w:r w:rsidR="00B3348B">
        <w:rPr>
          <w:rFonts w:ascii="Times New Roman" w:eastAsia="Times New Roman" w:hAnsi="Times New Roman" w:cs="Times New Roman"/>
          <w:sz w:val="24"/>
          <w:szCs w:val="24"/>
          <w:lang w:eastAsia="pt-BR"/>
        </w:rPr>
        <w:t>de</w:t>
      </w:r>
      <w:r w:rsidR="00B3348B" w:rsidRPr="00B3348B">
        <w:rPr>
          <w:rFonts w:ascii="Times New Roman" w:eastAsia="Times New Roman" w:hAnsi="Times New Roman" w:cs="Times New Roman"/>
          <w:sz w:val="24"/>
          <w:szCs w:val="24"/>
          <w:lang w:eastAsia="pt-BR"/>
        </w:rPr>
        <w:t xml:space="preserve"> contratação e demissão de funcionários</w:t>
      </w:r>
      <w:r w:rsidR="00B3348B">
        <w:rPr>
          <w:rFonts w:ascii="Times New Roman" w:eastAsia="Times New Roman" w:hAnsi="Times New Roman" w:cs="Times New Roman"/>
          <w:sz w:val="24"/>
          <w:szCs w:val="24"/>
          <w:lang w:eastAsia="pt-BR"/>
        </w:rPr>
        <w:t xml:space="preserve"> e d</w:t>
      </w:r>
      <w:r w:rsidR="00B3348B" w:rsidRPr="00B3348B">
        <w:rPr>
          <w:rFonts w:ascii="Times New Roman" w:eastAsia="Times New Roman" w:hAnsi="Times New Roman" w:cs="Times New Roman"/>
          <w:sz w:val="24"/>
          <w:szCs w:val="24"/>
          <w:lang w:eastAsia="pt-BR"/>
        </w:rPr>
        <w:t>a redução de encargos trabalhistas e previdenciários</w:t>
      </w:r>
      <w:r w:rsidR="00B3348B">
        <w:rPr>
          <w:rFonts w:ascii="Times New Roman" w:eastAsia="Times New Roman" w:hAnsi="Times New Roman" w:cs="Times New Roman"/>
          <w:sz w:val="24"/>
          <w:szCs w:val="24"/>
          <w:lang w:eastAsia="pt-BR"/>
        </w:rPr>
        <w:t xml:space="preserve"> </w:t>
      </w:r>
      <w:r w:rsidR="00CD3202" w:rsidRPr="00CD3202">
        <w:rPr>
          <w:rFonts w:ascii="Times New Roman" w:eastAsia="Times New Roman" w:hAnsi="Times New Roman" w:cs="Times New Roman"/>
          <w:sz w:val="24"/>
          <w:szCs w:val="24"/>
          <w:lang w:eastAsia="pt-BR"/>
        </w:rPr>
        <w:t>(FILGUEIRAS, KREIN, OLIVEIRA, 2019)</w:t>
      </w:r>
      <w:r w:rsidR="0040716F">
        <w:rPr>
          <w:rFonts w:ascii="Times New Roman" w:eastAsia="Times New Roman" w:hAnsi="Times New Roman" w:cs="Times New Roman"/>
          <w:sz w:val="24"/>
          <w:szCs w:val="24"/>
          <w:lang w:eastAsia="pt-BR"/>
        </w:rPr>
        <w:t xml:space="preserve">. </w:t>
      </w:r>
      <w:r w:rsidR="0006330E">
        <w:rPr>
          <w:rFonts w:ascii="Times New Roman" w:eastAsia="Times New Roman" w:hAnsi="Times New Roman" w:cs="Times New Roman"/>
          <w:sz w:val="24"/>
          <w:szCs w:val="24"/>
          <w:lang w:eastAsia="pt-BR"/>
        </w:rPr>
        <w:t xml:space="preserve">O </w:t>
      </w:r>
      <w:r w:rsidR="00236270">
        <w:rPr>
          <w:rFonts w:ascii="Times New Roman" w:eastAsia="Times New Roman" w:hAnsi="Times New Roman" w:cs="Times New Roman"/>
          <w:sz w:val="24"/>
          <w:szCs w:val="24"/>
          <w:lang w:eastAsia="pt-BR"/>
        </w:rPr>
        <w:t xml:space="preserve">intuito foi </w:t>
      </w:r>
      <w:r w:rsidR="0040716F" w:rsidRPr="00CA3BB8">
        <w:rPr>
          <w:rFonts w:ascii="Times New Roman" w:eastAsia="Times New Roman" w:hAnsi="Times New Roman" w:cs="Times New Roman"/>
          <w:sz w:val="24"/>
          <w:szCs w:val="24"/>
          <w:lang w:eastAsia="pt-BR"/>
        </w:rPr>
        <w:t xml:space="preserve">flexibilizar os dispositivos </w:t>
      </w:r>
      <w:r w:rsidR="00A10BFB">
        <w:rPr>
          <w:rFonts w:ascii="Times New Roman" w:eastAsia="Times New Roman" w:hAnsi="Times New Roman" w:cs="Times New Roman"/>
          <w:sz w:val="24"/>
          <w:szCs w:val="24"/>
          <w:lang w:eastAsia="pt-BR"/>
        </w:rPr>
        <w:t xml:space="preserve">legais </w:t>
      </w:r>
      <w:r w:rsidR="0040716F" w:rsidRPr="00CA3BB8">
        <w:rPr>
          <w:rFonts w:ascii="Times New Roman" w:eastAsia="Times New Roman" w:hAnsi="Times New Roman" w:cs="Times New Roman"/>
          <w:sz w:val="24"/>
          <w:szCs w:val="24"/>
          <w:lang w:eastAsia="pt-BR"/>
        </w:rPr>
        <w:t>sobre a jornada de trabalho e sobre a remuneração, ao propor a prevalência de acordos coletivos sobre a lei</w:t>
      </w:r>
      <w:r w:rsidR="0040716F">
        <w:rPr>
          <w:rFonts w:ascii="Times New Roman" w:eastAsia="Times New Roman" w:hAnsi="Times New Roman" w:cs="Times New Roman"/>
          <w:sz w:val="24"/>
          <w:szCs w:val="24"/>
          <w:lang w:eastAsia="pt-BR"/>
        </w:rPr>
        <w:t xml:space="preserve"> (CARVALHO, 2017).</w:t>
      </w:r>
    </w:p>
    <w:p w14:paraId="54CF78FC" w14:textId="22996BA0" w:rsidR="00740097" w:rsidRDefault="005F52E6">
      <w:pPr>
        <w:rPr>
          <w:rFonts w:ascii="Times New Roman" w:hAnsi="Times New Roman" w:cs="Times New Roman"/>
          <w:sz w:val="24"/>
          <w:szCs w:val="24"/>
        </w:rPr>
      </w:pPr>
      <w:r>
        <w:rPr>
          <w:rFonts w:ascii="Times New Roman" w:hAnsi="Times New Roman" w:cs="Times New Roman"/>
          <w:sz w:val="24"/>
          <w:szCs w:val="24"/>
        </w:rPr>
        <w:t>Em</w:t>
      </w:r>
      <w:r w:rsidR="006149AE">
        <w:rPr>
          <w:rFonts w:ascii="Times New Roman" w:hAnsi="Times New Roman" w:cs="Times New Roman"/>
          <w:sz w:val="24"/>
          <w:szCs w:val="24"/>
        </w:rPr>
        <w:t xml:space="preserve"> </w:t>
      </w:r>
      <w:r w:rsidR="00E03E59">
        <w:rPr>
          <w:rFonts w:ascii="Times New Roman" w:hAnsi="Times New Roman" w:cs="Times New Roman"/>
          <w:sz w:val="24"/>
          <w:szCs w:val="24"/>
        </w:rPr>
        <w:t>2020</w:t>
      </w:r>
      <w:r w:rsidR="006149AE">
        <w:rPr>
          <w:rFonts w:ascii="Times New Roman" w:hAnsi="Times New Roman" w:cs="Times New Roman"/>
          <w:sz w:val="24"/>
          <w:szCs w:val="24"/>
        </w:rPr>
        <w:t xml:space="preserve"> (primeiro ano pandêmico)</w:t>
      </w:r>
      <w:r w:rsidR="00E03E59">
        <w:rPr>
          <w:rFonts w:ascii="Times New Roman" w:hAnsi="Times New Roman" w:cs="Times New Roman"/>
          <w:sz w:val="24"/>
          <w:szCs w:val="24"/>
        </w:rPr>
        <w:t xml:space="preserve">, observou-se o acréscimo </w:t>
      </w:r>
      <w:r w:rsidR="006149AE">
        <w:rPr>
          <w:rFonts w:ascii="Times New Roman" w:hAnsi="Times New Roman" w:cs="Times New Roman"/>
          <w:sz w:val="24"/>
          <w:szCs w:val="24"/>
        </w:rPr>
        <w:t xml:space="preserve">de 11,80% </w:t>
      </w:r>
      <w:r w:rsidR="00E03E59">
        <w:rPr>
          <w:rFonts w:ascii="Times New Roman" w:hAnsi="Times New Roman" w:cs="Times New Roman"/>
          <w:sz w:val="24"/>
          <w:szCs w:val="24"/>
        </w:rPr>
        <w:t xml:space="preserve">no percentual de desocupação em comparação </w:t>
      </w:r>
      <w:r w:rsidR="006149AE">
        <w:rPr>
          <w:rFonts w:ascii="Times New Roman" w:hAnsi="Times New Roman" w:cs="Times New Roman"/>
          <w:sz w:val="24"/>
          <w:szCs w:val="24"/>
        </w:rPr>
        <w:t>a</w:t>
      </w:r>
      <w:r w:rsidR="00E03E59">
        <w:rPr>
          <w:rFonts w:ascii="Times New Roman" w:hAnsi="Times New Roman" w:cs="Times New Roman"/>
          <w:sz w:val="24"/>
          <w:szCs w:val="24"/>
        </w:rPr>
        <w:t xml:space="preserve"> 2019, </w:t>
      </w:r>
      <w:r w:rsidR="00E03E59" w:rsidRPr="008D1BFD">
        <w:rPr>
          <w:rFonts w:ascii="Times New Roman" w:hAnsi="Times New Roman" w:cs="Times New Roman"/>
          <w:sz w:val="24"/>
          <w:szCs w:val="24"/>
        </w:rPr>
        <w:t>causad</w:t>
      </w:r>
      <w:r w:rsidR="00E03E59">
        <w:rPr>
          <w:rFonts w:ascii="Times New Roman" w:hAnsi="Times New Roman" w:cs="Times New Roman"/>
          <w:sz w:val="24"/>
          <w:szCs w:val="24"/>
        </w:rPr>
        <w:t>o</w:t>
      </w:r>
      <w:r w:rsidR="00E03E59" w:rsidRPr="008D1BFD">
        <w:rPr>
          <w:rFonts w:ascii="Times New Roman" w:hAnsi="Times New Roman" w:cs="Times New Roman"/>
          <w:sz w:val="24"/>
          <w:szCs w:val="24"/>
        </w:rPr>
        <w:t xml:space="preserve"> pelos impactos severos d</w:t>
      </w:r>
      <w:r w:rsidR="00A10BFB">
        <w:rPr>
          <w:rFonts w:ascii="Times New Roman" w:hAnsi="Times New Roman" w:cs="Times New Roman"/>
          <w:sz w:val="24"/>
          <w:szCs w:val="24"/>
        </w:rPr>
        <w:t>o</w:t>
      </w:r>
      <w:r w:rsidR="00E03E59" w:rsidRPr="008D1BFD">
        <w:rPr>
          <w:rFonts w:ascii="Times New Roman" w:hAnsi="Times New Roman" w:cs="Times New Roman"/>
          <w:sz w:val="24"/>
          <w:szCs w:val="24"/>
        </w:rPr>
        <w:t xml:space="preserve"> COVID-19. </w:t>
      </w:r>
      <w:r w:rsidR="00E03E59">
        <w:rPr>
          <w:rFonts w:ascii="Times New Roman" w:hAnsi="Times New Roman" w:cs="Times New Roman"/>
          <w:sz w:val="24"/>
          <w:szCs w:val="24"/>
        </w:rPr>
        <w:t xml:space="preserve">Nessa conjuntura, o </w:t>
      </w:r>
      <w:r w:rsidR="00E03E59" w:rsidRPr="00DF44DA">
        <w:rPr>
          <w:rFonts w:ascii="Times New Roman" w:hAnsi="Times New Roman" w:cs="Times New Roman"/>
          <w:sz w:val="24"/>
          <w:szCs w:val="24"/>
        </w:rPr>
        <w:t xml:space="preserve">fechamento generalizado de empresas, a contração da atividade econômica e a incerteza </w:t>
      </w:r>
      <w:r w:rsidR="00643E70">
        <w:rPr>
          <w:rFonts w:ascii="Times New Roman" w:hAnsi="Times New Roman" w:cs="Times New Roman"/>
          <w:sz w:val="24"/>
          <w:szCs w:val="24"/>
        </w:rPr>
        <w:t xml:space="preserve">econômica </w:t>
      </w:r>
      <w:r w:rsidR="00E03E59" w:rsidRPr="00DF44DA">
        <w:rPr>
          <w:rFonts w:ascii="Times New Roman" w:hAnsi="Times New Roman" w:cs="Times New Roman"/>
          <w:sz w:val="24"/>
          <w:szCs w:val="24"/>
        </w:rPr>
        <w:t xml:space="preserve">predominante resultaram em demissões em </w:t>
      </w:r>
      <w:r w:rsidR="00E03E59" w:rsidRPr="00DF44DA">
        <w:rPr>
          <w:rFonts w:ascii="Times New Roman" w:hAnsi="Times New Roman" w:cs="Times New Roman"/>
          <w:sz w:val="24"/>
          <w:szCs w:val="24"/>
        </w:rPr>
        <w:lastRenderedPageBreak/>
        <w:t xml:space="preserve">larga escala, </w:t>
      </w:r>
      <w:r w:rsidR="00E03E59">
        <w:rPr>
          <w:rFonts w:ascii="Times New Roman" w:hAnsi="Times New Roman" w:cs="Times New Roman"/>
          <w:sz w:val="24"/>
          <w:szCs w:val="24"/>
        </w:rPr>
        <w:t xml:space="preserve">responsáveis por </w:t>
      </w:r>
      <w:r w:rsidR="00E03E59" w:rsidRPr="00DF44DA">
        <w:rPr>
          <w:rFonts w:ascii="Times New Roman" w:hAnsi="Times New Roman" w:cs="Times New Roman"/>
          <w:sz w:val="24"/>
          <w:szCs w:val="24"/>
        </w:rPr>
        <w:t>impacta</w:t>
      </w:r>
      <w:r w:rsidR="00E03E59">
        <w:rPr>
          <w:rFonts w:ascii="Times New Roman" w:hAnsi="Times New Roman" w:cs="Times New Roman"/>
          <w:sz w:val="24"/>
          <w:szCs w:val="24"/>
        </w:rPr>
        <w:t>r</w:t>
      </w:r>
      <w:r w:rsidR="00E03E59" w:rsidRPr="00DF44DA">
        <w:rPr>
          <w:rFonts w:ascii="Times New Roman" w:hAnsi="Times New Roman" w:cs="Times New Roman"/>
          <w:sz w:val="24"/>
          <w:szCs w:val="24"/>
        </w:rPr>
        <w:t xml:space="preserve"> setores diversos, notadamente</w:t>
      </w:r>
      <w:r w:rsidR="00E03E59">
        <w:rPr>
          <w:rFonts w:ascii="Times New Roman" w:hAnsi="Times New Roman" w:cs="Times New Roman"/>
          <w:sz w:val="24"/>
          <w:szCs w:val="24"/>
        </w:rPr>
        <w:t xml:space="preserve">, </w:t>
      </w:r>
      <w:r w:rsidR="00E03E59" w:rsidRPr="00DF44DA">
        <w:rPr>
          <w:rFonts w:ascii="Times New Roman" w:hAnsi="Times New Roman" w:cs="Times New Roman"/>
          <w:sz w:val="24"/>
          <w:szCs w:val="24"/>
        </w:rPr>
        <w:t>o turismo, a indústria e</w:t>
      </w:r>
      <w:r w:rsidR="00B3348B">
        <w:rPr>
          <w:rFonts w:ascii="Times New Roman" w:hAnsi="Times New Roman" w:cs="Times New Roman"/>
          <w:sz w:val="24"/>
          <w:szCs w:val="24"/>
        </w:rPr>
        <w:t xml:space="preserve"> o segmento de serviços.</w:t>
      </w:r>
      <w:r w:rsidR="00E03E59" w:rsidRPr="00DF44DA">
        <w:rPr>
          <w:rFonts w:ascii="Times New Roman" w:hAnsi="Times New Roman" w:cs="Times New Roman"/>
          <w:sz w:val="24"/>
          <w:szCs w:val="24"/>
        </w:rPr>
        <w:t xml:space="preserve"> </w:t>
      </w:r>
      <w:r w:rsidR="00740097">
        <w:rPr>
          <w:rFonts w:ascii="Times New Roman" w:hAnsi="Times New Roman" w:cs="Times New Roman"/>
          <w:sz w:val="24"/>
          <w:szCs w:val="24"/>
        </w:rPr>
        <w:t>Especificamente</w:t>
      </w:r>
      <w:r w:rsidR="006149AE">
        <w:rPr>
          <w:rFonts w:ascii="Times New Roman" w:hAnsi="Times New Roman" w:cs="Times New Roman"/>
          <w:sz w:val="24"/>
          <w:szCs w:val="24"/>
        </w:rPr>
        <w:t>,</w:t>
      </w:r>
      <w:r w:rsidR="00740097">
        <w:rPr>
          <w:rFonts w:ascii="Times New Roman" w:hAnsi="Times New Roman" w:cs="Times New Roman"/>
          <w:sz w:val="24"/>
          <w:szCs w:val="24"/>
        </w:rPr>
        <w:t xml:space="preserve"> os setores de turismo e serviços, </w:t>
      </w:r>
      <w:r w:rsidR="00B3348B">
        <w:rPr>
          <w:rFonts w:ascii="Times New Roman" w:hAnsi="Times New Roman" w:cs="Times New Roman"/>
          <w:sz w:val="24"/>
          <w:szCs w:val="24"/>
        </w:rPr>
        <w:t>caracterizados por</w:t>
      </w:r>
      <w:r w:rsidR="00B3348B" w:rsidRPr="00B3348B">
        <w:rPr>
          <w:rFonts w:ascii="Times New Roman" w:hAnsi="Times New Roman" w:cs="Times New Roman"/>
          <w:sz w:val="24"/>
          <w:szCs w:val="24"/>
        </w:rPr>
        <w:t xml:space="preserve"> emprega</w:t>
      </w:r>
      <w:r w:rsidR="00B3348B">
        <w:rPr>
          <w:rFonts w:ascii="Times New Roman" w:hAnsi="Times New Roman" w:cs="Times New Roman"/>
          <w:sz w:val="24"/>
          <w:szCs w:val="24"/>
        </w:rPr>
        <w:t>rem</w:t>
      </w:r>
      <w:r w:rsidR="00602AEA" w:rsidRPr="00602AEA">
        <w:rPr>
          <w:rFonts w:ascii="Times New Roman" w:hAnsi="Times New Roman" w:cs="Times New Roman"/>
          <w:sz w:val="24"/>
          <w:szCs w:val="24"/>
        </w:rPr>
        <w:t xml:space="preserve"> </w:t>
      </w:r>
      <w:r w:rsidR="00602AEA" w:rsidRPr="00B3348B">
        <w:rPr>
          <w:rFonts w:ascii="Times New Roman" w:hAnsi="Times New Roman" w:cs="Times New Roman"/>
          <w:sz w:val="24"/>
          <w:szCs w:val="24"/>
        </w:rPr>
        <w:t>trabalhadores informais</w:t>
      </w:r>
      <w:r w:rsidR="00602AEA">
        <w:rPr>
          <w:rFonts w:ascii="Times New Roman" w:hAnsi="Times New Roman" w:cs="Times New Roman"/>
          <w:sz w:val="24"/>
          <w:szCs w:val="24"/>
        </w:rPr>
        <w:t xml:space="preserve">, em maior intensidade, </w:t>
      </w:r>
      <w:r w:rsidR="00B3348B" w:rsidRPr="00B3348B">
        <w:rPr>
          <w:rFonts w:ascii="Times New Roman" w:hAnsi="Times New Roman" w:cs="Times New Roman"/>
          <w:sz w:val="24"/>
          <w:szCs w:val="24"/>
        </w:rPr>
        <w:t>foram</w:t>
      </w:r>
      <w:r w:rsidR="00602AEA">
        <w:rPr>
          <w:rFonts w:ascii="Times New Roman" w:hAnsi="Times New Roman" w:cs="Times New Roman"/>
          <w:sz w:val="24"/>
          <w:szCs w:val="24"/>
        </w:rPr>
        <w:t>,</w:t>
      </w:r>
      <w:r w:rsidR="00B3348B" w:rsidRPr="00B3348B">
        <w:rPr>
          <w:rFonts w:ascii="Times New Roman" w:hAnsi="Times New Roman" w:cs="Times New Roman"/>
          <w:sz w:val="24"/>
          <w:szCs w:val="24"/>
        </w:rPr>
        <w:t xml:space="preserve"> profundamente</w:t>
      </w:r>
      <w:r w:rsidR="00602AEA">
        <w:rPr>
          <w:rFonts w:ascii="Times New Roman" w:hAnsi="Times New Roman" w:cs="Times New Roman"/>
          <w:sz w:val="24"/>
          <w:szCs w:val="24"/>
        </w:rPr>
        <w:t>,</w:t>
      </w:r>
      <w:r w:rsidR="00B3348B" w:rsidRPr="00B3348B">
        <w:rPr>
          <w:rFonts w:ascii="Times New Roman" w:hAnsi="Times New Roman" w:cs="Times New Roman"/>
          <w:sz w:val="24"/>
          <w:szCs w:val="24"/>
        </w:rPr>
        <w:t xml:space="preserve"> impactados pelas medidas de distanciamento social</w:t>
      </w:r>
      <w:r w:rsidR="00740097">
        <w:rPr>
          <w:rFonts w:ascii="Times New Roman" w:hAnsi="Times New Roman" w:cs="Times New Roman"/>
          <w:sz w:val="24"/>
          <w:szCs w:val="24"/>
        </w:rPr>
        <w:t xml:space="preserve">. Nesse contexto de demissão em massa, </w:t>
      </w:r>
      <w:r w:rsidR="00B3348B" w:rsidRPr="00B3348B">
        <w:rPr>
          <w:rFonts w:ascii="Times New Roman" w:hAnsi="Times New Roman" w:cs="Times New Roman"/>
          <w:sz w:val="24"/>
          <w:szCs w:val="24"/>
        </w:rPr>
        <w:t xml:space="preserve">a ausência de proteção social para os trabalhadores informais os colocou em posição ainda mais vulnerável, privando-os de </w:t>
      </w:r>
      <w:r w:rsidR="001D3858">
        <w:rPr>
          <w:rFonts w:ascii="Times New Roman" w:hAnsi="Times New Roman" w:cs="Times New Roman"/>
          <w:sz w:val="24"/>
          <w:szCs w:val="24"/>
        </w:rPr>
        <w:t>relativa</w:t>
      </w:r>
      <w:r w:rsidR="00B3348B" w:rsidRPr="00B3348B">
        <w:rPr>
          <w:rFonts w:ascii="Times New Roman" w:hAnsi="Times New Roman" w:cs="Times New Roman"/>
          <w:sz w:val="24"/>
          <w:szCs w:val="24"/>
        </w:rPr>
        <w:t xml:space="preserve"> segurança financeira para enfrentar a crise</w:t>
      </w:r>
      <w:r w:rsidR="00740097">
        <w:rPr>
          <w:rFonts w:ascii="Times New Roman" w:hAnsi="Times New Roman" w:cs="Times New Roman"/>
          <w:sz w:val="24"/>
          <w:szCs w:val="24"/>
        </w:rPr>
        <w:t xml:space="preserve"> </w:t>
      </w:r>
      <w:r w:rsidR="00E03E59">
        <w:rPr>
          <w:rFonts w:ascii="Times New Roman" w:hAnsi="Times New Roman" w:cs="Times New Roman"/>
          <w:sz w:val="24"/>
          <w:szCs w:val="24"/>
        </w:rPr>
        <w:t>(BARBOSA, COSTA, HECKSHER, 2020; MATTEI, HEINEN, 2020)</w:t>
      </w:r>
      <w:r w:rsidR="00E03E59" w:rsidRPr="00DF44DA">
        <w:rPr>
          <w:rFonts w:ascii="Times New Roman" w:hAnsi="Times New Roman" w:cs="Times New Roman"/>
          <w:sz w:val="24"/>
          <w:szCs w:val="24"/>
        </w:rPr>
        <w:t>.</w:t>
      </w:r>
      <w:r w:rsidR="00E03E59">
        <w:rPr>
          <w:rFonts w:ascii="Times New Roman" w:hAnsi="Times New Roman" w:cs="Times New Roman"/>
          <w:sz w:val="24"/>
          <w:szCs w:val="24"/>
        </w:rPr>
        <w:t xml:space="preserve"> </w:t>
      </w:r>
    </w:p>
    <w:p w14:paraId="2CB0D262" w14:textId="12BAED74" w:rsidR="00E03E59" w:rsidRDefault="00740097">
      <w:pPr>
        <w:rPr>
          <w:rFonts w:ascii="Times New Roman" w:hAnsi="Times New Roman" w:cs="Times New Roman"/>
          <w:sz w:val="24"/>
          <w:szCs w:val="24"/>
        </w:rPr>
      </w:pPr>
      <w:r>
        <w:rPr>
          <w:rFonts w:ascii="Times New Roman" w:hAnsi="Times New Roman" w:cs="Times New Roman"/>
          <w:sz w:val="24"/>
          <w:szCs w:val="24"/>
        </w:rPr>
        <w:t>Adicionalmente, a</w:t>
      </w:r>
      <w:r w:rsidR="00E03E59" w:rsidRPr="00DF44DA">
        <w:rPr>
          <w:rFonts w:ascii="Times New Roman" w:hAnsi="Times New Roman" w:cs="Times New Roman"/>
          <w:sz w:val="24"/>
          <w:szCs w:val="24"/>
        </w:rPr>
        <w:t xml:space="preserve">s medidas governamentais </w:t>
      </w:r>
      <w:r w:rsidR="00164E6D">
        <w:rPr>
          <w:rFonts w:ascii="Times New Roman" w:hAnsi="Times New Roman" w:cs="Times New Roman"/>
          <w:sz w:val="24"/>
          <w:szCs w:val="24"/>
        </w:rPr>
        <w:t>para conter os efeitos prejudiciais da pandemia sob</w:t>
      </w:r>
      <w:r w:rsidR="000B2A28">
        <w:rPr>
          <w:rFonts w:ascii="Times New Roman" w:hAnsi="Times New Roman" w:cs="Times New Roman"/>
          <w:sz w:val="24"/>
          <w:szCs w:val="24"/>
        </w:rPr>
        <w:t>re</w:t>
      </w:r>
      <w:r w:rsidR="00164E6D">
        <w:rPr>
          <w:rFonts w:ascii="Times New Roman" w:hAnsi="Times New Roman" w:cs="Times New Roman"/>
          <w:sz w:val="24"/>
          <w:szCs w:val="24"/>
        </w:rPr>
        <w:t xml:space="preserve"> a esfera econômica</w:t>
      </w:r>
      <w:r w:rsidR="00E03E59" w:rsidRPr="00DF44DA">
        <w:rPr>
          <w:rFonts w:ascii="Times New Roman" w:hAnsi="Times New Roman" w:cs="Times New Roman"/>
          <w:sz w:val="24"/>
          <w:szCs w:val="24"/>
        </w:rPr>
        <w:t>, embora implementadas, não lograram conter</w:t>
      </w:r>
      <w:r w:rsidR="00E03E59">
        <w:rPr>
          <w:rFonts w:ascii="Times New Roman" w:hAnsi="Times New Roman" w:cs="Times New Roman"/>
          <w:sz w:val="24"/>
          <w:szCs w:val="24"/>
        </w:rPr>
        <w:t>,</w:t>
      </w:r>
      <w:r w:rsidR="00E03E59" w:rsidRPr="00DF44DA">
        <w:rPr>
          <w:rFonts w:ascii="Times New Roman" w:hAnsi="Times New Roman" w:cs="Times New Roman"/>
          <w:sz w:val="24"/>
          <w:szCs w:val="24"/>
        </w:rPr>
        <w:t xml:space="preserve"> de maneira suficiente</w:t>
      </w:r>
      <w:r w:rsidR="00E03E59">
        <w:rPr>
          <w:rFonts w:ascii="Times New Roman" w:hAnsi="Times New Roman" w:cs="Times New Roman"/>
          <w:sz w:val="24"/>
          <w:szCs w:val="24"/>
        </w:rPr>
        <w:t>,</w:t>
      </w:r>
      <w:r w:rsidR="00E03E59" w:rsidRPr="00DF44DA">
        <w:rPr>
          <w:rFonts w:ascii="Times New Roman" w:hAnsi="Times New Roman" w:cs="Times New Roman"/>
          <w:sz w:val="24"/>
          <w:szCs w:val="24"/>
        </w:rPr>
        <w:t xml:space="preserve"> o substancial </w:t>
      </w:r>
      <w:r w:rsidR="00D5631D">
        <w:rPr>
          <w:rFonts w:ascii="Times New Roman" w:hAnsi="Times New Roman" w:cs="Times New Roman"/>
          <w:sz w:val="24"/>
          <w:szCs w:val="24"/>
        </w:rPr>
        <w:t>incremento</w:t>
      </w:r>
      <w:r w:rsidR="00D5631D" w:rsidRPr="00DF44DA">
        <w:rPr>
          <w:rFonts w:ascii="Times New Roman" w:hAnsi="Times New Roman" w:cs="Times New Roman"/>
          <w:sz w:val="24"/>
          <w:szCs w:val="24"/>
        </w:rPr>
        <w:t xml:space="preserve"> </w:t>
      </w:r>
      <w:r w:rsidR="00E03E59" w:rsidRPr="00DF44DA">
        <w:rPr>
          <w:rFonts w:ascii="Times New Roman" w:hAnsi="Times New Roman" w:cs="Times New Roman"/>
          <w:sz w:val="24"/>
          <w:szCs w:val="24"/>
        </w:rPr>
        <w:t>do desemprego</w:t>
      </w:r>
      <w:r w:rsidR="00E03E59">
        <w:rPr>
          <w:rFonts w:ascii="Times New Roman" w:hAnsi="Times New Roman" w:cs="Times New Roman"/>
          <w:sz w:val="24"/>
          <w:szCs w:val="24"/>
        </w:rPr>
        <w:t xml:space="preserve"> (AULER, 2022)</w:t>
      </w:r>
      <w:r w:rsidR="00E03E59" w:rsidRPr="00DF44DA">
        <w:rPr>
          <w:rFonts w:ascii="Times New Roman" w:hAnsi="Times New Roman" w:cs="Times New Roman"/>
          <w:sz w:val="24"/>
          <w:szCs w:val="24"/>
        </w:rPr>
        <w:t>.</w:t>
      </w:r>
      <w:r w:rsidR="00E03E59">
        <w:rPr>
          <w:rFonts w:ascii="Times New Roman" w:hAnsi="Times New Roman" w:cs="Times New Roman"/>
          <w:sz w:val="24"/>
          <w:szCs w:val="24"/>
        </w:rPr>
        <w:t xml:space="preserve"> Por fim,</w:t>
      </w:r>
      <w:r w:rsidR="003D6F35">
        <w:rPr>
          <w:rFonts w:ascii="Times New Roman" w:hAnsi="Times New Roman" w:cs="Times New Roman"/>
          <w:sz w:val="24"/>
          <w:szCs w:val="24"/>
        </w:rPr>
        <w:t xml:space="preserve"> </w:t>
      </w:r>
      <w:r w:rsidR="0011174C">
        <w:rPr>
          <w:rFonts w:ascii="Times New Roman" w:hAnsi="Times New Roman" w:cs="Times New Roman"/>
          <w:sz w:val="24"/>
          <w:szCs w:val="24"/>
        </w:rPr>
        <w:t xml:space="preserve">retomando </w:t>
      </w:r>
      <w:r w:rsidR="003D6F35">
        <w:rPr>
          <w:rFonts w:ascii="Times New Roman" w:hAnsi="Times New Roman" w:cs="Times New Roman"/>
          <w:sz w:val="24"/>
          <w:szCs w:val="24"/>
        </w:rPr>
        <w:t>a Figura 1</w:t>
      </w:r>
      <w:r w:rsidR="0011174C">
        <w:rPr>
          <w:rFonts w:ascii="Times New Roman" w:hAnsi="Times New Roman" w:cs="Times New Roman"/>
          <w:sz w:val="24"/>
          <w:szCs w:val="24"/>
        </w:rPr>
        <w:t xml:space="preserve">, nota-se </w:t>
      </w:r>
      <w:r w:rsidR="00E30976">
        <w:rPr>
          <w:rFonts w:ascii="Times New Roman" w:hAnsi="Times New Roman" w:cs="Times New Roman"/>
          <w:sz w:val="24"/>
          <w:szCs w:val="24"/>
        </w:rPr>
        <w:t>uma possível</w:t>
      </w:r>
      <w:r w:rsidR="00E03E59" w:rsidRPr="002F1BF8">
        <w:rPr>
          <w:rFonts w:ascii="Times New Roman" w:hAnsi="Times New Roman" w:cs="Times New Roman"/>
          <w:sz w:val="24"/>
          <w:szCs w:val="24"/>
        </w:rPr>
        <w:t xml:space="preserve"> recuperação</w:t>
      </w:r>
      <w:r w:rsidR="00E30976">
        <w:rPr>
          <w:rFonts w:ascii="Times New Roman" w:hAnsi="Times New Roman" w:cs="Times New Roman"/>
          <w:sz w:val="24"/>
          <w:szCs w:val="24"/>
        </w:rPr>
        <w:t xml:space="preserve"> do mercado laboral</w:t>
      </w:r>
      <w:r w:rsidR="00E03E59">
        <w:rPr>
          <w:rFonts w:ascii="Times New Roman" w:hAnsi="Times New Roman" w:cs="Times New Roman"/>
          <w:sz w:val="24"/>
          <w:szCs w:val="24"/>
        </w:rPr>
        <w:t>,</w:t>
      </w:r>
      <w:r w:rsidR="00E03E59" w:rsidRPr="002F1BF8">
        <w:rPr>
          <w:rFonts w:ascii="Times New Roman" w:hAnsi="Times New Roman" w:cs="Times New Roman"/>
          <w:sz w:val="24"/>
          <w:szCs w:val="24"/>
        </w:rPr>
        <w:t xml:space="preserve"> evidenciada pela redução </w:t>
      </w:r>
      <w:r w:rsidR="00983E7C" w:rsidRPr="002F1BF8">
        <w:rPr>
          <w:rFonts w:ascii="Times New Roman" w:hAnsi="Times New Roman" w:cs="Times New Roman"/>
          <w:sz w:val="24"/>
          <w:szCs w:val="24"/>
        </w:rPr>
        <w:t xml:space="preserve">significativa </w:t>
      </w:r>
      <w:r w:rsidR="00E03E59" w:rsidRPr="002F1BF8">
        <w:rPr>
          <w:rFonts w:ascii="Times New Roman" w:hAnsi="Times New Roman" w:cs="Times New Roman"/>
          <w:sz w:val="24"/>
          <w:szCs w:val="24"/>
        </w:rPr>
        <w:t>da taxa de desemprego</w:t>
      </w:r>
      <w:r w:rsidR="00974453">
        <w:rPr>
          <w:rFonts w:ascii="Times New Roman" w:hAnsi="Times New Roman" w:cs="Times New Roman"/>
          <w:sz w:val="24"/>
          <w:szCs w:val="24"/>
        </w:rPr>
        <w:t xml:space="preserve"> </w:t>
      </w:r>
      <w:r w:rsidR="00983E7C" w:rsidRPr="002F1BF8">
        <w:rPr>
          <w:rFonts w:ascii="Times New Roman" w:hAnsi="Times New Roman" w:cs="Times New Roman"/>
          <w:sz w:val="24"/>
          <w:szCs w:val="24"/>
        </w:rPr>
        <w:t>de 28,12%</w:t>
      </w:r>
      <w:r w:rsidR="00983E7C">
        <w:rPr>
          <w:rFonts w:ascii="Times New Roman" w:hAnsi="Times New Roman" w:cs="Times New Roman"/>
          <w:sz w:val="24"/>
          <w:szCs w:val="24"/>
        </w:rPr>
        <w:t xml:space="preserve">, ao passar </w:t>
      </w:r>
      <w:r w:rsidR="00974453">
        <w:rPr>
          <w:rFonts w:ascii="Times New Roman" w:hAnsi="Times New Roman" w:cs="Times New Roman"/>
          <w:sz w:val="24"/>
          <w:szCs w:val="24"/>
        </w:rPr>
        <w:t>de 12,09%</w:t>
      </w:r>
      <w:r w:rsidR="005568C5">
        <w:rPr>
          <w:rFonts w:ascii="Times New Roman" w:hAnsi="Times New Roman" w:cs="Times New Roman"/>
          <w:sz w:val="24"/>
          <w:szCs w:val="24"/>
        </w:rPr>
        <w:t>,</w:t>
      </w:r>
      <w:r w:rsidR="00974453">
        <w:rPr>
          <w:rFonts w:ascii="Times New Roman" w:hAnsi="Times New Roman" w:cs="Times New Roman"/>
          <w:sz w:val="24"/>
          <w:szCs w:val="24"/>
        </w:rPr>
        <w:t xml:space="preserve"> em 2021,</w:t>
      </w:r>
      <w:r w:rsidR="00E03E59" w:rsidRPr="002F1BF8">
        <w:rPr>
          <w:rFonts w:ascii="Times New Roman" w:hAnsi="Times New Roman" w:cs="Times New Roman"/>
          <w:sz w:val="24"/>
          <w:szCs w:val="24"/>
        </w:rPr>
        <w:t xml:space="preserve"> para 8,69%</w:t>
      </w:r>
      <w:r w:rsidR="005568C5">
        <w:rPr>
          <w:rFonts w:ascii="Times New Roman" w:hAnsi="Times New Roman" w:cs="Times New Roman"/>
          <w:sz w:val="24"/>
          <w:szCs w:val="24"/>
        </w:rPr>
        <w:t>,</w:t>
      </w:r>
      <w:r w:rsidR="00974453">
        <w:rPr>
          <w:rFonts w:ascii="Times New Roman" w:hAnsi="Times New Roman" w:cs="Times New Roman"/>
          <w:sz w:val="24"/>
          <w:szCs w:val="24"/>
        </w:rPr>
        <w:t xml:space="preserve"> em 2022</w:t>
      </w:r>
      <w:r w:rsidR="00E03E59" w:rsidRPr="002F1BF8">
        <w:rPr>
          <w:rFonts w:ascii="Times New Roman" w:hAnsi="Times New Roman" w:cs="Times New Roman"/>
          <w:sz w:val="24"/>
          <w:szCs w:val="24"/>
        </w:rPr>
        <w:t xml:space="preserve">. </w:t>
      </w:r>
    </w:p>
    <w:p w14:paraId="18F07E6C" w14:textId="62E9AFF1" w:rsidR="004E1961" w:rsidRDefault="00E03E59">
      <w:pPr>
        <w:rPr>
          <w:rFonts w:ascii="Times New Roman" w:hAnsi="Times New Roman" w:cs="Times New Roman"/>
          <w:sz w:val="24"/>
          <w:szCs w:val="24"/>
        </w:rPr>
      </w:pPr>
      <w:r>
        <w:rPr>
          <w:rFonts w:ascii="Times New Roman" w:hAnsi="Times New Roman" w:cs="Times New Roman"/>
          <w:sz w:val="24"/>
          <w:szCs w:val="24"/>
        </w:rPr>
        <w:t xml:space="preserve">Em síntese, </w:t>
      </w:r>
      <w:r w:rsidR="00C50241">
        <w:rPr>
          <w:rFonts w:ascii="Times New Roman" w:hAnsi="Times New Roman" w:cs="Times New Roman"/>
          <w:sz w:val="24"/>
          <w:szCs w:val="24"/>
        </w:rPr>
        <w:t xml:space="preserve">esta primeira </w:t>
      </w:r>
      <w:r w:rsidRPr="006B2D9A">
        <w:rPr>
          <w:rFonts w:ascii="Times New Roman" w:hAnsi="Times New Roman" w:cs="Times New Roman"/>
          <w:sz w:val="24"/>
          <w:szCs w:val="24"/>
        </w:rPr>
        <w:t xml:space="preserve">análise longitudinal </w:t>
      </w:r>
      <w:r w:rsidR="00D24E40">
        <w:rPr>
          <w:rFonts w:ascii="Times New Roman" w:hAnsi="Times New Roman" w:cs="Times New Roman"/>
          <w:sz w:val="24"/>
          <w:szCs w:val="24"/>
        </w:rPr>
        <w:t>d</w:t>
      </w:r>
      <w:r w:rsidRPr="006B2D9A">
        <w:rPr>
          <w:rFonts w:ascii="Times New Roman" w:hAnsi="Times New Roman" w:cs="Times New Roman"/>
          <w:sz w:val="24"/>
          <w:szCs w:val="24"/>
        </w:rPr>
        <w:t xml:space="preserve">os anos de 2012 </w:t>
      </w:r>
      <w:r w:rsidR="00D24E40">
        <w:rPr>
          <w:rFonts w:ascii="Times New Roman" w:hAnsi="Times New Roman" w:cs="Times New Roman"/>
          <w:sz w:val="24"/>
          <w:szCs w:val="24"/>
        </w:rPr>
        <w:t>a</w:t>
      </w:r>
      <w:r w:rsidRPr="006B2D9A">
        <w:rPr>
          <w:rFonts w:ascii="Times New Roman" w:hAnsi="Times New Roman" w:cs="Times New Roman"/>
          <w:sz w:val="24"/>
          <w:szCs w:val="24"/>
        </w:rPr>
        <w:t xml:space="preserve"> 202</w:t>
      </w:r>
      <w:r w:rsidR="005F52E6">
        <w:rPr>
          <w:rFonts w:ascii="Times New Roman" w:hAnsi="Times New Roman" w:cs="Times New Roman"/>
          <w:sz w:val="24"/>
          <w:szCs w:val="24"/>
        </w:rPr>
        <w:t>3</w:t>
      </w:r>
      <w:r w:rsidRPr="006B2D9A">
        <w:rPr>
          <w:rFonts w:ascii="Times New Roman" w:hAnsi="Times New Roman" w:cs="Times New Roman"/>
          <w:sz w:val="24"/>
          <w:szCs w:val="24"/>
        </w:rPr>
        <w:t xml:space="preserve"> revela uma trajetória multifacetada </w:t>
      </w:r>
      <w:r w:rsidR="00974453">
        <w:rPr>
          <w:rFonts w:ascii="Times New Roman" w:hAnsi="Times New Roman" w:cs="Times New Roman"/>
          <w:sz w:val="24"/>
          <w:szCs w:val="24"/>
        </w:rPr>
        <w:t>d</w:t>
      </w:r>
      <w:r w:rsidRPr="006B2D9A">
        <w:rPr>
          <w:rFonts w:ascii="Times New Roman" w:hAnsi="Times New Roman" w:cs="Times New Roman"/>
          <w:sz w:val="24"/>
          <w:szCs w:val="24"/>
        </w:rPr>
        <w:t>as taxas de desemprego no contexto brasileiro. Inicialmente, constata</w:t>
      </w:r>
      <w:r w:rsidR="0003421E">
        <w:rPr>
          <w:rFonts w:ascii="Times New Roman" w:hAnsi="Times New Roman" w:cs="Times New Roman"/>
          <w:sz w:val="24"/>
          <w:szCs w:val="24"/>
        </w:rPr>
        <w:t>-se</w:t>
      </w:r>
      <w:r w:rsidRPr="006B2D9A">
        <w:rPr>
          <w:rFonts w:ascii="Times New Roman" w:hAnsi="Times New Roman" w:cs="Times New Roman"/>
          <w:sz w:val="24"/>
          <w:szCs w:val="24"/>
        </w:rPr>
        <w:t xml:space="preserve"> </w:t>
      </w:r>
      <w:r w:rsidR="007E08C8">
        <w:rPr>
          <w:rFonts w:ascii="Times New Roman" w:hAnsi="Times New Roman" w:cs="Times New Roman"/>
          <w:sz w:val="24"/>
          <w:szCs w:val="24"/>
        </w:rPr>
        <w:t>a</w:t>
      </w:r>
      <w:r w:rsidR="007E08C8" w:rsidRPr="006B2D9A">
        <w:rPr>
          <w:rFonts w:ascii="Times New Roman" w:hAnsi="Times New Roman" w:cs="Times New Roman"/>
          <w:sz w:val="24"/>
          <w:szCs w:val="24"/>
        </w:rPr>
        <w:t xml:space="preserve"> </w:t>
      </w:r>
      <w:r w:rsidRPr="006B2D9A">
        <w:rPr>
          <w:rFonts w:ascii="Times New Roman" w:hAnsi="Times New Roman" w:cs="Times New Roman"/>
          <w:sz w:val="24"/>
          <w:szCs w:val="24"/>
        </w:rPr>
        <w:t>tendência decrescente</w:t>
      </w:r>
      <w:r w:rsidR="00427647">
        <w:rPr>
          <w:rFonts w:ascii="Times New Roman" w:hAnsi="Times New Roman" w:cs="Times New Roman"/>
          <w:sz w:val="24"/>
          <w:szCs w:val="24"/>
        </w:rPr>
        <w:t xml:space="preserve"> do desemprego</w:t>
      </w:r>
      <w:r w:rsidRPr="006B2D9A">
        <w:rPr>
          <w:rFonts w:ascii="Times New Roman" w:hAnsi="Times New Roman" w:cs="Times New Roman"/>
          <w:sz w:val="24"/>
          <w:szCs w:val="24"/>
        </w:rPr>
        <w:t>,</w:t>
      </w:r>
      <w:r>
        <w:rPr>
          <w:rFonts w:ascii="Times New Roman" w:hAnsi="Times New Roman" w:cs="Times New Roman"/>
          <w:sz w:val="24"/>
          <w:szCs w:val="24"/>
        </w:rPr>
        <w:t xml:space="preserve"> de 2012 a 2014, </w:t>
      </w:r>
      <w:r w:rsidR="00427647">
        <w:rPr>
          <w:rFonts w:ascii="Times New Roman" w:hAnsi="Times New Roman" w:cs="Times New Roman"/>
          <w:sz w:val="24"/>
          <w:szCs w:val="24"/>
        </w:rPr>
        <w:t xml:space="preserve">dada a </w:t>
      </w:r>
      <w:r>
        <w:rPr>
          <w:rFonts w:ascii="Times New Roman" w:hAnsi="Times New Roman" w:cs="Times New Roman"/>
          <w:sz w:val="24"/>
          <w:szCs w:val="24"/>
        </w:rPr>
        <w:t xml:space="preserve">variação negativa </w:t>
      </w:r>
      <w:r w:rsidR="00427647">
        <w:rPr>
          <w:rFonts w:ascii="Times New Roman" w:hAnsi="Times New Roman" w:cs="Times New Roman"/>
          <w:sz w:val="24"/>
          <w:szCs w:val="24"/>
        </w:rPr>
        <w:t>d</w:t>
      </w:r>
      <w:r>
        <w:rPr>
          <w:rFonts w:ascii="Times New Roman" w:hAnsi="Times New Roman" w:cs="Times New Roman"/>
          <w:sz w:val="24"/>
          <w:szCs w:val="24"/>
        </w:rPr>
        <w:t>a ordem de 10,01%,</w:t>
      </w:r>
      <w:r w:rsidRPr="006B2D9A">
        <w:rPr>
          <w:rFonts w:ascii="Times New Roman" w:hAnsi="Times New Roman" w:cs="Times New Roman"/>
          <w:sz w:val="24"/>
          <w:szCs w:val="24"/>
        </w:rPr>
        <w:t xml:space="preserve"> influenciada pelo crescimento econômico</w:t>
      </w:r>
      <w:r w:rsidR="007E08C8">
        <w:rPr>
          <w:rFonts w:ascii="Times New Roman" w:hAnsi="Times New Roman" w:cs="Times New Roman"/>
          <w:sz w:val="24"/>
          <w:szCs w:val="24"/>
        </w:rPr>
        <w:t xml:space="preserve"> de </w:t>
      </w:r>
      <w:r w:rsidR="003870E3">
        <w:rPr>
          <w:rFonts w:ascii="Times New Roman" w:hAnsi="Times New Roman" w:cs="Times New Roman"/>
          <w:sz w:val="24"/>
          <w:szCs w:val="24"/>
        </w:rPr>
        <w:t>16,68% do PIB</w:t>
      </w:r>
      <w:r w:rsidR="00427647">
        <w:rPr>
          <w:rFonts w:ascii="Times New Roman" w:hAnsi="Times New Roman" w:cs="Times New Roman"/>
          <w:sz w:val="24"/>
          <w:szCs w:val="24"/>
        </w:rPr>
        <w:t>,</w:t>
      </w:r>
      <w:r w:rsidR="003870E3">
        <w:rPr>
          <w:rFonts w:ascii="Times New Roman" w:hAnsi="Times New Roman" w:cs="Times New Roman"/>
          <w:sz w:val="24"/>
          <w:szCs w:val="24"/>
        </w:rPr>
        <w:t xml:space="preserve"> em 2014, equiparado a 2012 (IBGE, 2016). </w:t>
      </w:r>
      <w:r w:rsidR="007E08C8">
        <w:rPr>
          <w:rFonts w:ascii="Times New Roman" w:hAnsi="Times New Roman" w:cs="Times New Roman"/>
          <w:sz w:val="24"/>
          <w:szCs w:val="24"/>
        </w:rPr>
        <w:t>A</w:t>
      </w:r>
      <w:r w:rsidR="007E08C8" w:rsidRPr="006B2D9A">
        <w:rPr>
          <w:rFonts w:ascii="Times New Roman" w:hAnsi="Times New Roman" w:cs="Times New Roman"/>
          <w:sz w:val="24"/>
          <w:szCs w:val="24"/>
        </w:rPr>
        <w:t xml:space="preserve"> partir de 2015, </w:t>
      </w:r>
      <w:r w:rsidR="007E08C8">
        <w:rPr>
          <w:rFonts w:ascii="Times New Roman" w:hAnsi="Times New Roman" w:cs="Times New Roman"/>
          <w:sz w:val="24"/>
          <w:szCs w:val="24"/>
        </w:rPr>
        <w:t>n</w:t>
      </w:r>
      <w:r w:rsidRPr="006B2D9A">
        <w:rPr>
          <w:rFonts w:ascii="Times New Roman" w:hAnsi="Times New Roman" w:cs="Times New Roman"/>
          <w:sz w:val="24"/>
          <w:szCs w:val="24"/>
        </w:rPr>
        <w:t xml:space="preserve">o entanto, </w:t>
      </w:r>
      <w:r w:rsidR="00974453">
        <w:rPr>
          <w:rFonts w:ascii="Times New Roman" w:hAnsi="Times New Roman" w:cs="Times New Roman"/>
          <w:sz w:val="24"/>
          <w:szCs w:val="24"/>
        </w:rPr>
        <w:t>observa-se</w:t>
      </w:r>
      <w:r w:rsidRPr="006B2D9A">
        <w:rPr>
          <w:rFonts w:ascii="Times New Roman" w:hAnsi="Times New Roman" w:cs="Times New Roman"/>
          <w:sz w:val="24"/>
          <w:szCs w:val="24"/>
        </w:rPr>
        <w:t xml:space="preserve"> </w:t>
      </w:r>
      <w:r>
        <w:rPr>
          <w:rFonts w:ascii="Times New Roman" w:hAnsi="Times New Roman" w:cs="Times New Roman"/>
          <w:sz w:val="24"/>
          <w:szCs w:val="24"/>
        </w:rPr>
        <w:t>a</w:t>
      </w:r>
      <w:r w:rsidRPr="006B2D9A">
        <w:rPr>
          <w:rFonts w:ascii="Times New Roman" w:hAnsi="Times New Roman" w:cs="Times New Roman"/>
          <w:sz w:val="24"/>
          <w:szCs w:val="24"/>
        </w:rPr>
        <w:t xml:space="preserve"> ascensão n</w:t>
      </w:r>
      <w:r>
        <w:rPr>
          <w:rFonts w:ascii="Times New Roman" w:hAnsi="Times New Roman" w:cs="Times New Roman"/>
          <w:sz w:val="24"/>
          <w:szCs w:val="24"/>
        </w:rPr>
        <w:t>os</w:t>
      </w:r>
      <w:r w:rsidRPr="006B2D9A">
        <w:rPr>
          <w:rFonts w:ascii="Times New Roman" w:hAnsi="Times New Roman" w:cs="Times New Roman"/>
          <w:sz w:val="24"/>
          <w:szCs w:val="24"/>
        </w:rPr>
        <w:t xml:space="preserve"> </w:t>
      </w:r>
      <w:r>
        <w:rPr>
          <w:rFonts w:ascii="Times New Roman" w:hAnsi="Times New Roman" w:cs="Times New Roman"/>
          <w:sz w:val="24"/>
          <w:szCs w:val="24"/>
        </w:rPr>
        <w:t>percentuais de desocupação</w:t>
      </w:r>
      <w:r w:rsidR="007E08C8">
        <w:rPr>
          <w:rFonts w:ascii="Times New Roman" w:hAnsi="Times New Roman" w:cs="Times New Roman"/>
          <w:sz w:val="24"/>
          <w:szCs w:val="24"/>
        </w:rPr>
        <w:t xml:space="preserve"> e, p</w:t>
      </w:r>
      <w:r>
        <w:rPr>
          <w:rFonts w:ascii="Times New Roman" w:hAnsi="Times New Roman" w:cs="Times New Roman"/>
          <w:sz w:val="24"/>
          <w:szCs w:val="24"/>
        </w:rPr>
        <w:t>osteriormente, o</w:t>
      </w:r>
      <w:r w:rsidRPr="006B2D9A">
        <w:rPr>
          <w:rFonts w:ascii="Times New Roman" w:hAnsi="Times New Roman" w:cs="Times New Roman"/>
          <w:sz w:val="24"/>
          <w:szCs w:val="24"/>
        </w:rPr>
        <w:t xml:space="preserve"> impacto acentuado d</w:t>
      </w:r>
      <w:r w:rsidR="007A0341">
        <w:rPr>
          <w:rFonts w:ascii="Times New Roman" w:hAnsi="Times New Roman" w:cs="Times New Roman"/>
          <w:sz w:val="24"/>
          <w:szCs w:val="24"/>
        </w:rPr>
        <w:t>ecorrente d</w:t>
      </w:r>
      <w:r w:rsidRPr="006B2D9A">
        <w:rPr>
          <w:rFonts w:ascii="Times New Roman" w:hAnsi="Times New Roman" w:cs="Times New Roman"/>
          <w:sz w:val="24"/>
          <w:szCs w:val="24"/>
        </w:rPr>
        <w:t>a pandemia de COVID-19</w:t>
      </w:r>
      <w:r>
        <w:rPr>
          <w:rFonts w:ascii="Times New Roman" w:hAnsi="Times New Roman" w:cs="Times New Roman"/>
          <w:sz w:val="24"/>
          <w:szCs w:val="24"/>
        </w:rPr>
        <w:t>,</w:t>
      </w:r>
      <w:r w:rsidRPr="006B2D9A">
        <w:rPr>
          <w:rFonts w:ascii="Times New Roman" w:hAnsi="Times New Roman" w:cs="Times New Roman"/>
          <w:sz w:val="24"/>
          <w:szCs w:val="24"/>
        </w:rPr>
        <w:t xml:space="preserve"> </w:t>
      </w:r>
      <w:r w:rsidR="007E08C8">
        <w:rPr>
          <w:rFonts w:ascii="Times New Roman" w:hAnsi="Times New Roman" w:cs="Times New Roman"/>
          <w:sz w:val="24"/>
          <w:szCs w:val="24"/>
        </w:rPr>
        <w:t xml:space="preserve">deflagrada </w:t>
      </w:r>
      <w:r w:rsidRPr="006B2D9A">
        <w:rPr>
          <w:rFonts w:ascii="Times New Roman" w:hAnsi="Times New Roman" w:cs="Times New Roman"/>
          <w:sz w:val="24"/>
          <w:szCs w:val="24"/>
        </w:rPr>
        <w:t>em 2020</w:t>
      </w:r>
      <w:r>
        <w:rPr>
          <w:rFonts w:ascii="Times New Roman" w:hAnsi="Times New Roman" w:cs="Times New Roman"/>
          <w:sz w:val="24"/>
          <w:szCs w:val="24"/>
        </w:rPr>
        <w:t>,</w:t>
      </w:r>
      <w:r w:rsidRPr="006B2D9A">
        <w:rPr>
          <w:rFonts w:ascii="Times New Roman" w:hAnsi="Times New Roman" w:cs="Times New Roman"/>
          <w:sz w:val="24"/>
          <w:szCs w:val="24"/>
        </w:rPr>
        <w:t xml:space="preserve"> precipitou uma série de demissões em grande escala. </w:t>
      </w:r>
    </w:p>
    <w:p w14:paraId="4C561E4A" w14:textId="4FB284BE" w:rsidR="009E6536" w:rsidRDefault="00427131" w:rsidP="00395402">
      <w:pPr>
        <w:rPr>
          <w:rFonts w:ascii="Times New Roman" w:hAnsi="Times New Roman" w:cs="Times New Roman"/>
          <w:sz w:val="24"/>
          <w:szCs w:val="24"/>
        </w:rPr>
      </w:pPr>
      <w:r>
        <w:rPr>
          <w:rFonts w:ascii="Times New Roman" w:hAnsi="Times New Roman" w:cs="Times New Roman"/>
          <w:sz w:val="24"/>
          <w:szCs w:val="24"/>
        </w:rPr>
        <w:t>Em conformidade com Pinto</w:t>
      </w:r>
      <w:r w:rsidR="00985145">
        <w:rPr>
          <w:rFonts w:ascii="Times New Roman" w:hAnsi="Times New Roman" w:cs="Times New Roman"/>
          <w:sz w:val="24"/>
          <w:szCs w:val="24"/>
        </w:rPr>
        <w:t xml:space="preserve"> (2023), a</w:t>
      </w:r>
      <w:r w:rsidR="00E03E59" w:rsidRPr="006B2D9A">
        <w:rPr>
          <w:rFonts w:ascii="Times New Roman" w:hAnsi="Times New Roman" w:cs="Times New Roman"/>
          <w:sz w:val="24"/>
          <w:szCs w:val="24"/>
        </w:rPr>
        <w:t xml:space="preserve"> subsequente fase de recuperação, embora marcada por desafios inerentes, é delineada pelos dados de 2022</w:t>
      </w:r>
      <w:r w:rsidR="00E03E59">
        <w:rPr>
          <w:rFonts w:ascii="Times New Roman" w:hAnsi="Times New Roman" w:cs="Times New Roman"/>
          <w:sz w:val="24"/>
          <w:szCs w:val="24"/>
        </w:rPr>
        <w:t xml:space="preserve">, os quais </w:t>
      </w:r>
      <w:r w:rsidR="00E03E59" w:rsidRPr="006B2D9A">
        <w:rPr>
          <w:rFonts w:ascii="Times New Roman" w:hAnsi="Times New Roman" w:cs="Times New Roman"/>
          <w:sz w:val="24"/>
          <w:szCs w:val="24"/>
        </w:rPr>
        <w:t>suger</w:t>
      </w:r>
      <w:r w:rsidR="00E03E59">
        <w:rPr>
          <w:rFonts w:ascii="Times New Roman" w:hAnsi="Times New Roman" w:cs="Times New Roman"/>
          <w:sz w:val="24"/>
          <w:szCs w:val="24"/>
        </w:rPr>
        <w:t>em</w:t>
      </w:r>
      <w:r w:rsidR="00E03E59" w:rsidRPr="006B2D9A">
        <w:rPr>
          <w:rFonts w:ascii="Times New Roman" w:hAnsi="Times New Roman" w:cs="Times New Roman"/>
          <w:sz w:val="24"/>
          <w:szCs w:val="24"/>
        </w:rPr>
        <w:t xml:space="preserve"> uma </w:t>
      </w:r>
      <w:r w:rsidR="00E30976">
        <w:rPr>
          <w:rFonts w:ascii="Times New Roman" w:hAnsi="Times New Roman" w:cs="Times New Roman"/>
          <w:sz w:val="24"/>
          <w:szCs w:val="24"/>
        </w:rPr>
        <w:t>r</w:t>
      </w:r>
      <w:r w:rsidR="00E03E59" w:rsidRPr="006B2D9A">
        <w:rPr>
          <w:rFonts w:ascii="Times New Roman" w:hAnsi="Times New Roman" w:cs="Times New Roman"/>
          <w:sz w:val="24"/>
          <w:szCs w:val="24"/>
        </w:rPr>
        <w:t>essurgência econômica</w:t>
      </w:r>
      <w:r w:rsidR="007A0341">
        <w:rPr>
          <w:rFonts w:ascii="Times New Roman" w:hAnsi="Times New Roman" w:cs="Times New Roman"/>
          <w:sz w:val="24"/>
          <w:szCs w:val="24"/>
        </w:rPr>
        <w:t xml:space="preserve"> para o Brasil</w:t>
      </w:r>
      <w:r w:rsidR="00E03E59" w:rsidRPr="006B2D9A">
        <w:rPr>
          <w:rFonts w:ascii="Times New Roman" w:hAnsi="Times New Roman" w:cs="Times New Roman"/>
          <w:sz w:val="24"/>
          <w:szCs w:val="24"/>
        </w:rPr>
        <w:t xml:space="preserve"> e perspectivas para a superação do período pandêmico, </w:t>
      </w:r>
      <w:r w:rsidR="00E03E59">
        <w:rPr>
          <w:rFonts w:ascii="Times New Roman" w:hAnsi="Times New Roman" w:cs="Times New Roman"/>
          <w:sz w:val="24"/>
          <w:szCs w:val="24"/>
        </w:rPr>
        <w:t xml:space="preserve">ao conferirem </w:t>
      </w:r>
      <w:r w:rsidR="004E1961">
        <w:rPr>
          <w:rFonts w:ascii="Times New Roman" w:hAnsi="Times New Roman" w:cs="Times New Roman"/>
          <w:sz w:val="24"/>
          <w:szCs w:val="24"/>
        </w:rPr>
        <w:t>menor ins</w:t>
      </w:r>
      <w:r w:rsidR="00E03E59" w:rsidRPr="006B2D9A">
        <w:rPr>
          <w:rFonts w:ascii="Times New Roman" w:hAnsi="Times New Roman" w:cs="Times New Roman"/>
          <w:sz w:val="24"/>
          <w:szCs w:val="24"/>
        </w:rPr>
        <w:t>tabilidade ao cenário laboral brasileiro.</w:t>
      </w:r>
      <w:r w:rsidR="00985145">
        <w:rPr>
          <w:rFonts w:ascii="Times New Roman" w:hAnsi="Times New Roman" w:cs="Times New Roman"/>
          <w:sz w:val="24"/>
          <w:szCs w:val="24"/>
        </w:rPr>
        <w:t xml:space="preserve"> Adema</w:t>
      </w:r>
      <w:r w:rsidR="004E1961">
        <w:rPr>
          <w:rFonts w:ascii="Times New Roman" w:hAnsi="Times New Roman" w:cs="Times New Roman"/>
          <w:sz w:val="24"/>
          <w:szCs w:val="24"/>
        </w:rPr>
        <w:t>i</w:t>
      </w:r>
      <w:r w:rsidR="00985145">
        <w:rPr>
          <w:rFonts w:ascii="Times New Roman" w:hAnsi="Times New Roman" w:cs="Times New Roman"/>
          <w:sz w:val="24"/>
          <w:szCs w:val="24"/>
        </w:rPr>
        <w:t>s, a</w:t>
      </w:r>
      <w:r w:rsidR="00985145" w:rsidRPr="00985145">
        <w:rPr>
          <w:rFonts w:ascii="Times New Roman" w:hAnsi="Times New Roman" w:cs="Times New Roman"/>
          <w:sz w:val="24"/>
          <w:szCs w:val="24"/>
        </w:rPr>
        <w:t xml:space="preserve"> </w:t>
      </w:r>
      <w:r w:rsidR="00985145">
        <w:rPr>
          <w:rFonts w:ascii="Times New Roman" w:hAnsi="Times New Roman" w:cs="Times New Roman"/>
          <w:sz w:val="24"/>
          <w:szCs w:val="24"/>
        </w:rPr>
        <w:t>revitalização</w:t>
      </w:r>
      <w:r w:rsidR="00985145" w:rsidRPr="00985145">
        <w:rPr>
          <w:rFonts w:ascii="Times New Roman" w:hAnsi="Times New Roman" w:cs="Times New Roman"/>
          <w:sz w:val="24"/>
          <w:szCs w:val="24"/>
        </w:rPr>
        <w:t xml:space="preserve"> econômica</w:t>
      </w:r>
      <w:r w:rsidR="009E6536">
        <w:rPr>
          <w:rFonts w:ascii="Times New Roman" w:hAnsi="Times New Roman" w:cs="Times New Roman"/>
          <w:sz w:val="24"/>
          <w:szCs w:val="24"/>
        </w:rPr>
        <w:t>,</w:t>
      </w:r>
      <w:r w:rsidR="00985145" w:rsidRPr="00985145">
        <w:rPr>
          <w:rFonts w:ascii="Times New Roman" w:hAnsi="Times New Roman" w:cs="Times New Roman"/>
          <w:sz w:val="24"/>
          <w:szCs w:val="24"/>
        </w:rPr>
        <w:t xml:space="preserve"> pós-pandemia da COVID-19</w:t>
      </w:r>
      <w:r w:rsidR="009E6536">
        <w:rPr>
          <w:rFonts w:ascii="Times New Roman" w:hAnsi="Times New Roman" w:cs="Times New Roman"/>
          <w:sz w:val="24"/>
          <w:szCs w:val="24"/>
        </w:rPr>
        <w:t>,</w:t>
      </w:r>
      <w:r w:rsidR="00985145" w:rsidRPr="00985145">
        <w:rPr>
          <w:rFonts w:ascii="Times New Roman" w:hAnsi="Times New Roman" w:cs="Times New Roman"/>
          <w:sz w:val="24"/>
          <w:szCs w:val="24"/>
        </w:rPr>
        <w:t xml:space="preserve"> </w:t>
      </w:r>
      <w:r w:rsidR="00985145">
        <w:rPr>
          <w:rFonts w:ascii="Times New Roman" w:hAnsi="Times New Roman" w:cs="Times New Roman"/>
          <w:sz w:val="24"/>
          <w:szCs w:val="24"/>
        </w:rPr>
        <w:t>mostrou-se</w:t>
      </w:r>
      <w:r w:rsidR="00985145" w:rsidRPr="00985145">
        <w:rPr>
          <w:rFonts w:ascii="Times New Roman" w:hAnsi="Times New Roman" w:cs="Times New Roman"/>
          <w:sz w:val="24"/>
          <w:szCs w:val="24"/>
        </w:rPr>
        <w:t xml:space="preserve"> um processo gradual e complexo, influenciado por diversos fatores, como a eficácia das políticas públicas implementadas,</w:t>
      </w:r>
      <w:r w:rsidR="00985145">
        <w:rPr>
          <w:rFonts w:ascii="Times New Roman" w:hAnsi="Times New Roman" w:cs="Times New Roman"/>
          <w:sz w:val="24"/>
          <w:szCs w:val="24"/>
        </w:rPr>
        <w:t xml:space="preserve"> a exemplo do </w:t>
      </w:r>
      <w:r w:rsidR="0049194F">
        <w:rPr>
          <w:rFonts w:ascii="Times New Roman" w:hAnsi="Times New Roman" w:cs="Times New Roman"/>
          <w:sz w:val="24"/>
          <w:szCs w:val="24"/>
        </w:rPr>
        <w:t>A</w:t>
      </w:r>
      <w:r w:rsidR="00985145">
        <w:rPr>
          <w:rFonts w:ascii="Times New Roman" w:hAnsi="Times New Roman" w:cs="Times New Roman"/>
          <w:sz w:val="24"/>
          <w:szCs w:val="24"/>
        </w:rPr>
        <w:t xml:space="preserve">uxílio </w:t>
      </w:r>
      <w:r w:rsidR="0049194F">
        <w:rPr>
          <w:rFonts w:ascii="Times New Roman" w:hAnsi="Times New Roman" w:cs="Times New Roman"/>
          <w:sz w:val="24"/>
          <w:szCs w:val="24"/>
        </w:rPr>
        <w:t>E</w:t>
      </w:r>
      <w:r w:rsidR="00985145">
        <w:rPr>
          <w:rFonts w:ascii="Times New Roman" w:hAnsi="Times New Roman" w:cs="Times New Roman"/>
          <w:sz w:val="24"/>
          <w:szCs w:val="24"/>
        </w:rPr>
        <w:t>mergencial,</w:t>
      </w:r>
      <w:r w:rsidR="00985145" w:rsidRPr="00985145">
        <w:rPr>
          <w:rFonts w:ascii="Times New Roman" w:hAnsi="Times New Roman" w:cs="Times New Roman"/>
          <w:sz w:val="24"/>
          <w:szCs w:val="24"/>
        </w:rPr>
        <w:t xml:space="preserve"> </w:t>
      </w:r>
      <w:r w:rsidR="0049194F">
        <w:rPr>
          <w:rFonts w:ascii="Times New Roman" w:hAnsi="Times New Roman" w:cs="Times New Roman"/>
          <w:sz w:val="24"/>
          <w:szCs w:val="24"/>
        </w:rPr>
        <w:t>d</w:t>
      </w:r>
      <w:r w:rsidR="00985145" w:rsidRPr="00985145">
        <w:rPr>
          <w:rFonts w:ascii="Times New Roman" w:hAnsi="Times New Roman" w:cs="Times New Roman"/>
          <w:sz w:val="24"/>
          <w:szCs w:val="24"/>
        </w:rPr>
        <w:t>a confiança dos agentes econômicos</w:t>
      </w:r>
      <w:r w:rsidR="00985145">
        <w:rPr>
          <w:rFonts w:ascii="Times New Roman" w:hAnsi="Times New Roman" w:cs="Times New Roman"/>
          <w:sz w:val="24"/>
          <w:szCs w:val="24"/>
        </w:rPr>
        <w:t xml:space="preserve">, </w:t>
      </w:r>
      <w:r w:rsidR="0049194F">
        <w:rPr>
          <w:rFonts w:ascii="Times New Roman" w:hAnsi="Times New Roman" w:cs="Times New Roman"/>
          <w:sz w:val="24"/>
          <w:szCs w:val="24"/>
        </w:rPr>
        <w:t>d</w:t>
      </w:r>
      <w:r w:rsidR="00985145" w:rsidRPr="00C54510">
        <w:rPr>
          <w:rFonts w:ascii="Times New Roman" w:hAnsi="Times New Roman" w:cs="Times New Roman"/>
          <w:sz w:val="24"/>
          <w:szCs w:val="24"/>
        </w:rPr>
        <w:t>o progresso da vacinação, entre outros.</w:t>
      </w:r>
      <w:r w:rsidR="0038769A">
        <w:rPr>
          <w:rFonts w:ascii="Times New Roman" w:hAnsi="Times New Roman" w:cs="Times New Roman"/>
          <w:sz w:val="24"/>
          <w:szCs w:val="24"/>
        </w:rPr>
        <w:t xml:space="preserve"> </w:t>
      </w:r>
    </w:p>
    <w:p w14:paraId="642726A6" w14:textId="306E2A99" w:rsidR="00E03E59" w:rsidRPr="00E42269" w:rsidRDefault="00E03E59" w:rsidP="00395402">
      <w:pPr>
        <w:pStyle w:val="Ttulo1"/>
        <w:numPr>
          <w:ilvl w:val="1"/>
          <w:numId w:val="44"/>
        </w:numPr>
        <w:spacing w:before="0"/>
        <w:ind w:left="0" w:firstLine="0"/>
        <w:rPr>
          <w:b/>
          <w:bCs/>
        </w:rPr>
      </w:pPr>
      <w:bookmarkStart w:id="12" w:name="_Toc160609824"/>
      <w:r w:rsidRPr="00E42269">
        <w:rPr>
          <w:b/>
          <w:bCs/>
        </w:rPr>
        <w:t>Decomposição da variação da taxa de desemprego</w:t>
      </w:r>
      <w:r w:rsidR="00661CAD" w:rsidRPr="00E42269">
        <w:rPr>
          <w:b/>
          <w:bCs/>
        </w:rPr>
        <w:t xml:space="preserve">: </w:t>
      </w:r>
      <w:r w:rsidRPr="00E42269">
        <w:rPr>
          <w:b/>
          <w:bCs/>
        </w:rPr>
        <w:t>fator</w:t>
      </w:r>
      <w:r w:rsidR="00661CAD" w:rsidRPr="00E42269">
        <w:rPr>
          <w:b/>
          <w:bCs/>
        </w:rPr>
        <w:t>es</w:t>
      </w:r>
      <w:r w:rsidRPr="00E42269">
        <w:rPr>
          <w:b/>
          <w:bCs/>
        </w:rPr>
        <w:t xml:space="preserve"> sociodemográfico</w:t>
      </w:r>
      <w:r w:rsidR="00661CAD" w:rsidRPr="00E42269">
        <w:rPr>
          <w:b/>
          <w:bCs/>
        </w:rPr>
        <w:t>s</w:t>
      </w:r>
      <w:r w:rsidRPr="00E42269">
        <w:rPr>
          <w:b/>
          <w:bCs/>
        </w:rPr>
        <w:t xml:space="preserve"> e regiona</w:t>
      </w:r>
      <w:r w:rsidR="00661CAD" w:rsidRPr="00E42269">
        <w:rPr>
          <w:b/>
          <w:bCs/>
        </w:rPr>
        <w:t>is</w:t>
      </w:r>
      <w:bookmarkEnd w:id="12"/>
    </w:p>
    <w:p w14:paraId="4D028B37" w14:textId="51A77AEB" w:rsidR="00E03E59" w:rsidRDefault="00E03E59" w:rsidP="00395402">
      <w:pPr>
        <w:rPr>
          <w:rFonts w:ascii="Times New Roman" w:hAnsi="Times New Roman" w:cs="Times New Roman"/>
          <w:sz w:val="24"/>
          <w:szCs w:val="24"/>
        </w:rPr>
      </w:pPr>
      <w:r w:rsidRPr="00B66306">
        <w:rPr>
          <w:rFonts w:ascii="Times New Roman" w:hAnsi="Times New Roman" w:cs="Times New Roman"/>
          <w:sz w:val="24"/>
          <w:szCs w:val="24"/>
        </w:rPr>
        <w:t xml:space="preserve">Nesta seção, são delineadas as análises das decomposições das flutuações nas taxas de desemprego, </w:t>
      </w:r>
      <w:r>
        <w:rPr>
          <w:rFonts w:ascii="Times New Roman" w:hAnsi="Times New Roman" w:cs="Times New Roman"/>
          <w:sz w:val="24"/>
          <w:szCs w:val="24"/>
        </w:rPr>
        <w:t xml:space="preserve">ao </w:t>
      </w:r>
      <w:r w:rsidRPr="00B66306">
        <w:rPr>
          <w:rFonts w:ascii="Times New Roman" w:hAnsi="Times New Roman" w:cs="Times New Roman"/>
          <w:sz w:val="24"/>
          <w:szCs w:val="24"/>
        </w:rPr>
        <w:t>considera</w:t>
      </w:r>
      <w:r>
        <w:rPr>
          <w:rFonts w:ascii="Times New Roman" w:hAnsi="Times New Roman" w:cs="Times New Roman"/>
          <w:sz w:val="24"/>
          <w:szCs w:val="24"/>
        </w:rPr>
        <w:t>r</w:t>
      </w:r>
      <w:r w:rsidRPr="00B66306">
        <w:rPr>
          <w:rFonts w:ascii="Times New Roman" w:hAnsi="Times New Roman" w:cs="Times New Roman"/>
          <w:sz w:val="24"/>
          <w:szCs w:val="24"/>
        </w:rPr>
        <w:t xml:space="preserve"> diversos fatores sociodemográficos e regionais </w:t>
      </w:r>
      <w:r w:rsidRPr="00B66306">
        <w:rPr>
          <w:rFonts w:ascii="Times New Roman" w:hAnsi="Times New Roman" w:cs="Times New Roman"/>
          <w:sz w:val="24"/>
          <w:szCs w:val="24"/>
        </w:rPr>
        <w:lastRenderedPageBreak/>
        <w:t xml:space="preserve">empregados como parâmetros. </w:t>
      </w:r>
      <w:r>
        <w:rPr>
          <w:rFonts w:ascii="Times New Roman" w:hAnsi="Times New Roman" w:cs="Times New Roman"/>
          <w:sz w:val="24"/>
          <w:szCs w:val="24"/>
        </w:rPr>
        <w:t xml:space="preserve">Porquanto, tendo em vista que </w:t>
      </w:r>
      <w:r w:rsidRPr="00B66306">
        <w:rPr>
          <w:rFonts w:ascii="Times New Roman" w:hAnsi="Times New Roman" w:cs="Times New Roman"/>
          <w:sz w:val="24"/>
          <w:szCs w:val="24"/>
        </w:rPr>
        <w:t xml:space="preserve">a taxa de desemprego global é sensível às variações nas características de composição da População Economicamente Ativa (PEA), assim como às vicissitudes do cenário econômico, torna-se pertinente discernir </w:t>
      </w:r>
      <w:r w:rsidR="00DB4B49">
        <w:rPr>
          <w:rFonts w:ascii="Times New Roman" w:hAnsi="Times New Roman" w:cs="Times New Roman"/>
          <w:sz w:val="24"/>
          <w:szCs w:val="24"/>
        </w:rPr>
        <w:t>os</w:t>
      </w:r>
      <w:r w:rsidRPr="00B66306">
        <w:rPr>
          <w:rFonts w:ascii="Times New Roman" w:hAnsi="Times New Roman" w:cs="Times New Roman"/>
          <w:sz w:val="24"/>
          <w:szCs w:val="24"/>
        </w:rPr>
        <w:t xml:space="preserve"> fatores </w:t>
      </w:r>
      <w:r w:rsidR="00DB4B49">
        <w:rPr>
          <w:rFonts w:ascii="Times New Roman" w:hAnsi="Times New Roman" w:cs="Times New Roman"/>
          <w:sz w:val="24"/>
          <w:szCs w:val="24"/>
        </w:rPr>
        <w:t>de</w:t>
      </w:r>
      <w:r w:rsidRPr="00B66306">
        <w:rPr>
          <w:rFonts w:ascii="Times New Roman" w:hAnsi="Times New Roman" w:cs="Times New Roman"/>
          <w:sz w:val="24"/>
          <w:szCs w:val="24"/>
        </w:rPr>
        <w:t xml:space="preserve"> maior impacto.</w:t>
      </w:r>
    </w:p>
    <w:p w14:paraId="75A39FCF" w14:textId="0C325728" w:rsidR="00E03E59" w:rsidRPr="00B66306" w:rsidRDefault="00554210">
      <w:pPr>
        <w:rPr>
          <w:rFonts w:ascii="Times New Roman" w:hAnsi="Times New Roman" w:cs="Times New Roman"/>
          <w:sz w:val="24"/>
          <w:szCs w:val="24"/>
        </w:rPr>
      </w:pPr>
      <w:r>
        <w:rPr>
          <w:rFonts w:ascii="Times New Roman" w:hAnsi="Times New Roman" w:cs="Times New Roman"/>
          <w:sz w:val="24"/>
          <w:szCs w:val="24"/>
        </w:rPr>
        <w:t>Cale lembrar que</w:t>
      </w:r>
      <w:r w:rsidR="00E03E59" w:rsidRPr="00B66306">
        <w:rPr>
          <w:rFonts w:ascii="Times New Roman" w:hAnsi="Times New Roman" w:cs="Times New Roman"/>
          <w:sz w:val="24"/>
          <w:szCs w:val="24"/>
        </w:rPr>
        <w:t xml:space="preserve"> o efeito composição da PEA poss</w:t>
      </w:r>
      <w:r>
        <w:rPr>
          <w:rFonts w:ascii="Times New Roman" w:hAnsi="Times New Roman" w:cs="Times New Roman"/>
          <w:sz w:val="24"/>
          <w:szCs w:val="24"/>
        </w:rPr>
        <w:t xml:space="preserve">ibilita </w:t>
      </w:r>
      <w:r w:rsidR="00E03E59" w:rsidRPr="00B66306">
        <w:rPr>
          <w:rFonts w:ascii="Times New Roman" w:hAnsi="Times New Roman" w:cs="Times New Roman"/>
          <w:sz w:val="24"/>
          <w:szCs w:val="24"/>
        </w:rPr>
        <w:t>inferir a relevância das modificações na participação de distintos grupos constitu</w:t>
      </w:r>
      <w:r w:rsidR="00E03E59">
        <w:rPr>
          <w:rFonts w:ascii="Times New Roman" w:hAnsi="Times New Roman" w:cs="Times New Roman"/>
          <w:sz w:val="24"/>
          <w:szCs w:val="24"/>
        </w:rPr>
        <w:t>intes</w:t>
      </w:r>
      <w:r w:rsidR="00E03E59" w:rsidRPr="00B66306">
        <w:rPr>
          <w:rFonts w:ascii="Times New Roman" w:hAnsi="Times New Roman" w:cs="Times New Roman"/>
          <w:sz w:val="24"/>
          <w:szCs w:val="24"/>
        </w:rPr>
        <w:t xml:space="preserve"> </w:t>
      </w:r>
      <w:r w:rsidR="00E03E59">
        <w:rPr>
          <w:rFonts w:ascii="Times New Roman" w:hAnsi="Times New Roman" w:cs="Times New Roman"/>
          <w:sz w:val="24"/>
          <w:szCs w:val="24"/>
        </w:rPr>
        <w:t>d</w:t>
      </w:r>
      <w:r w:rsidR="00E03E59" w:rsidRPr="00B66306">
        <w:rPr>
          <w:rFonts w:ascii="Times New Roman" w:hAnsi="Times New Roman" w:cs="Times New Roman"/>
          <w:sz w:val="24"/>
          <w:szCs w:val="24"/>
        </w:rPr>
        <w:t>a PEA</w:t>
      </w:r>
      <w:r w:rsidR="00DB4B49">
        <w:rPr>
          <w:rFonts w:ascii="Times New Roman" w:hAnsi="Times New Roman" w:cs="Times New Roman"/>
          <w:sz w:val="24"/>
          <w:szCs w:val="24"/>
        </w:rPr>
        <w:t xml:space="preserve">. </w:t>
      </w:r>
      <w:r w:rsidR="00E03E59" w:rsidRPr="00B66306">
        <w:rPr>
          <w:rFonts w:ascii="Times New Roman" w:hAnsi="Times New Roman" w:cs="Times New Roman"/>
          <w:sz w:val="24"/>
          <w:szCs w:val="24"/>
        </w:rPr>
        <w:t>Já o efeito nível</w:t>
      </w:r>
      <w:r w:rsidR="00A215BF">
        <w:rPr>
          <w:rFonts w:ascii="Times New Roman" w:hAnsi="Times New Roman" w:cs="Times New Roman"/>
          <w:sz w:val="24"/>
          <w:szCs w:val="24"/>
        </w:rPr>
        <w:t xml:space="preserve"> viabiliza </w:t>
      </w:r>
      <w:r w:rsidR="00E03E59" w:rsidRPr="00B66306">
        <w:rPr>
          <w:rFonts w:ascii="Times New Roman" w:hAnsi="Times New Roman" w:cs="Times New Roman"/>
          <w:sz w:val="24"/>
          <w:szCs w:val="24"/>
        </w:rPr>
        <w:t>ilustrar a magnitude do impacto negativo decorrente d</w:t>
      </w:r>
      <w:r w:rsidR="00E03E59">
        <w:rPr>
          <w:rFonts w:ascii="Times New Roman" w:hAnsi="Times New Roman" w:cs="Times New Roman"/>
          <w:sz w:val="24"/>
          <w:szCs w:val="24"/>
        </w:rPr>
        <w:t>a</w:t>
      </w:r>
      <w:r w:rsidR="00E03E59" w:rsidRPr="00B66306">
        <w:rPr>
          <w:rFonts w:ascii="Times New Roman" w:hAnsi="Times New Roman" w:cs="Times New Roman"/>
          <w:sz w:val="24"/>
          <w:szCs w:val="24"/>
        </w:rPr>
        <w:t xml:space="preserve"> deterio</w:t>
      </w:r>
      <w:r w:rsidR="00E03E59">
        <w:rPr>
          <w:rFonts w:ascii="Times New Roman" w:hAnsi="Times New Roman" w:cs="Times New Roman"/>
          <w:sz w:val="24"/>
          <w:szCs w:val="24"/>
        </w:rPr>
        <w:t>ração</w:t>
      </w:r>
      <w:r w:rsidR="00E03E59" w:rsidRPr="00B66306">
        <w:rPr>
          <w:rFonts w:ascii="Times New Roman" w:hAnsi="Times New Roman" w:cs="Times New Roman"/>
          <w:sz w:val="24"/>
          <w:szCs w:val="24"/>
        </w:rPr>
        <w:t xml:space="preserve"> da conjuntura econômica brasileira. </w:t>
      </w:r>
      <w:r w:rsidR="00A215BF">
        <w:rPr>
          <w:rFonts w:ascii="Times New Roman" w:hAnsi="Times New Roman" w:cs="Times New Roman"/>
          <w:sz w:val="24"/>
          <w:szCs w:val="24"/>
        </w:rPr>
        <w:t>Desse modo, o</w:t>
      </w:r>
      <w:r w:rsidR="00E03E59" w:rsidRPr="00B66306">
        <w:rPr>
          <w:rFonts w:ascii="Times New Roman" w:hAnsi="Times New Roman" w:cs="Times New Roman"/>
          <w:sz w:val="24"/>
          <w:szCs w:val="24"/>
        </w:rPr>
        <w:t xml:space="preserve"> efeito total re</w:t>
      </w:r>
      <w:r w:rsidR="007761C5">
        <w:rPr>
          <w:rFonts w:ascii="Times New Roman" w:hAnsi="Times New Roman" w:cs="Times New Roman"/>
          <w:sz w:val="24"/>
          <w:szCs w:val="24"/>
        </w:rPr>
        <w:t>presenta</w:t>
      </w:r>
      <w:r w:rsidR="00E03E59" w:rsidRPr="00B66306">
        <w:rPr>
          <w:rFonts w:ascii="Times New Roman" w:hAnsi="Times New Roman" w:cs="Times New Roman"/>
          <w:sz w:val="24"/>
          <w:szCs w:val="24"/>
        </w:rPr>
        <w:t xml:space="preserve"> a di</w:t>
      </w:r>
      <w:r w:rsidR="007761C5">
        <w:rPr>
          <w:rFonts w:ascii="Times New Roman" w:hAnsi="Times New Roman" w:cs="Times New Roman"/>
          <w:sz w:val="24"/>
          <w:szCs w:val="24"/>
        </w:rPr>
        <w:t>ferença</w:t>
      </w:r>
      <w:r w:rsidR="00E03E59" w:rsidRPr="00B66306">
        <w:rPr>
          <w:rFonts w:ascii="Times New Roman" w:hAnsi="Times New Roman" w:cs="Times New Roman"/>
          <w:sz w:val="24"/>
          <w:szCs w:val="24"/>
        </w:rPr>
        <w:t xml:space="preserve"> entre a</w:t>
      </w:r>
      <w:r w:rsidR="005C153A">
        <w:rPr>
          <w:rFonts w:ascii="Times New Roman" w:hAnsi="Times New Roman" w:cs="Times New Roman"/>
          <w:sz w:val="24"/>
          <w:szCs w:val="24"/>
        </w:rPr>
        <w:t>s</w:t>
      </w:r>
      <w:r w:rsidR="00E03E59" w:rsidRPr="00B66306">
        <w:rPr>
          <w:rFonts w:ascii="Times New Roman" w:hAnsi="Times New Roman" w:cs="Times New Roman"/>
          <w:sz w:val="24"/>
          <w:szCs w:val="24"/>
        </w:rPr>
        <w:t xml:space="preserve"> taxa</w:t>
      </w:r>
      <w:r w:rsidR="005C153A">
        <w:rPr>
          <w:rFonts w:ascii="Times New Roman" w:hAnsi="Times New Roman" w:cs="Times New Roman"/>
          <w:sz w:val="24"/>
          <w:szCs w:val="24"/>
        </w:rPr>
        <w:t>s</w:t>
      </w:r>
      <w:r w:rsidR="00E03E59" w:rsidRPr="00B66306">
        <w:rPr>
          <w:rFonts w:ascii="Times New Roman" w:hAnsi="Times New Roman" w:cs="Times New Roman"/>
          <w:sz w:val="24"/>
          <w:szCs w:val="24"/>
        </w:rPr>
        <w:t xml:space="preserve"> de </w:t>
      </w:r>
      <w:r w:rsidR="005C153A">
        <w:rPr>
          <w:rFonts w:ascii="Times New Roman" w:hAnsi="Times New Roman" w:cs="Times New Roman"/>
          <w:sz w:val="24"/>
          <w:szCs w:val="24"/>
        </w:rPr>
        <w:t xml:space="preserve">contribuição ao </w:t>
      </w:r>
      <w:r w:rsidR="00E03E59" w:rsidRPr="00B66306">
        <w:rPr>
          <w:rFonts w:ascii="Times New Roman" w:hAnsi="Times New Roman" w:cs="Times New Roman"/>
          <w:sz w:val="24"/>
          <w:szCs w:val="24"/>
        </w:rPr>
        <w:t>desemprego</w:t>
      </w:r>
      <w:r w:rsidR="000220E2">
        <w:rPr>
          <w:rFonts w:ascii="Times New Roman" w:hAnsi="Times New Roman" w:cs="Times New Roman"/>
          <w:sz w:val="24"/>
          <w:szCs w:val="24"/>
        </w:rPr>
        <w:t xml:space="preserve"> de cada um do</w:t>
      </w:r>
      <w:r w:rsidR="00E03E59" w:rsidRPr="00B66306">
        <w:rPr>
          <w:rFonts w:ascii="Times New Roman" w:hAnsi="Times New Roman" w:cs="Times New Roman"/>
          <w:sz w:val="24"/>
          <w:szCs w:val="24"/>
        </w:rPr>
        <w:t>s efeitos elucidados</w:t>
      </w:r>
      <w:r w:rsidR="00E03E59">
        <w:rPr>
          <w:rFonts w:ascii="Times New Roman" w:hAnsi="Times New Roman" w:cs="Times New Roman"/>
          <w:sz w:val="24"/>
          <w:szCs w:val="24"/>
        </w:rPr>
        <w:t>,</w:t>
      </w:r>
      <w:r w:rsidR="00E03E59" w:rsidRPr="00B66306">
        <w:rPr>
          <w:rFonts w:ascii="Times New Roman" w:hAnsi="Times New Roman" w:cs="Times New Roman"/>
          <w:sz w:val="24"/>
          <w:szCs w:val="24"/>
        </w:rPr>
        <w:t xml:space="preserve"> anteriormente. </w:t>
      </w:r>
      <w:r w:rsidR="00B638AC">
        <w:rPr>
          <w:rFonts w:ascii="Times New Roman" w:hAnsi="Times New Roman" w:cs="Times New Roman"/>
          <w:sz w:val="24"/>
          <w:szCs w:val="24"/>
        </w:rPr>
        <w:t>Para tal</w:t>
      </w:r>
      <w:r w:rsidR="00E03E59" w:rsidRPr="00B66306">
        <w:rPr>
          <w:rFonts w:ascii="Times New Roman" w:hAnsi="Times New Roman" w:cs="Times New Roman"/>
          <w:sz w:val="24"/>
          <w:szCs w:val="24"/>
        </w:rPr>
        <w:t xml:space="preserve">, </w:t>
      </w:r>
      <w:r w:rsidR="007B1768">
        <w:rPr>
          <w:rFonts w:ascii="Times New Roman" w:hAnsi="Times New Roman" w:cs="Times New Roman"/>
          <w:sz w:val="24"/>
          <w:szCs w:val="24"/>
        </w:rPr>
        <w:t>a discussão inicia</w:t>
      </w:r>
      <w:r w:rsidR="00DB4B49">
        <w:rPr>
          <w:rFonts w:ascii="Times New Roman" w:hAnsi="Times New Roman" w:cs="Times New Roman"/>
          <w:sz w:val="24"/>
          <w:szCs w:val="24"/>
        </w:rPr>
        <w:t>-se</w:t>
      </w:r>
      <w:r w:rsidR="007B1768">
        <w:rPr>
          <w:rFonts w:ascii="Times New Roman" w:hAnsi="Times New Roman" w:cs="Times New Roman"/>
          <w:sz w:val="24"/>
          <w:szCs w:val="24"/>
        </w:rPr>
        <w:t xml:space="preserve"> </w:t>
      </w:r>
      <w:r w:rsidR="00DB4B49">
        <w:rPr>
          <w:rFonts w:ascii="Times New Roman" w:hAnsi="Times New Roman" w:cs="Times New Roman"/>
          <w:sz w:val="24"/>
          <w:szCs w:val="24"/>
        </w:rPr>
        <w:t>pela</w:t>
      </w:r>
      <w:r w:rsidR="00E03E59" w:rsidRPr="00B66306">
        <w:rPr>
          <w:rFonts w:ascii="Times New Roman" w:hAnsi="Times New Roman" w:cs="Times New Roman"/>
          <w:sz w:val="24"/>
          <w:szCs w:val="24"/>
        </w:rPr>
        <w:t xml:space="preserve"> Figura </w:t>
      </w:r>
      <w:r w:rsidR="007B1768">
        <w:rPr>
          <w:rFonts w:ascii="Times New Roman" w:hAnsi="Times New Roman" w:cs="Times New Roman"/>
          <w:sz w:val="24"/>
          <w:szCs w:val="24"/>
        </w:rPr>
        <w:t xml:space="preserve">2 </w:t>
      </w:r>
      <w:r w:rsidR="00E03E59" w:rsidRPr="00B66306">
        <w:rPr>
          <w:rFonts w:ascii="Times New Roman" w:hAnsi="Times New Roman" w:cs="Times New Roman"/>
          <w:sz w:val="24"/>
          <w:szCs w:val="24"/>
        </w:rPr>
        <w:t xml:space="preserve">fundamentada na equação </w:t>
      </w:r>
      <w:r w:rsidR="00E03E59">
        <w:rPr>
          <w:rFonts w:ascii="Times New Roman" w:hAnsi="Times New Roman" w:cs="Times New Roman"/>
          <w:sz w:val="24"/>
          <w:szCs w:val="24"/>
        </w:rPr>
        <w:t>10</w:t>
      </w:r>
      <w:r w:rsidR="00E03E59" w:rsidRPr="00B66306">
        <w:rPr>
          <w:rFonts w:ascii="Times New Roman" w:hAnsi="Times New Roman" w:cs="Times New Roman"/>
          <w:sz w:val="24"/>
          <w:szCs w:val="24"/>
        </w:rPr>
        <w:t xml:space="preserve"> da seção metodológica, </w:t>
      </w:r>
      <w:r w:rsidR="00E03E59">
        <w:rPr>
          <w:rFonts w:ascii="Times New Roman" w:hAnsi="Times New Roman" w:cs="Times New Roman"/>
          <w:sz w:val="24"/>
          <w:szCs w:val="24"/>
        </w:rPr>
        <w:t xml:space="preserve">e </w:t>
      </w:r>
      <w:r w:rsidR="00E03E59" w:rsidRPr="00B66306">
        <w:rPr>
          <w:rFonts w:ascii="Times New Roman" w:hAnsi="Times New Roman" w:cs="Times New Roman"/>
          <w:sz w:val="24"/>
          <w:szCs w:val="24"/>
        </w:rPr>
        <w:t xml:space="preserve">contempla a composição do mercado de trabalho brasileiro por </w:t>
      </w:r>
      <w:r w:rsidR="007761C5">
        <w:rPr>
          <w:rFonts w:ascii="Times New Roman" w:hAnsi="Times New Roman" w:cs="Times New Roman"/>
          <w:sz w:val="24"/>
          <w:szCs w:val="24"/>
        </w:rPr>
        <w:t>gênero</w:t>
      </w:r>
      <w:r w:rsidR="00E03E59" w:rsidRPr="00B66306">
        <w:rPr>
          <w:rFonts w:ascii="Times New Roman" w:hAnsi="Times New Roman" w:cs="Times New Roman"/>
          <w:sz w:val="24"/>
          <w:szCs w:val="24"/>
        </w:rPr>
        <w:t xml:space="preserve">, </w:t>
      </w:r>
      <w:r w:rsidR="007761C5">
        <w:rPr>
          <w:rFonts w:ascii="Times New Roman" w:hAnsi="Times New Roman" w:cs="Times New Roman"/>
          <w:sz w:val="24"/>
          <w:szCs w:val="24"/>
        </w:rPr>
        <w:t>de 2012 a 2022.</w:t>
      </w:r>
    </w:p>
    <w:p w14:paraId="231495C7" w14:textId="0A564BB7" w:rsidR="00E03E59" w:rsidRPr="00775B2D" w:rsidRDefault="00E03E59">
      <w:pPr>
        <w:ind w:firstLine="0"/>
        <w:rPr>
          <w:rFonts w:ascii="Times New Roman" w:hAnsi="Times New Roman" w:cs="Times New Roman"/>
          <w:sz w:val="24"/>
          <w:szCs w:val="24"/>
        </w:rPr>
      </w:pPr>
      <w:r>
        <w:rPr>
          <w:rFonts w:ascii="Times New Roman" w:hAnsi="Times New Roman" w:cs="Times New Roman"/>
          <w:sz w:val="24"/>
          <w:szCs w:val="24"/>
        </w:rPr>
        <w:t xml:space="preserve">Figura 2 - </w:t>
      </w:r>
      <w:r w:rsidRPr="00775B2D">
        <w:rPr>
          <w:rFonts w:ascii="Times New Roman" w:hAnsi="Times New Roman" w:cs="Times New Roman"/>
          <w:sz w:val="24"/>
          <w:szCs w:val="24"/>
        </w:rPr>
        <w:t>Decomposição da variação da taxa de desemprego por gênero, Brasil, 2012-</w:t>
      </w:r>
      <w:r>
        <w:rPr>
          <w:rFonts w:ascii="Times New Roman" w:hAnsi="Times New Roman" w:cs="Times New Roman"/>
          <w:sz w:val="24"/>
          <w:szCs w:val="24"/>
        </w:rPr>
        <w:t>22</w:t>
      </w:r>
    </w:p>
    <w:p w14:paraId="66C62CFA" w14:textId="77777777" w:rsidR="000B562D" w:rsidRDefault="00A87B69">
      <w:pPr>
        <w:keepNext/>
        <w:ind w:firstLine="0"/>
      </w:pPr>
      <w:r>
        <w:rPr>
          <w:noProof/>
        </w:rPr>
        <w:drawing>
          <wp:inline distT="0" distB="0" distL="0" distR="0" wp14:anchorId="5F03653F" wp14:editId="49173BD0">
            <wp:extent cx="5400040" cy="2509284"/>
            <wp:effectExtent l="0" t="0" r="10160" b="5715"/>
            <wp:docPr id="78177136" name="Gráfico 1">
              <a:extLst xmlns:a="http://schemas.openxmlformats.org/drawingml/2006/main">
                <a:ext uri="{FF2B5EF4-FFF2-40B4-BE49-F238E27FC236}">
                  <a16:creationId xmlns:a16="http://schemas.microsoft.com/office/drawing/2014/main" id="{EC2D26CE-172D-4A6C-8A6F-51A30F2EB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4CA99" w14:textId="6ABF4D2E" w:rsidR="00E03E59"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2FE5068B" w14:textId="3A8F1674" w:rsidR="00E03E59" w:rsidRPr="00201D82" w:rsidRDefault="00E03E59">
      <w:pPr>
        <w:rPr>
          <w:rFonts w:ascii="Times New Roman" w:hAnsi="Times New Roman" w:cs="Times New Roman"/>
          <w:sz w:val="24"/>
          <w:szCs w:val="24"/>
        </w:rPr>
      </w:pPr>
      <w:r w:rsidRPr="00E719E5">
        <w:rPr>
          <w:rFonts w:ascii="Times New Roman" w:hAnsi="Times New Roman" w:cs="Times New Roman"/>
          <w:sz w:val="24"/>
          <w:szCs w:val="24"/>
        </w:rPr>
        <w:t xml:space="preserve">Os desdobramentos apresentados na Figura </w:t>
      </w:r>
      <w:r w:rsidR="00356EE7">
        <w:rPr>
          <w:rFonts w:ascii="Times New Roman" w:hAnsi="Times New Roman" w:cs="Times New Roman"/>
          <w:sz w:val="24"/>
          <w:szCs w:val="24"/>
        </w:rPr>
        <w:t>2</w:t>
      </w:r>
      <w:r w:rsidRPr="00E719E5">
        <w:rPr>
          <w:rFonts w:ascii="Times New Roman" w:hAnsi="Times New Roman" w:cs="Times New Roman"/>
          <w:sz w:val="24"/>
          <w:szCs w:val="24"/>
        </w:rPr>
        <w:t xml:space="preserve"> destacam o substancial incremento da taxa de desemprego dentro d</w:t>
      </w:r>
      <w:r w:rsidR="00025418">
        <w:rPr>
          <w:rFonts w:ascii="Times New Roman" w:hAnsi="Times New Roman" w:cs="Times New Roman"/>
          <w:sz w:val="24"/>
          <w:szCs w:val="24"/>
        </w:rPr>
        <w:t>os</w:t>
      </w:r>
      <w:r w:rsidRPr="00E719E5">
        <w:rPr>
          <w:rFonts w:ascii="Times New Roman" w:hAnsi="Times New Roman" w:cs="Times New Roman"/>
          <w:sz w:val="24"/>
          <w:szCs w:val="24"/>
        </w:rPr>
        <w:t xml:space="preserve"> estrato</w:t>
      </w:r>
      <w:r w:rsidR="00025418">
        <w:rPr>
          <w:rFonts w:ascii="Times New Roman" w:hAnsi="Times New Roman" w:cs="Times New Roman"/>
          <w:sz w:val="24"/>
          <w:szCs w:val="24"/>
        </w:rPr>
        <w:t>s</w:t>
      </w:r>
      <w:r w:rsidRPr="00E719E5">
        <w:rPr>
          <w:rFonts w:ascii="Times New Roman" w:hAnsi="Times New Roman" w:cs="Times New Roman"/>
          <w:sz w:val="24"/>
          <w:szCs w:val="24"/>
        </w:rPr>
        <w:t xml:space="preserve"> populaciona</w:t>
      </w:r>
      <w:r w:rsidR="00025418">
        <w:rPr>
          <w:rFonts w:ascii="Times New Roman" w:hAnsi="Times New Roman" w:cs="Times New Roman"/>
          <w:sz w:val="24"/>
          <w:szCs w:val="24"/>
        </w:rPr>
        <w:t>is analisados</w:t>
      </w:r>
      <w:r w:rsidRPr="00E719E5">
        <w:rPr>
          <w:rFonts w:ascii="Times New Roman" w:hAnsi="Times New Roman" w:cs="Times New Roman"/>
          <w:sz w:val="24"/>
          <w:szCs w:val="24"/>
        </w:rPr>
        <w:t>. O efeito nível revela-se de suma relevância, especialmente</w:t>
      </w:r>
      <w:r>
        <w:rPr>
          <w:rFonts w:ascii="Times New Roman" w:hAnsi="Times New Roman" w:cs="Times New Roman"/>
          <w:sz w:val="24"/>
          <w:szCs w:val="24"/>
        </w:rPr>
        <w:t>,</w:t>
      </w:r>
      <w:r w:rsidRPr="00E719E5">
        <w:rPr>
          <w:rFonts w:ascii="Times New Roman" w:hAnsi="Times New Roman" w:cs="Times New Roman"/>
          <w:sz w:val="24"/>
          <w:szCs w:val="24"/>
        </w:rPr>
        <w:t xml:space="preserve"> no contexto da taxa de desocupação</w:t>
      </w:r>
      <w:r w:rsidR="00E8370E">
        <w:rPr>
          <w:rFonts w:ascii="Times New Roman" w:hAnsi="Times New Roman" w:cs="Times New Roman"/>
          <w:sz w:val="24"/>
          <w:szCs w:val="24"/>
        </w:rPr>
        <w:t>,</w:t>
      </w:r>
      <w:r w:rsidRPr="00E719E5">
        <w:rPr>
          <w:rFonts w:ascii="Times New Roman" w:hAnsi="Times New Roman" w:cs="Times New Roman"/>
          <w:sz w:val="24"/>
          <w:szCs w:val="24"/>
        </w:rPr>
        <w:t xml:space="preserve"> segundo o gênero</w:t>
      </w:r>
      <w:r w:rsidR="007761C5">
        <w:rPr>
          <w:rFonts w:ascii="Times New Roman" w:hAnsi="Times New Roman" w:cs="Times New Roman"/>
          <w:sz w:val="24"/>
          <w:szCs w:val="24"/>
        </w:rPr>
        <w:t>. Principalmente</w:t>
      </w:r>
      <w:r w:rsidR="00E8370E">
        <w:rPr>
          <w:rFonts w:ascii="Times New Roman" w:hAnsi="Times New Roman" w:cs="Times New Roman"/>
          <w:sz w:val="24"/>
          <w:szCs w:val="24"/>
        </w:rPr>
        <w:t>,</w:t>
      </w:r>
      <w:r w:rsidR="007761C5">
        <w:rPr>
          <w:rFonts w:ascii="Times New Roman" w:hAnsi="Times New Roman" w:cs="Times New Roman"/>
          <w:sz w:val="24"/>
          <w:szCs w:val="24"/>
        </w:rPr>
        <w:t xml:space="preserve"> </w:t>
      </w:r>
      <w:r w:rsidRPr="00E719E5">
        <w:rPr>
          <w:rFonts w:ascii="Times New Roman" w:hAnsi="Times New Roman" w:cs="Times New Roman"/>
          <w:sz w:val="24"/>
          <w:szCs w:val="24"/>
        </w:rPr>
        <w:t>no intervalo de 201</w:t>
      </w:r>
      <w:r>
        <w:rPr>
          <w:rFonts w:ascii="Times New Roman" w:hAnsi="Times New Roman" w:cs="Times New Roman"/>
          <w:sz w:val="24"/>
          <w:szCs w:val="24"/>
        </w:rPr>
        <w:t>2</w:t>
      </w:r>
      <w:r w:rsidRPr="00E719E5">
        <w:rPr>
          <w:rFonts w:ascii="Times New Roman" w:hAnsi="Times New Roman" w:cs="Times New Roman"/>
          <w:sz w:val="24"/>
          <w:szCs w:val="24"/>
        </w:rPr>
        <w:t xml:space="preserve"> a 201</w:t>
      </w:r>
      <w:r>
        <w:rPr>
          <w:rFonts w:ascii="Times New Roman" w:hAnsi="Times New Roman" w:cs="Times New Roman"/>
          <w:sz w:val="24"/>
          <w:szCs w:val="24"/>
        </w:rPr>
        <w:t>7</w:t>
      </w:r>
      <w:r w:rsidRPr="00E719E5">
        <w:rPr>
          <w:rFonts w:ascii="Times New Roman" w:hAnsi="Times New Roman" w:cs="Times New Roman"/>
          <w:sz w:val="24"/>
          <w:szCs w:val="24"/>
        </w:rPr>
        <w:t>, quando os avanços anteriores</w:t>
      </w:r>
      <w:r w:rsidR="00A87B69">
        <w:rPr>
          <w:rFonts w:ascii="Times New Roman" w:hAnsi="Times New Roman" w:cs="Times New Roman"/>
          <w:sz w:val="24"/>
          <w:szCs w:val="24"/>
        </w:rPr>
        <w:t xml:space="preserve">, ilustrados </w:t>
      </w:r>
      <w:r w:rsidR="00191EB5">
        <w:rPr>
          <w:rFonts w:ascii="Times New Roman" w:hAnsi="Times New Roman" w:cs="Times New Roman"/>
          <w:sz w:val="24"/>
          <w:szCs w:val="24"/>
        </w:rPr>
        <w:t>pelos</w:t>
      </w:r>
      <w:r w:rsidR="00A87B69">
        <w:rPr>
          <w:rFonts w:ascii="Times New Roman" w:hAnsi="Times New Roman" w:cs="Times New Roman"/>
          <w:sz w:val="24"/>
          <w:szCs w:val="24"/>
        </w:rPr>
        <w:t xml:space="preserve"> índices de desemprego, </w:t>
      </w:r>
      <w:r w:rsidRPr="00E719E5">
        <w:rPr>
          <w:rFonts w:ascii="Times New Roman" w:hAnsi="Times New Roman" w:cs="Times New Roman"/>
          <w:sz w:val="24"/>
          <w:szCs w:val="24"/>
        </w:rPr>
        <w:t>foram superados de maneira significativa</w:t>
      </w:r>
      <w:r w:rsidR="007B63C4">
        <w:rPr>
          <w:rFonts w:ascii="Times New Roman" w:hAnsi="Times New Roman" w:cs="Times New Roman"/>
          <w:sz w:val="24"/>
          <w:szCs w:val="24"/>
        </w:rPr>
        <w:t>, c</w:t>
      </w:r>
      <w:r>
        <w:rPr>
          <w:rFonts w:ascii="Times New Roman" w:hAnsi="Times New Roman" w:cs="Times New Roman"/>
          <w:sz w:val="24"/>
          <w:szCs w:val="24"/>
        </w:rPr>
        <w:t>ontudo, no período de 2017 a 2022, observa-se o contrário</w:t>
      </w:r>
      <w:r w:rsidR="007B63C4">
        <w:rPr>
          <w:rFonts w:ascii="Times New Roman" w:hAnsi="Times New Roman" w:cs="Times New Roman"/>
          <w:sz w:val="24"/>
          <w:szCs w:val="24"/>
        </w:rPr>
        <w:t xml:space="preserve">: </w:t>
      </w:r>
      <w:r>
        <w:rPr>
          <w:rFonts w:ascii="Times New Roman" w:hAnsi="Times New Roman" w:cs="Times New Roman"/>
          <w:sz w:val="24"/>
          <w:szCs w:val="24"/>
        </w:rPr>
        <w:t xml:space="preserve">notável retração das taxas de desocupação. </w:t>
      </w:r>
      <w:r w:rsidRPr="00E719E5">
        <w:rPr>
          <w:rFonts w:ascii="Times New Roman" w:hAnsi="Times New Roman" w:cs="Times New Roman"/>
          <w:sz w:val="24"/>
          <w:szCs w:val="24"/>
        </w:rPr>
        <w:t xml:space="preserve">Em contrapartida, o efeito composição, embora de magnitude reduzida, demonstra-se de grande relevância, </w:t>
      </w:r>
      <w:r>
        <w:rPr>
          <w:rFonts w:ascii="Times New Roman" w:hAnsi="Times New Roman" w:cs="Times New Roman"/>
          <w:sz w:val="24"/>
          <w:szCs w:val="24"/>
        </w:rPr>
        <w:t xml:space="preserve">ao </w:t>
      </w:r>
      <w:r w:rsidRPr="00E719E5">
        <w:rPr>
          <w:rFonts w:ascii="Times New Roman" w:hAnsi="Times New Roman" w:cs="Times New Roman"/>
          <w:sz w:val="24"/>
          <w:szCs w:val="24"/>
        </w:rPr>
        <w:t>considera</w:t>
      </w:r>
      <w:r>
        <w:rPr>
          <w:rFonts w:ascii="Times New Roman" w:hAnsi="Times New Roman" w:cs="Times New Roman"/>
          <w:sz w:val="24"/>
          <w:szCs w:val="24"/>
        </w:rPr>
        <w:t>r</w:t>
      </w:r>
      <w:r w:rsidRPr="00E719E5">
        <w:rPr>
          <w:rFonts w:ascii="Times New Roman" w:hAnsi="Times New Roman" w:cs="Times New Roman"/>
          <w:sz w:val="24"/>
          <w:szCs w:val="24"/>
        </w:rPr>
        <w:t xml:space="preserve"> a alteração na composição da PEA com a inclusão de mais mulheres. Dado que a taxa de desemprego entre as mulheres é </w:t>
      </w:r>
      <w:r w:rsidRPr="00E719E5">
        <w:rPr>
          <w:rFonts w:ascii="Times New Roman" w:hAnsi="Times New Roman" w:cs="Times New Roman"/>
          <w:sz w:val="24"/>
          <w:szCs w:val="24"/>
        </w:rPr>
        <w:lastRenderedPageBreak/>
        <w:t>consistentemente superior à dos homens, esse efeito tende a elevar a taxa global</w:t>
      </w:r>
      <w:r w:rsidR="007B63C4">
        <w:rPr>
          <w:rFonts w:ascii="Times New Roman" w:hAnsi="Times New Roman" w:cs="Times New Roman"/>
          <w:sz w:val="24"/>
          <w:szCs w:val="24"/>
        </w:rPr>
        <w:t xml:space="preserve">, sendo </w:t>
      </w:r>
      <w:r w:rsidRPr="00E719E5">
        <w:rPr>
          <w:rFonts w:ascii="Times New Roman" w:hAnsi="Times New Roman" w:cs="Times New Roman"/>
          <w:sz w:val="24"/>
          <w:szCs w:val="24"/>
        </w:rPr>
        <w:t xml:space="preserve">tal efeito acentuado </w:t>
      </w:r>
      <w:r>
        <w:rPr>
          <w:rFonts w:ascii="Times New Roman" w:hAnsi="Times New Roman" w:cs="Times New Roman"/>
          <w:sz w:val="24"/>
          <w:szCs w:val="24"/>
        </w:rPr>
        <w:t xml:space="preserve">nos </w:t>
      </w:r>
      <w:r w:rsidR="00025418">
        <w:rPr>
          <w:rFonts w:ascii="Times New Roman" w:hAnsi="Times New Roman" w:cs="Times New Roman"/>
          <w:sz w:val="24"/>
          <w:szCs w:val="24"/>
        </w:rPr>
        <w:t xml:space="preserve">anos </w:t>
      </w:r>
      <w:r w:rsidR="007B63C4">
        <w:rPr>
          <w:rFonts w:ascii="Times New Roman" w:hAnsi="Times New Roman" w:cs="Times New Roman"/>
          <w:sz w:val="24"/>
          <w:szCs w:val="24"/>
        </w:rPr>
        <w:t>de</w:t>
      </w:r>
      <w:r>
        <w:rPr>
          <w:rFonts w:ascii="Times New Roman" w:hAnsi="Times New Roman" w:cs="Times New Roman"/>
          <w:sz w:val="24"/>
          <w:szCs w:val="24"/>
        </w:rPr>
        <w:t xml:space="preserve"> </w:t>
      </w:r>
      <w:r w:rsidR="00025418">
        <w:rPr>
          <w:rFonts w:ascii="Times New Roman" w:hAnsi="Times New Roman" w:cs="Times New Roman"/>
          <w:sz w:val="24"/>
          <w:szCs w:val="24"/>
        </w:rPr>
        <w:t xml:space="preserve">maiores </w:t>
      </w:r>
      <w:r>
        <w:rPr>
          <w:rFonts w:ascii="Times New Roman" w:hAnsi="Times New Roman" w:cs="Times New Roman"/>
          <w:sz w:val="24"/>
          <w:szCs w:val="24"/>
        </w:rPr>
        <w:t>índice</w:t>
      </w:r>
      <w:r w:rsidR="00025418">
        <w:rPr>
          <w:rFonts w:ascii="Times New Roman" w:hAnsi="Times New Roman" w:cs="Times New Roman"/>
          <w:sz w:val="24"/>
          <w:szCs w:val="24"/>
        </w:rPr>
        <w:t>s</w:t>
      </w:r>
      <w:r>
        <w:rPr>
          <w:rFonts w:ascii="Times New Roman" w:hAnsi="Times New Roman" w:cs="Times New Roman"/>
          <w:sz w:val="24"/>
          <w:szCs w:val="24"/>
        </w:rPr>
        <w:t xml:space="preserve"> de desemprego</w:t>
      </w:r>
      <w:r w:rsidRPr="00E719E5">
        <w:rPr>
          <w:rFonts w:ascii="Times New Roman" w:hAnsi="Times New Roman" w:cs="Times New Roman"/>
          <w:sz w:val="24"/>
          <w:szCs w:val="24"/>
        </w:rPr>
        <w:t xml:space="preserve">. </w:t>
      </w:r>
    </w:p>
    <w:p w14:paraId="20662EE7" w14:textId="77777777" w:rsidR="001C4D12" w:rsidRDefault="001C4D12">
      <w:pPr>
        <w:ind w:firstLine="0"/>
        <w:rPr>
          <w:rFonts w:ascii="Times New Roman" w:hAnsi="Times New Roman" w:cs="Times New Roman"/>
          <w:sz w:val="24"/>
          <w:szCs w:val="24"/>
        </w:rPr>
      </w:pPr>
    </w:p>
    <w:p w14:paraId="33561344" w14:textId="77777777" w:rsidR="00395402" w:rsidRDefault="00395402">
      <w:pPr>
        <w:ind w:firstLine="0"/>
        <w:rPr>
          <w:rFonts w:ascii="Times New Roman" w:hAnsi="Times New Roman" w:cs="Times New Roman"/>
          <w:sz w:val="24"/>
          <w:szCs w:val="24"/>
        </w:rPr>
      </w:pPr>
    </w:p>
    <w:p w14:paraId="6511193F" w14:textId="77777777" w:rsidR="00395402" w:rsidRPr="00E719E5" w:rsidRDefault="00395402">
      <w:pPr>
        <w:ind w:firstLine="0"/>
        <w:rPr>
          <w:rFonts w:ascii="Times New Roman" w:hAnsi="Times New Roman" w:cs="Times New Roman"/>
          <w:sz w:val="24"/>
          <w:szCs w:val="24"/>
        </w:rPr>
      </w:pPr>
    </w:p>
    <w:p w14:paraId="447BCCBA" w14:textId="50D9E5F8" w:rsidR="00E03E59" w:rsidRDefault="00E03E59">
      <w:pPr>
        <w:ind w:firstLine="0"/>
        <w:rPr>
          <w:rFonts w:ascii="Times New Roman" w:hAnsi="Times New Roman" w:cs="Times New Roman"/>
          <w:sz w:val="24"/>
          <w:szCs w:val="24"/>
        </w:rPr>
      </w:pPr>
      <w:r>
        <w:rPr>
          <w:rFonts w:ascii="Times New Roman" w:hAnsi="Times New Roman" w:cs="Times New Roman"/>
          <w:sz w:val="24"/>
          <w:szCs w:val="24"/>
        </w:rPr>
        <w:t xml:space="preserve">Figura 3 - </w:t>
      </w:r>
      <w:r w:rsidRPr="0027178A">
        <w:rPr>
          <w:rFonts w:ascii="Times New Roman" w:hAnsi="Times New Roman" w:cs="Times New Roman"/>
          <w:sz w:val="24"/>
          <w:szCs w:val="24"/>
        </w:rPr>
        <w:t xml:space="preserve">Decomposição da variação da taxa de desemprego por </w:t>
      </w:r>
      <w:r>
        <w:rPr>
          <w:rFonts w:ascii="Times New Roman" w:hAnsi="Times New Roman" w:cs="Times New Roman"/>
          <w:sz w:val="24"/>
          <w:szCs w:val="24"/>
        </w:rPr>
        <w:t>raça</w:t>
      </w:r>
      <w:r w:rsidRPr="0027178A">
        <w:rPr>
          <w:rFonts w:ascii="Times New Roman" w:hAnsi="Times New Roman" w:cs="Times New Roman"/>
          <w:sz w:val="24"/>
          <w:szCs w:val="24"/>
        </w:rPr>
        <w:t>, Brasil, 2012-</w:t>
      </w:r>
      <w:r>
        <w:rPr>
          <w:rFonts w:ascii="Times New Roman" w:hAnsi="Times New Roman" w:cs="Times New Roman"/>
          <w:sz w:val="24"/>
          <w:szCs w:val="24"/>
        </w:rPr>
        <w:t>22</w:t>
      </w:r>
    </w:p>
    <w:p w14:paraId="1924EFC3" w14:textId="77777777" w:rsidR="000B562D" w:rsidRDefault="00A87B69">
      <w:pPr>
        <w:keepNext/>
        <w:ind w:firstLine="0"/>
      </w:pPr>
      <w:r w:rsidRPr="00A96197">
        <w:rPr>
          <w:rFonts w:ascii="Times New Roman" w:hAnsi="Times New Roman" w:cs="Times New Roman"/>
          <w:noProof/>
        </w:rPr>
        <w:drawing>
          <wp:inline distT="0" distB="0" distL="0" distR="0" wp14:anchorId="54487EFB" wp14:editId="150872B0">
            <wp:extent cx="5400040" cy="2753832"/>
            <wp:effectExtent l="0" t="0" r="10160" b="8890"/>
            <wp:docPr id="1126279174" name="Gráfico 1">
              <a:extLst xmlns:a="http://schemas.openxmlformats.org/drawingml/2006/main">
                <a:ext uri="{FF2B5EF4-FFF2-40B4-BE49-F238E27FC236}">
                  <a16:creationId xmlns:a16="http://schemas.microsoft.com/office/drawing/2014/main" id="{17672112-2AA2-44A2-893E-45584A04D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A5BFAA" w14:textId="77777777" w:rsidR="000B562D"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730B4A89" w14:textId="59FA5E16" w:rsidR="00E03E59" w:rsidRPr="00CF7CF1" w:rsidRDefault="00655E6A">
      <w:pPr>
        <w:rPr>
          <w:rFonts w:ascii="Times New Roman" w:hAnsi="Times New Roman" w:cs="Times New Roman"/>
          <w:sz w:val="24"/>
          <w:szCs w:val="24"/>
        </w:rPr>
      </w:pPr>
      <w:r w:rsidRPr="00201D82">
        <w:rPr>
          <w:rFonts w:ascii="Times New Roman" w:hAnsi="Times New Roman" w:cs="Times New Roman"/>
          <w:sz w:val="24"/>
          <w:szCs w:val="24"/>
        </w:rPr>
        <w:t xml:space="preserve">Na Figura </w:t>
      </w:r>
      <w:r>
        <w:rPr>
          <w:rFonts w:ascii="Times New Roman" w:hAnsi="Times New Roman" w:cs="Times New Roman"/>
          <w:sz w:val="24"/>
          <w:szCs w:val="24"/>
        </w:rPr>
        <w:t>3</w:t>
      </w:r>
      <w:r w:rsidRPr="00201D82">
        <w:rPr>
          <w:rFonts w:ascii="Times New Roman" w:hAnsi="Times New Roman" w:cs="Times New Roman"/>
          <w:sz w:val="24"/>
          <w:szCs w:val="24"/>
        </w:rPr>
        <w:t xml:space="preserve">, encontra-se a decomposição da variação da taxa de desocupação, realizada por </w:t>
      </w:r>
      <w:r>
        <w:rPr>
          <w:rFonts w:ascii="Times New Roman" w:hAnsi="Times New Roman" w:cs="Times New Roman"/>
          <w:sz w:val="24"/>
          <w:szCs w:val="24"/>
        </w:rPr>
        <w:t>raça</w:t>
      </w:r>
      <w:r w:rsidRPr="00201D82">
        <w:rPr>
          <w:rFonts w:ascii="Times New Roman" w:hAnsi="Times New Roman" w:cs="Times New Roman"/>
          <w:sz w:val="24"/>
          <w:szCs w:val="24"/>
        </w:rPr>
        <w:t>. Agrupamentos demográficos com taxas de desemprego mais elevadas, como é exemplificado pelo contingente de pretos e pardos</w:t>
      </w:r>
      <w:r>
        <w:rPr>
          <w:rFonts w:ascii="Times New Roman" w:hAnsi="Times New Roman" w:cs="Times New Roman"/>
          <w:sz w:val="24"/>
          <w:szCs w:val="24"/>
        </w:rPr>
        <w:t xml:space="preserve"> (raça negra)</w:t>
      </w:r>
      <w:r w:rsidRPr="00201D82">
        <w:rPr>
          <w:rFonts w:ascii="Times New Roman" w:hAnsi="Times New Roman" w:cs="Times New Roman"/>
          <w:sz w:val="24"/>
          <w:szCs w:val="24"/>
        </w:rPr>
        <w:t xml:space="preserve">, testemunharam </w:t>
      </w:r>
      <w:r>
        <w:rPr>
          <w:rFonts w:ascii="Times New Roman" w:hAnsi="Times New Roman" w:cs="Times New Roman"/>
          <w:sz w:val="24"/>
          <w:szCs w:val="24"/>
        </w:rPr>
        <w:t>elevação</w:t>
      </w:r>
      <w:r w:rsidRPr="00201D82">
        <w:rPr>
          <w:rFonts w:ascii="Times New Roman" w:hAnsi="Times New Roman" w:cs="Times New Roman"/>
          <w:sz w:val="24"/>
          <w:szCs w:val="24"/>
        </w:rPr>
        <w:t xml:space="preserve"> significativ</w:t>
      </w:r>
      <w:r>
        <w:rPr>
          <w:rFonts w:ascii="Times New Roman" w:hAnsi="Times New Roman" w:cs="Times New Roman"/>
          <w:sz w:val="24"/>
          <w:szCs w:val="24"/>
        </w:rPr>
        <w:t>a</w:t>
      </w:r>
      <w:r w:rsidRPr="00201D82">
        <w:rPr>
          <w:rFonts w:ascii="Times New Roman" w:hAnsi="Times New Roman" w:cs="Times New Roman"/>
          <w:sz w:val="24"/>
          <w:szCs w:val="24"/>
        </w:rPr>
        <w:t xml:space="preserve"> em sua representatividade dentro da força de trabalho brasileira</w:t>
      </w:r>
      <w:r>
        <w:rPr>
          <w:rFonts w:ascii="Times New Roman" w:hAnsi="Times New Roman" w:cs="Times New Roman"/>
          <w:sz w:val="24"/>
          <w:szCs w:val="24"/>
        </w:rPr>
        <w:t>, especialmente, entre 2012 e 2017</w:t>
      </w:r>
      <w:r w:rsidRPr="00201D82">
        <w:rPr>
          <w:rFonts w:ascii="Times New Roman" w:hAnsi="Times New Roman" w:cs="Times New Roman"/>
          <w:sz w:val="24"/>
          <w:szCs w:val="24"/>
        </w:rPr>
        <w:t>. Nesse contexto, o efeito composição contribui</w:t>
      </w:r>
      <w:r>
        <w:rPr>
          <w:rFonts w:ascii="Times New Roman" w:hAnsi="Times New Roman" w:cs="Times New Roman"/>
          <w:sz w:val="24"/>
          <w:szCs w:val="24"/>
        </w:rPr>
        <w:t>u,</w:t>
      </w:r>
      <w:r w:rsidRPr="00201D82">
        <w:rPr>
          <w:rFonts w:ascii="Times New Roman" w:hAnsi="Times New Roman" w:cs="Times New Roman"/>
          <w:sz w:val="24"/>
          <w:szCs w:val="24"/>
        </w:rPr>
        <w:t xml:space="preserve"> de forma substantiva</w:t>
      </w:r>
      <w:r>
        <w:rPr>
          <w:rFonts w:ascii="Times New Roman" w:hAnsi="Times New Roman" w:cs="Times New Roman"/>
          <w:sz w:val="24"/>
          <w:szCs w:val="24"/>
        </w:rPr>
        <w:t>,</w:t>
      </w:r>
      <w:r w:rsidRPr="00201D82">
        <w:rPr>
          <w:rFonts w:ascii="Times New Roman" w:hAnsi="Times New Roman" w:cs="Times New Roman"/>
          <w:sz w:val="24"/>
          <w:szCs w:val="24"/>
        </w:rPr>
        <w:t xml:space="preserve"> para o incremento da taxa de desemprego, em conjunto com o impacto da redução da participação da população branca.</w:t>
      </w:r>
      <w:r w:rsidR="00395402">
        <w:rPr>
          <w:rFonts w:ascii="Times New Roman" w:hAnsi="Times New Roman" w:cs="Times New Roman"/>
          <w:sz w:val="24"/>
          <w:szCs w:val="24"/>
        </w:rPr>
        <w:t xml:space="preserve"> </w:t>
      </w:r>
      <w:r w:rsidR="00E03E59" w:rsidRPr="00CF7CF1">
        <w:rPr>
          <w:rFonts w:ascii="Times New Roman" w:hAnsi="Times New Roman" w:cs="Times New Roman"/>
          <w:sz w:val="24"/>
          <w:szCs w:val="24"/>
        </w:rPr>
        <w:t>O efeito composição</w:t>
      </w:r>
      <w:r w:rsidR="004761AE">
        <w:rPr>
          <w:rFonts w:ascii="Times New Roman" w:hAnsi="Times New Roman" w:cs="Times New Roman"/>
          <w:sz w:val="24"/>
          <w:szCs w:val="24"/>
        </w:rPr>
        <w:t xml:space="preserve">, sob a perspectiva da raça, </w:t>
      </w:r>
      <w:r w:rsidR="00E03E59" w:rsidRPr="00CF7CF1">
        <w:rPr>
          <w:rFonts w:ascii="Times New Roman" w:hAnsi="Times New Roman" w:cs="Times New Roman"/>
          <w:sz w:val="24"/>
          <w:szCs w:val="24"/>
        </w:rPr>
        <w:t xml:space="preserve">revela-se de </w:t>
      </w:r>
      <w:r w:rsidR="009D2873">
        <w:rPr>
          <w:rFonts w:ascii="Times New Roman" w:hAnsi="Times New Roman" w:cs="Times New Roman"/>
          <w:sz w:val="24"/>
          <w:szCs w:val="24"/>
        </w:rPr>
        <w:t>pouca influência na variação das taxas de desemprego</w:t>
      </w:r>
      <w:r w:rsidR="00E03E59" w:rsidRPr="00CF7CF1">
        <w:rPr>
          <w:rFonts w:ascii="Times New Roman" w:hAnsi="Times New Roman" w:cs="Times New Roman"/>
          <w:sz w:val="24"/>
          <w:szCs w:val="24"/>
        </w:rPr>
        <w:t xml:space="preserve">, </w:t>
      </w:r>
      <w:r w:rsidR="009D2873">
        <w:rPr>
          <w:rFonts w:ascii="Times New Roman" w:hAnsi="Times New Roman" w:cs="Times New Roman"/>
          <w:sz w:val="24"/>
          <w:szCs w:val="24"/>
        </w:rPr>
        <w:t>em comparação</w:t>
      </w:r>
      <w:r w:rsidR="00E03E59" w:rsidRPr="00CF7CF1">
        <w:rPr>
          <w:rFonts w:ascii="Times New Roman" w:hAnsi="Times New Roman" w:cs="Times New Roman"/>
          <w:sz w:val="24"/>
          <w:szCs w:val="24"/>
        </w:rPr>
        <w:t xml:space="preserve"> com o efeito nível, cuja variação se destaca, assim como evidenciado na decomposição por gênero</w:t>
      </w:r>
      <w:r w:rsidR="00E03E59">
        <w:rPr>
          <w:rFonts w:ascii="Times New Roman" w:hAnsi="Times New Roman" w:cs="Times New Roman"/>
          <w:sz w:val="24"/>
          <w:szCs w:val="24"/>
        </w:rPr>
        <w:t>. D</w:t>
      </w:r>
      <w:r w:rsidR="00E03E59" w:rsidRPr="00CF7CF1">
        <w:rPr>
          <w:rFonts w:ascii="Times New Roman" w:hAnsi="Times New Roman" w:cs="Times New Roman"/>
          <w:sz w:val="24"/>
          <w:szCs w:val="24"/>
        </w:rPr>
        <w:t>esse modo,</w:t>
      </w:r>
      <w:r w:rsidR="00E03E59">
        <w:rPr>
          <w:rFonts w:ascii="Times New Roman" w:hAnsi="Times New Roman" w:cs="Times New Roman"/>
          <w:sz w:val="24"/>
          <w:szCs w:val="24"/>
        </w:rPr>
        <w:t xml:space="preserve"> alinha-se</w:t>
      </w:r>
      <w:r w:rsidR="00E03E59" w:rsidRPr="00CF7CF1">
        <w:rPr>
          <w:rFonts w:ascii="Times New Roman" w:hAnsi="Times New Roman" w:cs="Times New Roman"/>
          <w:sz w:val="24"/>
          <w:szCs w:val="24"/>
        </w:rPr>
        <w:t xml:space="preserve"> à tendência ascendente do desemprego </w:t>
      </w:r>
      <w:r w:rsidR="009D2873">
        <w:rPr>
          <w:rFonts w:ascii="Times New Roman" w:hAnsi="Times New Roman" w:cs="Times New Roman"/>
          <w:sz w:val="24"/>
          <w:szCs w:val="24"/>
        </w:rPr>
        <w:t>nacional total d</w:t>
      </w:r>
      <w:r w:rsidR="00E03E59">
        <w:rPr>
          <w:rFonts w:ascii="Times New Roman" w:hAnsi="Times New Roman" w:cs="Times New Roman"/>
          <w:sz w:val="24"/>
          <w:szCs w:val="24"/>
        </w:rPr>
        <w:t>e 2012 a 2017, de 2020 a 2021 e sua proeminente retração, em 2022</w:t>
      </w:r>
      <w:r w:rsidR="00E03E59" w:rsidRPr="00CF7CF1">
        <w:rPr>
          <w:rFonts w:ascii="Times New Roman" w:hAnsi="Times New Roman" w:cs="Times New Roman"/>
          <w:sz w:val="24"/>
          <w:szCs w:val="24"/>
        </w:rPr>
        <w:t xml:space="preserve">. </w:t>
      </w:r>
      <w:r w:rsidR="00E03E59">
        <w:rPr>
          <w:rFonts w:ascii="Times New Roman" w:hAnsi="Times New Roman" w:cs="Times New Roman"/>
          <w:sz w:val="24"/>
          <w:szCs w:val="24"/>
        </w:rPr>
        <w:t>Em continuidade às</w:t>
      </w:r>
      <w:r w:rsidR="00E03E59" w:rsidRPr="00CF7CF1">
        <w:rPr>
          <w:rFonts w:ascii="Times New Roman" w:hAnsi="Times New Roman" w:cs="Times New Roman"/>
          <w:sz w:val="24"/>
          <w:szCs w:val="24"/>
        </w:rPr>
        <w:t xml:space="preserve"> decomposições das variações da taxa de desemprego, na Figura 1</w:t>
      </w:r>
      <w:r w:rsidR="00E03E59">
        <w:rPr>
          <w:rFonts w:ascii="Times New Roman" w:hAnsi="Times New Roman" w:cs="Times New Roman"/>
          <w:sz w:val="24"/>
          <w:szCs w:val="24"/>
        </w:rPr>
        <w:t>4</w:t>
      </w:r>
      <w:r w:rsidR="00E03E59" w:rsidRPr="00CF7CF1">
        <w:rPr>
          <w:rFonts w:ascii="Times New Roman" w:hAnsi="Times New Roman" w:cs="Times New Roman"/>
          <w:sz w:val="24"/>
          <w:szCs w:val="24"/>
        </w:rPr>
        <w:t>, são expostos os resultados derivados do nível de instrução</w:t>
      </w:r>
      <w:r w:rsidR="00E03E59">
        <w:rPr>
          <w:rFonts w:ascii="Times New Roman" w:hAnsi="Times New Roman" w:cs="Times New Roman"/>
          <w:sz w:val="24"/>
          <w:szCs w:val="24"/>
        </w:rPr>
        <w:t>.</w:t>
      </w:r>
    </w:p>
    <w:p w14:paraId="5189F5F4" w14:textId="34AD8182" w:rsidR="001C4D12" w:rsidRDefault="001C4D12" w:rsidP="00A67C6A">
      <w:pPr>
        <w:ind w:firstLine="0"/>
        <w:rPr>
          <w:rFonts w:ascii="Times New Roman" w:hAnsi="Times New Roman" w:cs="Times New Roman"/>
          <w:sz w:val="24"/>
          <w:szCs w:val="24"/>
        </w:rPr>
      </w:pPr>
    </w:p>
    <w:p w14:paraId="592AEA34" w14:textId="77777777" w:rsidR="001C4D12" w:rsidRDefault="001C4D12" w:rsidP="00A67C6A">
      <w:pPr>
        <w:ind w:firstLine="0"/>
        <w:rPr>
          <w:rFonts w:ascii="Times New Roman" w:hAnsi="Times New Roman" w:cs="Times New Roman"/>
          <w:sz w:val="24"/>
          <w:szCs w:val="24"/>
        </w:rPr>
      </w:pPr>
    </w:p>
    <w:p w14:paraId="4D091C5A" w14:textId="77777777" w:rsidR="001C4D12" w:rsidRDefault="001C4D12" w:rsidP="00A67C6A">
      <w:pPr>
        <w:ind w:firstLine="0"/>
        <w:rPr>
          <w:rFonts w:ascii="Times New Roman" w:hAnsi="Times New Roman" w:cs="Times New Roman"/>
          <w:sz w:val="24"/>
          <w:szCs w:val="24"/>
        </w:rPr>
      </w:pPr>
    </w:p>
    <w:p w14:paraId="74AE85EF" w14:textId="77777777" w:rsidR="001C4D12" w:rsidRDefault="001C4D12" w:rsidP="00A67C6A">
      <w:pPr>
        <w:ind w:firstLine="0"/>
        <w:rPr>
          <w:rFonts w:ascii="Times New Roman" w:hAnsi="Times New Roman" w:cs="Times New Roman"/>
          <w:sz w:val="24"/>
          <w:szCs w:val="24"/>
        </w:rPr>
      </w:pPr>
    </w:p>
    <w:p w14:paraId="674CE339" w14:textId="77777777" w:rsidR="001C4D12" w:rsidRDefault="001C4D12" w:rsidP="00A67C6A">
      <w:pPr>
        <w:ind w:firstLine="0"/>
        <w:rPr>
          <w:rFonts w:ascii="Times New Roman" w:hAnsi="Times New Roman" w:cs="Times New Roman"/>
          <w:sz w:val="24"/>
          <w:szCs w:val="24"/>
        </w:rPr>
      </w:pPr>
    </w:p>
    <w:p w14:paraId="5F7FC44F" w14:textId="77777777" w:rsidR="001C4D12" w:rsidRDefault="001C4D12" w:rsidP="00A67C6A">
      <w:pPr>
        <w:ind w:firstLine="0"/>
        <w:rPr>
          <w:rFonts w:ascii="Times New Roman" w:hAnsi="Times New Roman" w:cs="Times New Roman"/>
          <w:sz w:val="24"/>
          <w:szCs w:val="24"/>
        </w:rPr>
      </w:pPr>
    </w:p>
    <w:p w14:paraId="28EDABEB" w14:textId="77777777" w:rsidR="001C4D12" w:rsidRDefault="001C4D12" w:rsidP="00A67C6A">
      <w:pPr>
        <w:ind w:firstLine="0"/>
        <w:rPr>
          <w:rFonts w:ascii="Times New Roman" w:hAnsi="Times New Roman" w:cs="Times New Roman"/>
          <w:sz w:val="24"/>
          <w:szCs w:val="24"/>
        </w:rPr>
      </w:pPr>
    </w:p>
    <w:p w14:paraId="4EE692D8" w14:textId="69A789FD" w:rsidR="00E03E59" w:rsidRDefault="001C4D12">
      <w:pPr>
        <w:ind w:firstLine="0"/>
        <w:rPr>
          <w:rFonts w:ascii="Times New Roman" w:hAnsi="Times New Roman" w:cs="Times New Roman"/>
          <w:sz w:val="24"/>
          <w:szCs w:val="24"/>
        </w:rPr>
      </w:pPr>
      <w:r>
        <w:rPr>
          <w:rFonts w:ascii="Times New Roman" w:hAnsi="Times New Roman" w:cs="Times New Roman"/>
          <w:sz w:val="24"/>
          <w:szCs w:val="24"/>
        </w:rPr>
        <w:t>F</w:t>
      </w:r>
      <w:r w:rsidR="00E03E59">
        <w:rPr>
          <w:rFonts w:ascii="Times New Roman" w:hAnsi="Times New Roman" w:cs="Times New Roman"/>
          <w:sz w:val="24"/>
          <w:szCs w:val="24"/>
        </w:rPr>
        <w:t>igura 4 -</w:t>
      </w:r>
      <w:r w:rsidR="00E03E59" w:rsidRPr="0027178A">
        <w:rPr>
          <w:rFonts w:ascii="Times New Roman" w:hAnsi="Times New Roman" w:cs="Times New Roman"/>
          <w:sz w:val="24"/>
          <w:szCs w:val="24"/>
        </w:rPr>
        <w:t xml:space="preserve"> Decomposição da variação da taxa de desemprego por escolaridade, Brasil, 2012-</w:t>
      </w:r>
      <w:r w:rsidR="00E03E59">
        <w:rPr>
          <w:rFonts w:ascii="Times New Roman" w:hAnsi="Times New Roman" w:cs="Times New Roman"/>
          <w:sz w:val="24"/>
          <w:szCs w:val="24"/>
        </w:rPr>
        <w:t>22</w:t>
      </w:r>
    </w:p>
    <w:p w14:paraId="2A8A3BFC" w14:textId="77777777" w:rsidR="000B562D" w:rsidRDefault="009D2873">
      <w:pPr>
        <w:keepNext/>
        <w:ind w:firstLine="0"/>
      </w:pPr>
      <w:r w:rsidRPr="00A96197">
        <w:rPr>
          <w:rFonts w:ascii="Times New Roman" w:hAnsi="Times New Roman" w:cs="Times New Roman"/>
          <w:noProof/>
        </w:rPr>
        <w:drawing>
          <wp:inline distT="0" distB="0" distL="0" distR="0" wp14:anchorId="5D5EC877" wp14:editId="7CA6631E">
            <wp:extent cx="5400040" cy="2626242"/>
            <wp:effectExtent l="0" t="0" r="10160" b="3175"/>
            <wp:docPr id="175049344" name="Gráfico 1">
              <a:extLst xmlns:a="http://schemas.openxmlformats.org/drawingml/2006/main">
                <a:ext uri="{FF2B5EF4-FFF2-40B4-BE49-F238E27FC236}">
                  <a16:creationId xmlns:a16="http://schemas.microsoft.com/office/drawing/2014/main" id="{91DE05A4-194F-43B5-AB2C-440B7A272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A0D1B" w14:textId="6473DC2F" w:rsidR="00E03E59"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p>
    <w:p w14:paraId="2C6A1E30" w14:textId="5B1AA073" w:rsidR="00E03E59" w:rsidRDefault="00E03E59">
      <w:pPr>
        <w:rPr>
          <w:rFonts w:ascii="Times New Roman" w:hAnsi="Times New Roman" w:cs="Times New Roman"/>
          <w:sz w:val="24"/>
          <w:szCs w:val="24"/>
        </w:rPr>
      </w:pPr>
      <w:r w:rsidRPr="00654106">
        <w:rPr>
          <w:rFonts w:ascii="Times New Roman" w:hAnsi="Times New Roman" w:cs="Times New Roman"/>
          <w:sz w:val="24"/>
          <w:szCs w:val="24"/>
        </w:rPr>
        <w:t>Conforme ilustrado, o efeito composição, à exceção do período 201</w:t>
      </w:r>
      <w:r>
        <w:rPr>
          <w:rFonts w:ascii="Times New Roman" w:hAnsi="Times New Roman" w:cs="Times New Roman"/>
          <w:sz w:val="24"/>
          <w:szCs w:val="24"/>
        </w:rPr>
        <w:t>7</w:t>
      </w:r>
      <w:r w:rsidR="00311B66">
        <w:rPr>
          <w:rFonts w:ascii="Times New Roman" w:hAnsi="Times New Roman" w:cs="Times New Roman"/>
          <w:sz w:val="24"/>
          <w:szCs w:val="24"/>
        </w:rPr>
        <w:t>-</w:t>
      </w:r>
      <w:r>
        <w:rPr>
          <w:rFonts w:ascii="Times New Roman" w:hAnsi="Times New Roman" w:cs="Times New Roman"/>
          <w:sz w:val="24"/>
          <w:szCs w:val="24"/>
        </w:rPr>
        <w:t>22</w:t>
      </w:r>
      <w:r w:rsidRPr="00654106">
        <w:rPr>
          <w:rFonts w:ascii="Times New Roman" w:hAnsi="Times New Roman" w:cs="Times New Roman"/>
          <w:sz w:val="24"/>
          <w:szCs w:val="24"/>
        </w:rPr>
        <w:t>, revelou-se positivo</w:t>
      </w:r>
      <w:r>
        <w:rPr>
          <w:rFonts w:ascii="Times New Roman" w:hAnsi="Times New Roman" w:cs="Times New Roman"/>
          <w:sz w:val="24"/>
          <w:szCs w:val="24"/>
        </w:rPr>
        <w:t xml:space="preserve"> e</w:t>
      </w:r>
      <w:r w:rsidRPr="00654106">
        <w:rPr>
          <w:rFonts w:ascii="Times New Roman" w:hAnsi="Times New Roman" w:cs="Times New Roman"/>
          <w:sz w:val="24"/>
          <w:szCs w:val="24"/>
        </w:rPr>
        <w:t xml:space="preserve"> co</w:t>
      </w:r>
      <w:r>
        <w:rPr>
          <w:rFonts w:ascii="Times New Roman" w:hAnsi="Times New Roman" w:cs="Times New Roman"/>
          <w:sz w:val="24"/>
          <w:szCs w:val="24"/>
        </w:rPr>
        <w:t>laborou</w:t>
      </w:r>
      <w:r w:rsidRPr="00654106">
        <w:rPr>
          <w:rFonts w:ascii="Times New Roman" w:hAnsi="Times New Roman" w:cs="Times New Roman"/>
          <w:sz w:val="24"/>
          <w:szCs w:val="24"/>
        </w:rPr>
        <w:t xml:space="preserve"> para o </w:t>
      </w:r>
      <w:r w:rsidR="00BB02EF">
        <w:rPr>
          <w:rFonts w:ascii="Times New Roman" w:hAnsi="Times New Roman" w:cs="Times New Roman"/>
          <w:sz w:val="24"/>
          <w:szCs w:val="24"/>
        </w:rPr>
        <w:t>acréscimo</w:t>
      </w:r>
      <w:r w:rsidR="00BB02EF" w:rsidRPr="00654106">
        <w:rPr>
          <w:rFonts w:ascii="Times New Roman" w:hAnsi="Times New Roman" w:cs="Times New Roman"/>
          <w:sz w:val="24"/>
          <w:szCs w:val="24"/>
        </w:rPr>
        <w:t xml:space="preserve"> </w:t>
      </w:r>
      <w:r w:rsidRPr="00654106">
        <w:rPr>
          <w:rFonts w:ascii="Times New Roman" w:hAnsi="Times New Roman" w:cs="Times New Roman"/>
          <w:sz w:val="24"/>
          <w:szCs w:val="24"/>
        </w:rPr>
        <w:t xml:space="preserve">da taxa de desemprego. Por meio desse efeito, infere-se </w:t>
      </w:r>
      <w:r w:rsidR="00E8661F">
        <w:rPr>
          <w:rFonts w:ascii="Times New Roman" w:hAnsi="Times New Roman" w:cs="Times New Roman"/>
          <w:sz w:val="24"/>
          <w:szCs w:val="24"/>
        </w:rPr>
        <w:t xml:space="preserve">sobre duas possibilidades: ou houve </w:t>
      </w:r>
      <w:r w:rsidRPr="00654106">
        <w:rPr>
          <w:rFonts w:ascii="Times New Roman" w:hAnsi="Times New Roman" w:cs="Times New Roman"/>
          <w:sz w:val="24"/>
          <w:szCs w:val="24"/>
        </w:rPr>
        <w:t>maior ingresso de indivíduos com níveis educacionais mais baixos na força de trabalho</w:t>
      </w:r>
      <w:r>
        <w:rPr>
          <w:rFonts w:ascii="Times New Roman" w:hAnsi="Times New Roman" w:cs="Times New Roman"/>
          <w:sz w:val="24"/>
          <w:szCs w:val="24"/>
        </w:rPr>
        <w:t>,</w:t>
      </w:r>
      <w:r w:rsidRPr="00654106">
        <w:rPr>
          <w:rFonts w:ascii="Times New Roman" w:hAnsi="Times New Roman" w:cs="Times New Roman"/>
          <w:sz w:val="24"/>
          <w:szCs w:val="24"/>
        </w:rPr>
        <w:t xml:space="preserve"> desde 2014, ou </w:t>
      </w:r>
      <w:r w:rsidR="00E8661F">
        <w:rPr>
          <w:rFonts w:ascii="Times New Roman" w:hAnsi="Times New Roman" w:cs="Times New Roman"/>
          <w:sz w:val="24"/>
          <w:szCs w:val="24"/>
        </w:rPr>
        <w:t xml:space="preserve">ocorreu </w:t>
      </w:r>
      <w:r>
        <w:rPr>
          <w:rFonts w:ascii="Times New Roman" w:hAnsi="Times New Roman" w:cs="Times New Roman"/>
          <w:sz w:val="24"/>
          <w:szCs w:val="24"/>
        </w:rPr>
        <w:t>a</w:t>
      </w:r>
      <w:r w:rsidRPr="00654106">
        <w:rPr>
          <w:rFonts w:ascii="Times New Roman" w:hAnsi="Times New Roman" w:cs="Times New Roman"/>
          <w:sz w:val="24"/>
          <w:szCs w:val="24"/>
        </w:rPr>
        <w:t xml:space="preserve"> saída de indivíduos com elevado grau de escolaridade </w:t>
      </w:r>
      <w:r>
        <w:rPr>
          <w:rFonts w:ascii="Times New Roman" w:hAnsi="Times New Roman" w:cs="Times New Roman"/>
          <w:sz w:val="24"/>
          <w:szCs w:val="24"/>
        </w:rPr>
        <w:t xml:space="preserve">da </w:t>
      </w:r>
      <w:r w:rsidRPr="00654106">
        <w:rPr>
          <w:rFonts w:ascii="Times New Roman" w:hAnsi="Times New Roman" w:cs="Times New Roman"/>
          <w:sz w:val="24"/>
          <w:szCs w:val="24"/>
        </w:rPr>
        <w:t>PEA</w:t>
      </w:r>
      <w:r w:rsidR="00E8661F">
        <w:rPr>
          <w:rFonts w:ascii="Times New Roman" w:hAnsi="Times New Roman" w:cs="Times New Roman"/>
          <w:sz w:val="24"/>
          <w:szCs w:val="24"/>
        </w:rPr>
        <w:t>, sendo que, n</w:t>
      </w:r>
      <w:r>
        <w:rPr>
          <w:rFonts w:ascii="Times New Roman" w:hAnsi="Times New Roman" w:cs="Times New Roman"/>
          <w:sz w:val="24"/>
          <w:szCs w:val="24"/>
        </w:rPr>
        <w:t>a</w:t>
      </w:r>
      <w:r w:rsidRPr="00654106">
        <w:rPr>
          <w:rFonts w:ascii="Times New Roman" w:hAnsi="Times New Roman" w:cs="Times New Roman"/>
          <w:sz w:val="24"/>
          <w:szCs w:val="24"/>
        </w:rPr>
        <w:t xml:space="preserve"> con</w:t>
      </w:r>
      <w:r>
        <w:rPr>
          <w:rFonts w:ascii="Times New Roman" w:hAnsi="Times New Roman" w:cs="Times New Roman"/>
          <w:sz w:val="24"/>
          <w:szCs w:val="24"/>
        </w:rPr>
        <w:t>juntura</w:t>
      </w:r>
      <w:r w:rsidRPr="00654106">
        <w:rPr>
          <w:rFonts w:ascii="Times New Roman" w:hAnsi="Times New Roman" w:cs="Times New Roman"/>
          <w:sz w:val="24"/>
          <w:szCs w:val="24"/>
        </w:rPr>
        <w:t xml:space="preserve"> brasileir</w:t>
      </w:r>
      <w:r>
        <w:rPr>
          <w:rFonts w:ascii="Times New Roman" w:hAnsi="Times New Roman" w:cs="Times New Roman"/>
          <w:sz w:val="24"/>
          <w:szCs w:val="24"/>
        </w:rPr>
        <w:t>a</w:t>
      </w:r>
      <w:r w:rsidRPr="00654106">
        <w:rPr>
          <w:rFonts w:ascii="Times New Roman" w:hAnsi="Times New Roman" w:cs="Times New Roman"/>
          <w:sz w:val="24"/>
          <w:szCs w:val="24"/>
        </w:rPr>
        <w:t xml:space="preserve">, essa segunda dinâmica sugere </w:t>
      </w:r>
      <w:r>
        <w:rPr>
          <w:rFonts w:ascii="Times New Roman" w:hAnsi="Times New Roman" w:cs="Times New Roman"/>
          <w:sz w:val="24"/>
          <w:szCs w:val="24"/>
        </w:rPr>
        <w:t>o</w:t>
      </w:r>
      <w:r w:rsidRPr="00654106">
        <w:rPr>
          <w:rFonts w:ascii="Times New Roman" w:hAnsi="Times New Roman" w:cs="Times New Roman"/>
          <w:sz w:val="24"/>
          <w:szCs w:val="24"/>
        </w:rPr>
        <w:t xml:space="preserve"> crescimento da população desalentada</w:t>
      </w:r>
      <w:r w:rsidR="009B3415">
        <w:rPr>
          <w:rFonts w:ascii="Times New Roman" w:hAnsi="Times New Roman" w:cs="Times New Roman"/>
          <w:sz w:val="24"/>
          <w:szCs w:val="24"/>
        </w:rPr>
        <w:t xml:space="preserve"> (BARBOSA FILHO, PESSOA, </w:t>
      </w:r>
      <w:r w:rsidR="009B3415" w:rsidRPr="00F70ED3">
        <w:rPr>
          <w:rFonts w:ascii="Times New Roman" w:hAnsi="Times New Roman" w:cs="Times New Roman"/>
          <w:sz w:val="24"/>
          <w:szCs w:val="24"/>
        </w:rPr>
        <w:t>20</w:t>
      </w:r>
      <w:r w:rsidR="009B3415">
        <w:rPr>
          <w:rFonts w:ascii="Times New Roman" w:hAnsi="Times New Roman" w:cs="Times New Roman"/>
          <w:sz w:val="24"/>
          <w:szCs w:val="24"/>
        </w:rPr>
        <w:t>11</w:t>
      </w:r>
      <w:r w:rsidR="009B3415" w:rsidRPr="00F70ED3">
        <w:rPr>
          <w:rFonts w:ascii="Times New Roman" w:hAnsi="Times New Roman" w:cs="Times New Roman"/>
          <w:sz w:val="24"/>
          <w:szCs w:val="24"/>
        </w:rPr>
        <w:t>)</w:t>
      </w:r>
      <w:r w:rsidRPr="00654106">
        <w:rPr>
          <w:rFonts w:ascii="Times New Roman" w:hAnsi="Times New Roman" w:cs="Times New Roman"/>
          <w:sz w:val="24"/>
          <w:szCs w:val="24"/>
        </w:rPr>
        <w:t>. Novamente, o efeito nível predominou como o principal agente na expansão da taxa de desemprego, alinhando-se à tendência anteriormente mencionada</w:t>
      </w:r>
      <w:r w:rsidR="00191EB5">
        <w:rPr>
          <w:rFonts w:ascii="Times New Roman" w:hAnsi="Times New Roman" w:cs="Times New Roman"/>
          <w:sz w:val="24"/>
          <w:szCs w:val="24"/>
        </w:rPr>
        <w:t xml:space="preserve"> nas análises de gênero e raça</w:t>
      </w:r>
      <w:r w:rsidRPr="00654106">
        <w:rPr>
          <w:rFonts w:ascii="Times New Roman" w:hAnsi="Times New Roman" w:cs="Times New Roman"/>
          <w:sz w:val="24"/>
          <w:szCs w:val="24"/>
        </w:rPr>
        <w:t xml:space="preserve">. </w:t>
      </w:r>
      <w:r>
        <w:rPr>
          <w:rFonts w:ascii="Times New Roman" w:hAnsi="Times New Roman" w:cs="Times New Roman"/>
          <w:sz w:val="24"/>
          <w:szCs w:val="24"/>
        </w:rPr>
        <w:t>Adiante, n</w:t>
      </w:r>
      <w:r w:rsidRPr="00654106">
        <w:rPr>
          <w:rFonts w:ascii="Times New Roman" w:hAnsi="Times New Roman" w:cs="Times New Roman"/>
          <w:sz w:val="24"/>
          <w:szCs w:val="24"/>
        </w:rPr>
        <w:t xml:space="preserve">a Figura </w:t>
      </w:r>
      <w:r>
        <w:rPr>
          <w:rFonts w:ascii="Times New Roman" w:hAnsi="Times New Roman" w:cs="Times New Roman"/>
          <w:sz w:val="24"/>
          <w:szCs w:val="24"/>
        </w:rPr>
        <w:t>5</w:t>
      </w:r>
      <w:r w:rsidRPr="00654106">
        <w:rPr>
          <w:rFonts w:ascii="Times New Roman" w:hAnsi="Times New Roman" w:cs="Times New Roman"/>
          <w:sz w:val="24"/>
          <w:szCs w:val="24"/>
        </w:rPr>
        <w:t xml:space="preserve">, é apresentada a decomposição da variação da taxa de desemprego, </w:t>
      </w:r>
      <w:r>
        <w:rPr>
          <w:rFonts w:ascii="Times New Roman" w:hAnsi="Times New Roman" w:cs="Times New Roman"/>
          <w:sz w:val="24"/>
          <w:szCs w:val="24"/>
        </w:rPr>
        <w:t>relacionada</w:t>
      </w:r>
      <w:r w:rsidRPr="00654106">
        <w:rPr>
          <w:rFonts w:ascii="Times New Roman" w:hAnsi="Times New Roman" w:cs="Times New Roman"/>
          <w:sz w:val="24"/>
          <w:szCs w:val="24"/>
        </w:rPr>
        <w:t xml:space="preserve"> </w:t>
      </w:r>
      <w:r>
        <w:rPr>
          <w:rFonts w:ascii="Times New Roman" w:hAnsi="Times New Roman" w:cs="Times New Roman"/>
          <w:sz w:val="24"/>
          <w:szCs w:val="24"/>
        </w:rPr>
        <w:t>à</w:t>
      </w:r>
      <w:r w:rsidRPr="00654106">
        <w:rPr>
          <w:rFonts w:ascii="Times New Roman" w:hAnsi="Times New Roman" w:cs="Times New Roman"/>
          <w:sz w:val="24"/>
          <w:szCs w:val="24"/>
        </w:rPr>
        <w:t>s diferentes faixas etárias.</w:t>
      </w:r>
    </w:p>
    <w:p w14:paraId="60C83C96" w14:textId="77777777" w:rsidR="00395402" w:rsidRDefault="00395402">
      <w:pPr>
        <w:rPr>
          <w:rFonts w:ascii="Times New Roman" w:hAnsi="Times New Roman" w:cs="Times New Roman"/>
          <w:sz w:val="24"/>
          <w:szCs w:val="24"/>
        </w:rPr>
      </w:pPr>
    </w:p>
    <w:p w14:paraId="4E2BC90C" w14:textId="77777777" w:rsidR="00395402" w:rsidRDefault="00395402">
      <w:pPr>
        <w:rPr>
          <w:rFonts w:ascii="Times New Roman" w:hAnsi="Times New Roman" w:cs="Times New Roman"/>
          <w:sz w:val="24"/>
          <w:szCs w:val="24"/>
        </w:rPr>
      </w:pPr>
    </w:p>
    <w:p w14:paraId="45DF2010" w14:textId="77777777" w:rsidR="00395402" w:rsidRDefault="00395402">
      <w:pPr>
        <w:rPr>
          <w:rFonts w:ascii="Times New Roman" w:hAnsi="Times New Roman" w:cs="Times New Roman"/>
          <w:sz w:val="24"/>
          <w:szCs w:val="24"/>
        </w:rPr>
      </w:pPr>
    </w:p>
    <w:p w14:paraId="29EB2608" w14:textId="77777777" w:rsidR="00395402" w:rsidRDefault="00395402">
      <w:pPr>
        <w:rPr>
          <w:rFonts w:ascii="Times New Roman" w:hAnsi="Times New Roman" w:cs="Times New Roman"/>
          <w:sz w:val="24"/>
          <w:szCs w:val="24"/>
        </w:rPr>
      </w:pPr>
    </w:p>
    <w:p w14:paraId="5EC13C59" w14:textId="77777777" w:rsidR="00395402" w:rsidRDefault="00395402">
      <w:pPr>
        <w:rPr>
          <w:rFonts w:ascii="Times New Roman" w:hAnsi="Times New Roman" w:cs="Times New Roman"/>
          <w:sz w:val="24"/>
          <w:szCs w:val="24"/>
        </w:rPr>
      </w:pPr>
    </w:p>
    <w:p w14:paraId="2D0AEF82" w14:textId="77777777" w:rsidR="00395402" w:rsidRDefault="00395402">
      <w:pPr>
        <w:rPr>
          <w:rFonts w:ascii="Times New Roman" w:hAnsi="Times New Roman" w:cs="Times New Roman"/>
          <w:sz w:val="24"/>
          <w:szCs w:val="24"/>
        </w:rPr>
      </w:pPr>
    </w:p>
    <w:p w14:paraId="7F6CF446" w14:textId="77777777" w:rsidR="00395402" w:rsidRDefault="00395402">
      <w:pPr>
        <w:rPr>
          <w:rFonts w:ascii="Times New Roman" w:hAnsi="Times New Roman" w:cs="Times New Roman"/>
          <w:sz w:val="24"/>
          <w:szCs w:val="24"/>
        </w:rPr>
      </w:pPr>
    </w:p>
    <w:p w14:paraId="7558D349" w14:textId="77777777" w:rsidR="00395402" w:rsidRDefault="00395402">
      <w:pPr>
        <w:rPr>
          <w:rFonts w:ascii="Times New Roman" w:hAnsi="Times New Roman" w:cs="Times New Roman"/>
          <w:sz w:val="24"/>
          <w:szCs w:val="24"/>
        </w:rPr>
      </w:pPr>
    </w:p>
    <w:p w14:paraId="23B78944" w14:textId="77777777" w:rsidR="00395402" w:rsidRDefault="00395402">
      <w:pPr>
        <w:rPr>
          <w:rFonts w:ascii="Times New Roman" w:hAnsi="Times New Roman" w:cs="Times New Roman"/>
          <w:sz w:val="24"/>
          <w:szCs w:val="24"/>
        </w:rPr>
      </w:pPr>
    </w:p>
    <w:p w14:paraId="7F8DFB1B" w14:textId="074FBA5F" w:rsidR="00E03E59" w:rsidRDefault="00E03E59">
      <w:pPr>
        <w:ind w:firstLine="0"/>
        <w:rPr>
          <w:rFonts w:ascii="Times New Roman" w:hAnsi="Times New Roman" w:cs="Times New Roman"/>
          <w:sz w:val="24"/>
          <w:szCs w:val="24"/>
        </w:rPr>
      </w:pPr>
      <w:r>
        <w:rPr>
          <w:rFonts w:ascii="Times New Roman" w:hAnsi="Times New Roman" w:cs="Times New Roman"/>
          <w:sz w:val="24"/>
          <w:szCs w:val="24"/>
        </w:rPr>
        <w:t xml:space="preserve">Figura 5 - </w:t>
      </w:r>
      <w:r w:rsidRPr="001E4D79">
        <w:rPr>
          <w:rFonts w:ascii="Times New Roman" w:hAnsi="Times New Roman" w:cs="Times New Roman"/>
          <w:sz w:val="24"/>
          <w:szCs w:val="24"/>
        </w:rPr>
        <w:t>Decomposição da variação da taxa de desemprego por faixa etária, Brasil, 2012-</w:t>
      </w:r>
      <w:r>
        <w:rPr>
          <w:rFonts w:ascii="Times New Roman" w:hAnsi="Times New Roman" w:cs="Times New Roman"/>
          <w:sz w:val="24"/>
          <w:szCs w:val="24"/>
        </w:rPr>
        <w:t>22</w:t>
      </w:r>
    </w:p>
    <w:p w14:paraId="1AFFEE9A" w14:textId="77777777" w:rsidR="000B562D" w:rsidRDefault="00D25AEF">
      <w:pPr>
        <w:keepNext/>
        <w:ind w:firstLine="0"/>
      </w:pPr>
      <w:r>
        <w:rPr>
          <w:noProof/>
        </w:rPr>
        <w:drawing>
          <wp:inline distT="0" distB="0" distL="0" distR="0" wp14:anchorId="1B9E26D0" wp14:editId="36E7DD67">
            <wp:extent cx="5400040" cy="2573079"/>
            <wp:effectExtent l="0" t="0" r="10160" b="17780"/>
            <wp:docPr id="1828929270" name="Gráfico 1">
              <a:extLst xmlns:a="http://schemas.openxmlformats.org/drawingml/2006/main">
                <a:ext uri="{FF2B5EF4-FFF2-40B4-BE49-F238E27FC236}">
                  <a16:creationId xmlns:a16="http://schemas.microsoft.com/office/drawing/2014/main" id="{CD4D5F3E-EFE2-480E-AD2C-A9249C792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E42756" w14:textId="77777777" w:rsidR="000B562D"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0C81689C" w14:textId="6B111DD5" w:rsidR="00E03E59" w:rsidRDefault="00E03E59">
      <w:pPr>
        <w:rPr>
          <w:rFonts w:ascii="Times New Roman" w:hAnsi="Times New Roman" w:cs="Times New Roman"/>
          <w:sz w:val="24"/>
          <w:szCs w:val="24"/>
        </w:rPr>
      </w:pPr>
      <w:r w:rsidRPr="00F670DD">
        <w:rPr>
          <w:rFonts w:ascii="Times New Roman" w:hAnsi="Times New Roman" w:cs="Times New Roman"/>
          <w:sz w:val="24"/>
          <w:szCs w:val="24"/>
        </w:rPr>
        <w:t xml:space="preserve">A Figura </w:t>
      </w:r>
      <w:r>
        <w:rPr>
          <w:rFonts w:ascii="Times New Roman" w:hAnsi="Times New Roman" w:cs="Times New Roman"/>
          <w:sz w:val="24"/>
          <w:szCs w:val="24"/>
        </w:rPr>
        <w:t>5</w:t>
      </w:r>
      <w:r w:rsidRPr="00F670DD">
        <w:rPr>
          <w:rFonts w:ascii="Times New Roman" w:hAnsi="Times New Roman" w:cs="Times New Roman"/>
          <w:sz w:val="24"/>
          <w:szCs w:val="24"/>
        </w:rPr>
        <w:t xml:space="preserve"> ilustra</w:t>
      </w:r>
      <w:r>
        <w:rPr>
          <w:rFonts w:ascii="Times New Roman" w:hAnsi="Times New Roman" w:cs="Times New Roman"/>
          <w:sz w:val="24"/>
          <w:szCs w:val="24"/>
        </w:rPr>
        <w:t>,</w:t>
      </w:r>
      <w:r w:rsidRPr="00F670DD">
        <w:rPr>
          <w:rFonts w:ascii="Times New Roman" w:hAnsi="Times New Roman" w:cs="Times New Roman"/>
          <w:sz w:val="24"/>
          <w:szCs w:val="24"/>
        </w:rPr>
        <w:t xml:space="preserve"> de maneira evidente</w:t>
      </w:r>
      <w:r>
        <w:rPr>
          <w:rFonts w:ascii="Times New Roman" w:hAnsi="Times New Roman" w:cs="Times New Roman"/>
          <w:sz w:val="24"/>
          <w:szCs w:val="24"/>
        </w:rPr>
        <w:t>,</w:t>
      </w:r>
      <w:r w:rsidRPr="00F670DD">
        <w:rPr>
          <w:rFonts w:ascii="Times New Roman" w:hAnsi="Times New Roman" w:cs="Times New Roman"/>
          <w:sz w:val="24"/>
          <w:szCs w:val="24"/>
        </w:rPr>
        <w:t xml:space="preserve"> </w:t>
      </w:r>
      <w:bookmarkStart w:id="13" w:name="_Hlk159755473"/>
      <w:r w:rsidRPr="00F670DD">
        <w:rPr>
          <w:rFonts w:ascii="Times New Roman" w:hAnsi="Times New Roman" w:cs="Times New Roman"/>
          <w:sz w:val="24"/>
          <w:szCs w:val="24"/>
        </w:rPr>
        <w:t>o significativo retardamento na inserção dos jovens no mercado de trabalho. Este fenômeno impactou indivíduos até os 3</w:t>
      </w:r>
      <w:r>
        <w:rPr>
          <w:rFonts w:ascii="Times New Roman" w:hAnsi="Times New Roman" w:cs="Times New Roman"/>
          <w:sz w:val="24"/>
          <w:szCs w:val="24"/>
        </w:rPr>
        <w:t>9</w:t>
      </w:r>
      <w:r w:rsidRPr="00F670DD">
        <w:rPr>
          <w:rFonts w:ascii="Times New Roman" w:hAnsi="Times New Roman" w:cs="Times New Roman"/>
          <w:sz w:val="24"/>
          <w:szCs w:val="24"/>
        </w:rPr>
        <w:t xml:space="preserve"> anos</w:t>
      </w:r>
      <w:r w:rsidR="00025418">
        <w:rPr>
          <w:rFonts w:ascii="Times New Roman" w:hAnsi="Times New Roman" w:cs="Times New Roman"/>
          <w:sz w:val="24"/>
          <w:szCs w:val="24"/>
        </w:rPr>
        <w:t xml:space="preserve">, de modo a </w:t>
      </w:r>
      <w:r w:rsidRPr="00F670DD">
        <w:rPr>
          <w:rFonts w:ascii="Times New Roman" w:hAnsi="Times New Roman" w:cs="Times New Roman"/>
          <w:sz w:val="24"/>
          <w:szCs w:val="24"/>
        </w:rPr>
        <w:t>diminui</w:t>
      </w:r>
      <w:r w:rsidR="00025418">
        <w:rPr>
          <w:rFonts w:ascii="Times New Roman" w:hAnsi="Times New Roman" w:cs="Times New Roman"/>
          <w:sz w:val="24"/>
          <w:szCs w:val="24"/>
        </w:rPr>
        <w:t>r</w:t>
      </w:r>
      <w:r w:rsidRPr="00F670DD">
        <w:rPr>
          <w:rFonts w:ascii="Times New Roman" w:hAnsi="Times New Roman" w:cs="Times New Roman"/>
          <w:sz w:val="24"/>
          <w:szCs w:val="24"/>
        </w:rPr>
        <w:t xml:space="preserve"> a participação </w:t>
      </w:r>
      <w:r w:rsidR="00D276AF">
        <w:rPr>
          <w:rFonts w:ascii="Times New Roman" w:hAnsi="Times New Roman" w:cs="Times New Roman"/>
          <w:sz w:val="24"/>
          <w:szCs w:val="24"/>
        </w:rPr>
        <w:t>de</w:t>
      </w:r>
      <w:r w:rsidR="00D276AF" w:rsidRPr="00F670DD">
        <w:rPr>
          <w:rFonts w:ascii="Times New Roman" w:hAnsi="Times New Roman" w:cs="Times New Roman"/>
          <w:sz w:val="24"/>
          <w:szCs w:val="24"/>
        </w:rPr>
        <w:t xml:space="preserve"> todas as faixas etárias precedentes </w:t>
      </w:r>
      <w:r w:rsidRPr="00F670DD">
        <w:rPr>
          <w:rFonts w:ascii="Times New Roman" w:hAnsi="Times New Roman" w:cs="Times New Roman"/>
          <w:sz w:val="24"/>
          <w:szCs w:val="24"/>
        </w:rPr>
        <w:t>na PEA.</w:t>
      </w:r>
      <w:bookmarkEnd w:id="13"/>
      <w:r w:rsidR="00025418">
        <w:rPr>
          <w:rFonts w:ascii="Times New Roman" w:hAnsi="Times New Roman" w:cs="Times New Roman"/>
          <w:sz w:val="24"/>
          <w:szCs w:val="24"/>
        </w:rPr>
        <w:t xml:space="preserve"> </w:t>
      </w:r>
      <w:r w:rsidRPr="00F670DD">
        <w:rPr>
          <w:rFonts w:ascii="Times New Roman" w:hAnsi="Times New Roman" w:cs="Times New Roman"/>
          <w:sz w:val="24"/>
          <w:szCs w:val="24"/>
        </w:rPr>
        <w:t>O adiamento da entrada no mercado de trabalho não surgiu</w:t>
      </w:r>
      <w:r w:rsidR="00B37C2F">
        <w:rPr>
          <w:rFonts w:ascii="Times New Roman" w:hAnsi="Times New Roman" w:cs="Times New Roman"/>
          <w:sz w:val="24"/>
          <w:szCs w:val="24"/>
        </w:rPr>
        <w:t>,</w:t>
      </w:r>
      <w:r w:rsidRPr="00F670DD">
        <w:rPr>
          <w:rFonts w:ascii="Times New Roman" w:hAnsi="Times New Roman" w:cs="Times New Roman"/>
          <w:sz w:val="24"/>
          <w:szCs w:val="24"/>
        </w:rPr>
        <w:t xml:space="preserve"> apenas</w:t>
      </w:r>
      <w:r w:rsidR="00B37C2F">
        <w:rPr>
          <w:rFonts w:ascii="Times New Roman" w:hAnsi="Times New Roman" w:cs="Times New Roman"/>
          <w:sz w:val="24"/>
          <w:szCs w:val="24"/>
        </w:rPr>
        <w:t>,</w:t>
      </w:r>
      <w:r w:rsidRPr="00F670DD">
        <w:rPr>
          <w:rFonts w:ascii="Times New Roman" w:hAnsi="Times New Roman" w:cs="Times New Roman"/>
          <w:sz w:val="24"/>
          <w:szCs w:val="24"/>
        </w:rPr>
        <w:t xml:space="preserve"> em meio ao cenário recessivo, mas já se delineava, impulsionado pela busca intensificada de qualificação por parte dos indivíduos, cujo ingresso em universidades públicas se expandira</w:t>
      </w:r>
      <w:r w:rsidR="00EE7256">
        <w:rPr>
          <w:rFonts w:ascii="Times New Roman" w:hAnsi="Times New Roman" w:cs="Times New Roman"/>
          <w:sz w:val="24"/>
          <w:szCs w:val="24"/>
        </w:rPr>
        <w:t xml:space="preserve"> expressivamente</w:t>
      </w:r>
      <w:r w:rsidR="002831B7">
        <w:rPr>
          <w:rFonts w:ascii="Times New Roman" w:hAnsi="Times New Roman" w:cs="Times New Roman"/>
          <w:sz w:val="24"/>
          <w:szCs w:val="24"/>
        </w:rPr>
        <w:t>,</w:t>
      </w:r>
      <w:r w:rsidR="00EE7256">
        <w:rPr>
          <w:rFonts w:ascii="Times New Roman" w:hAnsi="Times New Roman" w:cs="Times New Roman"/>
          <w:sz w:val="24"/>
          <w:szCs w:val="24"/>
        </w:rPr>
        <w:t xml:space="preserve"> a partir de 1960</w:t>
      </w:r>
      <w:r w:rsidRPr="00F670DD">
        <w:rPr>
          <w:rFonts w:ascii="Times New Roman" w:hAnsi="Times New Roman" w:cs="Times New Roman"/>
          <w:sz w:val="24"/>
          <w:szCs w:val="24"/>
        </w:rPr>
        <w:t>, enquanto os esforços de capacitação por meio de pós-graduações também se intensificavam</w:t>
      </w:r>
      <w:r w:rsidR="00B40757">
        <w:rPr>
          <w:rFonts w:ascii="Times New Roman" w:hAnsi="Times New Roman" w:cs="Times New Roman"/>
          <w:sz w:val="24"/>
          <w:szCs w:val="24"/>
        </w:rPr>
        <w:t xml:space="preserve"> (DE PAULA, 2017)</w:t>
      </w:r>
      <w:r w:rsidRPr="00F670DD">
        <w:rPr>
          <w:rFonts w:ascii="Times New Roman" w:hAnsi="Times New Roman" w:cs="Times New Roman"/>
          <w:sz w:val="24"/>
          <w:szCs w:val="24"/>
        </w:rPr>
        <w:t>.</w:t>
      </w:r>
      <w:r w:rsidR="003D5E2A">
        <w:rPr>
          <w:rFonts w:ascii="Times New Roman" w:hAnsi="Times New Roman" w:cs="Times New Roman"/>
          <w:sz w:val="24"/>
          <w:szCs w:val="24"/>
        </w:rPr>
        <w:t xml:space="preserve"> Adicionalmente</w:t>
      </w:r>
      <w:r w:rsidR="003D5E2A" w:rsidRPr="003D5E2A">
        <w:rPr>
          <w:rFonts w:ascii="Times New Roman" w:hAnsi="Times New Roman" w:cs="Times New Roman"/>
          <w:sz w:val="24"/>
          <w:szCs w:val="24"/>
        </w:rPr>
        <w:t>, a dificuldade de inserção social enfrentada pela juventude</w:t>
      </w:r>
      <w:r w:rsidR="003D5E2A">
        <w:rPr>
          <w:rFonts w:ascii="Times New Roman" w:hAnsi="Times New Roman" w:cs="Times New Roman"/>
          <w:sz w:val="24"/>
          <w:szCs w:val="24"/>
        </w:rPr>
        <w:t>,</w:t>
      </w:r>
      <w:r w:rsidR="003D5E2A" w:rsidRPr="003D5E2A">
        <w:rPr>
          <w:rFonts w:ascii="Times New Roman" w:hAnsi="Times New Roman" w:cs="Times New Roman"/>
          <w:sz w:val="24"/>
          <w:szCs w:val="24"/>
        </w:rPr>
        <w:t xml:space="preserve"> no contexto brasileiro</w:t>
      </w:r>
      <w:r w:rsidR="003D5E2A">
        <w:rPr>
          <w:rFonts w:ascii="Times New Roman" w:hAnsi="Times New Roman" w:cs="Times New Roman"/>
          <w:sz w:val="24"/>
          <w:szCs w:val="24"/>
        </w:rPr>
        <w:t>,</w:t>
      </w:r>
      <w:r w:rsidR="003D5E2A" w:rsidRPr="003D5E2A">
        <w:rPr>
          <w:rFonts w:ascii="Times New Roman" w:hAnsi="Times New Roman" w:cs="Times New Roman"/>
          <w:sz w:val="24"/>
          <w:szCs w:val="24"/>
        </w:rPr>
        <w:t xml:space="preserve"> contribui significativamente para a extensão do processo de transição para a vida adulta. Tal cenário se justifica, em primeiro lugar, pela prolongada permanência dos jovens na escola e, mais recentemente, pelo surgimento do fenômeno da chamada "geração nem-nem", que diz respeito a uma parcela da juventude contemporânea não inserida no mercado de trabalho e não engajada em atividades educacionais </w:t>
      </w:r>
      <w:r w:rsidR="00AA4E36" w:rsidRPr="00AA4E36">
        <w:rPr>
          <w:rFonts w:ascii="Times New Roman" w:hAnsi="Times New Roman" w:cs="Times New Roman"/>
          <w:sz w:val="24"/>
          <w:szCs w:val="24"/>
        </w:rPr>
        <w:t>(CAMARANO, KANSO, 2012).</w:t>
      </w:r>
    </w:p>
    <w:p w14:paraId="5B96D4BA" w14:textId="5CEF2309" w:rsidR="00E03E59" w:rsidRDefault="00E03E59">
      <w:pPr>
        <w:rPr>
          <w:rFonts w:ascii="Times New Roman" w:hAnsi="Times New Roman" w:cs="Times New Roman"/>
          <w:sz w:val="24"/>
          <w:szCs w:val="24"/>
        </w:rPr>
      </w:pPr>
      <w:r w:rsidRPr="00F670DD">
        <w:rPr>
          <w:rFonts w:ascii="Times New Roman" w:hAnsi="Times New Roman" w:cs="Times New Roman"/>
          <w:sz w:val="24"/>
          <w:szCs w:val="24"/>
        </w:rPr>
        <w:t xml:space="preserve">É imperativo ressaltar </w:t>
      </w:r>
      <w:r>
        <w:rPr>
          <w:rFonts w:ascii="Times New Roman" w:hAnsi="Times New Roman" w:cs="Times New Roman"/>
          <w:sz w:val="24"/>
          <w:szCs w:val="24"/>
        </w:rPr>
        <w:t>como</w:t>
      </w:r>
      <w:r w:rsidRPr="00F670DD">
        <w:rPr>
          <w:rFonts w:ascii="Times New Roman" w:hAnsi="Times New Roman" w:cs="Times New Roman"/>
          <w:sz w:val="24"/>
          <w:szCs w:val="24"/>
        </w:rPr>
        <w:t xml:space="preserve">, a partir do desencadeamento da crise </w:t>
      </w:r>
      <w:r>
        <w:rPr>
          <w:rFonts w:ascii="Times New Roman" w:hAnsi="Times New Roman" w:cs="Times New Roman"/>
          <w:sz w:val="24"/>
          <w:szCs w:val="24"/>
        </w:rPr>
        <w:t xml:space="preserve">brasileira </w:t>
      </w:r>
      <w:r w:rsidRPr="00F670DD">
        <w:rPr>
          <w:rFonts w:ascii="Times New Roman" w:hAnsi="Times New Roman" w:cs="Times New Roman"/>
          <w:sz w:val="24"/>
          <w:szCs w:val="24"/>
        </w:rPr>
        <w:t>no final de 2014, o estímulo à inserção no mercado de trabalho experimentou diminuição significativa. Nesse contexto, o efeito composição</w:t>
      </w:r>
      <w:r w:rsidR="00EE7256">
        <w:rPr>
          <w:rFonts w:ascii="Times New Roman" w:hAnsi="Times New Roman" w:cs="Times New Roman"/>
          <w:sz w:val="24"/>
          <w:szCs w:val="24"/>
        </w:rPr>
        <w:t xml:space="preserve"> com indicadores negativos</w:t>
      </w:r>
      <w:r w:rsidRPr="00F670DD">
        <w:rPr>
          <w:rFonts w:ascii="Times New Roman" w:hAnsi="Times New Roman" w:cs="Times New Roman"/>
          <w:sz w:val="24"/>
          <w:szCs w:val="24"/>
        </w:rPr>
        <w:t xml:space="preserve"> </w:t>
      </w:r>
      <w:r w:rsidRPr="00F670DD">
        <w:rPr>
          <w:rFonts w:ascii="Times New Roman" w:hAnsi="Times New Roman" w:cs="Times New Roman"/>
          <w:sz w:val="24"/>
          <w:szCs w:val="24"/>
        </w:rPr>
        <w:lastRenderedPageBreak/>
        <w:t xml:space="preserve">desempenhou papel relevante, </w:t>
      </w:r>
      <w:r>
        <w:rPr>
          <w:rFonts w:ascii="Times New Roman" w:hAnsi="Times New Roman" w:cs="Times New Roman"/>
          <w:sz w:val="24"/>
          <w:szCs w:val="24"/>
        </w:rPr>
        <w:t xml:space="preserve">ao </w:t>
      </w:r>
      <w:r w:rsidRPr="00F670DD">
        <w:rPr>
          <w:rFonts w:ascii="Times New Roman" w:hAnsi="Times New Roman" w:cs="Times New Roman"/>
          <w:sz w:val="24"/>
          <w:szCs w:val="24"/>
        </w:rPr>
        <w:t>mitiga</w:t>
      </w:r>
      <w:r>
        <w:rPr>
          <w:rFonts w:ascii="Times New Roman" w:hAnsi="Times New Roman" w:cs="Times New Roman"/>
          <w:sz w:val="24"/>
          <w:szCs w:val="24"/>
        </w:rPr>
        <w:t>r</w:t>
      </w:r>
      <w:r w:rsidRPr="00F670DD">
        <w:rPr>
          <w:rFonts w:ascii="Times New Roman" w:hAnsi="Times New Roman" w:cs="Times New Roman"/>
          <w:sz w:val="24"/>
          <w:szCs w:val="24"/>
        </w:rPr>
        <w:t xml:space="preserve"> o potencial crescimento da taxa de desocupação. Além disso, o efeito nível</w:t>
      </w:r>
      <w:r>
        <w:rPr>
          <w:rFonts w:ascii="Times New Roman" w:hAnsi="Times New Roman" w:cs="Times New Roman"/>
          <w:sz w:val="24"/>
          <w:szCs w:val="24"/>
        </w:rPr>
        <w:t>,</w:t>
      </w:r>
      <w:r w:rsidRPr="00F670DD">
        <w:rPr>
          <w:rFonts w:ascii="Times New Roman" w:hAnsi="Times New Roman" w:cs="Times New Roman"/>
          <w:sz w:val="24"/>
          <w:szCs w:val="24"/>
        </w:rPr>
        <w:t xml:space="preserve"> inicialmente</w:t>
      </w:r>
      <w:r>
        <w:rPr>
          <w:rFonts w:ascii="Times New Roman" w:hAnsi="Times New Roman" w:cs="Times New Roman"/>
          <w:sz w:val="24"/>
          <w:szCs w:val="24"/>
        </w:rPr>
        <w:t>,</w:t>
      </w:r>
      <w:r w:rsidRPr="00F670DD">
        <w:rPr>
          <w:rFonts w:ascii="Times New Roman" w:hAnsi="Times New Roman" w:cs="Times New Roman"/>
          <w:sz w:val="24"/>
          <w:szCs w:val="24"/>
        </w:rPr>
        <w:t xml:space="preserve"> contribuiu</w:t>
      </w:r>
      <w:r>
        <w:rPr>
          <w:rFonts w:ascii="Times New Roman" w:hAnsi="Times New Roman" w:cs="Times New Roman"/>
          <w:sz w:val="24"/>
          <w:szCs w:val="24"/>
        </w:rPr>
        <w:t>,</w:t>
      </w:r>
      <w:r w:rsidRPr="00F670DD">
        <w:rPr>
          <w:rFonts w:ascii="Times New Roman" w:hAnsi="Times New Roman" w:cs="Times New Roman"/>
          <w:sz w:val="24"/>
          <w:szCs w:val="24"/>
        </w:rPr>
        <w:t xml:space="preserve"> positivamente</w:t>
      </w:r>
      <w:r>
        <w:rPr>
          <w:rFonts w:ascii="Times New Roman" w:hAnsi="Times New Roman" w:cs="Times New Roman"/>
          <w:sz w:val="24"/>
          <w:szCs w:val="24"/>
        </w:rPr>
        <w:t>,</w:t>
      </w:r>
      <w:r w:rsidRPr="00F670DD">
        <w:rPr>
          <w:rFonts w:ascii="Times New Roman" w:hAnsi="Times New Roman" w:cs="Times New Roman"/>
          <w:sz w:val="24"/>
          <w:szCs w:val="24"/>
        </w:rPr>
        <w:t xml:space="preserve"> para a redução da taxa de desemprego</w:t>
      </w:r>
      <w:r>
        <w:rPr>
          <w:rFonts w:ascii="Times New Roman" w:hAnsi="Times New Roman" w:cs="Times New Roman"/>
          <w:sz w:val="24"/>
          <w:szCs w:val="24"/>
        </w:rPr>
        <w:t>,</w:t>
      </w:r>
      <w:r w:rsidRPr="00F670DD">
        <w:rPr>
          <w:rFonts w:ascii="Times New Roman" w:hAnsi="Times New Roman" w:cs="Times New Roman"/>
          <w:sz w:val="24"/>
          <w:szCs w:val="24"/>
        </w:rPr>
        <w:t xml:space="preserve"> até meados de 2014</w:t>
      </w:r>
      <w:r w:rsidR="00795759">
        <w:rPr>
          <w:rFonts w:ascii="Times New Roman" w:hAnsi="Times New Roman" w:cs="Times New Roman"/>
          <w:sz w:val="24"/>
          <w:szCs w:val="24"/>
        </w:rPr>
        <w:t>, c</w:t>
      </w:r>
      <w:r w:rsidRPr="00F670DD">
        <w:rPr>
          <w:rFonts w:ascii="Times New Roman" w:hAnsi="Times New Roman" w:cs="Times New Roman"/>
          <w:sz w:val="24"/>
          <w:szCs w:val="24"/>
        </w:rPr>
        <w:t>ontudo, a dinâmica se inverteu</w:t>
      </w:r>
      <w:r>
        <w:rPr>
          <w:rFonts w:ascii="Times New Roman" w:hAnsi="Times New Roman" w:cs="Times New Roman"/>
          <w:sz w:val="24"/>
          <w:szCs w:val="24"/>
        </w:rPr>
        <w:t>,</w:t>
      </w:r>
      <w:r w:rsidRPr="00F670DD">
        <w:rPr>
          <w:rFonts w:ascii="Times New Roman" w:hAnsi="Times New Roman" w:cs="Times New Roman"/>
          <w:sz w:val="24"/>
          <w:szCs w:val="24"/>
        </w:rPr>
        <w:t xml:space="preserve"> posteriormente, resultando em impacto severo sobre o desemprego, em consonância com as tendências observadas nos demais grupos analisados.</w:t>
      </w:r>
      <w:r>
        <w:rPr>
          <w:rFonts w:ascii="Times New Roman" w:hAnsi="Times New Roman" w:cs="Times New Roman"/>
          <w:sz w:val="24"/>
          <w:szCs w:val="24"/>
        </w:rPr>
        <w:t xml:space="preserve"> Esse panorama apresentou melhora significativa</w:t>
      </w:r>
      <w:r w:rsidR="000A6E86">
        <w:rPr>
          <w:rFonts w:ascii="Times New Roman" w:hAnsi="Times New Roman" w:cs="Times New Roman"/>
          <w:sz w:val="24"/>
          <w:szCs w:val="24"/>
        </w:rPr>
        <w:t>,</w:t>
      </w:r>
      <w:r w:rsidR="001D48D5">
        <w:rPr>
          <w:rFonts w:ascii="Times New Roman" w:hAnsi="Times New Roman" w:cs="Times New Roman"/>
          <w:sz w:val="24"/>
          <w:szCs w:val="24"/>
        </w:rPr>
        <w:t xml:space="preserve"> </w:t>
      </w:r>
      <w:r>
        <w:rPr>
          <w:rFonts w:ascii="Times New Roman" w:hAnsi="Times New Roman" w:cs="Times New Roman"/>
          <w:sz w:val="24"/>
          <w:szCs w:val="24"/>
        </w:rPr>
        <w:t>em 2018</w:t>
      </w:r>
      <w:r w:rsidR="000A6E86">
        <w:rPr>
          <w:rFonts w:ascii="Times New Roman" w:hAnsi="Times New Roman" w:cs="Times New Roman"/>
          <w:sz w:val="24"/>
          <w:szCs w:val="24"/>
        </w:rPr>
        <w:t>, sinalizando relativa recuperação do mercado laboral brasileiro, com o fim da crise nacional,</w:t>
      </w:r>
      <w:r w:rsidR="001D48D5">
        <w:rPr>
          <w:rFonts w:ascii="Times New Roman" w:hAnsi="Times New Roman" w:cs="Times New Roman"/>
          <w:sz w:val="24"/>
          <w:szCs w:val="24"/>
        </w:rPr>
        <w:t xml:space="preserve"> e manteve-se</w:t>
      </w:r>
      <w:r w:rsidR="000A6E86">
        <w:rPr>
          <w:rFonts w:ascii="Times New Roman" w:hAnsi="Times New Roman" w:cs="Times New Roman"/>
          <w:sz w:val="24"/>
          <w:szCs w:val="24"/>
        </w:rPr>
        <w:t>,</w:t>
      </w:r>
      <w:r w:rsidR="001D48D5">
        <w:rPr>
          <w:rFonts w:ascii="Times New Roman" w:hAnsi="Times New Roman" w:cs="Times New Roman"/>
          <w:sz w:val="24"/>
          <w:szCs w:val="24"/>
        </w:rPr>
        <w:t xml:space="preserve"> até 2020,</w:t>
      </w:r>
      <w:r>
        <w:rPr>
          <w:rFonts w:ascii="Times New Roman" w:hAnsi="Times New Roman" w:cs="Times New Roman"/>
          <w:sz w:val="24"/>
          <w:szCs w:val="24"/>
        </w:rPr>
        <w:t xml:space="preserve"> </w:t>
      </w:r>
      <w:r w:rsidR="001D48D5">
        <w:rPr>
          <w:rFonts w:ascii="Times New Roman" w:hAnsi="Times New Roman" w:cs="Times New Roman"/>
          <w:sz w:val="24"/>
          <w:szCs w:val="24"/>
        </w:rPr>
        <w:t xml:space="preserve">quando </w:t>
      </w:r>
      <w:r>
        <w:rPr>
          <w:rFonts w:ascii="Times New Roman" w:hAnsi="Times New Roman" w:cs="Times New Roman"/>
          <w:sz w:val="24"/>
          <w:szCs w:val="24"/>
        </w:rPr>
        <w:t>sofre</w:t>
      </w:r>
      <w:r w:rsidR="001D48D5">
        <w:rPr>
          <w:rFonts w:ascii="Times New Roman" w:hAnsi="Times New Roman" w:cs="Times New Roman"/>
          <w:sz w:val="24"/>
          <w:szCs w:val="24"/>
        </w:rPr>
        <w:t>u</w:t>
      </w:r>
      <w:r>
        <w:rPr>
          <w:rFonts w:ascii="Times New Roman" w:hAnsi="Times New Roman" w:cs="Times New Roman"/>
          <w:sz w:val="24"/>
          <w:szCs w:val="24"/>
        </w:rPr>
        <w:t xml:space="preserve"> os impactos</w:t>
      </w:r>
      <w:r w:rsidR="001D48D5">
        <w:rPr>
          <w:rFonts w:ascii="Times New Roman" w:hAnsi="Times New Roman" w:cs="Times New Roman"/>
          <w:sz w:val="24"/>
          <w:szCs w:val="24"/>
        </w:rPr>
        <w:t xml:space="preserve"> negativos</w:t>
      </w:r>
      <w:r>
        <w:rPr>
          <w:rFonts w:ascii="Times New Roman" w:hAnsi="Times New Roman" w:cs="Times New Roman"/>
          <w:sz w:val="24"/>
          <w:szCs w:val="24"/>
        </w:rPr>
        <w:t xml:space="preserve"> da</w:t>
      </w:r>
      <w:r w:rsidR="001D48D5">
        <w:rPr>
          <w:rFonts w:ascii="Times New Roman" w:hAnsi="Times New Roman" w:cs="Times New Roman"/>
          <w:sz w:val="24"/>
          <w:szCs w:val="24"/>
        </w:rPr>
        <w:t xml:space="preserve"> </w:t>
      </w:r>
      <w:r>
        <w:rPr>
          <w:rFonts w:ascii="Times New Roman" w:hAnsi="Times New Roman" w:cs="Times New Roman"/>
          <w:sz w:val="24"/>
          <w:szCs w:val="24"/>
        </w:rPr>
        <w:t>pandemia</w:t>
      </w:r>
      <w:r w:rsidR="001D48D5">
        <w:rPr>
          <w:rFonts w:ascii="Times New Roman" w:hAnsi="Times New Roman" w:cs="Times New Roman"/>
          <w:sz w:val="24"/>
          <w:szCs w:val="24"/>
        </w:rPr>
        <w:t xml:space="preserve"> </w:t>
      </w:r>
      <w:r w:rsidR="000A6E86">
        <w:rPr>
          <w:rFonts w:ascii="Times New Roman" w:hAnsi="Times New Roman" w:cs="Times New Roman"/>
          <w:sz w:val="24"/>
          <w:szCs w:val="24"/>
        </w:rPr>
        <w:t>C</w:t>
      </w:r>
      <w:r w:rsidR="001D48D5">
        <w:rPr>
          <w:rFonts w:ascii="Times New Roman" w:hAnsi="Times New Roman" w:cs="Times New Roman"/>
          <w:sz w:val="24"/>
          <w:szCs w:val="24"/>
        </w:rPr>
        <w:t>oronavírus</w:t>
      </w:r>
      <w:r>
        <w:rPr>
          <w:rFonts w:ascii="Times New Roman" w:hAnsi="Times New Roman" w:cs="Times New Roman"/>
          <w:sz w:val="24"/>
          <w:szCs w:val="24"/>
        </w:rPr>
        <w:t>.</w:t>
      </w:r>
      <w:r w:rsidRPr="00F670DD">
        <w:rPr>
          <w:rFonts w:ascii="Times New Roman" w:hAnsi="Times New Roman" w:cs="Times New Roman"/>
          <w:sz w:val="24"/>
          <w:szCs w:val="24"/>
        </w:rPr>
        <w:t xml:space="preserve"> Na sequência, a Figura </w:t>
      </w:r>
      <w:r>
        <w:rPr>
          <w:rFonts w:ascii="Times New Roman" w:hAnsi="Times New Roman" w:cs="Times New Roman"/>
          <w:sz w:val="24"/>
          <w:szCs w:val="24"/>
        </w:rPr>
        <w:t>6</w:t>
      </w:r>
      <w:r w:rsidRPr="00F670DD">
        <w:rPr>
          <w:rFonts w:ascii="Times New Roman" w:hAnsi="Times New Roman" w:cs="Times New Roman"/>
          <w:sz w:val="24"/>
          <w:szCs w:val="24"/>
        </w:rPr>
        <w:t xml:space="preserve"> ilustra a decomposição das variações da taxa de desemprego </w:t>
      </w:r>
      <w:r>
        <w:rPr>
          <w:rFonts w:ascii="Times New Roman" w:hAnsi="Times New Roman" w:cs="Times New Roman"/>
          <w:sz w:val="24"/>
          <w:szCs w:val="24"/>
        </w:rPr>
        <w:t>segundo as</w:t>
      </w:r>
      <w:r w:rsidRPr="00F670DD">
        <w:rPr>
          <w:rFonts w:ascii="Times New Roman" w:hAnsi="Times New Roman" w:cs="Times New Roman"/>
          <w:sz w:val="24"/>
          <w:szCs w:val="24"/>
        </w:rPr>
        <w:t xml:space="preserve"> áreas de </w:t>
      </w:r>
      <w:r w:rsidR="000A6E86">
        <w:rPr>
          <w:rFonts w:ascii="Times New Roman" w:hAnsi="Times New Roman" w:cs="Times New Roman"/>
          <w:sz w:val="24"/>
          <w:szCs w:val="24"/>
        </w:rPr>
        <w:t>residência</w:t>
      </w:r>
      <w:r w:rsidR="000A6E86" w:rsidRPr="00F670DD">
        <w:rPr>
          <w:rFonts w:ascii="Times New Roman" w:hAnsi="Times New Roman" w:cs="Times New Roman"/>
          <w:sz w:val="24"/>
          <w:szCs w:val="24"/>
        </w:rPr>
        <w:t xml:space="preserve"> </w:t>
      </w:r>
      <w:r w:rsidRPr="00F670DD">
        <w:rPr>
          <w:rFonts w:ascii="Times New Roman" w:hAnsi="Times New Roman" w:cs="Times New Roman"/>
          <w:sz w:val="24"/>
          <w:szCs w:val="24"/>
        </w:rPr>
        <w:t>(urbana ou rural).</w:t>
      </w:r>
    </w:p>
    <w:p w14:paraId="38DB6E78" w14:textId="67B2F658" w:rsidR="00DF38BE" w:rsidRDefault="00E03E59">
      <w:pPr>
        <w:keepNext/>
        <w:ind w:firstLine="0"/>
        <w:rPr>
          <w:rFonts w:ascii="Times New Roman" w:hAnsi="Times New Roman" w:cs="Times New Roman"/>
          <w:sz w:val="24"/>
          <w:szCs w:val="24"/>
        </w:rPr>
      </w:pPr>
      <w:r>
        <w:rPr>
          <w:rFonts w:ascii="Times New Roman" w:hAnsi="Times New Roman" w:cs="Times New Roman"/>
          <w:sz w:val="24"/>
          <w:szCs w:val="24"/>
        </w:rPr>
        <w:t xml:space="preserve">Figura 6 - </w:t>
      </w:r>
      <w:r w:rsidRPr="001E4D79">
        <w:rPr>
          <w:rFonts w:ascii="Times New Roman" w:hAnsi="Times New Roman" w:cs="Times New Roman"/>
          <w:sz w:val="24"/>
          <w:szCs w:val="24"/>
        </w:rPr>
        <w:t>Decomposição da variação da taxa de desemprego por área</w:t>
      </w:r>
      <w:r>
        <w:rPr>
          <w:rFonts w:ascii="Times New Roman" w:hAnsi="Times New Roman" w:cs="Times New Roman"/>
          <w:sz w:val="24"/>
          <w:szCs w:val="24"/>
        </w:rPr>
        <w:t xml:space="preserve"> de residência</w:t>
      </w:r>
      <w:r w:rsidRPr="001E4D79">
        <w:rPr>
          <w:rFonts w:ascii="Times New Roman" w:hAnsi="Times New Roman" w:cs="Times New Roman"/>
          <w:sz w:val="24"/>
          <w:szCs w:val="24"/>
        </w:rPr>
        <w:t>,</w:t>
      </w:r>
      <w:r w:rsidR="00942AA3">
        <w:rPr>
          <w:rFonts w:ascii="Times New Roman" w:hAnsi="Times New Roman" w:cs="Times New Roman"/>
          <w:sz w:val="24"/>
          <w:szCs w:val="24"/>
        </w:rPr>
        <w:t xml:space="preserve"> </w:t>
      </w:r>
      <w:r w:rsidRPr="001E4D79">
        <w:rPr>
          <w:rFonts w:ascii="Times New Roman" w:hAnsi="Times New Roman" w:cs="Times New Roman"/>
          <w:sz w:val="24"/>
          <w:szCs w:val="24"/>
        </w:rPr>
        <w:t>Brasil</w:t>
      </w:r>
      <w:r w:rsidR="00942AA3">
        <w:rPr>
          <w:rFonts w:ascii="Times New Roman" w:hAnsi="Times New Roman" w:cs="Times New Roman"/>
          <w:sz w:val="24"/>
          <w:szCs w:val="24"/>
        </w:rPr>
        <w:t>,</w:t>
      </w:r>
      <w:r w:rsidR="00DF38BE">
        <w:rPr>
          <w:rFonts w:ascii="Times New Roman" w:hAnsi="Times New Roman" w:cs="Times New Roman"/>
          <w:sz w:val="24"/>
          <w:szCs w:val="24"/>
        </w:rPr>
        <w:t xml:space="preserve"> </w:t>
      </w:r>
      <w:r w:rsidRPr="001E4D79">
        <w:rPr>
          <w:rFonts w:ascii="Times New Roman" w:hAnsi="Times New Roman" w:cs="Times New Roman"/>
          <w:sz w:val="24"/>
          <w:szCs w:val="24"/>
        </w:rPr>
        <w:t>2012</w:t>
      </w:r>
      <w:r>
        <w:rPr>
          <w:rFonts w:ascii="Times New Roman" w:hAnsi="Times New Roman" w:cs="Times New Roman"/>
          <w:sz w:val="24"/>
          <w:szCs w:val="24"/>
        </w:rPr>
        <w:t>-22</w:t>
      </w:r>
    </w:p>
    <w:p w14:paraId="35BF1C95" w14:textId="0B0E6B57" w:rsidR="000B562D" w:rsidRDefault="00942AA3">
      <w:pPr>
        <w:keepNext/>
        <w:ind w:firstLine="0"/>
      </w:pPr>
      <w:r>
        <w:rPr>
          <w:noProof/>
        </w:rPr>
        <w:drawing>
          <wp:inline distT="0" distB="0" distL="0" distR="0" wp14:anchorId="4D69F906" wp14:editId="2ED096A8">
            <wp:extent cx="5400040" cy="2604977"/>
            <wp:effectExtent l="0" t="0" r="10160" b="5080"/>
            <wp:docPr id="1680510287" name="Gráfico 1">
              <a:extLst xmlns:a="http://schemas.openxmlformats.org/drawingml/2006/main">
                <a:ext uri="{FF2B5EF4-FFF2-40B4-BE49-F238E27FC236}">
                  <a16:creationId xmlns:a16="http://schemas.microsoft.com/office/drawing/2014/main" id="{7D6EB578-058A-427C-B68F-47B0D5B1F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6D6444" w14:textId="77777777" w:rsidR="000B562D"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39FCAC65" w14:textId="106A7F33" w:rsidR="00E03E59" w:rsidRDefault="00E03E59">
      <w:pPr>
        <w:rPr>
          <w:rFonts w:ascii="Times New Roman" w:hAnsi="Times New Roman" w:cs="Times New Roman"/>
          <w:sz w:val="24"/>
          <w:szCs w:val="24"/>
        </w:rPr>
      </w:pPr>
      <w:r w:rsidRPr="00BF6ACD">
        <w:rPr>
          <w:rFonts w:ascii="Times New Roman" w:hAnsi="Times New Roman" w:cs="Times New Roman"/>
          <w:sz w:val="24"/>
          <w:szCs w:val="24"/>
        </w:rPr>
        <w:t xml:space="preserve">A Figura </w:t>
      </w:r>
      <w:r>
        <w:rPr>
          <w:rFonts w:ascii="Times New Roman" w:hAnsi="Times New Roman" w:cs="Times New Roman"/>
          <w:sz w:val="24"/>
          <w:szCs w:val="24"/>
        </w:rPr>
        <w:t>6</w:t>
      </w:r>
      <w:r w:rsidRPr="00BF6ACD">
        <w:rPr>
          <w:rFonts w:ascii="Times New Roman" w:hAnsi="Times New Roman" w:cs="Times New Roman"/>
          <w:sz w:val="24"/>
          <w:szCs w:val="24"/>
        </w:rPr>
        <w:t xml:space="preserve"> delineia dois períodos distintos dentro da análise intragrupo, não obstante a magnitude relativamente modesta dos efeitos. </w:t>
      </w:r>
      <w:r>
        <w:rPr>
          <w:rFonts w:ascii="Times New Roman" w:hAnsi="Times New Roman" w:cs="Times New Roman"/>
          <w:sz w:val="24"/>
          <w:szCs w:val="24"/>
        </w:rPr>
        <w:t>Entre 2012 e 2020</w:t>
      </w:r>
      <w:r w:rsidRPr="00BF6ACD">
        <w:rPr>
          <w:rFonts w:ascii="Times New Roman" w:hAnsi="Times New Roman" w:cs="Times New Roman"/>
          <w:sz w:val="24"/>
          <w:szCs w:val="24"/>
        </w:rPr>
        <w:t xml:space="preserve">, houve </w:t>
      </w:r>
      <w:r w:rsidR="001D48D5">
        <w:rPr>
          <w:rFonts w:ascii="Times New Roman" w:hAnsi="Times New Roman" w:cs="Times New Roman"/>
          <w:sz w:val="24"/>
          <w:szCs w:val="24"/>
        </w:rPr>
        <w:t>acréscimo</w:t>
      </w:r>
      <w:r w:rsidRPr="00BF6ACD">
        <w:rPr>
          <w:rFonts w:ascii="Times New Roman" w:hAnsi="Times New Roman" w:cs="Times New Roman"/>
          <w:sz w:val="24"/>
          <w:szCs w:val="24"/>
        </w:rPr>
        <w:t xml:space="preserve"> na participação da população </w:t>
      </w:r>
      <w:r>
        <w:rPr>
          <w:rFonts w:ascii="Times New Roman" w:hAnsi="Times New Roman" w:cs="Times New Roman"/>
          <w:sz w:val="24"/>
          <w:szCs w:val="24"/>
        </w:rPr>
        <w:t>urbana</w:t>
      </w:r>
      <w:r w:rsidRPr="00BF6ACD">
        <w:rPr>
          <w:rFonts w:ascii="Times New Roman" w:hAnsi="Times New Roman" w:cs="Times New Roman"/>
          <w:sz w:val="24"/>
          <w:szCs w:val="24"/>
        </w:rPr>
        <w:t xml:space="preserve"> na PEA</w:t>
      </w:r>
      <w:r>
        <w:rPr>
          <w:rFonts w:ascii="Times New Roman" w:hAnsi="Times New Roman" w:cs="Times New Roman"/>
          <w:sz w:val="24"/>
          <w:szCs w:val="24"/>
        </w:rPr>
        <w:t xml:space="preserve">, o que contribuiu </w:t>
      </w:r>
      <w:r w:rsidRPr="00BF6ACD">
        <w:rPr>
          <w:rFonts w:ascii="Times New Roman" w:hAnsi="Times New Roman" w:cs="Times New Roman"/>
          <w:sz w:val="24"/>
          <w:szCs w:val="24"/>
        </w:rPr>
        <w:t xml:space="preserve">para que o efeito composição fosse </w:t>
      </w:r>
      <w:r>
        <w:rPr>
          <w:rFonts w:ascii="Times New Roman" w:hAnsi="Times New Roman" w:cs="Times New Roman"/>
          <w:sz w:val="24"/>
          <w:szCs w:val="24"/>
        </w:rPr>
        <w:t>positivo</w:t>
      </w:r>
      <w:r w:rsidRPr="00BF6ACD">
        <w:rPr>
          <w:rFonts w:ascii="Times New Roman" w:hAnsi="Times New Roman" w:cs="Times New Roman"/>
          <w:sz w:val="24"/>
          <w:szCs w:val="24"/>
        </w:rPr>
        <w:t xml:space="preserve">, uma vez que este grupo apresenta taxa de desemprego </w:t>
      </w:r>
      <w:r>
        <w:rPr>
          <w:rFonts w:ascii="Times New Roman" w:hAnsi="Times New Roman" w:cs="Times New Roman"/>
          <w:sz w:val="24"/>
          <w:szCs w:val="24"/>
        </w:rPr>
        <w:t>superior</w:t>
      </w:r>
      <w:r w:rsidRPr="00BF6ACD">
        <w:rPr>
          <w:rFonts w:ascii="Times New Roman" w:hAnsi="Times New Roman" w:cs="Times New Roman"/>
          <w:sz w:val="24"/>
          <w:szCs w:val="24"/>
        </w:rPr>
        <w:t xml:space="preserve"> </w:t>
      </w:r>
      <w:r w:rsidR="007002AF">
        <w:rPr>
          <w:rFonts w:ascii="Times New Roman" w:hAnsi="Times New Roman" w:cs="Times New Roman"/>
          <w:sz w:val="24"/>
          <w:szCs w:val="24"/>
        </w:rPr>
        <w:t>à</w:t>
      </w:r>
      <w:r w:rsidRPr="00BF6ACD">
        <w:rPr>
          <w:rFonts w:ascii="Times New Roman" w:hAnsi="Times New Roman" w:cs="Times New Roman"/>
          <w:sz w:val="24"/>
          <w:szCs w:val="24"/>
        </w:rPr>
        <w:t xml:space="preserve"> </w:t>
      </w:r>
      <w:r>
        <w:rPr>
          <w:rFonts w:ascii="Times New Roman" w:hAnsi="Times New Roman" w:cs="Times New Roman"/>
          <w:sz w:val="24"/>
          <w:szCs w:val="24"/>
        </w:rPr>
        <w:t>rural</w:t>
      </w:r>
      <w:r w:rsidR="00795759">
        <w:rPr>
          <w:rFonts w:ascii="Times New Roman" w:hAnsi="Times New Roman" w:cs="Times New Roman"/>
          <w:sz w:val="24"/>
          <w:szCs w:val="24"/>
        </w:rPr>
        <w:t>, e</w:t>
      </w:r>
      <w:r w:rsidRPr="00BF6ACD">
        <w:rPr>
          <w:rFonts w:ascii="Times New Roman" w:hAnsi="Times New Roman" w:cs="Times New Roman"/>
          <w:sz w:val="24"/>
          <w:szCs w:val="24"/>
        </w:rPr>
        <w:t>ntretanto, a parti</w:t>
      </w:r>
      <w:r>
        <w:rPr>
          <w:rFonts w:ascii="Times New Roman" w:hAnsi="Times New Roman" w:cs="Times New Roman"/>
          <w:sz w:val="24"/>
          <w:szCs w:val="24"/>
        </w:rPr>
        <w:t xml:space="preserve">r da crise </w:t>
      </w:r>
      <w:r w:rsidR="007002AF">
        <w:rPr>
          <w:rFonts w:ascii="Times New Roman" w:hAnsi="Times New Roman" w:cs="Times New Roman"/>
          <w:sz w:val="24"/>
          <w:szCs w:val="24"/>
        </w:rPr>
        <w:t xml:space="preserve">mundial </w:t>
      </w:r>
      <w:r>
        <w:rPr>
          <w:rFonts w:ascii="Times New Roman" w:hAnsi="Times New Roman" w:cs="Times New Roman"/>
          <w:sz w:val="24"/>
          <w:szCs w:val="24"/>
        </w:rPr>
        <w:t>sanitária ocasionada pelo coronavírus</w:t>
      </w:r>
      <w:r w:rsidRPr="00BF6ACD">
        <w:rPr>
          <w:rFonts w:ascii="Times New Roman" w:hAnsi="Times New Roman" w:cs="Times New Roman"/>
          <w:sz w:val="24"/>
          <w:szCs w:val="24"/>
        </w:rPr>
        <w:t xml:space="preserve">, houve alteração no perfil dessa participação. A redução da representação da população </w:t>
      </w:r>
      <w:r>
        <w:rPr>
          <w:rFonts w:ascii="Times New Roman" w:hAnsi="Times New Roman" w:cs="Times New Roman"/>
          <w:sz w:val="24"/>
          <w:szCs w:val="24"/>
        </w:rPr>
        <w:t>urbana</w:t>
      </w:r>
      <w:r w:rsidRPr="00BF6ACD">
        <w:rPr>
          <w:rFonts w:ascii="Times New Roman" w:hAnsi="Times New Roman" w:cs="Times New Roman"/>
          <w:sz w:val="24"/>
          <w:szCs w:val="24"/>
        </w:rPr>
        <w:t xml:space="preserve"> resultou no </w:t>
      </w:r>
      <w:r w:rsidR="00BB02EF">
        <w:rPr>
          <w:rFonts w:ascii="Times New Roman" w:hAnsi="Times New Roman" w:cs="Times New Roman"/>
          <w:sz w:val="24"/>
          <w:szCs w:val="24"/>
        </w:rPr>
        <w:t>incremento</w:t>
      </w:r>
      <w:r w:rsidR="00BB02EF" w:rsidRPr="00BF6ACD">
        <w:rPr>
          <w:rFonts w:ascii="Times New Roman" w:hAnsi="Times New Roman" w:cs="Times New Roman"/>
          <w:sz w:val="24"/>
          <w:szCs w:val="24"/>
        </w:rPr>
        <w:t xml:space="preserve"> </w:t>
      </w:r>
      <w:r w:rsidRPr="00BF6ACD">
        <w:rPr>
          <w:rFonts w:ascii="Times New Roman" w:hAnsi="Times New Roman" w:cs="Times New Roman"/>
          <w:sz w:val="24"/>
          <w:szCs w:val="24"/>
        </w:rPr>
        <w:t xml:space="preserve">proporcional da mesma para a comunidade </w:t>
      </w:r>
      <w:r>
        <w:rPr>
          <w:rFonts w:ascii="Times New Roman" w:hAnsi="Times New Roman" w:cs="Times New Roman"/>
          <w:sz w:val="24"/>
          <w:szCs w:val="24"/>
        </w:rPr>
        <w:t>rural</w:t>
      </w:r>
      <w:r w:rsidRPr="00BF6ACD">
        <w:rPr>
          <w:rFonts w:ascii="Times New Roman" w:hAnsi="Times New Roman" w:cs="Times New Roman"/>
          <w:sz w:val="24"/>
          <w:szCs w:val="24"/>
        </w:rPr>
        <w:t xml:space="preserve">, cuja taxa de desocupação é </w:t>
      </w:r>
      <w:r>
        <w:rPr>
          <w:rFonts w:ascii="Times New Roman" w:hAnsi="Times New Roman" w:cs="Times New Roman"/>
          <w:sz w:val="24"/>
          <w:szCs w:val="24"/>
        </w:rPr>
        <w:t>menos</w:t>
      </w:r>
      <w:r w:rsidRPr="00BF6ACD">
        <w:rPr>
          <w:rFonts w:ascii="Times New Roman" w:hAnsi="Times New Roman" w:cs="Times New Roman"/>
          <w:sz w:val="24"/>
          <w:szCs w:val="24"/>
        </w:rPr>
        <w:t xml:space="preserve"> elevada.</w:t>
      </w:r>
      <w:r>
        <w:rPr>
          <w:rFonts w:ascii="Times New Roman" w:hAnsi="Times New Roman" w:cs="Times New Roman"/>
          <w:sz w:val="24"/>
          <w:szCs w:val="24"/>
        </w:rPr>
        <w:t xml:space="preserve"> </w:t>
      </w:r>
      <w:r w:rsidRPr="00BF6ACD">
        <w:rPr>
          <w:rFonts w:ascii="Times New Roman" w:hAnsi="Times New Roman" w:cs="Times New Roman"/>
          <w:sz w:val="24"/>
          <w:szCs w:val="24"/>
        </w:rPr>
        <w:t xml:space="preserve">Observa-se, portanto, leve movimento de êxodo </w:t>
      </w:r>
      <w:r>
        <w:rPr>
          <w:rFonts w:ascii="Times New Roman" w:hAnsi="Times New Roman" w:cs="Times New Roman"/>
          <w:sz w:val="24"/>
          <w:szCs w:val="24"/>
        </w:rPr>
        <w:t>urbano</w:t>
      </w:r>
      <w:r w:rsidRPr="00BF6ACD">
        <w:rPr>
          <w:rFonts w:ascii="Times New Roman" w:hAnsi="Times New Roman" w:cs="Times New Roman"/>
          <w:sz w:val="24"/>
          <w:szCs w:val="24"/>
        </w:rPr>
        <w:t>, provavelmente</w:t>
      </w:r>
      <w:r w:rsidR="003E5F4F">
        <w:rPr>
          <w:rFonts w:ascii="Times New Roman" w:hAnsi="Times New Roman" w:cs="Times New Roman"/>
          <w:sz w:val="24"/>
          <w:szCs w:val="24"/>
        </w:rPr>
        <w:t>,</w:t>
      </w:r>
      <w:r w:rsidRPr="00BF6ACD">
        <w:rPr>
          <w:rFonts w:ascii="Times New Roman" w:hAnsi="Times New Roman" w:cs="Times New Roman"/>
          <w:sz w:val="24"/>
          <w:szCs w:val="24"/>
        </w:rPr>
        <w:t xml:space="preserve"> estimulado pela </w:t>
      </w:r>
      <w:r w:rsidRPr="007F6546">
        <w:rPr>
          <w:rFonts w:ascii="Times New Roman" w:hAnsi="Times New Roman" w:cs="Times New Roman"/>
          <w:sz w:val="24"/>
          <w:szCs w:val="24"/>
        </w:rPr>
        <w:t>busca por custos de vida mais baixos, preocupações com saúde, ênfase na qualidade de vida e acesso a espaços ao ar livre</w:t>
      </w:r>
      <w:r w:rsidR="003E5F4F">
        <w:rPr>
          <w:rFonts w:ascii="Times New Roman" w:hAnsi="Times New Roman" w:cs="Times New Roman"/>
          <w:sz w:val="24"/>
          <w:szCs w:val="24"/>
        </w:rPr>
        <w:t xml:space="preserve"> </w:t>
      </w:r>
      <w:r w:rsidR="003E5F4F">
        <w:rPr>
          <w:rFonts w:ascii="Times New Roman" w:hAnsi="Times New Roman" w:cs="Times New Roman"/>
          <w:sz w:val="24"/>
          <w:szCs w:val="24"/>
        </w:rPr>
        <w:lastRenderedPageBreak/>
        <w:t>(FEITOZA, SIMÔES, 2023)</w:t>
      </w:r>
      <w:r w:rsidRPr="00BF6ACD">
        <w:rPr>
          <w:rFonts w:ascii="Times New Roman" w:hAnsi="Times New Roman" w:cs="Times New Roman"/>
          <w:sz w:val="24"/>
          <w:szCs w:val="24"/>
        </w:rPr>
        <w:t xml:space="preserve">. Por fim, a Figura </w:t>
      </w:r>
      <w:r>
        <w:rPr>
          <w:rFonts w:ascii="Times New Roman" w:hAnsi="Times New Roman" w:cs="Times New Roman"/>
          <w:sz w:val="24"/>
          <w:szCs w:val="24"/>
        </w:rPr>
        <w:t>7</w:t>
      </w:r>
      <w:r w:rsidRPr="00BF6ACD">
        <w:rPr>
          <w:rFonts w:ascii="Times New Roman" w:hAnsi="Times New Roman" w:cs="Times New Roman"/>
          <w:sz w:val="24"/>
          <w:szCs w:val="24"/>
        </w:rPr>
        <w:t xml:space="preserve"> apresenta a decomposição das variações da taxa de desemprego em relação à distinção entre </w:t>
      </w:r>
      <w:proofErr w:type="spellStart"/>
      <w:r>
        <w:rPr>
          <w:rFonts w:ascii="Times New Roman" w:hAnsi="Times New Roman" w:cs="Times New Roman"/>
          <w:sz w:val="24"/>
          <w:szCs w:val="24"/>
        </w:rPr>
        <w:t>RMs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RNMs</w:t>
      </w:r>
      <w:proofErr w:type="spellEnd"/>
      <w:r>
        <w:rPr>
          <w:rFonts w:ascii="Times New Roman" w:hAnsi="Times New Roman" w:cs="Times New Roman"/>
          <w:sz w:val="24"/>
          <w:szCs w:val="24"/>
        </w:rPr>
        <w:t>.</w:t>
      </w:r>
    </w:p>
    <w:p w14:paraId="4D6935E8" w14:textId="77777777" w:rsidR="001C4D12" w:rsidRDefault="001C4D12">
      <w:pPr>
        <w:rPr>
          <w:rFonts w:ascii="Times New Roman" w:hAnsi="Times New Roman" w:cs="Times New Roman"/>
          <w:sz w:val="24"/>
          <w:szCs w:val="24"/>
        </w:rPr>
      </w:pPr>
    </w:p>
    <w:p w14:paraId="584300AF" w14:textId="77777777" w:rsidR="00395402" w:rsidRDefault="00395402">
      <w:pPr>
        <w:rPr>
          <w:rFonts w:ascii="Times New Roman" w:hAnsi="Times New Roman" w:cs="Times New Roman"/>
          <w:sz w:val="24"/>
          <w:szCs w:val="24"/>
        </w:rPr>
      </w:pPr>
    </w:p>
    <w:p w14:paraId="0AB2BB8E" w14:textId="77777777" w:rsidR="00395402" w:rsidRDefault="00395402">
      <w:pPr>
        <w:rPr>
          <w:rFonts w:ascii="Times New Roman" w:hAnsi="Times New Roman" w:cs="Times New Roman"/>
          <w:sz w:val="24"/>
          <w:szCs w:val="24"/>
        </w:rPr>
      </w:pPr>
    </w:p>
    <w:p w14:paraId="7EC2D13A" w14:textId="58DE604A" w:rsidR="00E03E59" w:rsidRPr="001E4D79" w:rsidRDefault="00E03E59">
      <w:pPr>
        <w:ind w:firstLine="0"/>
        <w:rPr>
          <w:rFonts w:ascii="Times New Roman" w:hAnsi="Times New Roman" w:cs="Times New Roman"/>
          <w:sz w:val="24"/>
          <w:szCs w:val="24"/>
        </w:rPr>
      </w:pPr>
      <w:r>
        <w:rPr>
          <w:rFonts w:ascii="Times New Roman" w:hAnsi="Times New Roman" w:cs="Times New Roman"/>
          <w:sz w:val="24"/>
          <w:szCs w:val="24"/>
        </w:rPr>
        <w:t xml:space="preserve">Figura 7 - </w:t>
      </w:r>
      <w:r w:rsidRPr="001E4D79">
        <w:rPr>
          <w:rFonts w:ascii="Times New Roman" w:hAnsi="Times New Roman" w:cs="Times New Roman"/>
          <w:sz w:val="24"/>
          <w:szCs w:val="24"/>
        </w:rPr>
        <w:t>Decomposição da variação da taxa de desemprego por região, Brasil, 2012</w:t>
      </w:r>
      <w:r>
        <w:rPr>
          <w:rFonts w:ascii="Times New Roman" w:hAnsi="Times New Roman" w:cs="Times New Roman"/>
          <w:sz w:val="24"/>
          <w:szCs w:val="24"/>
        </w:rPr>
        <w:t>-</w:t>
      </w:r>
      <w:r w:rsidRPr="001E4D79">
        <w:rPr>
          <w:rFonts w:ascii="Times New Roman" w:hAnsi="Times New Roman" w:cs="Times New Roman"/>
          <w:sz w:val="24"/>
          <w:szCs w:val="24"/>
        </w:rPr>
        <w:t>20</w:t>
      </w:r>
      <w:r>
        <w:rPr>
          <w:rFonts w:ascii="Times New Roman" w:hAnsi="Times New Roman" w:cs="Times New Roman"/>
          <w:sz w:val="24"/>
          <w:szCs w:val="24"/>
        </w:rPr>
        <w:t>22</w:t>
      </w:r>
    </w:p>
    <w:p w14:paraId="38C33344" w14:textId="77777777" w:rsidR="000B562D" w:rsidRDefault="005912E7">
      <w:pPr>
        <w:keepNext/>
        <w:ind w:firstLine="0"/>
      </w:pPr>
      <w:r w:rsidRPr="00D51E63">
        <w:rPr>
          <w:rFonts w:ascii="Times New Roman" w:hAnsi="Times New Roman" w:cs="Times New Roman"/>
          <w:noProof/>
        </w:rPr>
        <w:drawing>
          <wp:inline distT="0" distB="0" distL="0" distR="0" wp14:anchorId="1B85A086" wp14:editId="08C66A8D">
            <wp:extent cx="5400040" cy="2615609"/>
            <wp:effectExtent l="0" t="0" r="10160" b="13335"/>
            <wp:docPr id="339113905" name="Gráfico 1">
              <a:extLst xmlns:a="http://schemas.openxmlformats.org/drawingml/2006/main">
                <a:ext uri="{FF2B5EF4-FFF2-40B4-BE49-F238E27FC236}">
                  <a16:creationId xmlns:a16="http://schemas.microsoft.com/office/drawing/2014/main" id="{2518AD76-4EF6-477E-B7D2-D413E74E8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38673D" w14:textId="77777777" w:rsidR="000B562D" w:rsidRDefault="000B562D">
      <w:pPr>
        <w:ind w:firstLine="0"/>
        <w:rPr>
          <w:rFonts w:ascii="Times New Roman" w:hAnsi="Times New Roman" w:cs="Times New Roman"/>
          <w:sz w:val="24"/>
          <w:szCs w:val="24"/>
        </w:rPr>
      </w:pPr>
      <w:r w:rsidRPr="00BA38B7">
        <w:rPr>
          <w:rFonts w:ascii="Times New Roman" w:hAnsi="Times New Roman" w:cs="Times New Roman"/>
          <w:sz w:val="24"/>
          <w:szCs w:val="24"/>
        </w:rPr>
        <w:t>Fonte: Elaboração própria a partir de dados da PNAD Contínua (IBGE, 20</w:t>
      </w:r>
      <w:r>
        <w:rPr>
          <w:rFonts w:ascii="Times New Roman" w:hAnsi="Times New Roman" w:cs="Times New Roman"/>
          <w:sz w:val="24"/>
          <w:szCs w:val="24"/>
        </w:rPr>
        <w:t>24</w:t>
      </w:r>
      <w:r w:rsidRPr="00BA38B7">
        <w:rPr>
          <w:rFonts w:ascii="Times New Roman" w:hAnsi="Times New Roman" w:cs="Times New Roman"/>
          <w:sz w:val="24"/>
          <w:szCs w:val="24"/>
        </w:rPr>
        <w:t>).</w:t>
      </w:r>
      <w:r>
        <w:rPr>
          <w:rFonts w:ascii="Times New Roman" w:hAnsi="Times New Roman" w:cs="Times New Roman"/>
          <w:sz w:val="24"/>
          <w:szCs w:val="24"/>
        </w:rPr>
        <w:t xml:space="preserve"> </w:t>
      </w:r>
    </w:p>
    <w:p w14:paraId="704B2570" w14:textId="374F5083" w:rsidR="00E03E59" w:rsidRDefault="00E03E59">
      <w:pPr>
        <w:rPr>
          <w:rFonts w:ascii="Times New Roman" w:hAnsi="Times New Roman" w:cs="Times New Roman"/>
          <w:sz w:val="24"/>
          <w:szCs w:val="24"/>
        </w:rPr>
      </w:pPr>
      <w:r w:rsidRPr="007F6546">
        <w:rPr>
          <w:rFonts w:ascii="Times New Roman" w:hAnsi="Times New Roman" w:cs="Times New Roman"/>
          <w:sz w:val="24"/>
          <w:szCs w:val="24"/>
        </w:rPr>
        <w:t xml:space="preserve">Os dados apresentados na Figura </w:t>
      </w:r>
      <w:r>
        <w:rPr>
          <w:rFonts w:ascii="Times New Roman" w:hAnsi="Times New Roman" w:cs="Times New Roman"/>
          <w:sz w:val="24"/>
          <w:szCs w:val="24"/>
        </w:rPr>
        <w:t>7</w:t>
      </w:r>
      <w:r w:rsidRPr="007F6546">
        <w:rPr>
          <w:rFonts w:ascii="Times New Roman" w:hAnsi="Times New Roman" w:cs="Times New Roman"/>
          <w:sz w:val="24"/>
          <w:szCs w:val="24"/>
        </w:rPr>
        <w:t xml:space="preserve"> revelam leve migração de trabalhadores das Regiões Não Metropolitanas (RNM) para as Regiões Metropolitanas (RM) </w:t>
      </w:r>
      <w:r>
        <w:rPr>
          <w:rFonts w:ascii="Times New Roman" w:hAnsi="Times New Roman" w:cs="Times New Roman"/>
          <w:sz w:val="24"/>
          <w:szCs w:val="24"/>
        </w:rPr>
        <w:t>de 2012 a 2020</w:t>
      </w:r>
      <w:r w:rsidRPr="007F6546">
        <w:rPr>
          <w:rFonts w:ascii="Times New Roman" w:hAnsi="Times New Roman" w:cs="Times New Roman"/>
          <w:sz w:val="24"/>
          <w:szCs w:val="24"/>
        </w:rPr>
        <w:t xml:space="preserve">, seguindo a tendência delineada pelo efeito composição das áreas urbana/rural. A deslocação em direção aos grandes centros urbanos intensificou-se, </w:t>
      </w:r>
      <w:r>
        <w:rPr>
          <w:rFonts w:ascii="Times New Roman" w:hAnsi="Times New Roman" w:cs="Times New Roman"/>
          <w:sz w:val="24"/>
          <w:szCs w:val="24"/>
        </w:rPr>
        <w:t>influenciada pela</w:t>
      </w:r>
      <w:r w:rsidRPr="007F6546">
        <w:rPr>
          <w:rFonts w:ascii="Times New Roman" w:hAnsi="Times New Roman" w:cs="Times New Roman"/>
          <w:sz w:val="24"/>
          <w:szCs w:val="24"/>
        </w:rPr>
        <w:t xml:space="preserve"> busca por localidades </w:t>
      </w:r>
      <w:r>
        <w:rPr>
          <w:rFonts w:ascii="Times New Roman" w:hAnsi="Times New Roman" w:cs="Times New Roman"/>
          <w:sz w:val="24"/>
          <w:szCs w:val="24"/>
        </w:rPr>
        <w:t xml:space="preserve">capazes de </w:t>
      </w:r>
      <w:r w:rsidRPr="007F6546">
        <w:rPr>
          <w:rFonts w:ascii="Times New Roman" w:hAnsi="Times New Roman" w:cs="Times New Roman"/>
          <w:sz w:val="24"/>
          <w:szCs w:val="24"/>
        </w:rPr>
        <w:t>oferecem ampliadas oportunidades de emprego, como é evidenciado nas regiões metropolitanas</w:t>
      </w:r>
      <w:r>
        <w:rPr>
          <w:rFonts w:ascii="Times New Roman" w:hAnsi="Times New Roman" w:cs="Times New Roman"/>
          <w:sz w:val="24"/>
          <w:szCs w:val="24"/>
        </w:rPr>
        <w:t>, contudo, esse panorama se inverte, a partir do início da pandemia global de COVID-19</w:t>
      </w:r>
      <w:r w:rsidR="003E5F4F">
        <w:rPr>
          <w:rFonts w:ascii="Times New Roman" w:hAnsi="Times New Roman" w:cs="Times New Roman"/>
          <w:sz w:val="24"/>
          <w:szCs w:val="24"/>
        </w:rPr>
        <w:t xml:space="preserve"> (FEITOZA, SIMÔES, 2023)</w:t>
      </w:r>
      <w:r>
        <w:rPr>
          <w:rFonts w:ascii="Times New Roman" w:hAnsi="Times New Roman" w:cs="Times New Roman"/>
          <w:sz w:val="24"/>
          <w:szCs w:val="24"/>
        </w:rPr>
        <w:t>.</w:t>
      </w:r>
    </w:p>
    <w:p w14:paraId="0DE8401D" w14:textId="363AB6BC" w:rsidR="00E03E59" w:rsidRDefault="00E03E59">
      <w:pPr>
        <w:rPr>
          <w:rFonts w:ascii="Times New Roman" w:hAnsi="Times New Roman" w:cs="Times New Roman"/>
          <w:sz w:val="24"/>
          <w:szCs w:val="24"/>
        </w:rPr>
      </w:pPr>
      <w:r w:rsidRPr="000B6F05">
        <w:rPr>
          <w:rFonts w:ascii="Times New Roman" w:hAnsi="Times New Roman" w:cs="Times New Roman"/>
          <w:sz w:val="24"/>
          <w:szCs w:val="24"/>
        </w:rPr>
        <w:t>Em conclusão, a análise das decomposições das taxas de desemprego entre 2012 e 2022 revelou a influência significativa de fatores sociodemográficos e regionais no panorama do emprego no Brasil. O efeito composição destac</w:t>
      </w:r>
      <w:r>
        <w:rPr>
          <w:rFonts w:ascii="Times New Roman" w:hAnsi="Times New Roman" w:cs="Times New Roman"/>
          <w:sz w:val="24"/>
          <w:szCs w:val="24"/>
        </w:rPr>
        <w:t>ou</w:t>
      </w:r>
      <w:r w:rsidRPr="000B6F05">
        <w:rPr>
          <w:rFonts w:ascii="Times New Roman" w:hAnsi="Times New Roman" w:cs="Times New Roman"/>
          <w:sz w:val="24"/>
          <w:szCs w:val="24"/>
        </w:rPr>
        <w:t xml:space="preserve"> mudanças na composição da PEA</w:t>
      </w:r>
      <w:r>
        <w:rPr>
          <w:rFonts w:ascii="Times New Roman" w:hAnsi="Times New Roman" w:cs="Times New Roman"/>
          <w:sz w:val="24"/>
          <w:szCs w:val="24"/>
        </w:rPr>
        <w:t xml:space="preserve"> e </w:t>
      </w:r>
      <w:r w:rsidRPr="000B6F05">
        <w:rPr>
          <w:rFonts w:ascii="Times New Roman" w:hAnsi="Times New Roman" w:cs="Times New Roman"/>
          <w:sz w:val="24"/>
          <w:szCs w:val="24"/>
        </w:rPr>
        <w:t xml:space="preserve">mostrou-se relevante </w:t>
      </w:r>
      <w:r>
        <w:rPr>
          <w:rFonts w:ascii="Times New Roman" w:hAnsi="Times New Roman" w:cs="Times New Roman"/>
          <w:sz w:val="24"/>
          <w:szCs w:val="24"/>
        </w:rPr>
        <w:t>a partir de análises de</w:t>
      </w:r>
      <w:r w:rsidRPr="000B6F05">
        <w:rPr>
          <w:rFonts w:ascii="Times New Roman" w:hAnsi="Times New Roman" w:cs="Times New Roman"/>
          <w:sz w:val="24"/>
          <w:szCs w:val="24"/>
        </w:rPr>
        <w:t xml:space="preserve"> diferentes segmentos, como gênero, raça, escolaridade e faixa etária. </w:t>
      </w:r>
      <w:r>
        <w:rPr>
          <w:rFonts w:ascii="Times New Roman" w:hAnsi="Times New Roman" w:cs="Times New Roman"/>
          <w:sz w:val="24"/>
          <w:szCs w:val="24"/>
        </w:rPr>
        <w:t>Ademais, o</w:t>
      </w:r>
      <w:r w:rsidRPr="000B6F05">
        <w:rPr>
          <w:rFonts w:ascii="Times New Roman" w:hAnsi="Times New Roman" w:cs="Times New Roman"/>
          <w:sz w:val="24"/>
          <w:szCs w:val="24"/>
        </w:rPr>
        <w:t xml:space="preserve"> efeito nível, associado às condições econômicas, teve impacto notável, especialmente</w:t>
      </w:r>
      <w:r>
        <w:rPr>
          <w:rFonts w:ascii="Times New Roman" w:hAnsi="Times New Roman" w:cs="Times New Roman"/>
          <w:sz w:val="24"/>
          <w:szCs w:val="24"/>
        </w:rPr>
        <w:t>,</w:t>
      </w:r>
      <w:r w:rsidRPr="000B6F05">
        <w:rPr>
          <w:rFonts w:ascii="Times New Roman" w:hAnsi="Times New Roman" w:cs="Times New Roman"/>
          <w:sz w:val="24"/>
          <w:szCs w:val="24"/>
        </w:rPr>
        <w:t xml:space="preserve"> durante momentos de crise.</w:t>
      </w:r>
      <w:r w:rsidR="00B209E1">
        <w:rPr>
          <w:rFonts w:ascii="Times New Roman" w:hAnsi="Times New Roman" w:cs="Times New Roman"/>
          <w:sz w:val="24"/>
          <w:szCs w:val="24"/>
        </w:rPr>
        <w:t xml:space="preserve"> </w:t>
      </w:r>
    </w:p>
    <w:p w14:paraId="496940A7" w14:textId="5F1EFC94" w:rsidR="00B209E1" w:rsidRPr="00B209E1" w:rsidRDefault="00B209E1">
      <w:pPr>
        <w:rPr>
          <w:rFonts w:ascii="Times New Roman" w:hAnsi="Times New Roman" w:cs="Times New Roman"/>
          <w:sz w:val="24"/>
          <w:szCs w:val="24"/>
        </w:rPr>
      </w:pPr>
      <w:r w:rsidRPr="00B209E1">
        <w:rPr>
          <w:rFonts w:ascii="Times New Roman" w:hAnsi="Times New Roman" w:cs="Times New Roman"/>
          <w:sz w:val="24"/>
          <w:szCs w:val="24"/>
        </w:rPr>
        <w:t xml:space="preserve">Os estratos populacionais mais afetados pelo desemprego, conforme delineado </w:t>
      </w:r>
      <w:r>
        <w:rPr>
          <w:rFonts w:ascii="Times New Roman" w:hAnsi="Times New Roman" w:cs="Times New Roman"/>
          <w:sz w:val="24"/>
          <w:szCs w:val="24"/>
        </w:rPr>
        <w:t>nos resultados apresentados</w:t>
      </w:r>
      <w:r w:rsidR="00BE442B">
        <w:rPr>
          <w:rFonts w:ascii="Times New Roman" w:hAnsi="Times New Roman" w:cs="Times New Roman"/>
          <w:sz w:val="24"/>
          <w:szCs w:val="24"/>
        </w:rPr>
        <w:t>, são</w:t>
      </w:r>
      <w:r w:rsidR="00A37CD5">
        <w:rPr>
          <w:rFonts w:ascii="Times New Roman" w:hAnsi="Times New Roman" w:cs="Times New Roman"/>
          <w:sz w:val="24"/>
          <w:szCs w:val="24"/>
        </w:rPr>
        <w:t xml:space="preserve">: </w:t>
      </w:r>
      <w:r w:rsidRPr="00B209E1">
        <w:rPr>
          <w:rFonts w:ascii="Times New Roman" w:hAnsi="Times New Roman" w:cs="Times New Roman"/>
          <w:sz w:val="24"/>
          <w:szCs w:val="24"/>
        </w:rPr>
        <w:t xml:space="preserve">mulheres, </w:t>
      </w:r>
      <w:r w:rsidR="00BE442B">
        <w:rPr>
          <w:rFonts w:ascii="Times New Roman" w:hAnsi="Times New Roman" w:cs="Times New Roman"/>
          <w:sz w:val="24"/>
          <w:szCs w:val="24"/>
        </w:rPr>
        <w:t xml:space="preserve">indivíduos </w:t>
      </w:r>
      <w:r w:rsidR="00A37CD5" w:rsidRPr="00045D70">
        <w:rPr>
          <w:rFonts w:ascii="Times New Roman" w:hAnsi="Times New Roman" w:cs="Times New Roman"/>
          <w:sz w:val="24"/>
          <w:szCs w:val="24"/>
        </w:rPr>
        <w:t xml:space="preserve">autodenominados como pretos e </w:t>
      </w:r>
      <w:r w:rsidR="00A37CD5" w:rsidRPr="00045D70">
        <w:rPr>
          <w:rFonts w:ascii="Times New Roman" w:hAnsi="Times New Roman" w:cs="Times New Roman"/>
          <w:sz w:val="24"/>
          <w:szCs w:val="24"/>
        </w:rPr>
        <w:lastRenderedPageBreak/>
        <w:t>pardos</w:t>
      </w:r>
      <w:r w:rsidR="0065306A">
        <w:rPr>
          <w:rFonts w:ascii="Times New Roman" w:hAnsi="Times New Roman" w:cs="Times New Roman"/>
          <w:sz w:val="24"/>
          <w:szCs w:val="24"/>
        </w:rPr>
        <w:t xml:space="preserve"> (negros)</w:t>
      </w:r>
      <w:r w:rsidR="00BE442B">
        <w:rPr>
          <w:rFonts w:ascii="Times New Roman" w:hAnsi="Times New Roman" w:cs="Times New Roman"/>
          <w:sz w:val="24"/>
          <w:szCs w:val="24"/>
        </w:rPr>
        <w:t xml:space="preserve">, </w:t>
      </w:r>
      <w:r w:rsidR="00A37CD5">
        <w:rPr>
          <w:rFonts w:ascii="Times New Roman" w:hAnsi="Times New Roman" w:cs="Times New Roman"/>
          <w:sz w:val="24"/>
          <w:szCs w:val="24"/>
        </w:rPr>
        <w:t>pessoas</w:t>
      </w:r>
      <w:r w:rsidRPr="00B209E1">
        <w:rPr>
          <w:rFonts w:ascii="Times New Roman" w:hAnsi="Times New Roman" w:cs="Times New Roman"/>
          <w:sz w:val="24"/>
          <w:szCs w:val="24"/>
        </w:rPr>
        <w:t xml:space="preserve"> com níveis educacionais </w:t>
      </w:r>
      <w:r w:rsidR="003D5E2A">
        <w:rPr>
          <w:rFonts w:ascii="Times New Roman" w:hAnsi="Times New Roman" w:cs="Times New Roman"/>
          <w:sz w:val="24"/>
          <w:szCs w:val="24"/>
        </w:rPr>
        <w:t>intermediários</w:t>
      </w:r>
      <w:r w:rsidR="00A37CD5">
        <w:rPr>
          <w:rFonts w:ascii="Times New Roman" w:hAnsi="Times New Roman" w:cs="Times New Roman"/>
          <w:sz w:val="24"/>
          <w:szCs w:val="24"/>
        </w:rPr>
        <w:t>, jovens</w:t>
      </w:r>
      <w:r w:rsidR="003D5E2A">
        <w:rPr>
          <w:rFonts w:ascii="Times New Roman" w:hAnsi="Times New Roman" w:cs="Times New Roman"/>
          <w:sz w:val="24"/>
          <w:szCs w:val="24"/>
        </w:rPr>
        <w:t xml:space="preserve"> de 14 a 24 anos</w:t>
      </w:r>
      <w:r w:rsidR="00A37CD5">
        <w:rPr>
          <w:rFonts w:ascii="Times New Roman" w:hAnsi="Times New Roman" w:cs="Times New Roman"/>
          <w:sz w:val="24"/>
          <w:szCs w:val="24"/>
        </w:rPr>
        <w:t xml:space="preserve">, residentes das áreas urbanas e habitantes das regiões metropolitanas. Em conformidade com </w:t>
      </w:r>
      <w:r w:rsidR="00A37CD5" w:rsidRPr="0003470B">
        <w:rPr>
          <w:rFonts w:ascii="Times New Roman" w:eastAsia="Times New Roman" w:hAnsi="Times New Roman" w:cs="Times New Roman"/>
          <w:sz w:val="24"/>
          <w:szCs w:val="24"/>
          <w:lang w:eastAsia="pt-BR"/>
        </w:rPr>
        <w:t>Brito, Silva e Rossi (2021)</w:t>
      </w:r>
      <w:r w:rsidR="00A37CD5">
        <w:rPr>
          <w:rFonts w:ascii="Times New Roman" w:eastAsia="Times New Roman" w:hAnsi="Times New Roman" w:cs="Times New Roman"/>
          <w:sz w:val="24"/>
          <w:szCs w:val="24"/>
          <w:lang w:eastAsia="pt-BR"/>
        </w:rPr>
        <w:t>, os coletivos citados</w:t>
      </w:r>
      <w:r w:rsidRPr="00B209E1">
        <w:rPr>
          <w:rFonts w:ascii="Times New Roman" w:hAnsi="Times New Roman" w:cs="Times New Roman"/>
          <w:sz w:val="24"/>
          <w:szCs w:val="24"/>
        </w:rPr>
        <w:t xml:space="preserve"> são comumente identificados como grupos mais propensos a enfrentar taxas elevadas de desemprego ou a ocupar posições profissionais menos estáveis.</w:t>
      </w:r>
      <w:r w:rsidR="00CC7456">
        <w:rPr>
          <w:rFonts w:ascii="Times New Roman" w:hAnsi="Times New Roman" w:cs="Times New Roman"/>
          <w:sz w:val="24"/>
          <w:szCs w:val="24"/>
        </w:rPr>
        <w:t xml:space="preserve"> De maneira semelhante</w:t>
      </w:r>
      <w:r w:rsidR="00CC7456" w:rsidRPr="00CC7456">
        <w:rPr>
          <w:rFonts w:ascii="Times New Roman" w:hAnsi="Times New Roman" w:cs="Times New Roman"/>
          <w:sz w:val="24"/>
          <w:szCs w:val="24"/>
        </w:rPr>
        <w:t>, Pochmann (2015) destaca a disparidade na participação dos indivíduos no cenário ocupacional</w:t>
      </w:r>
      <w:r w:rsidR="0077558F">
        <w:rPr>
          <w:rFonts w:ascii="Times New Roman" w:hAnsi="Times New Roman" w:cs="Times New Roman"/>
          <w:sz w:val="24"/>
          <w:szCs w:val="24"/>
        </w:rPr>
        <w:t xml:space="preserve">, a qual </w:t>
      </w:r>
      <w:r w:rsidR="00CC7456" w:rsidRPr="00CC7456">
        <w:rPr>
          <w:rFonts w:ascii="Times New Roman" w:hAnsi="Times New Roman" w:cs="Times New Roman"/>
          <w:sz w:val="24"/>
          <w:szCs w:val="24"/>
        </w:rPr>
        <w:t xml:space="preserve">é influenciada por variáveis como educação, idade, gênero e localização </w:t>
      </w:r>
      <w:r w:rsidR="00552814" w:rsidRPr="00CC7456">
        <w:rPr>
          <w:rFonts w:ascii="Times New Roman" w:hAnsi="Times New Roman" w:cs="Times New Roman"/>
          <w:sz w:val="24"/>
          <w:szCs w:val="24"/>
        </w:rPr>
        <w:t>geográfica</w:t>
      </w:r>
      <w:r w:rsidR="00552814">
        <w:rPr>
          <w:rFonts w:ascii="Times New Roman" w:hAnsi="Times New Roman" w:cs="Times New Roman"/>
          <w:sz w:val="24"/>
          <w:szCs w:val="24"/>
        </w:rPr>
        <w:t>.</w:t>
      </w:r>
    </w:p>
    <w:p w14:paraId="494D151A" w14:textId="05F86476" w:rsidR="006C521A" w:rsidRDefault="00571235">
      <w:pPr>
        <w:rPr>
          <w:rFonts w:ascii="Times New Roman" w:hAnsi="Times New Roman" w:cs="Times New Roman"/>
          <w:sz w:val="24"/>
          <w:szCs w:val="24"/>
        </w:rPr>
      </w:pPr>
      <w:r>
        <w:rPr>
          <w:rFonts w:ascii="Times New Roman" w:hAnsi="Times New Roman" w:cs="Times New Roman"/>
          <w:sz w:val="24"/>
          <w:szCs w:val="24"/>
        </w:rPr>
        <w:t>Em suma, n</w:t>
      </w:r>
      <w:r w:rsidR="00CC7456">
        <w:rPr>
          <w:rFonts w:ascii="Times New Roman" w:hAnsi="Times New Roman" w:cs="Times New Roman"/>
          <w:sz w:val="24"/>
          <w:szCs w:val="24"/>
        </w:rPr>
        <w:t xml:space="preserve">o contexto </w:t>
      </w:r>
      <w:r>
        <w:rPr>
          <w:rFonts w:ascii="Times New Roman" w:hAnsi="Times New Roman" w:cs="Times New Roman"/>
          <w:sz w:val="24"/>
          <w:szCs w:val="24"/>
        </w:rPr>
        <w:t xml:space="preserve">aqui </w:t>
      </w:r>
      <w:r w:rsidR="00CC7456">
        <w:rPr>
          <w:rFonts w:ascii="Times New Roman" w:hAnsi="Times New Roman" w:cs="Times New Roman"/>
          <w:sz w:val="24"/>
          <w:szCs w:val="24"/>
        </w:rPr>
        <w:t xml:space="preserve">analisado, </w:t>
      </w:r>
      <w:r>
        <w:rPr>
          <w:rFonts w:ascii="Times New Roman" w:hAnsi="Times New Roman" w:cs="Times New Roman"/>
          <w:sz w:val="24"/>
          <w:szCs w:val="24"/>
        </w:rPr>
        <w:t xml:space="preserve">fica latente a necessidade de elaboração e reformulação de </w:t>
      </w:r>
      <w:r w:rsidR="00B209E1" w:rsidRPr="00B209E1">
        <w:rPr>
          <w:rFonts w:ascii="Times New Roman" w:hAnsi="Times New Roman" w:cs="Times New Roman"/>
          <w:sz w:val="24"/>
          <w:szCs w:val="24"/>
        </w:rPr>
        <w:t>políticas públicas destinadas a esses segmentos</w:t>
      </w:r>
      <w:r w:rsidR="00CC7456">
        <w:rPr>
          <w:rFonts w:ascii="Times New Roman" w:hAnsi="Times New Roman" w:cs="Times New Roman"/>
          <w:sz w:val="24"/>
          <w:szCs w:val="24"/>
        </w:rPr>
        <w:t>,</w:t>
      </w:r>
      <w:r w:rsidR="00B209E1" w:rsidRPr="00B209E1">
        <w:rPr>
          <w:rFonts w:ascii="Times New Roman" w:hAnsi="Times New Roman" w:cs="Times New Roman"/>
          <w:sz w:val="24"/>
          <w:szCs w:val="24"/>
        </w:rPr>
        <w:t xml:space="preserve"> </w:t>
      </w:r>
      <w:r w:rsidR="00CC7456">
        <w:rPr>
          <w:rFonts w:ascii="Times New Roman" w:hAnsi="Times New Roman" w:cs="Times New Roman"/>
          <w:sz w:val="24"/>
          <w:szCs w:val="24"/>
        </w:rPr>
        <w:t xml:space="preserve">para </w:t>
      </w:r>
      <w:r w:rsidR="00B209E1" w:rsidRPr="00B209E1">
        <w:rPr>
          <w:rFonts w:ascii="Times New Roman" w:hAnsi="Times New Roman" w:cs="Times New Roman"/>
          <w:sz w:val="24"/>
          <w:szCs w:val="24"/>
        </w:rPr>
        <w:t xml:space="preserve">atenuar as disparidades existentes no mercado de trabalho. </w:t>
      </w:r>
      <w:r w:rsidR="00CC7456" w:rsidRPr="00CC7456">
        <w:rPr>
          <w:rFonts w:ascii="Times New Roman" w:hAnsi="Times New Roman" w:cs="Times New Roman"/>
          <w:sz w:val="24"/>
          <w:szCs w:val="24"/>
        </w:rPr>
        <w:t xml:space="preserve">Para </w:t>
      </w:r>
      <w:r w:rsidR="00CC7456">
        <w:rPr>
          <w:rFonts w:ascii="Times New Roman" w:hAnsi="Times New Roman" w:cs="Times New Roman"/>
          <w:sz w:val="24"/>
          <w:szCs w:val="24"/>
        </w:rPr>
        <w:t>superar essas adversidades</w:t>
      </w:r>
      <w:r w:rsidR="00CC7456" w:rsidRPr="00CC7456">
        <w:rPr>
          <w:rFonts w:ascii="Times New Roman" w:hAnsi="Times New Roman" w:cs="Times New Roman"/>
          <w:sz w:val="24"/>
          <w:szCs w:val="24"/>
        </w:rPr>
        <w:t>, Brito, Silva e Rossi (2021)</w:t>
      </w:r>
      <w:r w:rsidR="00CC7456">
        <w:rPr>
          <w:rFonts w:ascii="Times New Roman" w:hAnsi="Times New Roman" w:cs="Times New Roman"/>
          <w:sz w:val="24"/>
          <w:szCs w:val="24"/>
        </w:rPr>
        <w:t xml:space="preserve"> </w:t>
      </w:r>
      <w:r w:rsidR="00CC7456" w:rsidRPr="00CC7456">
        <w:rPr>
          <w:rFonts w:ascii="Times New Roman" w:hAnsi="Times New Roman" w:cs="Times New Roman"/>
          <w:sz w:val="24"/>
          <w:szCs w:val="24"/>
        </w:rPr>
        <w:t>propõe</w:t>
      </w:r>
      <w:r w:rsidR="00CC7456">
        <w:rPr>
          <w:rFonts w:ascii="Times New Roman" w:hAnsi="Times New Roman" w:cs="Times New Roman"/>
          <w:sz w:val="24"/>
          <w:szCs w:val="24"/>
        </w:rPr>
        <w:t>m</w:t>
      </w:r>
      <w:r w:rsidR="00CC7456" w:rsidRPr="00CC7456">
        <w:rPr>
          <w:rFonts w:ascii="Times New Roman" w:hAnsi="Times New Roman" w:cs="Times New Roman"/>
          <w:sz w:val="24"/>
          <w:szCs w:val="24"/>
        </w:rPr>
        <w:t xml:space="preserve">, </w:t>
      </w:r>
      <w:r w:rsidR="00705A8D">
        <w:rPr>
          <w:rFonts w:ascii="Times New Roman" w:hAnsi="Times New Roman" w:cs="Times New Roman"/>
          <w:sz w:val="24"/>
          <w:szCs w:val="24"/>
        </w:rPr>
        <w:t>para além</w:t>
      </w:r>
      <w:r w:rsidR="00CC7456" w:rsidRPr="00CC7456">
        <w:rPr>
          <w:rFonts w:ascii="Times New Roman" w:hAnsi="Times New Roman" w:cs="Times New Roman"/>
          <w:sz w:val="24"/>
          <w:szCs w:val="24"/>
        </w:rPr>
        <w:t xml:space="preserve"> </w:t>
      </w:r>
      <w:r w:rsidR="00705A8D">
        <w:rPr>
          <w:rFonts w:ascii="Times New Roman" w:hAnsi="Times New Roman" w:cs="Times New Roman"/>
          <w:sz w:val="24"/>
          <w:szCs w:val="24"/>
        </w:rPr>
        <w:t>d</w:t>
      </w:r>
      <w:r w:rsidR="00CC7456" w:rsidRPr="00CC7456">
        <w:rPr>
          <w:rFonts w:ascii="Times New Roman" w:hAnsi="Times New Roman" w:cs="Times New Roman"/>
          <w:sz w:val="24"/>
          <w:szCs w:val="24"/>
        </w:rPr>
        <w:t>a implementação de políticas públicas adaptadas às demandas locais de empregabilidade</w:t>
      </w:r>
      <w:r w:rsidR="00705A8D">
        <w:rPr>
          <w:rFonts w:ascii="Times New Roman" w:hAnsi="Times New Roman" w:cs="Times New Roman"/>
          <w:sz w:val="24"/>
          <w:szCs w:val="24"/>
        </w:rPr>
        <w:t xml:space="preserve"> (</w:t>
      </w:r>
      <w:r w:rsidR="00CC7456" w:rsidRPr="00CC7456">
        <w:rPr>
          <w:rFonts w:ascii="Times New Roman" w:hAnsi="Times New Roman" w:cs="Times New Roman"/>
          <w:sz w:val="24"/>
          <w:szCs w:val="24"/>
        </w:rPr>
        <w:t>investimentos em educação e treinamento</w:t>
      </w:r>
      <w:r w:rsidR="00705A8D">
        <w:rPr>
          <w:rFonts w:ascii="Times New Roman" w:hAnsi="Times New Roman" w:cs="Times New Roman"/>
          <w:sz w:val="24"/>
          <w:szCs w:val="24"/>
        </w:rPr>
        <w:t>)</w:t>
      </w:r>
      <w:r w:rsidR="00CC7456" w:rsidRPr="00CC7456">
        <w:rPr>
          <w:rFonts w:ascii="Times New Roman" w:hAnsi="Times New Roman" w:cs="Times New Roman"/>
          <w:sz w:val="24"/>
          <w:szCs w:val="24"/>
        </w:rPr>
        <w:t>, ações direcionadas ao aumento da participação das mulheres no mercado de trabalho e ao aprimoramento da qualidade do emprego no Brasil</w:t>
      </w:r>
      <w:r w:rsidR="006D58F0">
        <w:rPr>
          <w:rFonts w:ascii="Times New Roman" w:hAnsi="Times New Roman" w:cs="Times New Roman"/>
          <w:sz w:val="24"/>
          <w:szCs w:val="24"/>
        </w:rPr>
        <w:t>, ou seja, à promoção de trabalhos decentes, como meta de desenvolvimento sustentável</w:t>
      </w:r>
      <w:r w:rsidR="00CC7456" w:rsidRPr="00AA4E36">
        <w:rPr>
          <w:rFonts w:ascii="Times New Roman" w:hAnsi="Times New Roman" w:cs="Times New Roman"/>
          <w:sz w:val="24"/>
          <w:szCs w:val="24"/>
        </w:rPr>
        <w:t>.</w:t>
      </w:r>
      <w:r w:rsidR="00705A8D" w:rsidRPr="00AA4E36">
        <w:rPr>
          <w:rFonts w:ascii="Times New Roman" w:hAnsi="Times New Roman" w:cs="Times New Roman"/>
          <w:sz w:val="24"/>
          <w:szCs w:val="24"/>
        </w:rPr>
        <w:t xml:space="preserve"> </w:t>
      </w:r>
      <w:r w:rsidR="00AA4E36" w:rsidRPr="00AA4E36">
        <w:rPr>
          <w:rFonts w:ascii="Times New Roman" w:hAnsi="Times New Roman" w:cs="Times New Roman"/>
          <w:sz w:val="24"/>
          <w:szCs w:val="24"/>
        </w:rPr>
        <w:t xml:space="preserve">A exemplo de projetos voltados para a melhoria e ampliação dos benefícios de licença-maternidade, além do asseguramento ao acesso a creches de qualidade, para </w:t>
      </w:r>
      <w:r w:rsidR="006C521A">
        <w:rPr>
          <w:rFonts w:ascii="Times New Roman" w:hAnsi="Times New Roman" w:cs="Times New Roman"/>
          <w:sz w:val="24"/>
          <w:szCs w:val="24"/>
        </w:rPr>
        <w:t xml:space="preserve">atenuar a sobrecarga de trabalho diante da tarefa de </w:t>
      </w:r>
      <w:r w:rsidR="00AA4E36" w:rsidRPr="00AA4E36">
        <w:rPr>
          <w:rFonts w:ascii="Times New Roman" w:hAnsi="Times New Roman" w:cs="Times New Roman"/>
          <w:sz w:val="24"/>
          <w:szCs w:val="24"/>
        </w:rPr>
        <w:t>conciliação entre trabalho</w:t>
      </w:r>
      <w:r w:rsidR="006C521A">
        <w:rPr>
          <w:rFonts w:ascii="Times New Roman" w:hAnsi="Times New Roman" w:cs="Times New Roman"/>
          <w:sz w:val="24"/>
          <w:szCs w:val="24"/>
        </w:rPr>
        <w:t xml:space="preserve"> produtivo</w:t>
      </w:r>
      <w:r w:rsidR="00AA4E36" w:rsidRPr="00AA4E36">
        <w:rPr>
          <w:rFonts w:ascii="Times New Roman" w:hAnsi="Times New Roman" w:cs="Times New Roman"/>
          <w:sz w:val="24"/>
          <w:szCs w:val="24"/>
        </w:rPr>
        <w:t xml:space="preserve"> </w:t>
      </w:r>
      <w:r w:rsidR="006C521A">
        <w:rPr>
          <w:rFonts w:ascii="Times New Roman" w:hAnsi="Times New Roman" w:cs="Times New Roman"/>
          <w:sz w:val="24"/>
          <w:szCs w:val="24"/>
        </w:rPr>
        <w:t xml:space="preserve">remunerado </w:t>
      </w:r>
      <w:r w:rsidR="00AA4E36" w:rsidRPr="00AA4E36">
        <w:rPr>
          <w:rFonts w:ascii="Times New Roman" w:hAnsi="Times New Roman" w:cs="Times New Roman"/>
          <w:sz w:val="24"/>
          <w:szCs w:val="24"/>
        </w:rPr>
        <w:t xml:space="preserve">e </w:t>
      </w:r>
      <w:r w:rsidR="006C521A">
        <w:rPr>
          <w:rFonts w:ascii="Times New Roman" w:hAnsi="Times New Roman" w:cs="Times New Roman"/>
          <w:sz w:val="24"/>
          <w:szCs w:val="24"/>
        </w:rPr>
        <w:t>reprodutivo não remunerado, sobretudo, para mulheres chefes de família</w:t>
      </w:r>
      <w:r w:rsidR="00AA4E36">
        <w:rPr>
          <w:rFonts w:ascii="Times New Roman" w:hAnsi="Times New Roman" w:cs="Times New Roman"/>
          <w:sz w:val="24"/>
          <w:szCs w:val="24"/>
        </w:rPr>
        <w:t xml:space="preserve">. </w:t>
      </w:r>
    </w:p>
    <w:p w14:paraId="7AEEC3D2" w14:textId="2B61FA6D" w:rsidR="00705A8D" w:rsidRDefault="006E2E4C" w:rsidP="00395402">
      <w:pPr>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Sobre isso, </w:t>
      </w:r>
      <w:r w:rsidR="00705A8D" w:rsidRPr="5C63AAD9">
        <w:rPr>
          <w:rFonts w:ascii="Times New Roman" w:eastAsia="Times New Roman" w:hAnsi="Times New Roman" w:cs="Times New Roman"/>
          <w:sz w:val="24"/>
          <w:szCs w:val="24"/>
          <w:lang w:eastAsia="pt-BR"/>
        </w:rPr>
        <w:t>Saboia (2014)</w:t>
      </w:r>
      <w:r w:rsidR="00705A8D">
        <w:rPr>
          <w:rFonts w:ascii="Times New Roman" w:eastAsia="Times New Roman" w:hAnsi="Times New Roman" w:cs="Times New Roman"/>
          <w:sz w:val="24"/>
          <w:szCs w:val="24"/>
          <w:lang w:eastAsia="pt-BR"/>
        </w:rPr>
        <w:t xml:space="preserve">, </w:t>
      </w:r>
      <w:r w:rsidR="00705A8D" w:rsidRPr="5C63AAD9">
        <w:rPr>
          <w:rFonts w:ascii="Times New Roman" w:eastAsia="Times New Roman" w:hAnsi="Times New Roman" w:cs="Times New Roman"/>
          <w:sz w:val="24"/>
          <w:szCs w:val="24"/>
          <w:lang w:eastAsia="pt-BR"/>
        </w:rPr>
        <w:t>de forma semelhante à Silva</w:t>
      </w:r>
      <w:r w:rsidR="00CC5452">
        <w:rPr>
          <w:rFonts w:ascii="Times New Roman" w:eastAsia="Times New Roman" w:hAnsi="Times New Roman" w:cs="Times New Roman"/>
          <w:sz w:val="24"/>
          <w:szCs w:val="24"/>
          <w:lang w:eastAsia="pt-BR"/>
        </w:rPr>
        <w:t xml:space="preserve"> Filho</w:t>
      </w:r>
      <w:r w:rsidR="00705A8D" w:rsidRPr="5C63AAD9">
        <w:rPr>
          <w:rFonts w:ascii="Times New Roman" w:eastAsia="Times New Roman" w:hAnsi="Times New Roman" w:cs="Times New Roman"/>
          <w:sz w:val="24"/>
          <w:szCs w:val="24"/>
          <w:lang w:eastAsia="pt-BR"/>
        </w:rPr>
        <w:t>, Queiroz e Clementino (2016)</w:t>
      </w:r>
      <w:r w:rsidR="00705A8D">
        <w:rPr>
          <w:rFonts w:ascii="Times New Roman" w:eastAsia="Times New Roman" w:hAnsi="Times New Roman" w:cs="Times New Roman"/>
          <w:sz w:val="24"/>
          <w:szCs w:val="24"/>
          <w:lang w:eastAsia="pt-BR"/>
        </w:rPr>
        <w:t>,</w:t>
      </w:r>
      <w:r w:rsidR="00705A8D" w:rsidRPr="5C63AAD9">
        <w:rPr>
          <w:rFonts w:ascii="Times New Roman" w:eastAsia="Times New Roman" w:hAnsi="Times New Roman" w:cs="Times New Roman"/>
          <w:sz w:val="24"/>
          <w:szCs w:val="24"/>
          <w:lang w:eastAsia="pt-BR"/>
        </w:rPr>
        <w:t xml:space="preserve"> defende políticas públicas voltadas à regularização do trabalho e ao </w:t>
      </w:r>
      <w:r w:rsidR="00BB02EF">
        <w:rPr>
          <w:rFonts w:ascii="Times New Roman" w:eastAsia="Times New Roman" w:hAnsi="Times New Roman" w:cs="Times New Roman"/>
          <w:sz w:val="24"/>
          <w:szCs w:val="24"/>
          <w:lang w:eastAsia="pt-BR"/>
        </w:rPr>
        <w:t>incremento</w:t>
      </w:r>
      <w:r w:rsidR="00BB02EF" w:rsidRPr="5C63AAD9">
        <w:rPr>
          <w:rFonts w:ascii="Times New Roman" w:eastAsia="Times New Roman" w:hAnsi="Times New Roman" w:cs="Times New Roman"/>
          <w:sz w:val="24"/>
          <w:szCs w:val="24"/>
          <w:lang w:eastAsia="pt-BR"/>
        </w:rPr>
        <w:t xml:space="preserve"> </w:t>
      </w:r>
      <w:r w:rsidR="00705A8D" w:rsidRPr="5C63AAD9">
        <w:rPr>
          <w:rFonts w:ascii="Times New Roman" w:eastAsia="Times New Roman" w:hAnsi="Times New Roman" w:cs="Times New Roman"/>
          <w:sz w:val="24"/>
          <w:szCs w:val="24"/>
          <w:lang w:eastAsia="pt-BR"/>
        </w:rPr>
        <w:t xml:space="preserve">da produtividade, via investimentos voltados ao </w:t>
      </w:r>
      <w:r w:rsidR="00BB02EF">
        <w:rPr>
          <w:rFonts w:ascii="Times New Roman" w:eastAsia="Times New Roman" w:hAnsi="Times New Roman" w:cs="Times New Roman"/>
          <w:sz w:val="24"/>
          <w:szCs w:val="24"/>
          <w:lang w:eastAsia="pt-BR"/>
        </w:rPr>
        <w:t>avanço</w:t>
      </w:r>
      <w:r w:rsidR="00BB02EF" w:rsidRPr="5C63AAD9">
        <w:rPr>
          <w:rFonts w:ascii="Times New Roman" w:eastAsia="Times New Roman" w:hAnsi="Times New Roman" w:cs="Times New Roman"/>
          <w:sz w:val="24"/>
          <w:szCs w:val="24"/>
          <w:lang w:eastAsia="pt-BR"/>
        </w:rPr>
        <w:t xml:space="preserve"> </w:t>
      </w:r>
      <w:r w:rsidR="00705A8D" w:rsidRPr="5C63AAD9">
        <w:rPr>
          <w:rFonts w:ascii="Times New Roman" w:eastAsia="Times New Roman" w:hAnsi="Times New Roman" w:cs="Times New Roman"/>
          <w:sz w:val="24"/>
          <w:szCs w:val="24"/>
          <w:lang w:eastAsia="pt-BR"/>
        </w:rPr>
        <w:t>da qualidade da educação pública</w:t>
      </w:r>
      <w:r w:rsidR="00565CFA">
        <w:rPr>
          <w:rFonts w:ascii="Times New Roman" w:eastAsia="Times New Roman" w:hAnsi="Times New Roman" w:cs="Times New Roman"/>
          <w:sz w:val="24"/>
          <w:szCs w:val="24"/>
          <w:lang w:eastAsia="pt-BR"/>
        </w:rPr>
        <w:t>,</w:t>
      </w:r>
      <w:r w:rsidR="00705A8D" w:rsidRPr="5C63AAD9">
        <w:rPr>
          <w:rFonts w:ascii="Times New Roman" w:eastAsia="Times New Roman" w:hAnsi="Times New Roman" w:cs="Times New Roman"/>
          <w:sz w:val="24"/>
          <w:szCs w:val="24"/>
          <w:lang w:eastAsia="pt-BR"/>
        </w:rPr>
        <w:t xml:space="preserve"> em geral.</w:t>
      </w:r>
      <w:r w:rsidR="00705A8D">
        <w:rPr>
          <w:rFonts w:ascii="Times New Roman" w:eastAsia="Times New Roman" w:hAnsi="Times New Roman" w:cs="Times New Roman"/>
          <w:sz w:val="24"/>
          <w:szCs w:val="24"/>
          <w:lang w:eastAsia="pt-BR"/>
        </w:rPr>
        <w:t xml:space="preserve"> </w:t>
      </w:r>
      <w:r w:rsidR="00705A8D" w:rsidRPr="00705A8D">
        <w:rPr>
          <w:rFonts w:ascii="Times New Roman" w:eastAsia="Times New Roman" w:hAnsi="Times New Roman" w:cs="Times New Roman"/>
          <w:sz w:val="24"/>
          <w:szCs w:val="24"/>
          <w:lang w:eastAsia="pt-BR"/>
        </w:rPr>
        <w:t xml:space="preserve">Por </w:t>
      </w:r>
      <w:r w:rsidR="00705A8D">
        <w:rPr>
          <w:rFonts w:ascii="Times New Roman" w:eastAsia="Times New Roman" w:hAnsi="Times New Roman" w:cs="Times New Roman"/>
          <w:sz w:val="24"/>
          <w:szCs w:val="24"/>
          <w:lang w:eastAsia="pt-BR"/>
        </w:rPr>
        <w:t>fim</w:t>
      </w:r>
      <w:r w:rsidR="00705A8D" w:rsidRPr="00705A8D">
        <w:rPr>
          <w:rFonts w:ascii="Times New Roman" w:eastAsia="Times New Roman" w:hAnsi="Times New Roman" w:cs="Times New Roman"/>
          <w:sz w:val="24"/>
          <w:szCs w:val="24"/>
          <w:lang w:eastAsia="pt-BR"/>
        </w:rPr>
        <w:t xml:space="preserve">, conforme proposto por Berg e Ribeiro (2010), ressalta-se a </w:t>
      </w:r>
      <w:r w:rsidR="00705A8D">
        <w:rPr>
          <w:rFonts w:ascii="Times New Roman" w:eastAsia="Times New Roman" w:hAnsi="Times New Roman" w:cs="Times New Roman"/>
          <w:sz w:val="24"/>
          <w:szCs w:val="24"/>
          <w:lang w:eastAsia="pt-BR"/>
        </w:rPr>
        <w:t>importância</w:t>
      </w:r>
      <w:r w:rsidR="00705A8D" w:rsidRPr="00705A8D">
        <w:rPr>
          <w:rFonts w:ascii="Times New Roman" w:eastAsia="Times New Roman" w:hAnsi="Times New Roman" w:cs="Times New Roman"/>
          <w:sz w:val="24"/>
          <w:szCs w:val="24"/>
          <w:lang w:eastAsia="pt-BR"/>
        </w:rPr>
        <w:t xml:space="preserve"> de progredir na promoção do trabalho digno, por intermédio de políticas públicas orientadas </w:t>
      </w:r>
      <w:r>
        <w:rPr>
          <w:rFonts w:ascii="Times New Roman" w:eastAsia="Times New Roman" w:hAnsi="Times New Roman" w:cs="Times New Roman"/>
          <w:sz w:val="24"/>
          <w:szCs w:val="24"/>
          <w:lang w:eastAsia="pt-BR"/>
        </w:rPr>
        <w:t>à</w:t>
      </w:r>
      <w:r w:rsidR="00705A8D" w:rsidRPr="00705A8D">
        <w:rPr>
          <w:rFonts w:ascii="Times New Roman" w:eastAsia="Times New Roman" w:hAnsi="Times New Roman" w:cs="Times New Roman"/>
          <w:sz w:val="24"/>
          <w:szCs w:val="24"/>
          <w:lang w:eastAsia="pt-BR"/>
        </w:rPr>
        <w:t xml:space="preserve"> formalização laboral, </w:t>
      </w:r>
      <w:r>
        <w:rPr>
          <w:rFonts w:ascii="Times New Roman" w:eastAsia="Times New Roman" w:hAnsi="Times New Roman" w:cs="Times New Roman"/>
          <w:sz w:val="24"/>
          <w:szCs w:val="24"/>
          <w:lang w:eastAsia="pt-BR"/>
        </w:rPr>
        <w:t>a</w:t>
      </w:r>
      <w:r w:rsidR="00705A8D" w:rsidRPr="00705A8D">
        <w:rPr>
          <w:rFonts w:ascii="Times New Roman" w:eastAsia="Times New Roman" w:hAnsi="Times New Roman" w:cs="Times New Roman"/>
          <w:sz w:val="24"/>
          <w:szCs w:val="24"/>
          <w:lang w:eastAsia="pt-BR"/>
        </w:rPr>
        <w:t>o estabelecimento de redes de proteção social e iniciativas destinadas a combater a discriminação de gênero e raça no ambiente empregatício.</w:t>
      </w:r>
      <w:r w:rsidR="00116117">
        <w:rPr>
          <w:rFonts w:ascii="Times New Roman" w:eastAsia="Times New Roman" w:hAnsi="Times New Roman" w:cs="Times New Roman"/>
          <w:sz w:val="24"/>
          <w:szCs w:val="24"/>
          <w:lang w:eastAsia="pt-BR"/>
        </w:rPr>
        <w:t xml:space="preserve"> </w:t>
      </w:r>
    </w:p>
    <w:p w14:paraId="5D525DF1" w14:textId="1C76CA94" w:rsidR="00116117" w:rsidRPr="00E42269" w:rsidRDefault="00116117" w:rsidP="00395402">
      <w:pPr>
        <w:pStyle w:val="Ttulo1"/>
        <w:numPr>
          <w:ilvl w:val="0"/>
          <w:numId w:val="44"/>
        </w:numPr>
        <w:spacing w:before="0"/>
        <w:ind w:left="0" w:firstLine="0"/>
        <w:rPr>
          <w:rFonts w:eastAsia="Times New Roman"/>
          <w:b/>
          <w:bCs/>
          <w:lang w:eastAsia="pt-BR"/>
        </w:rPr>
      </w:pPr>
      <w:bookmarkStart w:id="14" w:name="_Toc160609825"/>
      <w:bookmarkStart w:id="15" w:name="_Hlk159753686"/>
      <w:r w:rsidRPr="00E42269">
        <w:rPr>
          <w:rFonts w:eastAsia="Times New Roman"/>
          <w:b/>
          <w:bCs/>
          <w:lang w:eastAsia="pt-BR"/>
        </w:rPr>
        <w:t>CONSIDERAÇÕES FINAIS</w:t>
      </w:r>
      <w:bookmarkEnd w:id="14"/>
    </w:p>
    <w:bookmarkEnd w:id="15"/>
    <w:p w14:paraId="5E5CA58E" w14:textId="45A25181" w:rsidR="00971196" w:rsidRPr="00971196" w:rsidRDefault="009B0047" w:rsidP="00395402">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Tendo como norte a </w:t>
      </w:r>
      <w:r w:rsidR="00373194" w:rsidRPr="00373194">
        <w:rPr>
          <w:rFonts w:ascii="Times New Roman" w:eastAsia="Times New Roman" w:hAnsi="Times New Roman" w:cs="Times New Roman"/>
          <w:sz w:val="24"/>
          <w:szCs w:val="24"/>
          <w:lang w:eastAsia="pt-BR"/>
        </w:rPr>
        <w:t xml:space="preserve">indagação: Quais são os principais fatores capazes de influenciar a taxa de desemprego no Brasil, sob as perspectivas individual e regional, no período de 2012 a 2022? </w:t>
      </w:r>
      <w:r w:rsidR="003E0E20">
        <w:rPr>
          <w:rFonts w:ascii="Times New Roman" w:eastAsia="Times New Roman" w:hAnsi="Times New Roman" w:cs="Times New Roman"/>
          <w:sz w:val="24"/>
          <w:szCs w:val="24"/>
          <w:lang w:eastAsia="pt-BR"/>
        </w:rPr>
        <w:t>, primeiramente, p</w:t>
      </w:r>
      <w:r w:rsidR="002636CC">
        <w:rPr>
          <w:rFonts w:ascii="Times New Roman" w:eastAsia="Times New Roman" w:hAnsi="Times New Roman" w:cs="Times New Roman"/>
          <w:sz w:val="24"/>
          <w:szCs w:val="24"/>
          <w:lang w:eastAsia="pt-BR"/>
        </w:rPr>
        <w:t>ode-se inferir que</w:t>
      </w:r>
      <w:r w:rsidR="00971196" w:rsidRPr="00971196">
        <w:rPr>
          <w:rFonts w:ascii="Times New Roman" w:eastAsia="Times New Roman" w:hAnsi="Times New Roman" w:cs="Times New Roman"/>
          <w:sz w:val="24"/>
          <w:szCs w:val="24"/>
          <w:lang w:eastAsia="pt-BR"/>
        </w:rPr>
        <w:t>, apesar da melhoria nas condições de emprego</w:t>
      </w:r>
      <w:r w:rsidR="002636CC">
        <w:rPr>
          <w:rFonts w:ascii="Times New Roman" w:eastAsia="Times New Roman" w:hAnsi="Times New Roman" w:cs="Times New Roman"/>
          <w:sz w:val="24"/>
          <w:szCs w:val="24"/>
          <w:lang w:eastAsia="pt-BR"/>
        </w:rPr>
        <w:t>,</w:t>
      </w:r>
      <w:r w:rsidR="00971196" w:rsidRPr="00971196">
        <w:rPr>
          <w:rFonts w:ascii="Times New Roman" w:eastAsia="Times New Roman" w:hAnsi="Times New Roman" w:cs="Times New Roman"/>
          <w:sz w:val="24"/>
          <w:szCs w:val="24"/>
          <w:lang w:eastAsia="pt-BR"/>
        </w:rPr>
        <w:t xml:space="preserve"> até meados de 2014, a situação do mercado de trabalho brasileiro se deteriorou</w:t>
      </w:r>
      <w:r w:rsidR="00FF03F8">
        <w:rPr>
          <w:rFonts w:ascii="Times New Roman" w:eastAsia="Times New Roman" w:hAnsi="Times New Roman" w:cs="Times New Roman"/>
          <w:sz w:val="24"/>
          <w:szCs w:val="24"/>
          <w:lang w:eastAsia="pt-BR"/>
        </w:rPr>
        <w:t>,</w:t>
      </w:r>
      <w:r w:rsidR="00971196" w:rsidRPr="00971196">
        <w:rPr>
          <w:rFonts w:ascii="Times New Roman" w:eastAsia="Times New Roman" w:hAnsi="Times New Roman" w:cs="Times New Roman"/>
          <w:sz w:val="24"/>
          <w:szCs w:val="24"/>
          <w:lang w:eastAsia="pt-BR"/>
        </w:rPr>
        <w:t xml:space="preserve"> significativamente</w:t>
      </w:r>
      <w:r w:rsidR="00FF03F8">
        <w:rPr>
          <w:rFonts w:ascii="Times New Roman" w:eastAsia="Times New Roman" w:hAnsi="Times New Roman" w:cs="Times New Roman"/>
          <w:sz w:val="24"/>
          <w:szCs w:val="24"/>
          <w:lang w:eastAsia="pt-BR"/>
        </w:rPr>
        <w:t>,</w:t>
      </w:r>
      <w:r w:rsidR="00971196" w:rsidRPr="00971196">
        <w:rPr>
          <w:rFonts w:ascii="Times New Roman" w:eastAsia="Times New Roman" w:hAnsi="Times New Roman" w:cs="Times New Roman"/>
          <w:sz w:val="24"/>
          <w:szCs w:val="24"/>
          <w:lang w:eastAsia="pt-BR"/>
        </w:rPr>
        <w:t xml:space="preserve"> a partir de 2015, ano mais crítico da crise nacional</w:t>
      </w:r>
      <w:r w:rsidR="00C4512A">
        <w:rPr>
          <w:rFonts w:ascii="Times New Roman" w:eastAsia="Times New Roman" w:hAnsi="Times New Roman" w:cs="Times New Roman"/>
          <w:sz w:val="24"/>
          <w:szCs w:val="24"/>
          <w:lang w:eastAsia="pt-BR"/>
        </w:rPr>
        <w:t xml:space="preserve">, quando </w:t>
      </w:r>
      <w:r w:rsidR="00971196" w:rsidRPr="00971196">
        <w:rPr>
          <w:rFonts w:ascii="Times New Roman" w:eastAsia="Times New Roman" w:hAnsi="Times New Roman" w:cs="Times New Roman"/>
          <w:sz w:val="24"/>
          <w:szCs w:val="24"/>
          <w:lang w:eastAsia="pt-BR"/>
        </w:rPr>
        <w:t>o aumento do desemprego afetou os agrupamentos soc</w:t>
      </w:r>
      <w:r w:rsidR="003E0E20">
        <w:rPr>
          <w:rFonts w:ascii="Times New Roman" w:eastAsia="Times New Roman" w:hAnsi="Times New Roman" w:cs="Times New Roman"/>
          <w:sz w:val="24"/>
          <w:szCs w:val="24"/>
          <w:lang w:eastAsia="pt-BR"/>
        </w:rPr>
        <w:t>i</w:t>
      </w:r>
      <w:r w:rsidR="00971196" w:rsidRPr="00971196">
        <w:rPr>
          <w:rFonts w:ascii="Times New Roman" w:eastAsia="Times New Roman" w:hAnsi="Times New Roman" w:cs="Times New Roman"/>
          <w:sz w:val="24"/>
          <w:szCs w:val="24"/>
          <w:lang w:eastAsia="pt-BR"/>
        </w:rPr>
        <w:t xml:space="preserve">ais de forma desigual. Os </w:t>
      </w:r>
      <w:r w:rsidR="00971196" w:rsidRPr="00971196">
        <w:rPr>
          <w:rFonts w:ascii="Times New Roman" w:eastAsia="Times New Roman" w:hAnsi="Times New Roman" w:cs="Times New Roman"/>
          <w:sz w:val="24"/>
          <w:szCs w:val="24"/>
          <w:lang w:eastAsia="pt-BR"/>
        </w:rPr>
        <w:lastRenderedPageBreak/>
        <w:t xml:space="preserve">índices de desocupação foram mais acentuados entre mulheres, indivíduos </w:t>
      </w:r>
      <w:r w:rsidR="006756F0">
        <w:rPr>
          <w:rFonts w:ascii="Times New Roman" w:eastAsia="Times New Roman" w:hAnsi="Times New Roman" w:cs="Times New Roman"/>
          <w:sz w:val="24"/>
          <w:szCs w:val="24"/>
          <w:lang w:eastAsia="pt-BR"/>
        </w:rPr>
        <w:t>pretos</w:t>
      </w:r>
      <w:r w:rsidR="006756F0" w:rsidRPr="00971196">
        <w:rPr>
          <w:rFonts w:ascii="Times New Roman" w:eastAsia="Times New Roman" w:hAnsi="Times New Roman" w:cs="Times New Roman"/>
          <w:sz w:val="24"/>
          <w:szCs w:val="24"/>
          <w:lang w:eastAsia="pt-BR"/>
        </w:rPr>
        <w:t xml:space="preserve"> </w:t>
      </w:r>
      <w:r w:rsidR="00971196" w:rsidRPr="00971196">
        <w:rPr>
          <w:rFonts w:ascii="Times New Roman" w:eastAsia="Times New Roman" w:hAnsi="Times New Roman" w:cs="Times New Roman"/>
          <w:sz w:val="24"/>
          <w:szCs w:val="24"/>
          <w:lang w:eastAsia="pt-BR"/>
        </w:rPr>
        <w:t>e pardos</w:t>
      </w:r>
      <w:r w:rsidR="006756F0">
        <w:rPr>
          <w:rFonts w:ascii="Times New Roman" w:eastAsia="Times New Roman" w:hAnsi="Times New Roman" w:cs="Times New Roman"/>
          <w:sz w:val="24"/>
          <w:szCs w:val="24"/>
          <w:lang w:eastAsia="pt-BR"/>
        </w:rPr>
        <w:t xml:space="preserve"> (negros)</w:t>
      </w:r>
      <w:r w:rsidR="00971196" w:rsidRPr="00971196">
        <w:rPr>
          <w:rFonts w:ascii="Times New Roman" w:eastAsia="Times New Roman" w:hAnsi="Times New Roman" w:cs="Times New Roman"/>
          <w:sz w:val="24"/>
          <w:szCs w:val="24"/>
          <w:lang w:eastAsia="pt-BR"/>
        </w:rPr>
        <w:t xml:space="preserve">, jovens, pessoas com educação de nível médio, residentes das áreas urbanas e habitantes das regiões metropolitanas. </w:t>
      </w:r>
      <w:r w:rsidR="007D3790">
        <w:rPr>
          <w:rFonts w:ascii="Times New Roman" w:eastAsia="Times New Roman" w:hAnsi="Times New Roman" w:cs="Times New Roman"/>
          <w:sz w:val="24"/>
          <w:szCs w:val="24"/>
          <w:lang w:eastAsia="pt-BR"/>
        </w:rPr>
        <w:t xml:space="preserve">São </w:t>
      </w:r>
      <w:r w:rsidR="00971196" w:rsidRPr="00971196">
        <w:rPr>
          <w:rFonts w:ascii="Times New Roman" w:eastAsia="Times New Roman" w:hAnsi="Times New Roman" w:cs="Times New Roman"/>
          <w:sz w:val="24"/>
          <w:szCs w:val="24"/>
          <w:lang w:eastAsia="pt-BR"/>
        </w:rPr>
        <w:t xml:space="preserve">resultados </w:t>
      </w:r>
      <w:r w:rsidR="007D3790">
        <w:rPr>
          <w:rFonts w:ascii="Times New Roman" w:eastAsia="Times New Roman" w:hAnsi="Times New Roman" w:cs="Times New Roman"/>
          <w:sz w:val="24"/>
          <w:szCs w:val="24"/>
          <w:lang w:eastAsia="pt-BR"/>
        </w:rPr>
        <w:t xml:space="preserve">que </w:t>
      </w:r>
      <w:r w:rsidR="00971196" w:rsidRPr="00971196">
        <w:rPr>
          <w:rFonts w:ascii="Times New Roman" w:eastAsia="Times New Roman" w:hAnsi="Times New Roman" w:cs="Times New Roman"/>
          <w:sz w:val="24"/>
          <w:szCs w:val="24"/>
          <w:lang w:eastAsia="pt-BR"/>
        </w:rPr>
        <w:t>confirmam a hipótese deste estudo</w:t>
      </w:r>
      <w:r w:rsidR="00560561">
        <w:rPr>
          <w:rFonts w:ascii="Times New Roman" w:eastAsia="Times New Roman" w:hAnsi="Times New Roman" w:cs="Times New Roman"/>
          <w:sz w:val="24"/>
          <w:szCs w:val="24"/>
          <w:lang w:eastAsia="pt-BR"/>
        </w:rPr>
        <w:t xml:space="preserve"> de que </w:t>
      </w:r>
      <w:r w:rsidR="00971196" w:rsidRPr="00971196">
        <w:rPr>
          <w:rFonts w:ascii="Times New Roman" w:eastAsia="Times New Roman" w:hAnsi="Times New Roman" w:cs="Times New Roman"/>
          <w:sz w:val="24"/>
          <w:szCs w:val="24"/>
          <w:lang w:eastAsia="pt-BR"/>
        </w:rPr>
        <w:t xml:space="preserve">o desemprego impacta, de forma significativa, grupos populacionais </w:t>
      </w:r>
      <w:r w:rsidR="000D2A54">
        <w:rPr>
          <w:rFonts w:ascii="Times New Roman" w:eastAsia="Times New Roman" w:hAnsi="Times New Roman" w:cs="Times New Roman"/>
          <w:sz w:val="24"/>
          <w:szCs w:val="24"/>
          <w:lang w:eastAsia="pt-BR"/>
        </w:rPr>
        <w:t xml:space="preserve">estrutural e </w:t>
      </w:r>
      <w:r w:rsidR="00971196" w:rsidRPr="00971196">
        <w:rPr>
          <w:rFonts w:ascii="Times New Roman" w:eastAsia="Times New Roman" w:hAnsi="Times New Roman" w:cs="Times New Roman"/>
          <w:sz w:val="24"/>
          <w:szCs w:val="24"/>
          <w:lang w:eastAsia="pt-BR"/>
        </w:rPr>
        <w:t xml:space="preserve">socialmente mais vulneráveis, os quais têm probabilidade maior de permanecerem </w:t>
      </w:r>
      <w:r w:rsidR="000D2A54">
        <w:rPr>
          <w:rFonts w:ascii="Times New Roman" w:eastAsia="Times New Roman" w:hAnsi="Times New Roman" w:cs="Times New Roman"/>
          <w:sz w:val="24"/>
          <w:szCs w:val="24"/>
          <w:lang w:eastAsia="pt-BR"/>
        </w:rPr>
        <w:t xml:space="preserve">também </w:t>
      </w:r>
      <w:r w:rsidR="00971196" w:rsidRPr="00971196">
        <w:rPr>
          <w:rFonts w:ascii="Times New Roman" w:eastAsia="Times New Roman" w:hAnsi="Times New Roman" w:cs="Times New Roman"/>
          <w:sz w:val="24"/>
          <w:szCs w:val="24"/>
          <w:lang w:eastAsia="pt-BR"/>
        </w:rPr>
        <w:t>na inatividade</w:t>
      </w:r>
      <w:r w:rsidR="000D2A54">
        <w:rPr>
          <w:rFonts w:ascii="Times New Roman" w:eastAsia="Times New Roman" w:hAnsi="Times New Roman" w:cs="Times New Roman"/>
          <w:sz w:val="24"/>
          <w:szCs w:val="24"/>
          <w:lang w:eastAsia="pt-BR"/>
        </w:rPr>
        <w:t>, tal como mostra a literatura aqui discutida</w:t>
      </w:r>
      <w:r w:rsidR="00971196" w:rsidRPr="00971196">
        <w:rPr>
          <w:rFonts w:ascii="Times New Roman" w:eastAsia="Times New Roman" w:hAnsi="Times New Roman" w:cs="Times New Roman"/>
          <w:sz w:val="24"/>
          <w:szCs w:val="24"/>
          <w:lang w:eastAsia="pt-BR"/>
        </w:rPr>
        <w:t>.</w:t>
      </w:r>
    </w:p>
    <w:p w14:paraId="23482173" w14:textId="30E528DB" w:rsidR="00971196" w:rsidRPr="00971196" w:rsidRDefault="00971196">
      <w:pPr>
        <w:rPr>
          <w:rFonts w:ascii="Times New Roman" w:eastAsia="Times New Roman" w:hAnsi="Times New Roman" w:cs="Times New Roman"/>
          <w:sz w:val="24"/>
          <w:szCs w:val="24"/>
          <w:lang w:eastAsia="pt-BR"/>
        </w:rPr>
      </w:pPr>
      <w:r w:rsidRPr="00971196">
        <w:rPr>
          <w:rFonts w:ascii="Times New Roman" w:eastAsia="Times New Roman" w:hAnsi="Times New Roman" w:cs="Times New Roman"/>
          <w:sz w:val="24"/>
          <w:szCs w:val="24"/>
          <w:lang w:eastAsia="pt-BR"/>
        </w:rPr>
        <w:t xml:space="preserve">Em adição, o efeito-composição apresentou pouca influência nas taxas de desocupação, em comparação ao efeito-nível. </w:t>
      </w:r>
      <w:r w:rsidR="00121E34">
        <w:rPr>
          <w:rFonts w:ascii="Times New Roman" w:eastAsia="Times New Roman" w:hAnsi="Times New Roman" w:cs="Times New Roman"/>
          <w:sz w:val="24"/>
          <w:szCs w:val="24"/>
          <w:lang w:eastAsia="pt-BR"/>
        </w:rPr>
        <w:t>Especificamente</w:t>
      </w:r>
      <w:r w:rsidRPr="00971196">
        <w:rPr>
          <w:rFonts w:ascii="Times New Roman" w:eastAsia="Times New Roman" w:hAnsi="Times New Roman" w:cs="Times New Roman"/>
          <w:sz w:val="24"/>
          <w:szCs w:val="24"/>
          <w:lang w:eastAsia="pt-BR"/>
        </w:rPr>
        <w:t xml:space="preserve">, o efeito-composição revelou a alteração do peso relativo das faixas etárias na PEA, ao ilustrar o significativo retardamento na inserção dos jovens no mercado de trabalho. Este fenômeno impactou indivíduos até os 39 anos, de modo a diminuir a participação na PEA </w:t>
      </w:r>
      <w:r w:rsidR="004F19D4">
        <w:rPr>
          <w:rFonts w:ascii="Times New Roman" w:eastAsia="Times New Roman" w:hAnsi="Times New Roman" w:cs="Times New Roman"/>
          <w:sz w:val="24"/>
          <w:szCs w:val="24"/>
          <w:lang w:eastAsia="pt-BR"/>
        </w:rPr>
        <w:t>de</w:t>
      </w:r>
      <w:r w:rsidR="004F19D4" w:rsidRPr="00971196">
        <w:rPr>
          <w:rFonts w:ascii="Times New Roman" w:eastAsia="Times New Roman" w:hAnsi="Times New Roman" w:cs="Times New Roman"/>
          <w:sz w:val="24"/>
          <w:szCs w:val="24"/>
          <w:lang w:eastAsia="pt-BR"/>
        </w:rPr>
        <w:t xml:space="preserve"> </w:t>
      </w:r>
      <w:r w:rsidRPr="00971196">
        <w:rPr>
          <w:rFonts w:ascii="Times New Roman" w:eastAsia="Times New Roman" w:hAnsi="Times New Roman" w:cs="Times New Roman"/>
          <w:sz w:val="24"/>
          <w:szCs w:val="24"/>
          <w:lang w:eastAsia="pt-BR"/>
        </w:rPr>
        <w:t xml:space="preserve">todas as faixas etárias precedentes. Ademais, </w:t>
      </w:r>
      <w:bookmarkStart w:id="16" w:name="_Hlk160180323"/>
      <w:r w:rsidRPr="00971196">
        <w:rPr>
          <w:rFonts w:ascii="Times New Roman" w:eastAsia="Times New Roman" w:hAnsi="Times New Roman" w:cs="Times New Roman"/>
          <w:sz w:val="24"/>
          <w:szCs w:val="24"/>
          <w:lang w:eastAsia="pt-BR"/>
        </w:rPr>
        <w:t>o efeito-composição indicou a inclusão de grupos marginalizados, como evidenciado pelos recortes de gênero e raça</w:t>
      </w:r>
      <w:bookmarkEnd w:id="16"/>
      <w:r w:rsidRPr="00971196">
        <w:rPr>
          <w:rFonts w:ascii="Times New Roman" w:eastAsia="Times New Roman" w:hAnsi="Times New Roman" w:cs="Times New Roman"/>
          <w:sz w:val="24"/>
          <w:szCs w:val="24"/>
          <w:lang w:eastAsia="pt-BR"/>
        </w:rPr>
        <w:t>, com aumento da participação feminina e negra no ambiente laboral. Embora a entrada desses agrupamentos aumente o percentual de desemprego geral, esse movimento é crucial para a inclusão dessa parcela populacional no mercado de trabalho</w:t>
      </w:r>
      <w:r w:rsidR="000C3B2B">
        <w:rPr>
          <w:rFonts w:ascii="Times New Roman" w:eastAsia="Times New Roman" w:hAnsi="Times New Roman" w:cs="Times New Roman"/>
          <w:sz w:val="24"/>
          <w:szCs w:val="24"/>
          <w:lang w:eastAsia="pt-BR"/>
        </w:rPr>
        <w:t xml:space="preserve"> enquanto parte da PEA, todav</w:t>
      </w:r>
      <w:r w:rsidR="00402F53">
        <w:rPr>
          <w:rFonts w:ascii="Times New Roman" w:eastAsia="Times New Roman" w:hAnsi="Times New Roman" w:cs="Times New Roman"/>
          <w:sz w:val="24"/>
          <w:szCs w:val="24"/>
          <w:lang w:eastAsia="pt-BR"/>
        </w:rPr>
        <w:t xml:space="preserve">ia, mantem-se o desafio de instrumentos públicos e privados que possam </w:t>
      </w:r>
      <w:r w:rsidRPr="00971196">
        <w:rPr>
          <w:rFonts w:ascii="Times New Roman" w:eastAsia="Times New Roman" w:hAnsi="Times New Roman" w:cs="Times New Roman"/>
          <w:sz w:val="24"/>
          <w:szCs w:val="24"/>
          <w:lang w:eastAsia="pt-BR"/>
        </w:rPr>
        <w:t xml:space="preserve">proporcionar oportunidades de trabalho digno </w:t>
      </w:r>
      <w:r w:rsidR="00402F53">
        <w:rPr>
          <w:rFonts w:ascii="Times New Roman" w:eastAsia="Times New Roman" w:hAnsi="Times New Roman" w:cs="Times New Roman"/>
          <w:sz w:val="24"/>
          <w:szCs w:val="24"/>
          <w:lang w:eastAsia="pt-BR"/>
        </w:rPr>
        <w:t xml:space="preserve">a estes segmentos </w:t>
      </w:r>
      <w:r w:rsidRPr="00971196">
        <w:rPr>
          <w:rFonts w:ascii="Times New Roman" w:eastAsia="Times New Roman" w:hAnsi="Times New Roman" w:cs="Times New Roman"/>
          <w:sz w:val="24"/>
          <w:szCs w:val="24"/>
          <w:lang w:eastAsia="pt-BR"/>
        </w:rPr>
        <w:t xml:space="preserve">para superar condições de pobreza, bem como proporcionar representatividade social e política, e direitos igualitários. </w:t>
      </w:r>
    </w:p>
    <w:p w14:paraId="2138074E" w14:textId="5A32E569" w:rsidR="00971196" w:rsidRPr="00971196" w:rsidRDefault="00971196">
      <w:pPr>
        <w:rPr>
          <w:rFonts w:ascii="Times New Roman" w:eastAsia="Times New Roman" w:hAnsi="Times New Roman" w:cs="Times New Roman"/>
          <w:sz w:val="24"/>
          <w:szCs w:val="24"/>
          <w:lang w:eastAsia="pt-BR"/>
        </w:rPr>
      </w:pPr>
      <w:r w:rsidRPr="00971196">
        <w:rPr>
          <w:rFonts w:ascii="Times New Roman" w:eastAsia="Times New Roman" w:hAnsi="Times New Roman" w:cs="Times New Roman"/>
          <w:sz w:val="24"/>
          <w:szCs w:val="24"/>
          <w:lang w:eastAsia="pt-BR"/>
        </w:rPr>
        <w:t xml:space="preserve">O fator mais significativo na explicação da evolução da desocupação </w:t>
      </w:r>
      <w:bookmarkStart w:id="17" w:name="_Hlk160180374"/>
      <w:r w:rsidRPr="00971196">
        <w:rPr>
          <w:rFonts w:ascii="Times New Roman" w:eastAsia="Times New Roman" w:hAnsi="Times New Roman" w:cs="Times New Roman"/>
          <w:sz w:val="24"/>
          <w:szCs w:val="24"/>
          <w:lang w:eastAsia="pt-BR"/>
        </w:rPr>
        <w:t>foi o efeito-nível, responsável por representar 90% das variações médias dos efeitos sobre os grupos</w:t>
      </w:r>
      <w:r w:rsidR="007F756F">
        <w:rPr>
          <w:rFonts w:ascii="Times New Roman" w:eastAsia="Times New Roman" w:hAnsi="Times New Roman" w:cs="Times New Roman"/>
          <w:sz w:val="24"/>
          <w:szCs w:val="24"/>
          <w:lang w:eastAsia="pt-BR"/>
        </w:rPr>
        <w:t xml:space="preserve"> e</w:t>
      </w:r>
      <w:r w:rsidRPr="00971196">
        <w:rPr>
          <w:rFonts w:ascii="Times New Roman" w:eastAsia="Times New Roman" w:hAnsi="Times New Roman" w:cs="Times New Roman"/>
          <w:sz w:val="24"/>
          <w:szCs w:val="24"/>
          <w:lang w:eastAsia="pt-BR"/>
        </w:rPr>
        <w:t xml:space="preserve"> refleti</w:t>
      </w:r>
      <w:r w:rsidR="007F756F">
        <w:rPr>
          <w:rFonts w:ascii="Times New Roman" w:eastAsia="Times New Roman" w:hAnsi="Times New Roman" w:cs="Times New Roman"/>
          <w:sz w:val="24"/>
          <w:szCs w:val="24"/>
          <w:lang w:eastAsia="pt-BR"/>
        </w:rPr>
        <w:t>r,</w:t>
      </w:r>
      <w:r w:rsidRPr="00971196">
        <w:rPr>
          <w:rFonts w:ascii="Times New Roman" w:eastAsia="Times New Roman" w:hAnsi="Times New Roman" w:cs="Times New Roman"/>
          <w:sz w:val="24"/>
          <w:szCs w:val="24"/>
          <w:lang w:eastAsia="pt-BR"/>
        </w:rPr>
        <w:t xml:space="preserve"> diretamente</w:t>
      </w:r>
      <w:r w:rsidR="007F756F">
        <w:rPr>
          <w:rFonts w:ascii="Times New Roman" w:eastAsia="Times New Roman" w:hAnsi="Times New Roman" w:cs="Times New Roman"/>
          <w:sz w:val="24"/>
          <w:szCs w:val="24"/>
          <w:lang w:eastAsia="pt-BR"/>
        </w:rPr>
        <w:t>,</w:t>
      </w:r>
      <w:r w:rsidRPr="00971196">
        <w:rPr>
          <w:rFonts w:ascii="Times New Roman" w:eastAsia="Times New Roman" w:hAnsi="Times New Roman" w:cs="Times New Roman"/>
          <w:sz w:val="24"/>
          <w:szCs w:val="24"/>
          <w:lang w:eastAsia="pt-BR"/>
        </w:rPr>
        <w:t xml:space="preserve"> a </w:t>
      </w:r>
      <w:r w:rsidR="00720EF2">
        <w:rPr>
          <w:rFonts w:ascii="Times New Roman" w:eastAsia="Times New Roman" w:hAnsi="Times New Roman" w:cs="Times New Roman"/>
          <w:sz w:val="24"/>
          <w:szCs w:val="24"/>
          <w:lang w:eastAsia="pt-BR"/>
        </w:rPr>
        <w:t>degradação</w:t>
      </w:r>
      <w:r w:rsidR="00720EF2" w:rsidRPr="00971196">
        <w:rPr>
          <w:rFonts w:ascii="Times New Roman" w:eastAsia="Times New Roman" w:hAnsi="Times New Roman" w:cs="Times New Roman"/>
          <w:sz w:val="24"/>
          <w:szCs w:val="24"/>
          <w:lang w:eastAsia="pt-BR"/>
        </w:rPr>
        <w:t xml:space="preserve"> </w:t>
      </w:r>
      <w:r w:rsidRPr="00971196">
        <w:rPr>
          <w:rFonts w:ascii="Times New Roman" w:eastAsia="Times New Roman" w:hAnsi="Times New Roman" w:cs="Times New Roman"/>
          <w:sz w:val="24"/>
          <w:szCs w:val="24"/>
          <w:lang w:eastAsia="pt-BR"/>
        </w:rPr>
        <w:t>das condições de emprego no período analisado.</w:t>
      </w:r>
      <w:bookmarkEnd w:id="17"/>
      <w:r w:rsidRPr="00971196">
        <w:rPr>
          <w:rFonts w:ascii="Times New Roman" w:eastAsia="Times New Roman" w:hAnsi="Times New Roman" w:cs="Times New Roman"/>
          <w:sz w:val="24"/>
          <w:szCs w:val="24"/>
          <w:lang w:eastAsia="pt-BR"/>
        </w:rPr>
        <w:t xml:space="preserve"> A forte recessão nos anos de 2015 e 2016 contribuiu</w:t>
      </w:r>
      <w:r w:rsidR="006756F0">
        <w:rPr>
          <w:rFonts w:ascii="Times New Roman" w:eastAsia="Times New Roman" w:hAnsi="Times New Roman" w:cs="Times New Roman"/>
          <w:sz w:val="24"/>
          <w:szCs w:val="24"/>
          <w:lang w:eastAsia="pt-BR"/>
        </w:rPr>
        <w:t>,</w:t>
      </w:r>
      <w:r w:rsidRPr="00971196">
        <w:rPr>
          <w:rFonts w:ascii="Times New Roman" w:eastAsia="Times New Roman" w:hAnsi="Times New Roman" w:cs="Times New Roman"/>
          <w:sz w:val="24"/>
          <w:szCs w:val="24"/>
          <w:lang w:eastAsia="pt-BR"/>
        </w:rPr>
        <w:t xml:space="preserve"> significativamente</w:t>
      </w:r>
      <w:r w:rsidR="006756F0">
        <w:rPr>
          <w:rFonts w:ascii="Times New Roman" w:eastAsia="Times New Roman" w:hAnsi="Times New Roman" w:cs="Times New Roman"/>
          <w:sz w:val="24"/>
          <w:szCs w:val="24"/>
          <w:lang w:eastAsia="pt-BR"/>
        </w:rPr>
        <w:t>,</w:t>
      </w:r>
      <w:r w:rsidRPr="00971196">
        <w:rPr>
          <w:rFonts w:ascii="Times New Roman" w:eastAsia="Times New Roman" w:hAnsi="Times New Roman" w:cs="Times New Roman"/>
          <w:sz w:val="24"/>
          <w:szCs w:val="24"/>
          <w:lang w:eastAsia="pt-BR"/>
        </w:rPr>
        <w:t xml:space="preserve"> para ess</w:t>
      </w:r>
      <w:r w:rsidR="007F756F">
        <w:rPr>
          <w:rFonts w:ascii="Times New Roman" w:eastAsia="Times New Roman" w:hAnsi="Times New Roman" w:cs="Times New Roman"/>
          <w:sz w:val="24"/>
          <w:szCs w:val="24"/>
          <w:lang w:eastAsia="pt-BR"/>
        </w:rPr>
        <w:t>e</w:t>
      </w:r>
      <w:r w:rsidRPr="00971196">
        <w:rPr>
          <w:rFonts w:ascii="Times New Roman" w:eastAsia="Times New Roman" w:hAnsi="Times New Roman" w:cs="Times New Roman"/>
          <w:sz w:val="24"/>
          <w:szCs w:val="24"/>
          <w:lang w:eastAsia="pt-BR"/>
        </w:rPr>
        <w:t xml:space="preserve"> </w:t>
      </w:r>
      <w:r w:rsidR="00720EF2">
        <w:rPr>
          <w:rFonts w:ascii="Times New Roman" w:eastAsia="Times New Roman" w:hAnsi="Times New Roman" w:cs="Times New Roman"/>
          <w:sz w:val="24"/>
          <w:szCs w:val="24"/>
          <w:lang w:eastAsia="pt-BR"/>
        </w:rPr>
        <w:t>declínio</w:t>
      </w:r>
      <w:r w:rsidRPr="00971196">
        <w:rPr>
          <w:rFonts w:ascii="Times New Roman" w:eastAsia="Times New Roman" w:hAnsi="Times New Roman" w:cs="Times New Roman"/>
          <w:sz w:val="24"/>
          <w:szCs w:val="24"/>
          <w:lang w:eastAsia="pt-BR"/>
        </w:rPr>
        <w:t xml:space="preserve">, </w:t>
      </w:r>
      <w:r w:rsidR="007F756F">
        <w:rPr>
          <w:rFonts w:ascii="Times New Roman" w:eastAsia="Times New Roman" w:hAnsi="Times New Roman" w:cs="Times New Roman"/>
          <w:sz w:val="24"/>
          <w:szCs w:val="24"/>
          <w:lang w:eastAsia="pt-BR"/>
        </w:rPr>
        <w:t xml:space="preserve">ao </w:t>
      </w:r>
      <w:r w:rsidRPr="00971196">
        <w:rPr>
          <w:rFonts w:ascii="Times New Roman" w:eastAsia="Times New Roman" w:hAnsi="Times New Roman" w:cs="Times New Roman"/>
          <w:sz w:val="24"/>
          <w:szCs w:val="24"/>
          <w:lang w:eastAsia="pt-BR"/>
        </w:rPr>
        <w:t>interrompe</w:t>
      </w:r>
      <w:r w:rsidR="007F756F">
        <w:rPr>
          <w:rFonts w:ascii="Times New Roman" w:eastAsia="Times New Roman" w:hAnsi="Times New Roman" w:cs="Times New Roman"/>
          <w:sz w:val="24"/>
          <w:szCs w:val="24"/>
          <w:lang w:eastAsia="pt-BR"/>
        </w:rPr>
        <w:t>r</w:t>
      </w:r>
      <w:r w:rsidRPr="00971196">
        <w:rPr>
          <w:rFonts w:ascii="Times New Roman" w:eastAsia="Times New Roman" w:hAnsi="Times New Roman" w:cs="Times New Roman"/>
          <w:sz w:val="24"/>
          <w:szCs w:val="24"/>
          <w:lang w:eastAsia="pt-BR"/>
        </w:rPr>
        <w:t xml:space="preserve"> o crescimento do mercado de trabalho brasileiro e gera</w:t>
      </w:r>
      <w:r w:rsidR="007F756F">
        <w:rPr>
          <w:rFonts w:ascii="Times New Roman" w:eastAsia="Times New Roman" w:hAnsi="Times New Roman" w:cs="Times New Roman"/>
          <w:sz w:val="24"/>
          <w:szCs w:val="24"/>
          <w:lang w:eastAsia="pt-BR"/>
        </w:rPr>
        <w:t>r</w:t>
      </w:r>
      <w:r w:rsidRPr="00971196">
        <w:rPr>
          <w:rFonts w:ascii="Times New Roman" w:eastAsia="Times New Roman" w:hAnsi="Times New Roman" w:cs="Times New Roman"/>
          <w:sz w:val="24"/>
          <w:szCs w:val="24"/>
          <w:lang w:eastAsia="pt-BR"/>
        </w:rPr>
        <w:t xml:space="preserve"> demissões em massa, além de encerrar oportunidades de novas contratações.</w:t>
      </w:r>
      <w:r w:rsidR="007F756F">
        <w:rPr>
          <w:rFonts w:ascii="Times New Roman" w:eastAsia="Times New Roman" w:hAnsi="Times New Roman" w:cs="Times New Roman"/>
          <w:sz w:val="24"/>
          <w:szCs w:val="24"/>
          <w:lang w:eastAsia="pt-BR"/>
        </w:rPr>
        <w:t xml:space="preserve"> Além disso, </w:t>
      </w:r>
      <w:r w:rsidR="007F756F" w:rsidRPr="007F756F">
        <w:rPr>
          <w:rFonts w:ascii="Times New Roman" w:eastAsia="Times New Roman" w:hAnsi="Times New Roman" w:cs="Times New Roman"/>
          <w:sz w:val="24"/>
          <w:szCs w:val="24"/>
          <w:lang w:eastAsia="pt-BR"/>
        </w:rPr>
        <w:t xml:space="preserve">em 2020, foi observado </w:t>
      </w:r>
      <w:r w:rsidR="006756F0">
        <w:rPr>
          <w:rFonts w:ascii="Times New Roman" w:eastAsia="Times New Roman" w:hAnsi="Times New Roman" w:cs="Times New Roman"/>
          <w:sz w:val="24"/>
          <w:szCs w:val="24"/>
          <w:lang w:eastAsia="pt-BR"/>
        </w:rPr>
        <w:t>o</w:t>
      </w:r>
      <w:r w:rsidR="006756F0" w:rsidRPr="007F756F">
        <w:rPr>
          <w:rFonts w:ascii="Times New Roman" w:eastAsia="Times New Roman" w:hAnsi="Times New Roman" w:cs="Times New Roman"/>
          <w:sz w:val="24"/>
          <w:szCs w:val="24"/>
          <w:lang w:eastAsia="pt-BR"/>
        </w:rPr>
        <w:t xml:space="preserve"> </w:t>
      </w:r>
      <w:r w:rsidR="007F756F" w:rsidRPr="007F756F">
        <w:rPr>
          <w:rFonts w:ascii="Times New Roman" w:eastAsia="Times New Roman" w:hAnsi="Times New Roman" w:cs="Times New Roman"/>
          <w:sz w:val="24"/>
          <w:szCs w:val="24"/>
          <w:lang w:eastAsia="pt-BR"/>
        </w:rPr>
        <w:t xml:space="preserve">aumento significativo na taxa de desemprego, cerca de 11,80%, em comparação </w:t>
      </w:r>
      <w:r w:rsidR="003F5A1F">
        <w:rPr>
          <w:rFonts w:ascii="Times New Roman" w:eastAsia="Times New Roman" w:hAnsi="Times New Roman" w:cs="Times New Roman"/>
          <w:sz w:val="24"/>
          <w:szCs w:val="24"/>
          <w:lang w:eastAsia="pt-BR"/>
        </w:rPr>
        <w:t>a</w:t>
      </w:r>
      <w:r w:rsidR="003F5A1F" w:rsidRPr="007F756F">
        <w:rPr>
          <w:rFonts w:ascii="Times New Roman" w:eastAsia="Times New Roman" w:hAnsi="Times New Roman" w:cs="Times New Roman"/>
          <w:sz w:val="24"/>
          <w:szCs w:val="24"/>
          <w:lang w:eastAsia="pt-BR"/>
        </w:rPr>
        <w:t xml:space="preserve"> </w:t>
      </w:r>
      <w:r w:rsidR="007F756F" w:rsidRPr="007F756F">
        <w:rPr>
          <w:rFonts w:ascii="Times New Roman" w:eastAsia="Times New Roman" w:hAnsi="Times New Roman" w:cs="Times New Roman"/>
          <w:sz w:val="24"/>
          <w:szCs w:val="24"/>
          <w:lang w:eastAsia="pt-BR"/>
        </w:rPr>
        <w:t xml:space="preserve">2019, devido aos impactos severos da epidemia global de COVID-19. </w:t>
      </w:r>
      <w:r w:rsidR="008C3071" w:rsidRPr="008C3071">
        <w:rPr>
          <w:rFonts w:ascii="Times New Roman" w:eastAsia="Times New Roman" w:hAnsi="Times New Roman" w:cs="Times New Roman"/>
          <w:sz w:val="24"/>
          <w:szCs w:val="24"/>
          <w:lang w:eastAsia="pt-BR"/>
        </w:rPr>
        <w:t xml:space="preserve">Neste contexto, a generalizada cessação de operações empresariais, a contração da atividade econômica e a predominância da incerteza culminaram em demissões em grande escala, </w:t>
      </w:r>
      <w:r w:rsidR="008C3071">
        <w:rPr>
          <w:rFonts w:ascii="Times New Roman" w:eastAsia="Times New Roman" w:hAnsi="Times New Roman" w:cs="Times New Roman"/>
          <w:sz w:val="24"/>
          <w:szCs w:val="24"/>
          <w:lang w:eastAsia="pt-BR"/>
        </w:rPr>
        <w:t xml:space="preserve">responsáveis por </w:t>
      </w:r>
      <w:r w:rsidR="008C3071" w:rsidRPr="008C3071">
        <w:rPr>
          <w:rFonts w:ascii="Times New Roman" w:eastAsia="Times New Roman" w:hAnsi="Times New Roman" w:cs="Times New Roman"/>
          <w:sz w:val="24"/>
          <w:szCs w:val="24"/>
          <w:lang w:eastAsia="pt-BR"/>
        </w:rPr>
        <w:t>afeta</w:t>
      </w:r>
      <w:r w:rsidR="008C3071">
        <w:rPr>
          <w:rFonts w:ascii="Times New Roman" w:eastAsia="Times New Roman" w:hAnsi="Times New Roman" w:cs="Times New Roman"/>
          <w:sz w:val="24"/>
          <w:szCs w:val="24"/>
          <w:lang w:eastAsia="pt-BR"/>
        </w:rPr>
        <w:t>rem</w:t>
      </w:r>
      <w:r w:rsidR="008C3071" w:rsidRPr="008C3071">
        <w:rPr>
          <w:rFonts w:ascii="Times New Roman" w:eastAsia="Times New Roman" w:hAnsi="Times New Roman" w:cs="Times New Roman"/>
          <w:sz w:val="24"/>
          <w:szCs w:val="24"/>
          <w:lang w:eastAsia="pt-BR"/>
        </w:rPr>
        <w:t xml:space="preserve"> diversos setores, notadamente o turismo, a indústria e o segmento de serviços.</w:t>
      </w:r>
    </w:p>
    <w:p w14:paraId="600B1363" w14:textId="07E72FF8" w:rsidR="0094452B" w:rsidRDefault="007F756F">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Acerca</w:t>
      </w:r>
      <w:r w:rsidR="00971196" w:rsidRPr="00971196">
        <w:rPr>
          <w:rFonts w:ascii="Times New Roman" w:eastAsia="Times New Roman" w:hAnsi="Times New Roman" w:cs="Times New Roman"/>
          <w:sz w:val="24"/>
          <w:szCs w:val="24"/>
          <w:lang w:eastAsia="pt-BR"/>
        </w:rPr>
        <w:t xml:space="preserve"> do mérito deste estudo, destaca-se o</w:t>
      </w:r>
      <w:r w:rsidR="005C7644">
        <w:rPr>
          <w:rFonts w:ascii="Times New Roman" w:eastAsia="Times New Roman" w:hAnsi="Times New Roman" w:cs="Times New Roman"/>
          <w:sz w:val="24"/>
          <w:szCs w:val="24"/>
          <w:lang w:eastAsia="pt-BR"/>
        </w:rPr>
        <w:t>s</w:t>
      </w:r>
      <w:r w:rsidR="00971196" w:rsidRPr="00971196">
        <w:rPr>
          <w:rFonts w:ascii="Times New Roman" w:eastAsia="Times New Roman" w:hAnsi="Times New Roman" w:cs="Times New Roman"/>
          <w:sz w:val="24"/>
          <w:szCs w:val="24"/>
          <w:lang w:eastAsia="pt-BR"/>
        </w:rPr>
        <w:t xml:space="preserve"> recorte</w:t>
      </w:r>
      <w:r w:rsidR="005C7644">
        <w:rPr>
          <w:rFonts w:ascii="Times New Roman" w:eastAsia="Times New Roman" w:hAnsi="Times New Roman" w:cs="Times New Roman"/>
          <w:sz w:val="24"/>
          <w:szCs w:val="24"/>
          <w:lang w:eastAsia="pt-BR"/>
        </w:rPr>
        <w:t>s</w:t>
      </w:r>
      <w:r w:rsidR="00971196" w:rsidRPr="00971196">
        <w:rPr>
          <w:rFonts w:ascii="Times New Roman" w:eastAsia="Times New Roman" w:hAnsi="Times New Roman" w:cs="Times New Roman"/>
          <w:sz w:val="24"/>
          <w:szCs w:val="24"/>
          <w:lang w:eastAsia="pt-BR"/>
        </w:rPr>
        <w:t xml:space="preserve"> sociodemográfico</w:t>
      </w:r>
      <w:r w:rsidR="005C7644">
        <w:rPr>
          <w:rFonts w:ascii="Times New Roman" w:eastAsia="Times New Roman" w:hAnsi="Times New Roman" w:cs="Times New Roman"/>
          <w:sz w:val="24"/>
          <w:szCs w:val="24"/>
          <w:lang w:eastAsia="pt-BR"/>
        </w:rPr>
        <w:t xml:space="preserve">, </w:t>
      </w:r>
      <w:r w:rsidR="00971196" w:rsidRPr="00971196">
        <w:rPr>
          <w:rFonts w:ascii="Times New Roman" w:eastAsia="Times New Roman" w:hAnsi="Times New Roman" w:cs="Times New Roman"/>
          <w:sz w:val="24"/>
          <w:szCs w:val="24"/>
          <w:lang w:eastAsia="pt-BR"/>
        </w:rPr>
        <w:t xml:space="preserve">regional </w:t>
      </w:r>
      <w:r w:rsidR="005C7644">
        <w:rPr>
          <w:rFonts w:ascii="Times New Roman" w:eastAsia="Times New Roman" w:hAnsi="Times New Roman" w:cs="Times New Roman"/>
          <w:sz w:val="24"/>
          <w:szCs w:val="24"/>
          <w:lang w:eastAsia="pt-BR"/>
        </w:rPr>
        <w:t xml:space="preserve">e </w:t>
      </w:r>
      <w:r w:rsidR="00971196" w:rsidRPr="00971196">
        <w:rPr>
          <w:rFonts w:ascii="Times New Roman" w:eastAsia="Times New Roman" w:hAnsi="Times New Roman" w:cs="Times New Roman"/>
          <w:sz w:val="24"/>
          <w:szCs w:val="24"/>
          <w:lang w:eastAsia="pt-BR"/>
        </w:rPr>
        <w:t>temporal</w:t>
      </w:r>
      <w:r w:rsidR="00904D42">
        <w:rPr>
          <w:rFonts w:ascii="Times New Roman" w:eastAsia="Times New Roman" w:hAnsi="Times New Roman" w:cs="Times New Roman"/>
          <w:sz w:val="24"/>
          <w:szCs w:val="24"/>
          <w:lang w:eastAsia="pt-BR"/>
        </w:rPr>
        <w:t xml:space="preserve"> utilizados</w:t>
      </w:r>
      <w:r w:rsidR="005C7644">
        <w:rPr>
          <w:rFonts w:ascii="Times New Roman" w:eastAsia="Times New Roman" w:hAnsi="Times New Roman" w:cs="Times New Roman"/>
          <w:sz w:val="24"/>
          <w:szCs w:val="24"/>
          <w:lang w:eastAsia="pt-BR"/>
        </w:rPr>
        <w:t xml:space="preserve">, bem como </w:t>
      </w:r>
      <w:r w:rsidR="00971196" w:rsidRPr="00971196">
        <w:rPr>
          <w:rFonts w:ascii="Times New Roman" w:eastAsia="Times New Roman" w:hAnsi="Times New Roman" w:cs="Times New Roman"/>
          <w:sz w:val="24"/>
          <w:szCs w:val="24"/>
          <w:lang w:eastAsia="pt-BR"/>
        </w:rPr>
        <w:t>a contribuição empírica embasad</w:t>
      </w:r>
      <w:r w:rsidR="005C7644">
        <w:rPr>
          <w:rFonts w:ascii="Times New Roman" w:eastAsia="Times New Roman" w:hAnsi="Times New Roman" w:cs="Times New Roman"/>
          <w:sz w:val="24"/>
          <w:szCs w:val="24"/>
          <w:lang w:eastAsia="pt-BR"/>
        </w:rPr>
        <w:t>a</w:t>
      </w:r>
      <w:r w:rsidR="00971196" w:rsidRPr="00971196">
        <w:rPr>
          <w:rFonts w:ascii="Times New Roman" w:eastAsia="Times New Roman" w:hAnsi="Times New Roman" w:cs="Times New Roman"/>
          <w:sz w:val="24"/>
          <w:szCs w:val="24"/>
          <w:lang w:eastAsia="pt-BR"/>
        </w:rPr>
        <w:t xml:space="preserve"> em metodologia</w:t>
      </w:r>
      <w:r w:rsidR="005C7644">
        <w:rPr>
          <w:rFonts w:ascii="Times New Roman" w:eastAsia="Times New Roman" w:hAnsi="Times New Roman" w:cs="Times New Roman"/>
          <w:sz w:val="24"/>
          <w:szCs w:val="24"/>
          <w:lang w:eastAsia="pt-BR"/>
        </w:rPr>
        <w:t xml:space="preserve"> e </w:t>
      </w:r>
      <w:r w:rsidR="005C7644">
        <w:rPr>
          <w:rFonts w:ascii="Times New Roman" w:eastAsia="Times New Roman" w:hAnsi="Times New Roman" w:cs="Times New Roman"/>
          <w:sz w:val="24"/>
          <w:szCs w:val="24"/>
          <w:lang w:eastAsia="pt-BR"/>
        </w:rPr>
        <w:lastRenderedPageBreak/>
        <w:t>base de dados</w:t>
      </w:r>
      <w:r w:rsidR="00971196" w:rsidRPr="00971196">
        <w:rPr>
          <w:rFonts w:ascii="Times New Roman" w:eastAsia="Times New Roman" w:hAnsi="Times New Roman" w:cs="Times New Roman"/>
          <w:sz w:val="24"/>
          <w:szCs w:val="24"/>
          <w:lang w:eastAsia="pt-BR"/>
        </w:rPr>
        <w:t xml:space="preserve"> consolidada</w:t>
      </w:r>
      <w:r w:rsidR="005C7644">
        <w:rPr>
          <w:rFonts w:ascii="Times New Roman" w:eastAsia="Times New Roman" w:hAnsi="Times New Roman" w:cs="Times New Roman"/>
          <w:sz w:val="24"/>
          <w:szCs w:val="24"/>
          <w:lang w:eastAsia="pt-BR"/>
        </w:rPr>
        <w:t>s</w:t>
      </w:r>
      <w:r w:rsidR="00971196" w:rsidRPr="00971196">
        <w:rPr>
          <w:rFonts w:ascii="Times New Roman" w:eastAsia="Times New Roman" w:hAnsi="Times New Roman" w:cs="Times New Roman"/>
          <w:sz w:val="24"/>
          <w:szCs w:val="24"/>
          <w:lang w:eastAsia="pt-BR"/>
        </w:rPr>
        <w:t xml:space="preserve"> na literatura, com foco nos efeitos da crise nacional em dois períodos distintos</w:t>
      </w:r>
      <w:r w:rsidR="00426BD0">
        <w:rPr>
          <w:rFonts w:ascii="Times New Roman" w:eastAsia="Times New Roman" w:hAnsi="Times New Roman" w:cs="Times New Roman"/>
          <w:sz w:val="24"/>
          <w:szCs w:val="24"/>
          <w:lang w:eastAsia="pt-BR"/>
        </w:rPr>
        <w:t xml:space="preserve"> e muito importantes conjunturalmente para a nação</w:t>
      </w:r>
      <w:r w:rsidR="00B40995">
        <w:rPr>
          <w:rFonts w:ascii="Times New Roman" w:eastAsia="Times New Roman" w:hAnsi="Times New Roman" w:cs="Times New Roman"/>
          <w:sz w:val="24"/>
          <w:szCs w:val="24"/>
          <w:lang w:eastAsia="pt-BR"/>
        </w:rPr>
        <w:t>.</w:t>
      </w:r>
      <w:r w:rsidR="00426BD0">
        <w:rPr>
          <w:rFonts w:ascii="Times New Roman" w:eastAsia="Times New Roman" w:hAnsi="Times New Roman" w:cs="Times New Roman"/>
          <w:sz w:val="24"/>
          <w:szCs w:val="24"/>
          <w:lang w:eastAsia="pt-BR"/>
        </w:rPr>
        <w:t xml:space="preserve"> </w:t>
      </w:r>
      <w:r w:rsidR="00904D42">
        <w:rPr>
          <w:rFonts w:ascii="Times New Roman" w:eastAsia="Times New Roman" w:hAnsi="Times New Roman" w:cs="Times New Roman"/>
          <w:sz w:val="24"/>
          <w:szCs w:val="24"/>
          <w:lang w:eastAsia="pt-BR"/>
        </w:rPr>
        <w:t xml:space="preserve">Já a </w:t>
      </w:r>
      <w:r w:rsidR="00B40995">
        <w:rPr>
          <w:rFonts w:ascii="Times New Roman" w:eastAsia="Times New Roman" w:hAnsi="Times New Roman" w:cs="Times New Roman"/>
          <w:sz w:val="24"/>
          <w:szCs w:val="24"/>
          <w:lang w:eastAsia="pt-BR"/>
        </w:rPr>
        <w:t>limitação do estudo pauta</w:t>
      </w:r>
      <w:r w:rsidR="00426BD0">
        <w:rPr>
          <w:rFonts w:ascii="Times New Roman" w:eastAsia="Times New Roman" w:hAnsi="Times New Roman" w:cs="Times New Roman"/>
          <w:sz w:val="24"/>
          <w:szCs w:val="24"/>
          <w:lang w:eastAsia="pt-BR"/>
        </w:rPr>
        <w:t>-se</w:t>
      </w:r>
      <w:r w:rsidR="00B40995">
        <w:rPr>
          <w:rFonts w:ascii="Times New Roman" w:eastAsia="Times New Roman" w:hAnsi="Times New Roman" w:cs="Times New Roman"/>
          <w:sz w:val="24"/>
          <w:szCs w:val="24"/>
          <w:lang w:eastAsia="pt-BR"/>
        </w:rPr>
        <w:t xml:space="preserve"> no fato de o </w:t>
      </w:r>
      <w:r w:rsidR="00971196" w:rsidRPr="00971196">
        <w:rPr>
          <w:rFonts w:ascii="Times New Roman" w:eastAsia="Times New Roman" w:hAnsi="Times New Roman" w:cs="Times New Roman"/>
          <w:sz w:val="24"/>
          <w:szCs w:val="24"/>
          <w:lang w:eastAsia="pt-BR"/>
        </w:rPr>
        <w:t xml:space="preserve">método </w:t>
      </w:r>
      <w:r w:rsidR="00B40995">
        <w:rPr>
          <w:rFonts w:ascii="Times New Roman" w:eastAsia="Times New Roman" w:hAnsi="Times New Roman" w:cs="Times New Roman"/>
          <w:sz w:val="24"/>
          <w:szCs w:val="24"/>
          <w:lang w:eastAsia="pt-BR"/>
        </w:rPr>
        <w:t xml:space="preserve">ser </w:t>
      </w:r>
      <w:r w:rsidR="00971196" w:rsidRPr="00971196">
        <w:rPr>
          <w:rFonts w:ascii="Times New Roman" w:eastAsia="Times New Roman" w:hAnsi="Times New Roman" w:cs="Times New Roman"/>
          <w:sz w:val="24"/>
          <w:szCs w:val="24"/>
          <w:lang w:eastAsia="pt-BR"/>
        </w:rPr>
        <w:t xml:space="preserve">descritivo exploratório, </w:t>
      </w:r>
      <w:r w:rsidR="00B40995">
        <w:rPr>
          <w:rFonts w:ascii="Times New Roman" w:eastAsia="Times New Roman" w:hAnsi="Times New Roman" w:cs="Times New Roman"/>
          <w:sz w:val="24"/>
          <w:szCs w:val="24"/>
          <w:lang w:eastAsia="pt-BR"/>
        </w:rPr>
        <w:t>o qual</w:t>
      </w:r>
      <w:r w:rsidR="00B40995" w:rsidRPr="00971196">
        <w:rPr>
          <w:rFonts w:ascii="Times New Roman" w:eastAsia="Times New Roman" w:hAnsi="Times New Roman" w:cs="Times New Roman"/>
          <w:sz w:val="24"/>
          <w:szCs w:val="24"/>
          <w:lang w:eastAsia="pt-BR"/>
        </w:rPr>
        <w:t xml:space="preserve"> </w:t>
      </w:r>
      <w:r w:rsidR="00971196" w:rsidRPr="00971196">
        <w:rPr>
          <w:rFonts w:ascii="Times New Roman" w:eastAsia="Times New Roman" w:hAnsi="Times New Roman" w:cs="Times New Roman"/>
          <w:sz w:val="24"/>
          <w:szCs w:val="24"/>
          <w:lang w:eastAsia="pt-BR"/>
        </w:rPr>
        <w:t xml:space="preserve">não inclui abordagens de </w:t>
      </w:r>
      <w:r w:rsidR="00B40995">
        <w:rPr>
          <w:rFonts w:ascii="Times New Roman" w:eastAsia="Times New Roman" w:hAnsi="Times New Roman" w:cs="Times New Roman"/>
          <w:sz w:val="24"/>
          <w:szCs w:val="24"/>
          <w:lang w:eastAsia="pt-BR"/>
        </w:rPr>
        <w:t>inferência estatística</w:t>
      </w:r>
      <w:r w:rsidR="0094452B">
        <w:rPr>
          <w:rFonts w:ascii="Times New Roman" w:eastAsia="Times New Roman" w:hAnsi="Times New Roman" w:cs="Times New Roman"/>
          <w:sz w:val="24"/>
          <w:szCs w:val="24"/>
          <w:lang w:eastAsia="pt-BR"/>
        </w:rPr>
        <w:t>, análises de regressão</w:t>
      </w:r>
      <w:r w:rsidR="00B40995">
        <w:rPr>
          <w:rFonts w:ascii="Times New Roman" w:eastAsia="Times New Roman" w:hAnsi="Times New Roman" w:cs="Times New Roman"/>
          <w:sz w:val="24"/>
          <w:szCs w:val="24"/>
          <w:lang w:eastAsia="pt-BR"/>
        </w:rPr>
        <w:t xml:space="preserve"> e </w:t>
      </w:r>
      <w:r w:rsidR="00971196" w:rsidRPr="00971196">
        <w:rPr>
          <w:rFonts w:ascii="Times New Roman" w:eastAsia="Times New Roman" w:hAnsi="Times New Roman" w:cs="Times New Roman"/>
          <w:sz w:val="24"/>
          <w:szCs w:val="24"/>
          <w:lang w:eastAsia="pt-BR"/>
        </w:rPr>
        <w:t xml:space="preserve">previsão econômica para validar os resultados apresentados. </w:t>
      </w:r>
    </w:p>
    <w:p w14:paraId="27E709F8" w14:textId="2CDE84E2" w:rsidR="00116117" w:rsidRDefault="0094452B">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Dito isso, c</w:t>
      </w:r>
      <w:r w:rsidR="00B40995" w:rsidRPr="00971196">
        <w:rPr>
          <w:rFonts w:ascii="Times New Roman" w:eastAsia="Times New Roman" w:hAnsi="Times New Roman" w:cs="Times New Roman"/>
          <w:sz w:val="24"/>
          <w:szCs w:val="24"/>
          <w:lang w:eastAsia="pt-BR"/>
        </w:rPr>
        <w:t xml:space="preserve">omo sugestão para investigações futuras, </w:t>
      </w:r>
      <w:r w:rsidR="00B40995">
        <w:rPr>
          <w:rFonts w:ascii="Times New Roman" w:eastAsia="Times New Roman" w:hAnsi="Times New Roman" w:cs="Times New Roman"/>
          <w:sz w:val="24"/>
          <w:szCs w:val="24"/>
          <w:lang w:eastAsia="pt-BR"/>
        </w:rPr>
        <w:t>p</w:t>
      </w:r>
      <w:r w:rsidR="00971196" w:rsidRPr="00971196">
        <w:rPr>
          <w:rFonts w:ascii="Times New Roman" w:eastAsia="Times New Roman" w:hAnsi="Times New Roman" w:cs="Times New Roman"/>
          <w:sz w:val="24"/>
          <w:szCs w:val="24"/>
          <w:lang w:eastAsia="pt-BR"/>
        </w:rPr>
        <w:t xml:space="preserve">ortanto, propõe-se ampliar a discussão para incluir resultados obtidos por métodos de </w:t>
      </w:r>
      <w:r w:rsidR="004633A7">
        <w:rPr>
          <w:rFonts w:ascii="Times New Roman" w:eastAsia="Times New Roman" w:hAnsi="Times New Roman" w:cs="Times New Roman"/>
          <w:sz w:val="24"/>
          <w:szCs w:val="24"/>
          <w:lang w:eastAsia="pt-BR"/>
        </w:rPr>
        <w:t>análise de regressão</w:t>
      </w:r>
      <w:r w:rsidR="00971196" w:rsidRPr="00971196">
        <w:rPr>
          <w:rFonts w:ascii="Times New Roman" w:eastAsia="Times New Roman" w:hAnsi="Times New Roman" w:cs="Times New Roman"/>
          <w:sz w:val="24"/>
          <w:szCs w:val="24"/>
          <w:lang w:eastAsia="pt-BR"/>
        </w:rPr>
        <w:t xml:space="preserve">, aumentar o período de amostragem para avaliar as tendências temporais e os efeitos relacionados </w:t>
      </w:r>
      <w:r w:rsidR="00616CAE">
        <w:rPr>
          <w:rFonts w:ascii="Times New Roman" w:eastAsia="Times New Roman" w:hAnsi="Times New Roman" w:cs="Times New Roman"/>
          <w:sz w:val="24"/>
          <w:szCs w:val="24"/>
          <w:lang w:eastAsia="pt-BR"/>
        </w:rPr>
        <w:t>às políticas econômicas adotadas</w:t>
      </w:r>
      <w:r w:rsidR="004633A7">
        <w:rPr>
          <w:rFonts w:ascii="Times New Roman" w:eastAsia="Times New Roman" w:hAnsi="Times New Roman" w:cs="Times New Roman"/>
          <w:sz w:val="24"/>
          <w:szCs w:val="24"/>
          <w:lang w:eastAsia="pt-BR"/>
        </w:rPr>
        <w:t>,</w:t>
      </w:r>
      <w:r w:rsidR="00616CAE">
        <w:rPr>
          <w:rFonts w:ascii="Times New Roman" w:eastAsia="Times New Roman" w:hAnsi="Times New Roman" w:cs="Times New Roman"/>
          <w:sz w:val="24"/>
          <w:szCs w:val="24"/>
          <w:lang w:eastAsia="pt-BR"/>
        </w:rPr>
        <w:t xml:space="preserve"> durante o mandato de</w:t>
      </w:r>
      <w:r w:rsidR="00616CAE" w:rsidRPr="00616CAE">
        <w:t xml:space="preserve"> </w:t>
      </w:r>
      <w:r w:rsidR="00616CAE" w:rsidRPr="00616CAE">
        <w:rPr>
          <w:rFonts w:ascii="Times New Roman" w:eastAsia="Times New Roman" w:hAnsi="Times New Roman" w:cs="Times New Roman"/>
          <w:sz w:val="24"/>
          <w:szCs w:val="24"/>
          <w:lang w:eastAsia="pt-BR"/>
        </w:rPr>
        <w:t>Lula</w:t>
      </w:r>
      <w:r w:rsidR="00971196" w:rsidRPr="00971196">
        <w:rPr>
          <w:rFonts w:ascii="Times New Roman" w:eastAsia="Times New Roman" w:hAnsi="Times New Roman" w:cs="Times New Roman"/>
          <w:sz w:val="24"/>
          <w:szCs w:val="24"/>
          <w:lang w:eastAsia="pt-BR"/>
        </w:rPr>
        <w:t xml:space="preserve">, </w:t>
      </w:r>
      <w:r w:rsidR="00AC2EEC">
        <w:rPr>
          <w:rFonts w:ascii="Times New Roman" w:eastAsia="Times New Roman" w:hAnsi="Times New Roman" w:cs="Times New Roman"/>
          <w:sz w:val="24"/>
          <w:szCs w:val="24"/>
          <w:lang w:eastAsia="pt-BR"/>
        </w:rPr>
        <w:t xml:space="preserve">iniciado em 2023, </w:t>
      </w:r>
      <w:r w:rsidR="00971196" w:rsidRPr="00971196">
        <w:rPr>
          <w:rFonts w:ascii="Times New Roman" w:eastAsia="Times New Roman" w:hAnsi="Times New Roman" w:cs="Times New Roman"/>
          <w:sz w:val="24"/>
          <w:szCs w:val="24"/>
          <w:lang w:eastAsia="pt-BR"/>
        </w:rPr>
        <w:t xml:space="preserve">e </w:t>
      </w:r>
      <w:r w:rsidR="00616CAE">
        <w:rPr>
          <w:rFonts w:ascii="Times New Roman" w:eastAsia="Times New Roman" w:hAnsi="Times New Roman" w:cs="Times New Roman"/>
          <w:sz w:val="24"/>
          <w:szCs w:val="24"/>
          <w:lang w:eastAsia="pt-BR"/>
        </w:rPr>
        <w:t>os impactos do conflito entre Rússia e Ucrânia</w:t>
      </w:r>
      <w:r w:rsidR="00971196" w:rsidRPr="00971196">
        <w:rPr>
          <w:rFonts w:ascii="Times New Roman" w:eastAsia="Times New Roman" w:hAnsi="Times New Roman" w:cs="Times New Roman"/>
          <w:sz w:val="24"/>
          <w:szCs w:val="24"/>
          <w:lang w:eastAsia="pt-BR"/>
        </w:rPr>
        <w:t xml:space="preserve"> iniciad</w:t>
      </w:r>
      <w:r w:rsidR="00616CAE">
        <w:rPr>
          <w:rFonts w:ascii="Times New Roman" w:eastAsia="Times New Roman" w:hAnsi="Times New Roman" w:cs="Times New Roman"/>
          <w:sz w:val="24"/>
          <w:szCs w:val="24"/>
          <w:lang w:eastAsia="pt-BR"/>
        </w:rPr>
        <w:t>o</w:t>
      </w:r>
      <w:r w:rsidR="00971196" w:rsidRPr="00971196">
        <w:rPr>
          <w:rFonts w:ascii="Times New Roman" w:eastAsia="Times New Roman" w:hAnsi="Times New Roman" w:cs="Times New Roman"/>
          <w:sz w:val="24"/>
          <w:szCs w:val="24"/>
          <w:lang w:eastAsia="pt-BR"/>
        </w:rPr>
        <w:t xml:space="preserve"> em </w:t>
      </w:r>
      <w:r w:rsidR="00616CAE" w:rsidRPr="00971196">
        <w:rPr>
          <w:rFonts w:ascii="Times New Roman" w:eastAsia="Times New Roman" w:hAnsi="Times New Roman" w:cs="Times New Roman"/>
          <w:sz w:val="24"/>
          <w:szCs w:val="24"/>
          <w:lang w:eastAsia="pt-BR"/>
        </w:rPr>
        <w:t>202</w:t>
      </w:r>
      <w:r w:rsidR="00616CAE">
        <w:rPr>
          <w:rFonts w:ascii="Times New Roman" w:eastAsia="Times New Roman" w:hAnsi="Times New Roman" w:cs="Times New Roman"/>
          <w:sz w:val="24"/>
          <w:szCs w:val="24"/>
          <w:lang w:eastAsia="pt-BR"/>
        </w:rPr>
        <w:t>2</w:t>
      </w:r>
      <w:r w:rsidR="00971196" w:rsidRPr="00971196">
        <w:rPr>
          <w:rFonts w:ascii="Times New Roman" w:eastAsia="Times New Roman" w:hAnsi="Times New Roman" w:cs="Times New Roman"/>
          <w:sz w:val="24"/>
          <w:szCs w:val="24"/>
          <w:lang w:eastAsia="pt-BR"/>
        </w:rPr>
        <w:t>.</w:t>
      </w:r>
      <w:r w:rsidR="00971196">
        <w:rPr>
          <w:rFonts w:ascii="Times New Roman" w:eastAsia="Times New Roman" w:hAnsi="Times New Roman" w:cs="Times New Roman"/>
          <w:sz w:val="24"/>
          <w:szCs w:val="24"/>
          <w:lang w:eastAsia="pt-BR"/>
        </w:rPr>
        <w:t xml:space="preserve"> </w:t>
      </w:r>
    </w:p>
    <w:p w14:paraId="2563211F" w14:textId="77777777" w:rsidR="00971196" w:rsidRPr="00705A8D" w:rsidRDefault="00971196">
      <w:pPr>
        <w:rPr>
          <w:rFonts w:ascii="Times New Roman" w:eastAsia="Times New Roman" w:hAnsi="Times New Roman" w:cs="Times New Roman"/>
          <w:sz w:val="24"/>
          <w:szCs w:val="24"/>
          <w:lang w:eastAsia="pt-BR"/>
        </w:rPr>
      </w:pPr>
    </w:p>
    <w:bookmarkEnd w:id="7"/>
    <w:p w14:paraId="2EE62853" w14:textId="7E101C2A" w:rsidR="00C93FB5" w:rsidRDefault="00C93FB5">
      <w:pPr>
        <w:ind w:firstLine="0"/>
        <w:rPr>
          <w:rFonts w:ascii="Times New Roman" w:hAnsi="Times New Roman" w:cs="Times New Roman"/>
          <w:b/>
          <w:bCs/>
          <w:color w:val="000000"/>
          <w:sz w:val="24"/>
          <w:szCs w:val="24"/>
        </w:rPr>
      </w:pPr>
      <w:r w:rsidRPr="0003470B">
        <w:rPr>
          <w:rFonts w:ascii="Times New Roman" w:hAnsi="Times New Roman" w:cs="Times New Roman"/>
          <w:b/>
          <w:bCs/>
          <w:color w:val="000000"/>
          <w:sz w:val="24"/>
          <w:szCs w:val="24"/>
        </w:rPr>
        <w:t xml:space="preserve">REFERÊNCIAS </w:t>
      </w:r>
    </w:p>
    <w:p w14:paraId="66F57CB2" w14:textId="601192C3" w:rsidR="00B000E5" w:rsidRPr="00395402" w:rsidRDefault="5C63AAD9"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 xml:space="preserve">ALVES, L. D. A divisão racial do trabalho como um ordenamento do Racismo estrutural. Revista </w:t>
      </w:r>
      <w:proofErr w:type="spellStart"/>
      <w:r w:rsidRPr="00395402">
        <w:rPr>
          <w:rFonts w:ascii="Times New Roman" w:hAnsi="Times New Roman" w:cs="Times New Roman"/>
          <w:color w:val="000000" w:themeColor="text1"/>
          <w:sz w:val="24"/>
          <w:szCs w:val="24"/>
        </w:rPr>
        <w:t>Katálysis</w:t>
      </w:r>
      <w:proofErr w:type="spellEnd"/>
      <w:r w:rsidRPr="00395402">
        <w:rPr>
          <w:rFonts w:ascii="Times New Roman" w:hAnsi="Times New Roman" w:cs="Times New Roman"/>
          <w:color w:val="000000" w:themeColor="text1"/>
          <w:sz w:val="24"/>
          <w:szCs w:val="24"/>
        </w:rPr>
        <w:t>, v. 25, p. 212-221, 2022.</w:t>
      </w:r>
    </w:p>
    <w:p w14:paraId="56E94563" w14:textId="13022C21" w:rsidR="00813DE3" w:rsidRPr="00395402" w:rsidRDefault="00813DE3"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AMORIM NETO, O. A Crise Política Brasileira de 2015-2016: Diagnóstico, Sequelas e Profilaxia. Relações Internacionais, n. 52, 2016.</w:t>
      </w:r>
    </w:p>
    <w:p w14:paraId="2B638300" w14:textId="6B6EB78D" w:rsidR="00821D89" w:rsidRPr="00395402" w:rsidRDefault="5C63AAD9"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themeColor="text1"/>
          <w:sz w:val="24"/>
          <w:szCs w:val="24"/>
        </w:rPr>
        <w:t xml:space="preserve">ATTUY, G. D. M. Decomposição dos ciclos do Desemprego: Uma Aplicação Para o Brasil a Partir dos Fluxos do Trabalho. ANPEC – Associação Nacional dos Centros de Pós-Graduação em Economia, 2014. </w:t>
      </w:r>
    </w:p>
    <w:p w14:paraId="07F6B990" w14:textId="0FE2DADB" w:rsidR="5C63AAD9" w:rsidRPr="00395402" w:rsidRDefault="5C63AAD9"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 xml:space="preserve">AULER, L. H. E. Os impactos da crise de Covid-19 para o mercado de trabalho brasileiro a partir dos indicadores produzidos pela Pesquisa Nacional por Amostra de Domicílios Contínua. Orientador: Cássio </w:t>
      </w:r>
      <w:proofErr w:type="spellStart"/>
      <w:r w:rsidRPr="00395402">
        <w:rPr>
          <w:rFonts w:ascii="Times New Roman" w:hAnsi="Times New Roman" w:cs="Times New Roman"/>
          <w:color w:val="000000" w:themeColor="text1"/>
          <w:sz w:val="24"/>
          <w:szCs w:val="24"/>
        </w:rPr>
        <w:t>Calvete</w:t>
      </w:r>
      <w:proofErr w:type="spellEnd"/>
      <w:r w:rsidRPr="00395402">
        <w:rPr>
          <w:rFonts w:ascii="Times New Roman" w:hAnsi="Times New Roman" w:cs="Times New Roman"/>
          <w:color w:val="000000" w:themeColor="text1"/>
          <w:sz w:val="24"/>
          <w:szCs w:val="24"/>
        </w:rPr>
        <w:t>. 2022. 57 F. TCC (Graduação) – Curso de Graduação em Ciências Econômicas da Faculdade de Ciências Econômicas da Universidade Federal do Rio Grande do Sul (UFRGS). 2022.</w:t>
      </w:r>
    </w:p>
    <w:p w14:paraId="4AAC9E9D" w14:textId="3C5B8712" w:rsidR="00C35A61" w:rsidRPr="00395402" w:rsidRDefault="00C35A61"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 xml:space="preserve">BARBOSA, A. L. N. D. H.; COSTA, J. S. D. M.; HECKSHER, M. D. Mercado de trabalho e pandemia da covid-19: Ampliação de desigualdades já </w:t>
      </w:r>
      <w:proofErr w:type="gramStart"/>
      <w:r w:rsidRPr="00395402">
        <w:rPr>
          <w:rFonts w:ascii="Times New Roman" w:hAnsi="Times New Roman" w:cs="Times New Roman"/>
          <w:color w:val="000000" w:themeColor="text1"/>
          <w:sz w:val="24"/>
          <w:szCs w:val="24"/>
        </w:rPr>
        <w:t>existentes?.</w:t>
      </w:r>
      <w:proofErr w:type="gramEnd"/>
      <w:r w:rsidRPr="00395402">
        <w:rPr>
          <w:rFonts w:ascii="Times New Roman" w:hAnsi="Times New Roman" w:cs="Times New Roman"/>
          <w:color w:val="000000" w:themeColor="text1"/>
          <w:sz w:val="24"/>
          <w:szCs w:val="24"/>
        </w:rPr>
        <w:t xml:space="preserve"> 2020.</w:t>
      </w:r>
    </w:p>
    <w:p w14:paraId="45BC36E7" w14:textId="39B2920A" w:rsidR="006554E2" w:rsidRPr="00395402" w:rsidRDefault="00617797" w:rsidP="00395402">
      <w:pPr>
        <w:spacing w:after="120" w:line="240" w:lineRule="auto"/>
        <w:ind w:firstLine="0"/>
        <w:rPr>
          <w:rFonts w:ascii="Times New Roman" w:hAnsi="Times New Roman" w:cs="Times New Roman"/>
          <w:color w:val="000000"/>
          <w:sz w:val="24"/>
          <w:szCs w:val="24"/>
          <w:lang w:val="en-US"/>
        </w:rPr>
      </w:pPr>
      <w:hyperlink r:id="rId18" w:tgtFrame="_blank" w:history="1">
        <w:r w:rsidR="00542997" w:rsidRPr="00395402">
          <w:rPr>
            <w:rFonts w:ascii="Times New Roman" w:hAnsi="Times New Roman" w:cs="Times New Roman"/>
            <w:color w:val="000000"/>
            <w:sz w:val="24"/>
            <w:szCs w:val="24"/>
          </w:rPr>
          <w:t>BARBOSA FILHO, F. H.</w:t>
        </w:r>
      </w:hyperlink>
      <w:r w:rsidR="00542997" w:rsidRPr="00395402">
        <w:rPr>
          <w:rFonts w:ascii="Times New Roman" w:hAnsi="Times New Roman" w:cs="Times New Roman"/>
          <w:color w:val="000000"/>
          <w:sz w:val="24"/>
          <w:szCs w:val="24"/>
        </w:rPr>
        <w:t>; </w:t>
      </w:r>
      <w:hyperlink r:id="rId19" w:tgtFrame="_blank" w:tooltip="Clique para visualizar o currículo" w:history="1">
        <w:r w:rsidR="00542997" w:rsidRPr="00395402">
          <w:rPr>
            <w:rFonts w:ascii="Times New Roman" w:hAnsi="Times New Roman" w:cs="Times New Roman"/>
            <w:color w:val="000000"/>
            <w:sz w:val="24"/>
            <w:szCs w:val="24"/>
          </w:rPr>
          <w:t>PESSOA, S. A.</w:t>
        </w:r>
      </w:hyperlink>
      <w:r w:rsidR="00542997" w:rsidRPr="00395402">
        <w:rPr>
          <w:rFonts w:ascii="Times New Roman" w:hAnsi="Times New Roman" w:cs="Times New Roman"/>
          <w:color w:val="000000"/>
          <w:sz w:val="24"/>
          <w:szCs w:val="24"/>
        </w:rPr>
        <w:t xml:space="preserve"> . Uma Análise da Redução da Taxa de Desemprego. In: 39o Encontro Nacional de Economia da ANPEC, 2011, Foz do Iguaçu. </w:t>
      </w:r>
      <w:r w:rsidR="00542997" w:rsidRPr="00395402">
        <w:rPr>
          <w:rFonts w:ascii="Times New Roman" w:hAnsi="Times New Roman" w:cs="Times New Roman"/>
          <w:color w:val="000000"/>
          <w:sz w:val="24"/>
          <w:szCs w:val="24"/>
          <w:lang w:val="en-US"/>
        </w:rPr>
        <w:t xml:space="preserve">Anais do 39o </w:t>
      </w:r>
      <w:proofErr w:type="spellStart"/>
      <w:r w:rsidR="00542997" w:rsidRPr="00395402">
        <w:rPr>
          <w:rFonts w:ascii="Times New Roman" w:hAnsi="Times New Roman" w:cs="Times New Roman"/>
          <w:color w:val="000000"/>
          <w:sz w:val="24"/>
          <w:szCs w:val="24"/>
          <w:lang w:val="en-US"/>
        </w:rPr>
        <w:t>Encontro</w:t>
      </w:r>
      <w:proofErr w:type="spellEnd"/>
      <w:r w:rsidR="00542997" w:rsidRPr="00395402">
        <w:rPr>
          <w:rFonts w:ascii="Times New Roman" w:hAnsi="Times New Roman" w:cs="Times New Roman"/>
          <w:color w:val="000000"/>
          <w:sz w:val="24"/>
          <w:szCs w:val="24"/>
          <w:lang w:val="en-US"/>
        </w:rPr>
        <w:t xml:space="preserve"> Nacional de Economia da ANPEC, 2011.</w:t>
      </w:r>
    </w:p>
    <w:p w14:paraId="2F03CA86" w14:textId="761BBABF" w:rsidR="00542997" w:rsidRPr="00395402" w:rsidRDefault="007C3C49"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lang w:val="en-US"/>
        </w:rPr>
        <w:t xml:space="preserve">BANERJEE, A. et al. Why Has Unemployment Risen in the New South Africa? </w:t>
      </w:r>
      <w:proofErr w:type="spellStart"/>
      <w:r w:rsidRPr="00395402">
        <w:rPr>
          <w:rFonts w:ascii="Times New Roman" w:hAnsi="Times New Roman" w:cs="Times New Roman"/>
          <w:color w:val="000000"/>
          <w:sz w:val="24"/>
          <w:szCs w:val="24"/>
        </w:rPr>
        <w:t>Working</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Paper</w:t>
      </w:r>
      <w:proofErr w:type="spellEnd"/>
      <w:r w:rsidRPr="00395402">
        <w:rPr>
          <w:rFonts w:ascii="Times New Roman" w:hAnsi="Times New Roman" w:cs="Times New Roman"/>
          <w:color w:val="000000"/>
          <w:sz w:val="24"/>
          <w:szCs w:val="24"/>
        </w:rPr>
        <w:t xml:space="preserve"> 13167, Columbia </w:t>
      </w:r>
      <w:proofErr w:type="spellStart"/>
      <w:r w:rsidRPr="00395402">
        <w:rPr>
          <w:rFonts w:ascii="Times New Roman" w:hAnsi="Times New Roman" w:cs="Times New Roman"/>
          <w:color w:val="000000"/>
          <w:sz w:val="24"/>
          <w:szCs w:val="24"/>
        </w:rPr>
        <w:t>University</w:t>
      </w:r>
      <w:proofErr w:type="spellEnd"/>
      <w:r w:rsidRPr="00395402">
        <w:rPr>
          <w:rFonts w:ascii="Times New Roman" w:hAnsi="Times New Roman" w:cs="Times New Roman"/>
          <w:color w:val="000000"/>
          <w:sz w:val="24"/>
          <w:szCs w:val="24"/>
        </w:rPr>
        <w:t xml:space="preserve"> Press, v. 16, p. 715-740, jun. 2007. </w:t>
      </w:r>
    </w:p>
    <w:p w14:paraId="79C4EA59" w14:textId="57241C39" w:rsidR="00E33127" w:rsidRPr="00395402" w:rsidRDefault="00E33127"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BERG, J.; RIBEIRO, J. A. C. Evolução recente do trabalho decente no Brasil: avanços e desafios. 2010.</w:t>
      </w:r>
    </w:p>
    <w:p w14:paraId="504366E7" w14:textId="2A3BA9D7" w:rsidR="00D0728A" w:rsidRPr="00395402" w:rsidRDefault="00D0728A"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 xml:space="preserve">BRITO, D. J. M. </w:t>
      </w:r>
      <w:r w:rsidR="008569EB" w:rsidRPr="00395402">
        <w:rPr>
          <w:rFonts w:ascii="Times New Roman" w:hAnsi="Times New Roman" w:cs="Times New Roman"/>
          <w:color w:val="000000"/>
          <w:sz w:val="24"/>
          <w:szCs w:val="24"/>
        </w:rPr>
        <w:t>D.</w:t>
      </w:r>
      <w:r w:rsidRPr="00395402">
        <w:rPr>
          <w:rFonts w:ascii="Times New Roman" w:hAnsi="Times New Roman" w:cs="Times New Roman"/>
          <w:color w:val="000000"/>
          <w:sz w:val="24"/>
          <w:szCs w:val="24"/>
        </w:rPr>
        <w:t>; SILVA, M. V. A.; ROSSI, M. C. T. Abordagem hierárquico-espacial dos fatores que afetam a participação no mercado de trabalho brasileiro. 2021.</w:t>
      </w:r>
    </w:p>
    <w:p w14:paraId="6576D21B" w14:textId="77777777" w:rsidR="002E06A2" w:rsidRPr="00395402" w:rsidRDefault="002E06A2"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CAMARANO, A. A., KANSO, S. O que estão fazendo os jovens que não estudam,</w:t>
      </w:r>
    </w:p>
    <w:p w14:paraId="7BF9B277" w14:textId="1A6732DF" w:rsidR="002E06A2" w:rsidRPr="00395402" w:rsidRDefault="002E06A2"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não trabalham e não procuram trabalho? Mercado de trabalho. v. 53, p. 37-44, 2012.</w:t>
      </w:r>
    </w:p>
    <w:p w14:paraId="7A50DB8F" w14:textId="0B03F776" w:rsidR="007C3C49" w:rsidRPr="00395402" w:rsidRDefault="007C3C49"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lang w:val="en-US"/>
        </w:rPr>
        <w:lastRenderedPageBreak/>
        <w:t xml:space="preserve">CAMPBELL, C. M.; DUCA, J.V. The Impact of Evolving Labor Practices and Demographics on U.S. Inflation and Unemployment. </w:t>
      </w:r>
      <w:r w:rsidRPr="00395402">
        <w:rPr>
          <w:rFonts w:ascii="Times New Roman" w:hAnsi="Times New Roman" w:cs="Times New Roman"/>
          <w:color w:val="000000"/>
          <w:sz w:val="24"/>
          <w:szCs w:val="24"/>
        </w:rPr>
        <w:t xml:space="preserve">Federal Reserve Bank </w:t>
      </w:r>
      <w:proofErr w:type="spellStart"/>
      <w:r w:rsidRPr="00395402">
        <w:rPr>
          <w:rFonts w:ascii="Times New Roman" w:hAnsi="Times New Roman" w:cs="Times New Roman"/>
          <w:color w:val="000000"/>
          <w:sz w:val="24"/>
          <w:szCs w:val="24"/>
        </w:rPr>
        <w:t>of</w:t>
      </w:r>
      <w:proofErr w:type="spellEnd"/>
      <w:r w:rsidRPr="00395402">
        <w:rPr>
          <w:rFonts w:ascii="Times New Roman" w:hAnsi="Times New Roman" w:cs="Times New Roman"/>
          <w:color w:val="000000"/>
          <w:sz w:val="24"/>
          <w:szCs w:val="24"/>
        </w:rPr>
        <w:t xml:space="preserve"> Dallas </w:t>
      </w:r>
      <w:proofErr w:type="spellStart"/>
      <w:r w:rsidRPr="00395402">
        <w:rPr>
          <w:rFonts w:ascii="Times New Roman" w:hAnsi="Times New Roman" w:cs="Times New Roman"/>
          <w:color w:val="000000"/>
          <w:sz w:val="24"/>
          <w:szCs w:val="24"/>
        </w:rPr>
        <w:t>Working</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Paper</w:t>
      </w:r>
      <w:proofErr w:type="spellEnd"/>
      <w:r w:rsidRPr="00395402">
        <w:rPr>
          <w:rFonts w:ascii="Times New Roman" w:hAnsi="Times New Roman" w:cs="Times New Roman"/>
          <w:color w:val="000000"/>
          <w:sz w:val="24"/>
          <w:szCs w:val="24"/>
        </w:rPr>
        <w:t xml:space="preserve"> 0702, 2007.</w:t>
      </w:r>
    </w:p>
    <w:p w14:paraId="35D74C0D" w14:textId="00946872" w:rsidR="00A9408B" w:rsidRPr="00395402" w:rsidRDefault="00A9408B"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CARVALHO, P. A. D.; VIEGO, V. Evolução do emprego feminino no mercado de trabalho brasileiro: uma análise shift-</w:t>
      </w:r>
      <w:proofErr w:type="spellStart"/>
      <w:r w:rsidRPr="00395402">
        <w:rPr>
          <w:rFonts w:ascii="Times New Roman" w:hAnsi="Times New Roman" w:cs="Times New Roman"/>
          <w:color w:val="000000"/>
          <w:sz w:val="24"/>
          <w:szCs w:val="24"/>
        </w:rPr>
        <w:t>share</w:t>
      </w:r>
      <w:proofErr w:type="spellEnd"/>
      <w:r w:rsidRPr="00395402">
        <w:rPr>
          <w:rFonts w:ascii="Times New Roman" w:hAnsi="Times New Roman" w:cs="Times New Roman"/>
          <w:color w:val="000000"/>
          <w:sz w:val="24"/>
          <w:szCs w:val="24"/>
        </w:rPr>
        <w:t xml:space="preserve"> entre 2003 e 2018. Economia e Sociedade, v. 32, p. 207-224, 2023.</w:t>
      </w:r>
    </w:p>
    <w:p w14:paraId="738474AF" w14:textId="1F8D71A1" w:rsidR="004D23E6" w:rsidRPr="00395402" w:rsidRDefault="00877AE0"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CARVALHO, S. S. D. Uma visão geral sobre a reforma trabalhista. 2017.</w:t>
      </w:r>
    </w:p>
    <w:p w14:paraId="1E09D859" w14:textId="218D06E7" w:rsidR="00E046E1" w:rsidRPr="00395402" w:rsidRDefault="5C63AAD9"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 xml:space="preserve">CARLEIAL, L. M. D. F. Política econômica, mercado de trabalho e democracia: o segundo governo Dilma Rousseff. Estudos avançados, v. 29, p. 201-214, 2015. </w:t>
      </w:r>
    </w:p>
    <w:p w14:paraId="0B6D8BB5" w14:textId="77777777" w:rsidR="00164E6D" w:rsidRPr="00395402" w:rsidRDefault="00164E6D"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CHAHAD, J. P. Z. O Mercado de Trabalho em 2016: O Que Já Está Ruim Ainda Vai</w:t>
      </w:r>
    </w:p>
    <w:p w14:paraId="0392FFA9" w14:textId="21CDF623" w:rsidR="00CC6A42" w:rsidRPr="00395402" w:rsidRDefault="00164E6D"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 xml:space="preserve">Piorar. Temas de Economia Aplicada, 2016. </w:t>
      </w:r>
    </w:p>
    <w:p w14:paraId="47151AFB" w14:textId="07FE7C55" w:rsidR="00A00C0F" w:rsidRPr="00395402" w:rsidRDefault="00A00C0F"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 xml:space="preserve">COSTA, D. P. C. Uma Análise Descritiva do Índice de desemprego no Brasil. Tese (Mestrado em Finanças e Economia) - Escola de Economia de São Paulo, Fundação </w:t>
      </w:r>
      <w:r w:rsidR="005505A0" w:rsidRPr="00395402">
        <w:rPr>
          <w:rFonts w:ascii="Times New Roman" w:hAnsi="Times New Roman" w:cs="Times New Roman"/>
          <w:color w:val="000000" w:themeColor="text1"/>
          <w:sz w:val="24"/>
          <w:szCs w:val="24"/>
        </w:rPr>
        <w:t>Getúlio</w:t>
      </w:r>
      <w:r w:rsidRPr="00395402">
        <w:rPr>
          <w:rFonts w:ascii="Times New Roman" w:hAnsi="Times New Roman" w:cs="Times New Roman"/>
          <w:color w:val="000000" w:themeColor="text1"/>
          <w:sz w:val="24"/>
          <w:szCs w:val="24"/>
        </w:rPr>
        <w:t xml:space="preserve"> Vargas. São Paulo, p. 45. 2015.</w:t>
      </w:r>
    </w:p>
    <w:p w14:paraId="498FBDB7" w14:textId="7186368B" w:rsidR="001D48D5" w:rsidRPr="00395402" w:rsidRDefault="001D48D5"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DE PAULA, M. D. F. C. Políticas de democratização da educação superior brasileira: limites e desafios para a próxima década. Avaliação: Revista da Avaliação da Educação Superior (Campinas), v. 22, p. 301-315, 2017.</w:t>
      </w:r>
    </w:p>
    <w:p w14:paraId="69689EBC" w14:textId="50363658" w:rsidR="004162A5" w:rsidRPr="00395402" w:rsidRDefault="004162A5"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 xml:space="preserve">DIEESE - </w:t>
      </w:r>
      <w:r w:rsidRPr="00395402">
        <w:rPr>
          <w:rFonts w:ascii="Times New Roman" w:eastAsia="Times New Roman" w:hAnsi="Times New Roman" w:cs="Times New Roman"/>
          <w:sz w:val="24"/>
          <w:szCs w:val="24"/>
          <w:lang w:eastAsia="pt-BR"/>
        </w:rPr>
        <w:t>Departamento Intersindical de Estatística e Estudos Socioeconômicos. As dificuldades da população negra no mercado de trabalho. DIEESE, 2023. Disponível em: &lt;</w:t>
      </w:r>
      <w:r w:rsidRPr="00395402">
        <w:rPr>
          <w:rFonts w:ascii="Times New Roman" w:hAnsi="Times New Roman" w:cs="Times New Roman"/>
          <w:sz w:val="24"/>
          <w:szCs w:val="24"/>
        </w:rPr>
        <w:t xml:space="preserve"> </w:t>
      </w:r>
      <w:r w:rsidRPr="00395402">
        <w:rPr>
          <w:rFonts w:ascii="Times New Roman" w:eastAsia="Times New Roman" w:hAnsi="Times New Roman" w:cs="Times New Roman"/>
          <w:sz w:val="24"/>
          <w:szCs w:val="24"/>
          <w:lang w:eastAsia="pt-BR"/>
        </w:rPr>
        <w:t xml:space="preserve">https://www.dieese.org.br/boletimespecial/2023/conscienciaNegra2023.html&gt;. Acesso em: fev. 2024. </w:t>
      </w:r>
    </w:p>
    <w:p w14:paraId="286A97A5" w14:textId="69815339" w:rsidR="003E5F4F" w:rsidRPr="00395402" w:rsidRDefault="003E5F4F"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FEITOZA, B. M.; SIMÕES, J. H. S. Êxodo Urbano: Uma nova forma de morar. ÁTRIO, v. 2, n. 1, 2023.</w:t>
      </w:r>
    </w:p>
    <w:p w14:paraId="58CAAEBF" w14:textId="14D87D78" w:rsidR="00585755" w:rsidRPr="00395402" w:rsidRDefault="00585755" w:rsidP="00395402">
      <w:pPr>
        <w:autoSpaceDE w:val="0"/>
        <w:autoSpaceDN w:val="0"/>
        <w:adjustRightInd w:val="0"/>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FGV-FUNDAÇÃO GETÚLIO VARGAS. Mulheres jovens no mercado de trabalho:  desafios à vista. Rio de Janeiro: FGV, 2022. Artigos. Disponível em: &lt;https://portal.fgv.br/artigos/mulheres-jovens-mercado-trabalho-desafios-vista&gt;. Acesso em: fev. 2024.</w:t>
      </w:r>
    </w:p>
    <w:p w14:paraId="07B46535" w14:textId="722844A4" w:rsidR="00AC6C97" w:rsidRPr="00395402" w:rsidRDefault="00AC6C97"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FILGUEIRAS, V. A.; KREIN, J. D. (Org.</w:t>
      </w:r>
      <w:proofErr w:type="gramStart"/>
      <w:r w:rsidRPr="00395402">
        <w:rPr>
          <w:rFonts w:ascii="Times New Roman" w:hAnsi="Times New Roman" w:cs="Times New Roman"/>
          <w:color w:val="000000"/>
          <w:sz w:val="24"/>
          <w:szCs w:val="24"/>
        </w:rPr>
        <w:t>) ;</w:t>
      </w:r>
      <w:proofErr w:type="gramEnd"/>
      <w:r w:rsidRPr="00395402">
        <w:rPr>
          <w:rFonts w:ascii="Times New Roman" w:hAnsi="Times New Roman" w:cs="Times New Roman"/>
          <w:color w:val="000000"/>
          <w:sz w:val="24"/>
          <w:szCs w:val="24"/>
        </w:rPr>
        <w:t xml:space="preserve"> OLIVEIRA, R. V. (Org.) . Reforma trabalhista no Brasil: promessas e realidade. 1. ed. Campinas: Curt </w:t>
      </w:r>
      <w:proofErr w:type="spellStart"/>
      <w:r w:rsidRPr="00395402">
        <w:rPr>
          <w:rFonts w:ascii="Times New Roman" w:hAnsi="Times New Roman" w:cs="Times New Roman"/>
          <w:color w:val="000000"/>
          <w:sz w:val="24"/>
          <w:szCs w:val="24"/>
        </w:rPr>
        <w:t>Nimuendajú</w:t>
      </w:r>
      <w:proofErr w:type="spellEnd"/>
      <w:r w:rsidRPr="00395402">
        <w:rPr>
          <w:rFonts w:ascii="Times New Roman" w:hAnsi="Times New Roman" w:cs="Times New Roman"/>
          <w:color w:val="000000"/>
          <w:sz w:val="24"/>
          <w:szCs w:val="24"/>
        </w:rPr>
        <w:t>, 2019.</w:t>
      </w:r>
    </w:p>
    <w:p w14:paraId="47C35FC9" w14:textId="55C9B349" w:rsidR="5C63AAD9" w:rsidRPr="00395402" w:rsidRDefault="007C3C49" w:rsidP="00395402">
      <w:pPr>
        <w:spacing w:after="120" w:line="240" w:lineRule="auto"/>
        <w:ind w:firstLine="0"/>
        <w:rPr>
          <w:rFonts w:ascii="Times New Roman" w:hAnsi="Times New Roman" w:cs="Times New Roman"/>
          <w:sz w:val="24"/>
          <w:szCs w:val="24"/>
          <w:lang w:val="en-US"/>
        </w:rPr>
      </w:pPr>
      <w:r w:rsidRPr="00395402">
        <w:rPr>
          <w:rFonts w:ascii="Times New Roman" w:hAnsi="Times New Roman" w:cs="Times New Roman"/>
          <w:sz w:val="24"/>
          <w:szCs w:val="24"/>
          <w:lang w:val="en-US"/>
        </w:rPr>
        <w:t>HIPPLE, S. Worker Displacement in an Expanding Economy. Monthly Labor Review, December 1997, pp. 25-39.</w:t>
      </w:r>
    </w:p>
    <w:p w14:paraId="19182549" w14:textId="5E13A88C" w:rsidR="5C63AAD9" w:rsidRPr="00395402" w:rsidRDefault="5C63AAD9"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IBGE – INSTITUTO BRASILEIRO DE GEOGRAFIA E ESTATÍSTICA.  Pesquisa Nacional por Amostra de Domicílios (PNAD) 2023. Rio de Janeiro: IBGE, 2023. Disponível em: &lt;http://www.ibge.gov.br&gt;. Acesso em: 2023.</w:t>
      </w:r>
    </w:p>
    <w:p w14:paraId="1A766EB1" w14:textId="0E306C7D" w:rsidR="5C63AAD9" w:rsidRPr="00395402" w:rsidRDefault="5C63AAD9"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 xml:space="preserve">______. </w:t>
      </w:r>
      <w:r w:rsidRPr="00395402">
        <w:rPr>
          <w:rFonts w:ascii="Times New Roman" w:eastAsia="Times New Roman" w:hAnsi="Times New Roman" w:cs="Times New Roman"/>
          <w:sz w:val="24"/>
          <w:szCs w:val="24"/>
          <w:lang w:eastAsia="pt-BR"/>
        </w:rPr>
        <w:t>Pesquisa Estatísticas do Cadastro Central de Empresas</w:t>
      </w:r>
      <w:r w:rsidRPr="00395402">
        <w:rPr>
          <w:rFonts w:ascii="Times New Roman" w:hAnsi="Times New Roman" w:cs="Times New Roman"/>
          <w:sz w:val="24"/>
          <w:szCs w:val="24"/>
        </w:rPr>
        <w:t xml:space="preserve"> 202</w:t>
      </w:r>
      <w:r w:rsidR="00585755" w:rsidRPr="00395402">
        <w:rPr>
          <w:rFonts w:ascii="Times New Roman" w:hAnsi="Times New Roman" w:cs="Times New Roman"/>
          <w:sz w:val="24"/>
          <w:szCs w:val="24"/>
        </w:rPr>
        <w:t>1</w:t>
      </w:r>
      <w:r w:rsidRPr="00395402">
        <w:rPr>
          <w:rFonts w:ascii="Times New Roman" w:hAnsi="Times New Roman" w:cs="Times New Roman"/>
          <w:sz w:val="24"/>
          <w:szCs w:val="24"/>
        </w:rPr>
        <w:t>. Disponível em: &lt;http://www.ibge.gov.br&gt;. Acesso em: 2023.</w:t>
      </w:r>
    </w:p>
    <w:p w14:paraId="128228A6" w14:textId="711A6D27" w:rsidR="5C63AAD9" w:rsidRPr="00395402" w:rsidRDefault="66153A75"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______.  Pesquisa Nacional por Amostra de Domicílios (PNAD) 20</w:t>
      </w:r>
      <w:r w:rsidR="00106C71" w:rsidRPr="00395402">
        <w:rPr>
          <w:rFonts w:ascii="Times New Roman" w:hAnsi="Times New Roman" w:cs="Times New Roman"/>
          <w:sz w:val="24"/>
          <w:szCs w:val="24"/>
        </w:rPr>
        <w:t>21</w:t>
      </w:r>
      <w:r w:rsidRPr="00395402">
        <w:rPr>
          <w:rFonts w:ascii="Times New Roman" w:hAnsi="Times New Roman" w:cs="Times New Roman"/>
          <w:sz w:val="24"/>
          <w:szCs w:val="24"/>
        </w:rPr>
        <w:t>. Disponível em: &lt;http://www.ibge.gov.br&gt;. Acesso em: 2023.</w:t>
      </w:r>
    </w:p>
    <w:p w14:paraId="2712DD9A" w14:textId="2DFD3A38" w:rsidR="008B2210" w:rsidRPr="00395402" w:rsidRDefault="008B2210"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______.</w:t>
      </w:r>
      <w:r w:rsidR="00001BB3" w:rsidRPr="00395402">
        <w:rPr>
          <w:rFonts w:ascii="Times New Roman" w:hAnsi="Times New Roman" w:cs="Times New Roman"/>
          <w:sz w:val="24"/>
          <w:szCs w:val="24"/>
        </w:rPr>
        <w:t xml:space="preserve"> </w:t>
      </w:r>
      <w:r w:rsidRPr="00395402">
        <w:rPr>
          <w:rFonts w:ascii="Times New Roman" w:hAnsi="Times New Roman" w:cs="Times New Roman"/>
          <w:sz w:val="24"/>
          <w:szCs w:val="24"/>
        </w:rPr>
        <w:t>Pesquisa Nacional por Amostra de Domicílios (PNAD) – Contínua. Características gerais dos domicílios e dos moradores 2022. Disponível em: &lt;https://biblioteca.ibge.gov.br/visualizacao/livros/liv102004_informativo.pdf&gt;. Acesso em: 24 jan. 2024.</w:t>
      </w:r>
    </w:p>
    <w:p w14:paraId="51AE093C" w14:textId="25B4695B" w:rsidR="008B2210" w:rsidRPr="00395402" w:rsidRDefault="008B2210"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lastRenderedPageBreak/>
        <w:t xml:space="preserve">______. Pesquisa Nacional por Amostra de Domicílios (PNAD) – Contínua. </w:t>
      </w:r>
      <w:proofErr w:type="spellStart"/>
      <w:r w:rsidRPr="00395402">
        <w:rPr>
          <w:rFonts w:ascii="Times New Roman" w:hAnsi="Times New Roman" w:cs="Times New Roman"/>
          <w:sz w:val="24"/>
          <w:szCs w:val="24"/>
        </w:rPr>
        <w:t>Microdados</w:t>
      </w:r>
      <w:proofErr w:type="spellEnd"/>
      <w:r w:rsidRPr="00395402">
        <w:rPr>
          <w:rFonts w:ascii="Times New Roman" w:hAnsi="Times New Roman" w:cs="Times New Roman"/>
          <w:sz w:val="24"/>
          <w:szCs w:val="24"/>
        </w:rPr>
        <w:t xml:space="preserve"> da PNAD. Disponível em: &lt;https://www.ibge.gov.br/estatisticas/sociais/trabalho/17270-pnad-continua.html?=&amp;t=microdados&gt;. Acesso em: 24 jan. 2024.</w:t>
      </w:r>
    </w:p>
    <w:p w14:paraId="77615198" w14:textId="7064E10A" w:rsidR="5C63AAD9" w:rsidRPr="00395402" w:rsidRDefault="008B2210"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______. PIB cresce 0,5% em 2014 chega a R$ 5,8 trilhões</w:t>
      </w:r>
      <w:r w:rsidR="00164E6D" w:rsidRPr="00395402">
        <w:rPr>
          <w:rFonts w:ascii="Times New Roman" w:hAnsi="Times New Roman" w:cs="Times New Roman"/>
          <w:sz w:val="24"/>
          <w:szCs w:val="24"/>
        </w:rPr>
        <w:t>. 2016. Disponível em: &lt;https://agenciadenoticias.ibge.gov.br/agencia-sala-de-imprensa/2013-agencia-de-noticias/releases/9470-pib-cresce-0-5-em-2014-chega-a-r-5-8-trilhoes&gt;. Acesso em: 31 jan. 2024.</w:t>
      </w:r>
    </w:p>
    <w:p w14:paraId="6CAA5213" w14:textId="6F16E792" w:rsidR="00676DCA" w:rsidRPr="00395402" w:rsidRDefault="00676DCA"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______. PIB cresce 3,0% em 2013 e chega a R$ 5,3 trilhões. 2015. Disponível em: &lt;https://agenciadenoticias.ibge.gov.br/agencia-sala-de-imprensa/2013-agencia-de-noticias/releases/9636-pib-cresce-3-0-em-2013-e-chega-a-r-5-3-trilhoes&gt;. Acesso em: 16 fev. 2024.</w:t>
      </w:r>
      <w:r w:rsidR="00001BB3" w:rsidRPr="00395402">
        <w:rPr>
          <w:rFonts w:ascii="Times New Roman" w:hAnsi="Times New Roman" w:cs="Times New Roman"/>
          <w:sz w:val="24"/>
          <w:szCs w:val="24"/>
        </w:rPr>
        <w:t xml:space="preserve"> </w:t>
      </w:r>
    </w:p>
    <w:p w14:paraId="1CE80CB5" w14:textId="59BE92AA" w:rsidR="00001BB3" w:rsidRPr="00395402" w:rsidRDefault="00001BB3" w:rsidP="00395402">
      <w:pPr>
        <w:spacing w:after="120" w:line="240" w:lineRule="auto"/>
        <w:ind w:firstLine="0"/>
        <w:rPr>
          <w:rFonts w:ascii="Times New Roman" w:hAnsi="Times New Roman" w:cs="Times New Roman"/>
          <w:sz w:val="24"/>
          <w:szCs w:val="24"/>
          <w:lang w:val="en-US"/>
        </w:rPr>
      </w:pPr>
      <w:r w:rsidRPr="00395402">
        <w:rPr>
          <w:rFonts w:ascii="Times New Roman" w:hAnsi="Times New Roman" w:cs="Times New Roman"/>
          <w:sz w:val="24"/>
          <w:szCs w:val="24"/>
        </w:rPr>
        <w:t xml:space="preserve">______. PIB cresce 3,0% em 2013 e chega a R$ 5,3 trilhões. 2015. Disponível em: &lt;https://agenciadenoticias.ibge.gov.br/agencia-sala-de-imprensa/2013-agencia-de-noticias/releases/9636-pib-cresce-3-0-em-2013-e-chega-a-r-5-3-trilhoes&gt;. </w:t>
      </w:r>
      <w:proofErr w:type="spellStart"/>
      <w:r w:rsidRPr="00395402">
        <w:rPr>
          <w:rFonts w:ascii="Times New Roman" w:hAnsi="Times New Roman" w:cs="Times New Roman"/>
          <w:sz w:val="24"/>
          <w:szCs w:val="24"/>
          <w:lang w:val="en-US"/>
        </w:rPr>
        <w:t>Acesso</w:t>
      </w:r>
      <w:proofErr w:type="spellEnd"/>
      <w:r w:rsidRPr="00395402">
        <w:rPr>
          <w:rFonts w:ascii="Times New Roman" w:hAnsi="Times New Roman" w:cs="Times New Roman"/>
          <w:sz w:val="24"/>
          <w:szCs w:val="24"/>
          <w:lang w:val="en-US"/>
        </w:rPr>
        <w:t xml:space="preserve"> </w:t>
      </w:r>
      <w:proofErr w:type="spellStart"/>
      <w:r w:rsidRPr="00395402">
        <w:rPr>
          <w:rFonts w:ascii="Times New Roman" w:hAnsi="Times New Roman" w:cs="Times New Roman"/>
          <w:sz w:val="24"/>
          <w:szCs w:val="24"/>
          <w:lang w:val="en-US"/>
        </w:rPr>
        <w:t>em</w:t>
      </w:r>
      <w:proofErr w:type="spellEnd"/>
      <w:r w:rsidRPr="00395402">
        <w:rPr>
          <w:rFonts w:ascii="Times New Roman" w:hAnsi="Times New Roman" w:cs="Times New Roman"/>
          <w:sz w:val="24"/>
          <w:szCs w:val="24"/>
          <w:lang w:val="en-US"/>
        </w:rPr>
        <w:t xml:space="preserve">: 16 </w:t>
      </w:r>
      <w:proofErr w:type="spellStart"/>
      <w:r w:rsidRPr="00395402">
        <w:rPr>
          <w:rFonts w:ascii="Times New Roman" w:hAnsi="Times New Roman" w:cs="Times New Roman"/>
          <w:sz w:val="24"/>
          <w:szCs w:val="24"/>
          <w:lang w:val="en-US"/>
        </w:rPr>
        <w:t>fev</w:t>
      </w:r>
      <w:proofErr w:type="spellEnd"/>
      <w:r w:rsidRPr="00395402">
        <w:rPr>
          <w:rFonts w:ascii="Times New Roman" w:hAnsi="Times New Roman" w:cs="Times New Roman"/>
          <w:sz w:val="24"/>
          <w:szCs w:val="24"/>
          <w:lang w:val="en-US"/>
        </w:rPr>
        <w:t>. 2024.</w:t>
      </w:r>
    </w:p>
    <w:p w14:paraId="19D72FE5" w14:textId="6F4EF7A7" w:rsidR="00C4719E" w:rsidRPr="00395402" w:rsidRDefault="00C413E5" w:rsidP="00395402">
      <w:pPr>
        <w:spacing w:after="120" w:line="240" w:lineRule="auto"/>
        <w:ind w:firstLine="0"/>
        <w:rPr>
          <w:rFonts w:ascii="Times New Roman" w:hAnsi="Times New Roman" w:cs="Times New Roman"/>
          <w:color w:val="000000"/>
          <w:sz w:val="24"/>
          <w:szCs w:val="24"/>
          <w:lang w:val="en-US"/>
        </w:rPr>
      </w:pPr>
      <w:r w:rsidRPr="00395402">
        <w:rPr>
          <w:rFonts w:ascii="Times New Roman" w:hAnsi="Times New Roman" w:cs="Times New Roman"/>
          <w:color w:val="000000"/>
          <w:sz w:val="24"/>
          <w:szCs w:val="24"/>
        </w:rPr>
        <w:t>L</w:t>
      </w:r>
      <w:r w:rsidR="00C4719E" w:rsidRPr="00395402">
        <w:rPr>
          <w:rFonts w:ascii="Times New Roman" w:hAnsi="Times New Roman" w:cs="Times New Roman"/>
          <w:color w:val="000000"/>
          <w:sz w:val="24"/>
          <w:szCs w:val="24"/>
        </w:rPr>
        <w:t xml:space="preserve">IMA, D. J. P.; DA SILVA, A. M. R.; CAVINI, L. Y. D. S. Análise da Decomposição do Desemprego de mulheres brancas, negras e pardas em 2002 e 2015. </w:t>
      </w:r>
      <w:proofErr w:type="spellStart"/>
      <w:r w:rsidR="00C4719E" w:rsidRPr="00395402">
        <w:rPr>
          <w:rFonts w:ascii="Times New Roman" w:hAnsi="Times New Roman" w:cs="Times New Roman"/>
          <w:color w:val="000000"/>
          <w:sz w:val="24"/>
          <w:szCs w:val="24"/>
          <w:lang w:val="en-US"/>
        </w:rPr>
        <w:t>Econômica</w:t>
      </w:r>
      <w:proofErr w:type="spellEnd"/>
      <w:r w:rsidR="00C4719E" w:rsidRPr="00395402">
        <w:rPr>
          <w:rFonts w:ascii="Times New Roman" w:hAnsi="Times New Roman" w:cs="Times New Roman"/>
          <w:color w:val="000000"/>
          <w:sz w:val="24"/>
          <w:szCs w:val="24"/>
          <w:lang w:val="en-US"/>
        </w:rPr>
        <w:t>, v. 21, n. 2, 2019.</w:t>
      </w:r>
    </w:p>
    <w:p w14:paraId="6DE77B0B" w14:textId="7318704C" w:rsidR="0072566D" w:rsidRPr="00395402" w:rsidRDefault="0072566D" w:rsidP="00395402">
      <w:pPr>
        <w:autoSpaceDE w:val="0"/>
        <w:autoSpaceDN w:val="0"/>
        <w:adjustRightInd w:val="0"/>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MATTEI, T. F.; DA CUNHA, M. S. A crise econômica brasileira e seus efeitos sobre o emprego formal: uma decomposição shift-</w:t>
      </w:r>
      <w:proofErr w:type="spellStart"/>
      <w:r w:rsidRPr="00395402">
        <w:rPr>
          <w:rFonts w:ascii="Times New Roman" w:hAnsi="Times New Roman" w:cs="Times New Roman"/>
          <w:color w:val="000000"/>
          <w:sz w:val="24"/>
          <w:szCs w:val="24"/>
        </w:rPr>
        <w:t>share</w:t>
      </w:r>
      <w:proofErr w:type="spellEnd"/>
      <w:r w:rsidRPr="00395402">
        <w:rPr>
          <w:rFonts w:ascii="Times New Roman" w:hAnsi="Times New Roman" w:cs="Times New Roman"/>
          <w:color w:val="000000"/>
          <w:sz w:val="24"/>
          <w:szCs w:val="24"/>
        </w:rPr>
        <w:t xml:space="preserve"> estocástica. </w:t>
      </w:r>
      <w:proofErr w:type="spellStart"/>
      <w:r w:rsidRPr="00395402">
        <w:rPr>
          <w:rFonts w:ascii="Times New Roman" w:hAnsi="Times New Roman" w:cs="Times New Roman"/>
          <w:color w:val="000000"/>
          <w:sz w:val="24"/>
          <w:szCs w:val="24"/>
        </w:rPr>
        <w:t>Orbis</w:t>
      </w:r>
      <w:proofErr w:type="spellEnd"/>
      <w:r w:rsidRPr="00395402">
        <w:rPr>
          <w:rFonts w:ascii="Times New Roman" w:hAnsi="Times New Roman" w:cs="Times New Roman"/>
          <w:color w:val="000000"/>
          <w:sz w:val="24"/>
          <w:szCs w:val="24"/>
        </w:rPr>
        <w:t xml:space="preserve"> Latina, v. 10, n. 1, p. 116-138, 2020.</w:t>
      </w:r>
    </w:p>
    <w:p w14:paraId="10131859" w14:textId="1E6C602F" w:rsidR="00C35A61" w:rsidRPr="00395402" w:rsidRDefault="00C35A61" w:rsidP="00395402">
      <w:pPr>
        <w:autoSpaceDE w:val="0"/>
        <w:autoSpaceDN w:val="0"/>
        <w:adjustRightInd w:val="0"/>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 xml:space="preserve">MATTEI, L.; HEINEN, V. L. Impactos da crise da Covid-19 no mercado de trabalho brasileiro. </w:t>
      </w:r>
      <w:proofErr w:type="spellStart"/>
      <w:r w:rsidRPr="00395402">
        <w:rPr>
          <w:rFonts w:ascii="Times New Roman" w:hAnsi="Times New Roman" w:cs="Times New Roman"/>
          <w:color w:val="000000"/>
          <w:sz w:val="24"/>
          <w:szCs w:val="24"/>
        </w:rPr>
        <w:t>Brazilian</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Journal</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of</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Political</w:t>
      </w:r>
      <w:proofErr w:type="spellEnd"/>
      <w:r w:rsidRPr="00395402">
        <w:rPr>
          <w:rFonts w:ascii="Times New Roman" w:hAnsi="Times New Roman" w:cs="Times New Roman"/>
          <w:color w:val="000000"/>
          <w:sz w:val="24"/>
          <w:szCs w:val="24"/>
        </w:rPr>
        <w:t xml:space="preserve"> </w:t>
      </w:r>
      <w:proofErr w:type="spellStart"/>
      <w:r w:rsidRPr="00395402">
        <w:rPr>
          <w:rFonts w:ascii="Times New Roman" w:hAnsi="Times New Roman" w:cs="Times New Roman"/>
          <w:color w:val="000000"/>
          <w:sz w:val="24"/>
          <w:szCs w:val="24"/>
        </w:rPr>
        <w:t>Economy</w:t>
      </w:r>
      <w:proofErr w:type="spellEnd"/>
      <w:r w:rsidRPr="00395402">
        <w:rPr>
          <w:rFonts w:ascii="Times New Roman" w:hAnsi="Times New Roman" w:cs="Times New Roman"/>
          <w:color w:val="000000"/>
          <w:sz w:val="24"/>
          <w:szCs w:val="24"/>
        </w:rPr>
        <w:t>, v. 40, p. 647-668, 2020.</w:t>
      </w:r>
      <w:r w:rsidR="00C3793A" w:rsidRPr="00395402">
        <w:rPr>
          <w:rFonts w:ascii="Times New Roman" w:hAnsi="Times New Roman" w:cs="Times New Roman"/>
          <w:color w:val="000000"/>
          <w:sz w:val="24"/>
          <w:szCs w:val="24"/>
        </w:rPr>
        <w:t xml:space="preserve"> </w:t>
      </w:r>
    </w:p>
    <w:p w14:paraId="7A9E94B8" w14:textId="29E9771E" w:rsidR="00C3793A" w:rsidRPr="00395402" w:rsidRDefault="00C3793A" w:rsidP="00395402">
      <w:pPr>
        <w:spacing w:after="120" w:line="240" w:lineRule="auto"/>
        <w:ind w:firstLine="0"/>
        <w:rPr>
          <w:rFonts w:ascii="Times New Roman" w:hAnsi="Times New Roman" w:cs="Times New Roman"/>
          <w:sz w:val="24"/>
          <w:szCs w:val="24"/>
        </w:rPr>
      </w:pPr>
      <w:r w:rsidRPr="00395402">
        <w:rPr>
          <w:rFonts w:ascii="Times New Roman" w:hAnsi="Times New Roman" w:cs="Times New Roman"/>
          <w:sz w:val="24"/>
          <w:szCs w:val="24"/>
        </w:rPr>
        <w:t>MATTOS, F. A. Avanços e dificuldades para o mercado de trabalho. Estudos Avançados, v. 29, p. 69-85, 2015.</w:t>
      </w:r>
    </w:p>
    <w:p w14:paraId="45BD752A" w14:textId="15068260" w:rsidR="00C43861" w:rsidRPr="00395402" w:rsidRDefault="00C43861" w:rsidP="00395402">
      <w:pPr>
        <w:spacing w:after="120" w:line="240" w:lineRule="auto"/>
        <w:ind w:firstLine="0"/>
        <w:rPr>
          <w:rFonts w:ascii="Times New Roman" w:eastAsia="Times New Roman" w:hAnsi="Times New Roman" w:cs="Times New Roman"/>
          <w:sz w:val="24"/>
          <w:szCs w:val="24"/>
        </w:rPr>
      </w:pPr>
      <w:r w:rsidRPr="00395402">
        <w:rPr>
          <w:rFonts w:ascii="Times New Roman" w:eastAsia="Times New Roman" w:hAnsi="Times New Roman" w:cs="Times New Roman"/>
          <w:sz w:val="24"/>
          <w:szCs w:val="24"/>
        </w:rPr>
        <w:t xml:space="preserve">OSHIRO, </w:t>
      </w:r>
      <w:r w:rsidR="001A4B31" w:rsidRPr="00395402">
        <w:rPr>
          <w:rFonts w:ascii="Times New Roman" w:eastAsia="Times New Roman" w:hAnsi="Times New Roman" w:cs="Times New Roman"/>
          <w:sz w:val="24"/>
          <w:szCs w:val="24"/>
        </w:rPr>
        <w:t>Felício</w:t>
      </w:r>
      <w:r w:rsidRPr="00395402">
        <w:rPr>
          <w:rFonts w:ascii="Times New Roman" w:eastAsia="Times New Roman" w:hAnsi="Times New Roman" w:cs="Times New Roman"/>
          <w:sz w:val="24"/>
          <w:szCs w:val="24"/>
        </w:rPr>
        <w:t>; MARQUES, Rosa Maria. O conceito de desemprego e sua medição no século XX. Textos &amp; Contextos (Porto Alegre), v. 15, n. 2, p. 293-307, 2016.</w:t>
      </w:r>
    </w:p>
    <w:p w14:paraId="60580F51" w14:textId="06DBFCAA" w:rsidR="00AC11CC" w:rsidRPr="00395402" w:rsidRDefault="00AC11CC" w:rsidP="00395402">
      <w:pPr>
        <w:spacing w:after="120" w:line="240" w:lineRule="auto"/>
        <w:ind w:firstLine="0"/>
        <w:rPr>
          <w:rFonts w:ascii="Times New Roman" w:eastAsia="Times New Roman" w:hAnsi="Times New Roman" w:cs="Times New Roman"/>
          <w:sz w:val="24"/>
          <w:szCs w:val="24"/>
        </w:rPr>
      </w:pPr>
      <w:r w:rsidRPr="00395402">
        <w:rPr>
          <w:rFonts w:ascii="Times New Roman" w:eastAsia="Times New Roman" w:hAnsi="Times New Roman" w:cs="Times New Roman"/>
          <w:sz w:val="24"/>
          <w:szCs w:val="24"/>
        </w:rPr>
        <w:t>PINTO, R. D. C. O mercado de trabalho brasileiro na pandemia da COVID-19: impactos e políticas públicas de proteção e fomento ao emprego e à renda. 2023.</w:t>
      </w:r>
    </w:p>
    <w:p w14:paraId="6E2D0CF9" w14:textId="358C49E7" w:rsidR="004D23E6" w:rsidRPr="00395402" w:rsidRDefault="00874DD7" w:rsidP="00395402">
      <w:pPr>
        <w:autoSpaceDE w:val="0"/>
        <w:autoSpaceDN w:val="0"/>
        <w:adjustRightInd w:val="0"/>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POCHMANN, M. Ajuste econômico e desemprego recente no Brasil metropolitano. Estudos avançados, v. 29, p. 7-19, 2015.</w:t>
      </w:r>
    </w:p>
    <w:p w14:paraId="6148C7E0" w14:textId="72675C0B" w:rsidR="00D83F96" w:rsidRPr="00395402" w:rsidRDefault="5C63AAD9"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SABOIA, J. Baixo crescimento econômico e melhora do mercado de trabalho-Como entender a aparente contradição? Estudos avançados, v. 28, p. 115-125, 2014.</w:t>
      </w:r>
    </w:p>
    <w:p w14:paraId="786EAEE5" w14:textId="050826CF" w:rsidR="00E879BA" w:rsidRPr="00395402" w:rsidRDefault="00E879BA"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SESSA, C. B.; SIMONATO, T. C.; DOMINGUES, E. P. O ciclo das commodities e crescimento regional desigual no Brasil: uma aplicação de equilíbrio geral computável (EGC). Texto para Discussão, n. 551, 2017.</w:t>
      </w:r>
    </w:p>
    <w:p w14:paraId="28CDC815" w14:textId="58998D62" w:rsidR="000F7228" w:rsidRPr="00395402" w:rsidRDefault="000F7228" w:rsidP="00395402">
      <w:pPr>
        <w:spacing w:after="120" w:line="240" w:lineRule="auto"/>
        <w:ind w:firstLine="0"/>
        <w:rPr>
          <w:rFonts w:ascii="Times New Roman" w:hAnsi="Times New Roman" w:cs="Times New Roman"/>
          <w:color w:val="000000"/>
          <w:sz w:val="24"/>
          <w:szCs w:val="24"/>
        </w:rPr>
      </w:pPr>
      <w:r w:rsidRPr="00395402">
        <w:rPr>
          <w:rFonts w:ascii="Times New Roman" w:hAnsi="Times New Roman" w:cs="Times New Roman"/>
          <w:color w:val="000000"/>
          <w:sz w:val="24"/>
          <w:szCs w:val="24"/>
        </w:rPr>
        <w:t>SILVA, F. J. F. D.; FONSECA NETO, F. D. A. Efeitos da crise financeira de 2008 sobre o desemprego nas regiões metropolitanas brasileiras. Nova Economia, v. 24, p. 265-278, 2014.</w:t>
      </w:r>
    </w:p>
    <w:p w14:paraId="7E9EB2AA" w14:textId="52FE95B9" w:rsidR="5C63AAD9" w:rsidRPr="00395402" w:rsidRDefault="5C63AAD9" w:rsidP="00395402">
      <w:pPr>
        <w:spacing w:after="120" w:line="240" w:lineRule="auto"/>
        <w:ind w:firstLine="0"/>
        <w:rPr>
          <w:rFonts w:ascii="Times New Roman" w:hAnsi="Times New Roman" w:cs="Times New Roman"/>
          <w:color w:val="000000" w:themeColor="text1"/>
          <w:sz w:val="24"/>
          <w:szCs w:val="24"/>
        </w:rPr>
      </w:pPr>
      <w:r w:rsidRPr="00395402">
        <w:rPr>
          <w:rFonts w:ascii="Times New Roman" w:hAnsi="Times New Roman" w:cs="Times New Roman"/>
          <w:color w:val="000000" w:themeColor="text1"/>
          <w:sz w:val="24"/>
          <w:szCs w:val="24"/>
        </w:rPr>
        <w:t>SILVA FILHO, L. A. D.; QUEIROZ, S. N. D.; CLEMENTINO, M. D. L. M. Mercado de trabalho nas regiões metropolitanas brasileiras. Mercator (Fortaleza), v. 15, p. 37-54, 2016.</w:t>
      </w:r>
    </w:p>
    <w:p w14:paraId="41546214" w14:textId="24073775" w:rsidR="007C3C49" w:rsidRPr="00395402" w:rsidRDefault="007C3C49" w:rsidP="00395402">
      <w:pPr>
        <w:spacing w:after="120" w:line="240" w:lineRule="auto"/>
        <w:ind w:firstLine="0"/>
        <w:rPr>
          <w:rFonts w:ascii="Times New Roman" w:hAnsi="Times New Roman" w:cs="Times New Roman"/>
          <w:color w:val="000000"/>
          <w:sz w:val="24"/>
          <w:szCs w:val="24"/>
          <w:lang w:val="en-US"/>
        </w:rPr>
      </w:pPr>
      <w:r w:rsidRPr="00395402">
        <w:rPr>
          <w:rFonts w:ascii="Times New Roman" w:hAnsi="Times New Roman" w:cs="Times New Roman"/>
          <w:color w:val="000000"/>
          <w:sz w:val="24"/>
          <w:szCs w:val="24"/>
          <w:lang w:val="en-US"/>
        </w:rPr>
        <w:lastRenderedPageBreak/>
        <w:t>SHIMER, R. Reassessing the Ins and Outs of Unemployment. Review of Economic Dynamics, Elsevier for the Society for Economic Dynamics, [S.L], v. 15, p. 127-148, set. 2007.</w:t>
      </w:r>
    </w:p>
    <w:p w14:paraId="75D936B5" w14:textId="578E1450" w:rsidR="00E9092B" w:rsidRPr="00BE4754" w:rsidRDefault="00E9092B">
      <w:pPr>
        <w:rPr>
          <w:rFonts w:ascii="Times New Roman" w:hAnsi="Times New Roman" w:cs="Times New Roman"/>
          <w:sz w:val="24"/>
          <w:szCs w:val="24"/>
          <w:lang w:val="en-US"/>
        </w:rPr>
      </w:pPr>
    </w:p>
    <w:sectPr w:rsidR="00E9092B" w:rsidRPr="00BE4754">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A757" w14:textId="77777777" w:rsidR="006C1762" w:rsidRDefault="006C1762" w:rsidP="00B1245D">
      <w:pPr>
        <w:spacing w:line="240" w:lineRule="auto"/>
      </w:pPr>
      <w:r>
        <w:separator/>
      </w:r>
    </w:p>
  </w:endnote>
  <w:endnote w:type="continuationSeparator" w:id="0">
    <w:p w14:paraId="79F2C37E" w14:textId="77777777" w:rsidR="006C1762" w:rsidRDefault="006C1762" w:rsidP="00B12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A235" w14:textId="3CBA5757" w:rsidR="00617797" w:rsidRDefault="00617797" w:rsidP="5C63AA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57348" w14:textId="77777777" w:rsidR="006C1762" w:rsidRDefault="006C1762" w:rsidP="00B1245D">
      <w:pPr>
        <w:spacing w:line="240" w:lineRule="auto"/>
      </w:pPr>
      <w:r>
        <w:separator/>
      </w:r>
    </w:p>
  </w:footnote>
  <w:footnote w:type="continuationSeparator" w:id="0">
    <w:p w14:paraId="6AC4CDBA" w14:textId="77777777" w:rsidR="006C1762" w:rsidRDefault="006C1762" w:rsidP="00B1245D">
      <w:pPr>
        <w:spacing w:line="240" w:lineRule="auto"/>
      </w:pPr>
      <w:r>
        <w:continuationSeparator/>
      </w:r>
    </w:p>
  </w:footnote>
  <w:footnote w:id="1">
    <w:p w14:paraId="2A60C8C2" w14:textId="755E46F0" w:rsidR="00617797" w:rsidRPr="00EE2004" w:rsidRDefault="00617797" w:rsidP="00A80DAD">
      <w:pPr>
        <w:pStyle w:val="Textodenotaderodap"/>
        <w:ind w:firstLine="0"/>
        <w:rPr>
          <w:rFonts w:ascii="Times New Roman" w:hAnsi="Times New Roman" w:cs="Times New Roman"/>
        </w:rPr>
      </w:pPr>
      <w:r w:rsidRPr="00EE2004">
        <w:rPr>
          <w:rStyle w:val="Refdenotaderodap"/>
          <w:rFonts w:ascii="Times New Roman" w:hAnsi="Times New Roman" w:cs="Times New Roman"/>
        </w:rPr>
        <w:footnoteRef/>
      </w:r>
      <w:r w:rsidRPr="00EE2004">
        <w:rPr>
          <w:rFonts w:ascii="Times New Roman" w:hAnsi="Times New Roman" w:cs="Times New Roman"/>
        </w:rPr>
        <w:t xml:space="preserve"> Agradecimento à </w:t>
      </w:r>
      <w:proofErr w:type="spellStart"/>
      <w:r w:rsidRPr="00EE2004">
        <w:rPr>
          <w:rFonts w:ascii="Times New Roman" w:hAnsi="Times New Roman" w:cs="Times New Roman"/>
        </w:rPr>
        <w:t>Fapemig</w:t>
      </w:r>
      <w:proofErr w:type="spellEnd"/>
      <w:r w:rsidRPr="00EE2004">
        <w:rPr>
          <w:rFonts w:ascii="Times New Roman" w:hAnsi="Times New Roman" w:cs="Times New Roman"/>
        </w:rPr>
        <w:t xml:space="preserve"> pelo financiamento da pesquisa. </w:t>
      </w:r>
    </w:p>
  </w:footnote>
  <w:footnote w:id="2">
    <w:p w14:paraId="6970C600" w14:textId="44C4CF0B" w:rsidR="00617797" w:rsidRPr="00FF7F5B" w:rsidRDefault="00617797" w:rsidP="00FF7F5B">
      <w:pPr>
        <w:autoSpaceDE w:val="0"/>
        <w:autoSpaceDN w:val="0"/>
        <w:adjustRightInd w:val="0"/>
        <w:spacing w:line="240" w:lineRule="auto"/>
        <w:ind w:firstLine="0"/>
        <w:rPr>
          <w:sz w:val="20"/>
          <w:szCs w:val="20"/>
        </w:rPr>
      </w:pPr>
      <w:r w:rsidRPr="00FF7F5B">
        <w:rPr>
          <w:rFonts w:ascii="Times New Roman" w:hAnsi="Times New Roman" w:cs="Times New Roman"/>
          <w:sz w:val="20"/>
          <w:szCs w:val="20"/>
        </w:rPr>
        <w:footnoteRef/>
      </w:r>
      <w:r w:rsidRPr="00FF7F5B">
        <w:rPr>
          <w:rFonts w:ascii="Times New Roman" w:hAnsi="Times New Roman" w:cs="Times New Roman"/>
          <w:sz w:val="20"/>
          <w:szCs w:val="20"/>
        </w:rPr>
        <w:t xml:space="preserve"> De acordo com </w:t>
      </w:r>
      <w:proofErr w:type="spellStart"/>
      <w:r w:rsidRPr="00FF7F5B">
        <w:rPr>
          <w:rFonts w:ascii="Times New Roman" w:hAnsi="Times New Roman" w:cs="Times New Roman"/>
          <w:sz w:val="20"/>
          <w:szCs w:val="20"/>
        </w:rPr>
        <w:t>Attuy</w:t>
      </w:r>
      <w:proofErr w:type="spellEnd"/>
      <w:r w:rsidRPr="00FF7F5B">
        <w:rPr>
          <w:rFonts w:ascii="Times New Roman" w:hAnsi="Times New Roman" w:cs="Times New Roman"/>
          <w:sz w:val="20"/>
          <w:szCs w:val="20"/>
        </w:rPr>
        <w:t xml:space="preserve"> (2014), a margem de ingresso, ou margem de separação, faz referência àqueles que deixam o emprego e se tornam desempregados.</w:t>
      </w:r>
    </w:p>
  </w:footnote>
  <w:footnote w:id="3">
    <w:p w14:paraId="5488D6D3" w14:textId="60FF9B5D" w:rsidR="00617797" w:rsidRPr="00145D7B" w:rsidRDefault="00617797" w:rsidP="00600E11">
      <w:pPr>
        <w:autoSpaceDE w:val="0"/>
        <w:autoSpaceDN w:val="0"/>
        <w:adjustRightInd w:val="0"/>
        <w:spacing w:line="240" w:lineRule="auto"/>
        <w:ind w:firstLine="0"/>
        <w:rPr>
          <w:rFonts w:ascii="Times New Roman" w:hAnsi="Times New Roman" w:cs="Times New Roman"/>
        </w:rPr>
      </w:pPr>
      <w:r w:rsidRPr="001203C8">
        <w:rPr>
          <w:rFonts w:ascii="Times New Roman" w:hAnsi="Times New Roman" w:cs="Times New Roman"/>
          <w:sz w:val="20"/>
          <w:szCs w:val="20"/>
        </w:rPr>
        <w:footnoteRef/>
      </w:r>
      <w:r w:rsidRPr="001203C8">
        <w:rPr>
          <w:rFonts w:ascii="Times New Roman" w:hAnsi="Times New Roman" w:cs="Times New Roman"/>
          <w:sz w:val="20"/>
          <w:szCs w:val="20"/>
        </w:rPr>
        <w:t xml:space="preserve"> </w:t>
      </w:r>
      <w:r>
        <w:rPr>
          <w:rFonts w:ascii="Times New Roman" w:hAnsi="Times New Roman" w:cs="Times New Roman"/>
          <w:sz w:val="20"/>
          <w:szCs w:val="20"/>
        </w:rPr>
        <w:t>Conforme Brito, Silva e Rossi (2021), o</w:t>
      </w:r>
      <w:r w:rsidRPr="001203C8">
        <w:rPr>
          <w:rFonts w:ascii="Times New Roman" w:hAnsi="Times New Roman" w:cs="Times New Roman"/>
          <w:sz w:val="20"/>
          <w:szCs w:val="20"/>
        </w:rPr>
        <w:t xml:space="preserve"> Arquétipo Hierárquico-Social pode ser entendido como </w:t>
      </w:r>
      <w:r w:rsidRPr="00212665">
        <w:rPr>
          <w:rFonts w:ascii="Times New Roman" w:hAnsi="Times New Roman" w:cs="Times New Roman"/>
          <w:sz w:val="20"/>
          <w:szCs w:val="20"/>
        </w:rPr>
        <w:t>um tipo de modelo estatístico usado para analisar dados que possuem uma estrutura hierárquica e uma componente espacial.</w:t>
      </w:r>
    </w:p>
  </w:footnote>
  <w:footnote w:id="4">
    <w:p w14:paraId="0B5FFA1C" w14:textId="47C225AD" w:rsidR="00617797" w:rsidRPr="007F3B2A" w:rsidRDefault="00617797" w:rsidP="007F3B2A">
      <w:pPr>
        <w:pStyle w:val="Textodenotaderodap"/>
        <w:ind w:firstLine="0"/>
        <w:rPr>
          <w:rFonts w:ascii="Times New Roman" w:hAnsi="Times New Roman" w:cs="Times New Roman"/>
        </w:rPr>
      </w:pPr>
      <w:r w:rsidRPr="007F3B2A">
        <w:rPr>
          <w:rStyle w:val="Refdenotaderodap"/>
          <w:rFonts w:ascii="Times New Roman" w:hAnsi="Times New Roman" w:cs="Times New Roman"/>
        </w:rPr>
        <w:footnoteRef/>
      </w:r>
      <w:r w:rsidRPr="0070007E">
        <w:rPr>
          <w:rFonts w:ascii="Times New Roman" w:hAnsi="Times New Roman" w:cs="Times New Roman"/>
        </w:rPr>
        <w:t xml:space="preserve"> Conforme Oshiro e Marques (2016), a População Economicamente Ativa (PEA) representa o contingente potencial de mão de obra disponível para o setor produtivo e compreende tanto indivíduos empregados, quanto desempregados.</w:t>
      </w:r>
    </w:p>
  </w:footnote>
  <w:footnote w:id="5">
    <w:p w14:paraId="5A5C00A9" w14:textId="2A2D6626" w:rsidR="00617797" w:rsidRPr="00676DCA" w:rsidRDefault="00617797" w:rsidP="00676DCA">
      <w:pPr>
        <w:pStyle w:val="Textodenotaderodap"/>
        <w:ind w:firstLine="0"/>
        <w:rPr>
          <w:rFonts w:ascii="Times New Roman" w:hAnsi="Times New Roman" w:cs="Times New Roman"/>
        </w:rPr>
      </w:pPr>
      <w:r w:rsidRPr="00676DCA">
        <w:rPr>
          <w:rStyle w:val="Refdenotaderodap"/>
          <w:rFonts w:ascii="Times New Roman" w:hAnsi="Times New Roman" w:cs="Times New Roman"/>
        </w:rPr>
        <w:footnoteRef/>
      </w:r>
      <w:r w:rsidRPr="00676DCA">
        <w:rPr>
          <w:rFonts w:ascii="Times New Roman" w:hAnsi="Times New Roman" w:cs="Times New Roman"/>
        </w:rPr>
        <w:t xml:space="preserve"> O PIB </w:t>
      </w:r>
      <w:r>
        <w:rPr>
          <w:rFonts w:ascii="Times New Roman" w:hAnsi="Times New Roman" w:cs="Times New Roman"/>
        </w:rPr>
        <w:t xml:space="preserve">nominal atingiu </w:t>
      </w:r>
      <w:r w:rsidRPr="00676DCA">
        <w:rPr>
          <w:rFonts w:ascii="Times New Roman" w:hAnsi="Times New Roman" w:cs="Times New Roman"/>
        </w:rPr>
        <w:t>R$ 4,8 trilhões</w:t>
      </w:r>
      <w:r>
        <w:rPr>
          <w:rFonts w:ascii="Times New Roman" w:hAnsi="Times New Roman" w:cs="Times New Roman"/>
        </w:rPr>
        <w:t>,</w:t>
      </w:r>
      <w:r w:rsidRPr="00676DCA">
        <w:rPr>
          <w:rFonts w:ascii="Times New Roman" w:hAnsi="Times New Roman" w:cs="Times New Roman"/>
        </w:rPr>
        <w:t xml:space="preserve"> R$ 5,3 trilhões</w:t>
      </w:r>
      <w:r>
        <w:rPr>
          <w:rFonts w:ascii="Times New Roman" w:hAnsi="Times New Roman" w:cs="Times New Roman"/>
        </w:rPr>
        <w:t xml:space="preserve"> e</w:t>
      </w:r>
      <w:r w:rsidRPr="00676DCA">
        <w:rPr>
          <w:rFonts w:ascii="Times New Roman" w:hAnsi="Times New Roman" w:cs="Times New Roman"/>
        </w:rPr>
        <w:t xml:space="preserve"> R$ 5,8 trilhões em 2012</w:t>
      </w:r>
      <w:r>
        <w:rPr>
          <w:rFonts w:ascii="Times New Roman" w:hAnsi="Times New Roman" w:cs="Times New Roman"/>
        </w:rPr>
        <w:t>,</w:t>
      </w:r>
      <w:r w:rsidRPr="00676DCA">
        <w:rPr>
          <w:rFonts w:ascii="Times New Roman" w:hAnsi="Times New Roman" w:cs="Times New Roman"/>
        </w:rPr>
        <w:t xml:space="preserve"> 2013 </w:t>
      </w:r>
      <w:r>
        <w:rPr>
          <w:rFonts w:ascii="Times New Roman" w:hAnsi="Times New Roman" w:cs="Times New Roman"/>
        </w:rPr>
        <w:t xml:space="preserve">e 2014, respectivamente </w:t>
      </w:r>
      <w:r w:rsidRPr="00676DCA">
        <w:rPr>
          <w:rFonts w:ascii="Times New Roman" w:hAnsi="Times New Roman" w:cs="Times New Roman"/>
        </w:rPr>
        <w:t>(IBGE,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3EE5" w14:textId="58ACD270" w:rsidR="00617797" w:rsidRDefault="00617797" w:rsidP="5C63AA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171"/>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F6C75"/>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2" w15:restartNumberingAfterBreak="0">
    <w:nsid w:val="0BA14940"/>
    <w:multiLevelType w:val="hybridMultilevel"/>
    <w:tmpl w:val="9D24F7F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C624AD2"/>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22C10"/>
    <w:multiLevelType w:val="multilevel"/>
    <w:tmpl w:val="1736D244"/>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abstractNum w:abstractNumId="5" w15:restartNumberingAfterBreak="0">
    <w:nsid w:val="0D286C16"/>
    <w:multiLevelType w:val="multilevel"/>
    <w:tmpl w:val="A596FC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669B6"/>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7" w15:restartNumberingAfterBreak="0">
    <w:nsid w:val="0FC00E5D"/>
    <w:multiLevelType w:val="hybridMultilevel"/>
    <w:tmpl w:val="4D3EA8BA"/>
    <w:lvl w:ilvl="0" w:tplc="666822D4">
      <w:numFmt w:val="none"/>
      <w:lvlText w:val=""/>
      <w:lvlJc w:val="left"/>
      <w:pPr>
        <w:tabs>
          <w:tab w:val="num" w:pos="360"/>
        </w:tabs>
      </w:pPr>
    </w:lvl>
    <w:lvl w:ilvl="1" w:tplc="81A62C64">
      <w:start w:val="1"/>
      <w:numFmt w:val="lowerLetter"/>
      <w:lvlText w:val="%2."/>
      <w:lvlJc w:val="left"/>
      <w:pPr>
        <w:ind w:left="1440" w:hanging="360"/>
      </w:pPr>
    </w:lvl>
    <w:lvl w:ilvl="2" w:tplc="574A241E">
      <w:start w:val="1"/>
      <w:numFmt w:val="lowerRoman"/>
      <w:lvlText w:val="%3."/>
      <w:lvlJc w:val="right"/>
      <w:pPr>
        <w:ind w:left="2160" w:hanging="180"/>
      </w:pPr>
    </w:lvl>
    <w:lvl w:ilvl="3" w:tplc="E9F4C2DA">
      <w:start w:val="1"/>
      <w:numFmt w:val="decimal"/>
      <w:lvlText w:val="%4."/>
      <w:lvlJc w:val="left"/>
      <w:pPr>
        <w:ind w:left="2880" w:hanging="360"/>
      </w:pPr>
    </w:lvl>
    <w:lvl w:ilvl="4" w:tplc="BD7CEB8E">
      <w:start w:val="1"/>
      <w:numFmt w:val="lowerLetter"/>
      <w:lvlText w:val="%5."/>
      <w:lvlJc w:val="left"/>
      <w:pPr>
        <w:ind w:left="3600" w:hanging="360"/>
      </w:pPr>
    </w:lvl>
    <w:lvl w:ilvl="5" w:tplc="326CC4C8">
      <w:start w:val="1"/>
      <w:numFmt w:val="lowerRoman"/>
      <w:lvlText w:val="%6."/>
      <w:lvlJc w:val="right"/>
      <w:pPr>
        <w:ind w:left="4320" w:hanging="180"/>
      </w:pPr>
    </w:lvl>
    <w:lvl w:ilvl="6" w:tplc="DC983CCA">
      <w:start w:val="1"/>
      <w:numFmt w:val="decimal"/>
      <w:lvlText w:val="%7."/>
      <w:lvlJc w:val="left"/>
      <w:pPr>
        <w:ind w:left="5040" w:hanging="360"/>
      </w:pPr>
    </w:lvl>
    <w:lvl w:ilvl="7" w:tplc="A48C36EE">
      <w:start w:val="1"/>
      <w:numFmt w:val="lowerLetter"/>
      <w:lvlText w:val="%8."/>
      <w:lvlJc w:val="left"/>
      <w:pPr>
        <w:ind w:left="5760" w:hanging="360"/>
      </w:pPr>
    </w:lvl>
    <w:lvl w:ilvl="8" w:tplc="CAB8ADBC">
      <w:start w:val="1"/>
      <w:numFmt w:val="lowerRoman"/>
      <w:lvlText w:val="%9."/>
      <w:lvlJc w:val="right"/>
      <w:pPr>
        <w:ind w:left="6480" w:hanging="180"/>
      </w:pPr>
    </w:lvl>
  </w:abstractNum>
  <w:abstractNum w:abstractNumId="8" w15:restartNumberingAfterBreak="0">
    <w:nsid w:val="13D462C6"/>
    <w:multiLevelType w:val="multilevel"/>
    <w:tmpl w:val="1736D244"/>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abstractNum w:abstractNumId="9" w15:restartNumberingAfterBreak="0">
    <w:nsid w:val="162A79BB"/>
    <w:multiLevelType w:val="hybridMultilevel"/>
    <w:tmpl w:val="5F107F74"/>
    <w:lvl w:ilvl="0" w:tplc="DD36F91C">
      <w:start w:val="3"/>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8147293"/>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D0902"/>
    <w:multiLevelType w:val="multilevel"/>
    <w:tmpl w:val="883A79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8D014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9B51CC"/>
    <w:multiLevelType w:val="hybridMultilevel"/>
    <w:tmpl w:val="9858F20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EA66EB2"/>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74724A"/>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16" w15:restartNumberingAfterBreak="0">
    <w:nsid w:val="24A50250"/>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17" w15:restartNumberingAfterBreak="0">
    <w:nsid w:val="2636121C"/>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2D7112"/>
    <w:multiLevelType w:val="multilevel"/>
    <w:tmpl w:val="06ECDB3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9A5553E"/>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20" w15:restartNumberingAfterBreak="0">
    <w:nsid w:val="31EB4139"/>
    <w:multiLevelType w:val="multilevel"/>
    <w:tmpl w:val="F4367E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C5C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1D3A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4B7906"/>
    <w:multiLevelType w:val="multilevel"/>
    <w:tmpl w:val="E59C2A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69"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E103F4"/>
    <w:multiLevelType w:val="hybridMultilevel"/>
    <w:tmpl w:val="F976A6E0"/>
    <w:lvl w:ilvl="0" w:tplc="5E7C54DC">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9EB72F9"/>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26" w15:restartNumberingAfterBreak="0">
    <w:nsid w:val="4A9D327B"/>
    <w:multiLevelType w:val="hybridMultilevel"/>
    <w:tmpl w:val="2DD8294C"/>
    <w:lvl w:ilvl="0" w:tplc="3592973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3CA21DB"/>
    <w:multiLevelType w:val="hybridMultilevel"/>
    <w:tmpl w:val="22740FD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79F49AE"/>
    <w:multiLevelType w:val="multilevel"/>
    <w:tmpl w:val="DD4AF67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8910A70"/>
    <w:multiLevelType w:val="multilevel"/>
    <w:tmpl w:val="56742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61988"/>
    <w:multiLevelType w:val="multilevel"/>
    <w:tmpl w:val="4D504400"/>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31" w15:restartNumberingAfterBreak="0">
    <w:nsid w:val="5C0F6537"/>
    <w:multiLevelType w:val="multilevel"/>
    <w:tmpl w:val="B11ACB22"/>
    <w:lvl w:ilvl="0">
      <w:start w:val="1"/>
      <w:numFmt w:val="decimal"/>
      <w:lvlText w:val="%1."/>
      <w:lvlJc w:val="left"/>
      <w:pPr>
        <w:ind w:left="927" w:hanging="360"/>
      </w:pPr>
      <w:rPr>
        <w:rFonts w:hint="default"/>
      </w:rPr>
    </w:lvl>
    <w:lvl w:ilvl="1">
      <w:start w:val="2"/>
      <w:numFmt w:val="decimal"/>
      <w:lvlText w:val="%1.%2."/>
      <w:lvlJc w:val="left"/>
      <w:pPr>
        <w:ind w:left="1287" w:hanging="360"/>
      </w:pPr>
      <w:rPr>
        <w:rFonts w:ascii="Times New Roman" w:hAnsi="Times New Roman" w:cs="Times New Roman" w:hint="default"/>
        <w:b w:val="0"/>
        <w:bCs w:val="0"/>
        <w:sz w:val="24"/>
        <w:szCs w:val="24"/>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32" w15:restartNumberingAfterBreak="0">
    <w:nsid w:val="5D3162EC"/>
    <w:multiLevelType w:val="multilevel"/>
    <w:tmpl w:val="6F1625F2"/>
    <w:lvl w:ilvl="0">
      <w:start w:val="2"/>
      <w:numFmt w:val="decimal"/>
      <w:lvlText w:val="%1."/>
      <w:lvlJc w:val="left"/>
      <w:pPr>
        <w:ind w:left="106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F34173B"/>
    <w:multiLevelType w:val="multilevel"/>
    <w:tmpl w:val="BD4E0F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2BC1CF0"/>
    <w:multiLevelType w:val="hybridMultilevel"/>
    <w:tmpl w:val="04126C84"/>
    <w:lvl w:ilvl="0" w:tplc="09DA5AC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33706A7"/>
    <w:multiLevelType w:val="multilevel"/>
    <w:tmpl w:val="56F45E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9623459"/>
    <w:multiLevelType w:val="multilevel"/>
    <w:tmpl w:val="F40067A4"/>
    <w:lvl w:ilvl="0">
      <w:start w:val="5"/>
      <w:numFmt w:val="decimal"/>
      <w:lvlText w:val="%1."/>
      <w:lvlJc w:val="left"/>
      <w:pPr>
        <w:ind w:left="1429"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15:restartNumberingAfterBreak="0">
    <w:nsid w:val="6D2E5725"/>
    <w:multiLevelType w:val="multilevel"/>
    <w:tmpl w:val="FFC6FA8A"/>
    <w:lvl w:ilvl="0">
      <w:start w:val="1"/>
      <w:numFmt w:val="decimal"/>
      <w:lvlText w:val="%1."/>
      <w:lvlJc w:val="left"/>
      <w:pPr>
        <w:ind w:left="360" w:hanging="360"/>
      </w:pPr>
      <w:rPr>
        <w:rFonts w:hint="default"/>
      </w:rPr>
    </w:lvl>
    <w:lvl w:ilvl="1">
      <w:start w:val="1"/>
      <w:numFmt w:val="decimal"/>
      <w:lvlText w:val="%1.%2."/>
      <w:lvlJc w:val="left"/>
      <w:pPr>
        <w:ind w:left="1069" w:hanging="360"/>
      </w:pPr>
      <w:rPr>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5311E9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A80CDF"/>
    <w:multiLevelType w:val="multilevel"/>
    <w:tmpl w:val="E452D7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461FEF"/>
    <w:multiLevelType w:val="hybridMultilevel"/>
    <w:tmpl w:val="5E6CF1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6CC3098"/>
    <w:multiLevelType w:val="multilevel"/>
    <w:tmpl w:val="A912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8A1AD7"/>
    <w:multiLevelType w:val="hybridMultilevel"/>
    <w:tmpl w:val="1B9A5F4A"/>
    <w:lvl w:ilvl="0" w:tplc="D8B64DE0">
      <w:start w:val="3"/>
      <w:numFmt w:val="decimal"/>
      <w:lvlText w:val="%1."/>
      <w:lvlJc w:val="left"/>
      <w:pPr>
        <w:ind w:left="927" w:hanging="360"/>
      </w:pPr>
      <w:rPr>
        <w:rFonts w:hint="default"/>
        <w:b/>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D9F7E87"/>
    <w:multiLevelType w:val="multilevel"/>
    <w:tmpl w:val="E7AC415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1"/>
  </w:num>
  <w:num w:numId="3">
    <w:abstractNumId w:val="8"/>
  </w:num>
  <w:num w:numId="4">
    <w:abstractNumId w:val="42"/>
  </w:num>
  <w:num w:numId="5">
    <w:abstractNumId w:val="9"/>
  </w:num>
  <w:num w:numId="6">
    <w:abstractNumId w:val="2"/>
  </w:num>
  <w:num w:numId="7">
    <w:abstractNumId w:val="38"/>
  </w:num>
  <w:num w:numId="8">
    <w:abstractNumId w:val="11"/>
  </w:num>
  <w:num w:numId="9">
    <w:abstractNumId w:val="37"/>
  </w:num>
  <w:num w:numId="10">
    <w:abstractNumId w:val="4"/>
  </w:num>
  <w:num w:numId="11">
    <w:abstractNumId w:val="15"/>
  </w:num>
  <w:num w:numId="12">
    <w:abstractNumId w:val="30"/>
  </w:num>
  <w:num w:numId="13">
    <w:abstractNumId w:val="22"/>
  </w:num>
  <w:num w:numId="14">
    <w:abstractNumId w:val="1"/>
  </w:num>
  <w:num w:numId="15">
    <w:abstractNumId w:val="36"/>
  </w:num>
  <w:num w:numId="16">
    <w:abstractNumId w:val="27"/>
  </w:num>
  <w:num w:numId="17">
    <w:abstractNumId w:val="23"/>
  </w:num>
  <w:num w:numId="18">
    <w:abstractNumId w:val="10"/>
  </w:num>
  <w:num w:numId="19">
    <w:abstractNumId w:val="3"/>
  </w:num>
  <w:num w:numId="20">
    <w:abstractNumId w:val="41"/>
  </w:num>
  <w:num w:numId="21">
    <w:abstractNumId w:val="0"/>
  </w:num>
  <w:num w:numId="22">
    <w:abstractNumId w:val="5"/>
  </w:num>
  <w:num w:numId="23">
    <w:abstractNumId w:val="14"/>
  </w:num>
  <w:num w:numId="24">
    <w:abstractNumId w:val="17"/>
  </w:num>
  <w:num w:numId="25">
    <w:abstractNumId w:val="12"/>
  </w:num>
  <w:num w:numId="26">
    <w:abstractNumId w:val="28"/>
  </w:num>
  <w:num w:numId="27">
    <w:abstractNumId w:val="18"/>
  </w:num>
  <w:num w:numId="28">
    <w:abstractNumId w:val="16"/>
  </w:num>
  <w:num w:numId="29">
    <w:abstractNumId w:val="25"/>
  </w:num>
  <w:num w:numId="30">
    <w:abstractNumId w:val="19"/>
  </w:num>
  <w:num w:numId="31">
    <w:abstractNumId w:val="6"/>
  </w:num>
  <w:num w:numId="32">
    <w:abstractNumId w:val="31"/>
  </w:num>
  <w:num w:numId="33">
    <w:abstractNumId w:val="39"/>
  </w:num>
  <w:num w:numId="34">
    <w:abstractNumId w:val="35"/>
  </w:num>
  <w:num w:numId="35">
    <w:abstractNumId w:val="34"/>
  </w:num>
  <w:num w:numId="36">
    <w:abstractNumId w:val="29"/>
  </w:num>
  <w:num w:numId="37">
    <w:abstractNumId w:val="33"/>
  </w:num>
  <w:num w:numId="38">
    <w:abstractNumId w:val="26"/>
  </w:num>
  <w:num w:numId="39">
    <w:abstractNumId w:val="13"/>
  </w:num>
  <w:num w:numId="40">
    <w:abstractNumId w:val="40"/>
  </w:num>
  <w:num w:numId="41">
    <w:abstractNumId w:val="43"/>
  </w:num>
  <w:num w:numId="42">
    <w:abstractNumId w:val="20"/>
  </w:num>
  <w:num w:numId="43">
    <w:abstractNumId w:val="2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5D"/>
    <w:rsid w:val="00000BB9"/>
    <w:rsid w:val="00000F3F"/>
    <w:rsid w:val="000019EE"/>
    <w:rsid w:val="00001BB3"/>
    <w:rsid w:val="00001F91"/>
    <w:rsid w:val="000021FD"/>
    <w:rsid w:val="000031BA"/>
    <w:rsid w:val="000049C8"/>
    <w:rsid w:val="00005A87"/>
    <w:rsid w:val="00007378"/>
    <w:rsid w:val="000078BC"/>
    <w:rsid w:val="00010A22"/>
    <w:rsid w:val="00010A57"/>
    <w:rsid w:val="000134E8"/>
    <w:rsid w:val="00016958"/>
    <w:rsid w:val="00017793"/>
    <w:rsid w:val="00020CA6"/>
    <w:rsid w:val="000220E2"/>
    <w:rsid w:val="00023E89"/>
    <w:rsid w:val="00025418"/>
    <w:rsid w:val="00025D6D"/>
    <w:rsid w:val="00026725"/>
    <w:rsid w:val="00027481"/>
    <w:rsid w:val="00030030"/>
    <w:rsid w:val="0003133F"/>
    <w:rsid w:val="00031746"/>
    <w:rsid w:val="0003421E"/>
    <w:rsid w:val="0003470B"/>
    <w:rsid w:val="00035FE1"/>
    <w:rsid w:val="00037D68"/>
    <w:rsid w:val="00042BC4"/>
    <w:rsid w:val="00043D4C"/>
    <w:rsid w:val="00045955"/>
    <w:rsid w:val="0004782A"/>
    <w:rsid w:val="000500C5"/>
    <w:rsid w:val="0005110D"/>
    <w:rsid w:val="00052689"/>
    <w:rsid w:val="00054A75"/>
    <w:rsid w:val="00056CA4"/>
    <w:rsid w:val="0005773F"/>
    <w:rsid w:val="0006330E"/>
    <w:rsid w:val="000654F8"/>
    <w:rsid w:val="00066386"/>
    <w:rsid w:val="000678DE"/>
    <w:rsid w:val="00070DFD"/>
    <w:rsid w:val="00071F15"/>
    <w:rsid w:val="0008023B"/>
    <w:rsid w:val="00082B08"/>
    <w:rsid w:val="000842D4"/>
    <w:rsid w:val="00085F9D"/>
    <w:rsid w:val="00086E5B"/>
    <w:rsid w:val="0009035B"/>
    <w:rsid w:val="00091A27"/>
    <w:rsid w:val="00093612"/>
    <w:rsid w:val="00094102"/>
    <w:rsid w:val="000947AE"/>
    <w:rsid w:val="000A0F85"/>
    <w:rsid w:val="000A6E86"/>
    <w:rsid w:val="000B1B74"/>
    <w:rsid w:val="000B2754"/>
    <w:rsid w:val="000B2A28"/>
    <w:rsid w:val="000B3C46"/>
    <w:rsid w:val="000B562D"/>
    <w:rsid w:val="000B5C6F"/>
    <w:rsid w:val="000B603D"/>
    <w:rsid w:val="000B6A65"/>
    <w:rsid w:val="000B7CBA"/>
    <w:rsid w:val="000C11EE"/>
    <w:rsid w:val="000C19C4"/>
    <w:rsid w:val="000C2960"/>
    <w:rsid w:val="000C3AE4"/>
    <w:rsid w:val="000C3B2B"/>
    <w:rsid w:val="000C581B"/>
    <w:rsid w:val="000C6540"/>
    <w:rsid w:val="000C7F36"/>
    <w:rsid w:val="000D05ED"/>
    <w:rsid w:val="000D1B47"/>
    <w:rsid w:val="000D1FE7"/>
    <w:rsid w:val="000D2A54"/>
    <w:rsid w:val="000D3986"/>
    <w:rsid w:val="000D4C0C"/>
    <w:rsid w:val="000D588E"/>
    <w:rsid w:val="000D6108"/>
    <w:rsid w:val="000D676C"/>
    <w:rsid w:val="000D7BB7"/>
    <w:rsid w:val="000E0048"/>
    <w:rsid w:val="000E0CEF"/>
    <w:rsid w:val="000E2700"/>
    <w:rsid w:val="000E4B74"/>
    <w:rsid w:val="000E5EDD"/>
    <w:rsid w:val="000E76B2"/>
    <w:rsid w:val="000E7D7C"/>
    <w:rsid w:val="000F09BC"/>
    <w:rsid w:val="000F4CCA"/>
    <w:rsid w:val="000F5502"/>
    <w:rsid w:val="000F5CC7"/>
    <w:rsid w:val="000F7228"/>
    <w:rsid w:val="000F7549"/>
    <w:rsid w:val="00101EA4"/>
    <w:rsid w:val="0010560D"/>
    <w:rsid w:val="00106C71"/>
    <w:rsid w:val="00106F96"/>
    <w:rsid w:val="001110B4"/>
    <w:rsid w:val="0011174C"/>
    <w:rsid w:val="00114253"/>
    <w:rsid w:val="001156EA"/>
    <w:rsid w:val="001157D6"/>
    <w:rsid w:val="00116117"/>
    <w:rsid w:val="001203C8"/>
    <w:rsid w:val="00121482"/>
    <w:rsid w:val="001218DB"/>
    <w:rsid w:val="00121E34"/>
    <w:rsid w:val="00123D81"/>
    <w:rsid w:val="00124EB6"/>
    <w:rsid w:val="001255B2"/>
    <w:rsid w:val="001262D5"/>
    <w:rsid w:val="001272EA"/>
    <w:rsid w:val="00132046"/>
    <w:rsid w:val="00140860"/>
    <w:rsid w:val="001409F3"/>
    <w:rsid w:val="001427D6"/>
    <w:rsid w:val="001451CF"/>
    <w:rsid w:val="00145D7B"/>
    <w:rsid w:val="0014760A"/>
    <w:rsid w:val="00150A29"/>
    <w:rsid w:val="001523A0"/>
    <w:rsid w:val="00153CBC"/>
    <w:rsid w:val="00153FAE"/>
    <w:rsid w:val="00154330"/>
    <w:rsid w:val="0015692F"/>
    <w:rsid w:val="00156B1F"/>
    <w:rsid w:val="00160B4D"/>
    <w:rsid w:val="001614A6"/>
    <w:rsid w:val="001615FC"/>
    <w:rsid w:val="00162399"/>
    <w:rsid w:val="0016386C"/>
    <w:rsid w:val="00163F4D"/>
    <w:rsid w:val="001643C8"/>
    <w:rsid w:val="00164426"/>
    <w:rsid w:val="00164E6D"/>
    <w:rsid w:val="001653CB"/>
    <w:rsid w:val="0016797F"/>
    <w:rsid w:val="0017440F"/>
    <w:rsid w:val="00174521"/>
    <w:rsid w:val="0017461D"/>
    <w:rsid w:val="00176EA1"/>
    <w:rsid w:val="0017741A"/>
    <w:rsid w:val="00177CD0"/>
    <w:rsid w:val="0018124D"/>
    <w:rsid w:val="00181B3C"/>
    <w:rsid w:val="00184146"/>
    <w:rsid w:val="0018634F"/>
    <w:rsid w:val="001909B6"/>
    <w:rsid w:val="00190DF1"/>
    <w:rsid w:val="00191EB5"/>
    <w:rsid w:val="00191EFE"/>
    <w:rsid w:val="001A0307"/>
    <w:rsid w:val="001A06B7"/>
    <w:rsid w:val="001A4B31"/>
    <w:rsid w:val="001A52F4"/>
    <w:rsid w:val="001A54E3"/>
    <w:rsid w:val="001A7B33"/>
    <w:rsid w:val="001B1048"/>
    <w:rsid w:val="001B2C73"/>
    <w:rsid w:val="001B46C6"/>
    <w:rsid w:val="001B6580"/>
    <w:rsid w:val="001B6C39"/>
    <w:rsid w:val="001B7EE6"/>
    <w:rsid w:val="001C0437"/>
    <w:rsid w:val="001C11BC"/>
    <w:rsid w:val="001C1C01"/>
    <w:rsid w:val="001C20B4"/>
    <w:rsid w:val="001C424C"/>
    <w:rsid w:val="001C4D12"/>
    <w:rsid w:val="001C50E9"/>
    <w:rsid w:val="001C6BCB"/>
    <w:rsid w:val="001C6C07"/>
    <w:rsid w:val="001C76D8"/>
    <w:rsid w:val="001D19BB"/>
    <w:rsid w:val="001D1AC7"/>
    <w:rsid w:val="001D34C8"/>
    <w:rsid w:val="001D3858"/>
    <w:rsid w:val="001D45B9"/>
    <w:rsid w:val="001D48D5"/>
    <w:rsid w:val="001D5E5A"/>
    <w:rsid w:val="001D66E7"/>
    <w:rsid w:val="001D6704"/>
    <w:rsid w:val="001D759E"/>
    <w:rsid w:val="001D7A08"/>
    <w:rsid w:val="001E232D"/>
    <w:rsid w:val="001E4F99"/>
    <w:rsid w:val="001E5710"/>
    <w:rsid w:val="001E730B"/>
    <w:rsid w:val="001E7AC9"/>
    <w:rsid w:val="001E7C16"/>
    <w:rsid w:val="001E7CD0"/>
    <w:rsid w:val="001F093D"/>
    <w:rsid w:val="001F09F1"/>
    <w:rsid w:val="001F1744"/>
    <w:rsid w:val="001F311F"/>
    <w:rsid w:val="001F4E5B"/>
    <w:rsid w:val="001F5BAD"/>
    <w:rsid w:val="001F5D6F"/>
    <w:rsid w:val="001F5F14"/>
    <w:rsid w:val="001F705B"/>
    <w:rsid w:val="001F7B6A"/>
    <w:rsid w:val="002003F3"/>
    <w:rsid w:val="00200B72"/>
    <w:rsid w:val="00201513"/>
    <w:rsid w:val="00201FE9"/>
    <w:rsid w:val="00205009"/>
    <w:rsid w:val="00205B05"/>
    <w:rsid w:val="00211101"/>
    <w:rsid w:val="002111EF"/>
    <w:rsid w:val="002112D8"/>
    <w:rsid w:val="00211535"/>
    <w:rsid w:val="00211BA6"/>
    <w:rsid w:val="00211DB3"/>
    <w:rsid w:val="00212665"/>
    <w:rsid w:val="002127F8"/>
    <w:rsid w:val="002129CD"/>
    <w:rsid w:val="00214B0F"/>
    <w:rsid w:val="002155BF"/>
    <w:rsid w:val="002167E4"/>
    <w:rsid w:val="00216F1B"/>
    <w:rsid w:val="002172B3"/>
    <w:rsid w:val="00217464"/>
    <w:rsid w:val="0021759A"/>
    <w:rsid w:val="00217C47"/>
    <w:rsid w:val="00220B20"/>
    <w:rsid w:val="00221F87"/>
    <w:rsid w:val="00221FE1"/>
    <w:rsid w:val="00223A2F"/>
    <w:rsid w:val="00227571"/>
    <w:rsid w:val="00230374"/>
    <w:rsid w:val="00231DFE"/>
    <w:rsid w:val="00232792"/>
    <w:rsid w:val="00234AA8"/>
    <w:rsid w:val="00236270"/>
    <w:rsid w:val="002410D6"/>
    <w:rsid w:val="002417D4"/>
    <w:rsid w:val="00241D8C"/>
    <w:rsid w:val="00242CA9"/>
    <w:rsid w:val="00242CDF"/>
    <w:rsid w:val="00244CF6"/>
    <w:rsid w:val="002453B9"/>
    <w:rsid w:val="002517D7"/>
    <w:rsid w:val="0025392E"/>
    <w:rsid w:val="00254C73"/>
    <w:rsid w:val="002551CB"/>
    <w:rsid w:val="002557C6"/>
    <w:rsid w:val="0025674A"/>
    <w:rsid w:val="00256CF8"/>
    <w:rsid w:val="00257947"/>
    <w:rsid w:val="00257B44"/>
    <w:rsid w:val="0026030A"/>
    <w:rsid w:val="0026081C"/>
    <w:rsid w:val="00260A73"/>
    <w:rsid w:val="00261E37"/>
    <w:rsid w:val="002620D3"/>
    <w:rsid w:val="002636CC"/>
    <w:rsid w:val="002643C1"/>
    <w:rsid w:val="00264405"/>
    <w:rsid w:val="002647C7"/>
    <w:rsid w:val="0026617F"/>
    <w:rsid w:val="002679E9"/>
    <w:rsid w:val="002740C2"/>
    <w:rsid w:val="002829F2"/>
    <w:rsid w:val="002831B7"/>
    <w:rsid w:val="0029295F"/>
    <w:rsid w:val="00292A81"/>
    <w:rsid w:val="00292B15"/>
    <w:rsid w:val="00293E55"/>
    <w:rsid w:val="00295703"/>
    <w:rsid w:val="00297B70"/>
    <w:rsid w:val="002A0D7B"/>
    <w:rsid w:val="002A1435"/>
    <w:rsid w:val="002A2EDB"/>
    <w:rsid w:val="002A52D1"/>
    <w:rsid w:val="002A7775"/>
    <w:rsid w:val="002B26A9"/>
    <w:rsid w:val="002B5EE2"/>
    <w:rsid w:val="002C0908"/>
    <w:rsid w:val="002C2302"/>
    <w:rsid w:val="002C299F"/>
    <w:rsid w:val="002C3A05"/>
    <w:rsid w:val="002C46D5"/>
    <w:rsid w:val="002C6857"/>
    <w:rsid w:val="002C71CF"/>
    <w:rsid w:val="002D0481"/>
    <w:rsid w:val="002D0F8C"/>
    <w:rsid w:val="002D12C1"/>
    <w:rsid w:val="002D14A9"/>
    <w:rsid w:val="002D4A31"/>
    <w:rsid w:val="002D5300"/>
    <w:rsid w:val="002D7C26"/>
    <w:rsid w:val="002D7DDE"/>
    <w:rsid w:val="002E06A2"/>
    <w:rsid w:val="002E705E"/>
    <w:rsid w:val="002E7AE3"/>
    <w:rsid w:val="002F0E9E"/>
    <w:rsid w:val="002F246F"/>
    <w:rsid w:val="002F493C"/>
    <w:rsid w:val="002F7B64"/>
    <w:rsid w:val="0030443F"/>
    <w:rsid w:val="003046ED"/>
    <w:rsid w:val="00310FB9"/>
    <w:rsid w:val="00311B66"/>
    <w:rsid w:val="003129F0"/>
    <w:rsid w:val="00314368"/>
    <w:rsid w:val="003165C8"/>
    <w:rsid w:val="003177DC"/>
    <w:rsid w:val="00320E17"/>
    <w:rsid w:val="00325F82"/>
    <w:rsid w:val="0032732E"/>
    <w:rsid w:val="00327B60"/>
    <w:rsid w:val="00330984"/>
    <w:rsid w:val="0033429A"/>
    <w:rsid w:val="00335A53"/>
    <w:rsid w:val="00340654"/>
    <w:rsid w:val="00342F10"/>
    <w:rsid w:val="003433A1"/>
    <w:rsid w:val="0034433E"/>
    <w:rsid w:val="003463AF"/>
    <w:rsid w:val="00347CB6"/>
    <w:rsid w:val="00347D4E"/>
    <w:rsid w:val="00353CFF"/>
    <w:rsid w:val="00355B53"/>
    <w:rsid w:val="00356EE7"/>
    <w:rsid w:val="00357581"/>
    <w:rsid w:val="00360303"/>
    <w:rsid w:val="003656A4"/>
    <w:rsid w:val="003661FD"/>
    <w:rsid w:val="00366A6C"/>
    <w:rsid w:val="0036798A"/>
    <w:rsid w:val="003679FD"/>
    <w:rsid w:val="003723AC"/>
    <w:rsid w:val="00373194"/>
    <w:rsid w:val="003748CB"/>
    <w:rsid w:val="00374B6C"/>
    <w:rsid w:val="00376B83"/>
    <w:rsid w:val="0037720B"/>
    <w:rsid w:val="00380A89"/>
    <w:rsid w:val="003861B0"/>
    <w:rsid w:val="003870E3"/>
    <w:rsid w:val="003872BB"/>
    <w:rsid w:val="0038769A"/>
    <w:rsid w:val="00393578"/>
    <w:rsid w:val="00393F57"/>
    <w:rsid w:val="003941AC"/>
    <w:rsid w:val="00395402"/>
    <w:rsid w:val="00396A58"/>
    <w:rsid w:val="003A01F5"/>
    <w:rsid w:val="003A0DF2"/>
    <w:rsid w:val="003A7D77"/>
    <w:rsid w:val="003B2607"/>
    <w:rsid w:val="003B29D1"/>
    <w:rsid w:val="003B4135"/>
    <w:rsid w:val="003B4434"/>
    <w:rsid w:val="003C0242"/>
    <w:rsid w:val="003C2BF1"/>
    <w:rsid w:val="003C3490"/>
    <w:rsid w:val="003C366A"/>
    <w:rsid w:val="003D4CD7"/>
    <w:rsid w:val="003D5E2A"/>
    <w:rsid w:val="003D6F35"/>
    <w:rsid w:val="003D6F87"/>
    <w:rsid w:val="003E0E20"/>
    <w:rsid w:val="003E172C"/>
    <w:rsid w:val="003E382D"/>
    <w:rsid w:val="003E3874"/>
    <w:rsid w:val="003E5F4F"/>
    <w:rsid w:val="003E6434"/>
    <w:rsid w:val="003E74CD"/>
    <w:rsid w:val="003F13C8"/>
    <w:rsid w:val="003F18DE"/>
    <w:rsid w:val="003F5A1F"/>
    <w:rsid w:val="003F5BA3"/>
    <w:rsid w:val="003F7519"/>
    <w:rsid w:val="00401DEC"/>
    <w:rsid w:val="00402BAB"/>
    <w:rsid w:val="00402F53"/>
    <w:rsid w:val="004035EE"/>
    <w:rsid w:val="00403DF8"/>
    <w:rsid w:val="00405825"/>
    <w:rsid w:val="0040704B"/>
    <w:rsid w:val="0040716F"/>
    <w:rsid w:val="00412651"/>
    <w:rsid w:val="004162A5"/>
    <w:rsid w:val="00416439"/>
    <w:rsid w:val="004219D6"/>
    <w:rsid w:val="00423C0F"/>
    <w:rsid w:val="00423E77"/>
    <w:rsid w:val="0042532B"/>
    <w:rsid w:val="00426BD0"/>
    <w:rsid w:val="00427131"/>
    <w:rsid w:val="00427533"/>
    <w:rsid w:val="00427647"/>
    <w:rsid w:val="004279BA"/>
    <w:rsid w:val="00427FF6"/>
    <w:rsid w:val="004304E3"/>
    <w:rsid w:val="004362C0"/>
    <w:rsid w:val="004372AB"/>
    <w:rsid w:val="00441C2B"/>
    <w:rsid w:val="00451A94"/>
    <w:rsid w:val="00452A81"/>
    <w:rsid w:val="00452C0C"/>
    <w:rsid w:val="00455260"/>
    <w:rsid w:val="00456037"/>
    <w:rsid w:val="004579CF"/>
    <w:rsid w:val="004604E8"/>
    <w:rsid w:val="00460B81"/>
    <w:rsid w:val="004619E2"/>
    <w:rsid w:val="0046212E"/>
    <w:rsid w:val="00462BC7"/>
    <w:rsid w:val="004633A7"/>
    <w:rsid w:val="00464BBC"/>
    <w:rsid w:val="00466261"/>
    <w:rsid w:val="00470C44"/>
    <w:rsid w:val="00471C0A"/>
    <w:rsid w:val="00471E38"/>
    <w:rsid w:val="004720EC"/>
    <w:rsid w:val="0047369A"/>
    <w:rsid w:val="004749CC"/>
    <w:rsid w:val="00475DC8"/>
    <w:rsid w:val="004761AE"/>
    <w:rsid w:val="00481136"/>
    <w:rsid w:val="00481CE5"/>
    <w:rsid w:val="00484B29"/>
    <w:rsid w:val="004858EC"/>
    <w:rsid w:val="00487BD8"/>
    <w:rsid w:val="0049058F"/>
    <w:rsid w:val="0049194F"/>
    <w:rsid w:val="00492A90"/>
    <w:rsid w:val="00492D27"/>
    <w:rsid w:val="00492ED3"/>
    <w:rsid w:val="004965C1"/>
    <w:rsid w:val="00496E4C"/>
    <w:rsid w:val="004A7F3C"/>
    <w:rsid w:val="004B061A"/>
    <w:rsid w:val="004B0E82"/>
    <w:rsid w:val="004B1BC8"/>
    <w:rsid w:val="004B1FFE"/>
    <w:rsid w:val="004B2545"/>
    <w:rsid w:val="004B3363"/>
    <w:rsid w:val="004B4CE6"/>
    <w:rsid w:val="004B630E"/>
    <w:rsid w:val="004B78FA"/>
    <w:rsid w:val="004C176E"/>
    <w:rsid w:val="004C2376"/>
    <w:rsid w:val="004C329E"/>
    <w:rsid w:val="004C49AD"/>
    <w:rsid w:val="004C4B26"/>
    <w:rsid w:val="004C4C73"/>
    <w:rsid w:val="004D112B"/>
    <w:rsid w:val="004D1DAC"/>
    <w:rsid w:val="004D23E6"/>
    <w:rsid w:val="004D28EC"/>
    <w:rsid w:val="004D3AAA"/>
    <w:rsid w:val="004D431D"/>
    <w:rsid w:val="004D5E54"/>
    <w:rsid w:val="004D73A2"/>
    <w:rsid w:val="004E1961"/>
    <w:rsid w:val="004E59CE"/>
    <w:rsid w:val="004E5CA3"/>
    <w:rsid w:val="004F16E3"/>
    <w:rsid w:val="004F19D4"/>
    <w:rsid w:val="004F4D57"/>
    <w:rsid w:val="004F4EB8"/>
    <w:rsid w:val="004F5432"/>
    <w:rsid w:val="004F6905"/>
    <w:rsid w:val="005046C3"/>
    <w:rsid w:val="005053A6"/>
    <w:rsid w:val="0050593C"/>
    <w:rsid w:val="005065D7"/>
    <w:rsid w:val="00510512"/>
    <w:rsid w:val="00510B6B"/>
    <w:rsid w:val="00511824"/>
    <w:rsid w:val="00511A56"/>
    <w:rsid w:val="005130F3"/>
    <w:rsid w:val="00514C60"/>
    <w:rsid w:val="0051734F"/>
    <w:rsid w:val="00517503"/>
    <w:rsid w:val="00517A9B"/>
    <w:rsid w:val="00520DE0"/>
    <w:rsid w:val="00522051"/>
    <w:rsid w:val="00524191"/>
    <w:rsid w:val="005278A8"/>
    <w:rsid w:val="00527E92"/>
    <w:rsid w:val="00531987"/>
    <w:rsid w:val="00532A4D"/>
    <w:rsid w:val="00533CB3"/>
    <w:rsid w:val="0053717B"/>
    <w:rsid w:val="00540378"/>
    <w:rsid w:val="005408D0"/>
    <w:rsid w:val="00540DC9"/>
    <w:rsid w:val="00542068"/>
    <w:rsid w:val="00542997"/>
    <w:rsid w:val="005429E6"/>
    <w:rsid w:val="00543A5D"/>
    <w:rsid w:val="005479A3"/>
    <w:rsid w:val="00547B76"/>
    <w:rsid w:val="005503D0"/>
    <w:rsid w:val="005505A0"/>
    <w:rsid w:val="00550B0B"/>
    <w:rsid w:val="00552814"/>
    <w:rsid w:val="00552C6B"/>
    <w:rsid w:val="00552F7A"/>
    <w:rsid w:val="00553BBE"/>
    <w:rsid w:val="00554210"/>
    <w:rsid w:val="00555DC1"/>
    <w:rsid w:val="005568C5"/>
    <w:rsid w:val="00560561"/>
    <w:rsid w:val="00560805"/>
    <w:rsid w:val="00560AAC"/>
    <w:rsid w:val="00565CFA"/>
    <w:rsid w:val="00567899"/>
    <w:rsid w:val="00571235"/>
    <w:rsid w:val="00571A99"/>
    <w:rsid w:val="005725E8"/>
    <w:rsid w:val="00574A84"/>
    <w:rsid w:val="00576D1D"/>
    <w:rsid w:val="005814BC"/>
    <w:rsid w:val="00583405"/>
    <w:rsid w:val="0058373E"/>
    <w:rsid w:val="005841D8"/>
    <w:rsid w:val="00585155"/>
    <w:rsid w:val="00585755"/>
    <w:rsid w:val="00585CF7"/>
    <w:rsid w:val="0058722F"/>
    <w:rsid w:val="005912E7"/>
    <w:rsid w:val="00591D0D"/>
    <w:rsid w:val="005922CE"/>
    <w:rsid w:val="005951D4"/>
    <w:rsid w:val="005A0235"/>
    <w:rsid w:val="005A27B7"/>
    <w:rsid w:val="005A2B91"/>
    <w:rsid w:val="005A693D"/>
    <w:rsid w:val="005A69C6"/>
    <w:rsid w:val="005B07CD"/>
    <w:rsid w:val="005B2C1B"/>
    <w:rsid w:val="005B3B18"/>
    <w:rsid w:val="005B5DEC"/>
    <w:rsid w:val="005B62FD"/>
    <w:rsid w:val="005B64C2"/>
    <w:rsid w:val="005B76A2"/>
    <w:rsid w:val="005C0A47"/>
    <w:rsid w:val="005C153A"/>
    <w:rsid w:val="005C2B5E"/>
    <w:rsid w:val="005C2DEA"/>
    <w:rsid w:val="005C3486"/>
    <w:rsid w:val="005C42F5"/>
    <w:rsid w:val="005C689D"/>
    <w:rsid w:val="005C7644"/>
    <w:rsid w:val="005C7ABC"/>
    <w:rsid w:val="005D05A5"/>
    <w:rsid w:val="005D0929"/>
    <w:rsid w:val="005D270F"/>
    <w:rsid w:val="005D33E5"/>
    <w:rsid w:val="005D6D45"/>
    <w:rsid w:val="005D73EB"/>
    <w:rsid w:val="005E3C28"/>
    <w:rsid w:val="005E7093"/>
    <w:rsid w:val="005F0C9B"/>
    <w:rsid w:val="005F2AD2"/>
    <w:rsid w:val="005F492C"/>
    <w:rsid w:val="005F52E6"/>
    <w:rsid w:val="005F65A2"/>
    <w:rsid w:val="00600CE4"/>
    <w:rsid w:val="00600E11"/>
    <w:rsid w:val="00601689"/>
    <w:rsid w:val="00601879"/>
    <w:rsid w:val="00601AC1"/>
    <w:rsid w:val="00602AEA"/>
    <w:rsid w:val="006040FB"/>
    <w:rsid w:val="00605E79"/>
    <w:rsid w:val="006067D7"/>
    <w:rsid w:val="00606C67"/>
    <w:rsid w:val="00606D05"/>
    <w:rsid w:val="00607387"/>
    <w:rsid w:val="00610957"/>
    <w:rsid w:val="00610D99"/>
    <w:rsid w:val="006110FC"/>
    <w:rsid w:val="00611D5A"/>
    <w:rsid w:val="006129C8"/>
    <w:rsid w:val="00612C08"/>
    <w:rsid w:val="006149AE"/>
    <w:rsid w:val="00615C4D"/>
    <w:rsid w:val="00616894"/>
    <w:rsid w:val="00616BD2"/>
    <w:rsid w:val="00616CAE"/>
    <w:rsid w:val="00617797"/>
    <w:rsid w:val="00623621"/>
    <w:rsid w:val="00624206"/>
    <w:rsid w:val="00625A96"/>
    <w:rsid w:val="00625F4C"/>
    <w:rsid w:val="006311AD"/>
    <w:rsid w:val="006315B5"/>
    <w:rsid w:val="00631FF0"/>
    <w:rsid w:val="00635767"/>
    <w:rsid w:val="006405C3"/>
    <w:rsid w:val="0064230B"/>
    <w:rsid w:val="00642B2F"/>
    <w:rsid w:val="006436A5"/>
    <w:rsid w:val="00643E70"/>
    <w:rsid w:val="0064445E"/>
    <w:rsid w:val="00645D29"/>
    <w:rsid w:val="00650C2F"/>
    <w:rsid w:val="006519F1"/>
    <w:rsid w:val="00652927"/>
    <w:rsid w:val="0065306A"/>
    <w:rsid w:val="006544D1"/>
    <w:rsid w:val="00654A38"/>
    <w:rsid w:val="00654B25"/>
    <w:rsid w:val="006554E2"/>
    <w:rsid w:val="00655E6A"/>
    <w:rsid w:val="006571CC"/>
    <w:rsid w:val="00661CAD"/>
    <w:rsid w:val="0066396B"/>
    <w:rsid w:val="006642B3"/>
    <w:rsid w:val="006651B6"/>
    <w:rsid w:val="00667DE4"/>
    <w:rsid w:val="00667E73"/>
    <w:rsid w:val="00673760"/>
    <w:rsid w:val="006738FB"/>
    <w:rsid w:val="006756F0"/>
    <w:rsid w:val="006769FA"/>
    <w:rsid w:val="00676DCA"/>
    <w:rsid w:val="00681DE2"/>
    <w:rsid w:val="00684C03"/>
    <w:rsid w:val="0068521A"/>
    <w:rsid w:val="006855B2"/>
    <w:rsid w:val="00693D79"/>
    <w:rsid w:val="00693D8F"/>
    <w:rsid w:val="00693F5B"/>
    <w:rsid w:val="006A02CF"/>
    <w:rsid w:val="006A0B3C"/>
    <w:rsid w:val="006A23C9"/>
    <w:rsid w:val="006A25AA"/>
    <w:rsid w:val="006A2C06"/>
    <w:rsid w:val="006A31C6"/>
    <w:rsid w:val="006A3ECA"/>
    <w:rsid w:val="006A72E6"/>
    <w:rsid w:val="006A776B"/>
    <w:rsid w:val="006B095D"/>
    <w:rsid w:val="006B1AF4"/>
    <w:rsid w:val="006B1F30"/>
    <w:rsid w:val="006B46CA"/>
    <w:rsid w:val="006C1762"/>
    <w:rsid w:val="006C2515"/>
    <w:rsid w:val="006C26AA"/>
    <w:rsid w:val="006C3B3C"/>
    <w:rsid w:val="006C4ED2"/>
    <w:rsid w:val="006C521A"/>
    <w:rsid w:val="006C6370"/>
    <w:rsid w:val="006D13EF"/>
    <w:rsid w:val="006D291E"/>
    <w:rsid w:val="006D58F0"/>
    <w:rsid w:val="006D5BE7"/>
    <w:rsid w:val="006E057B"/>
    <w:rsid w:val="006E2E4C"/>
    <w:rsid w:val="006E60C8"/>
    <w:rsid w:val="006E72D1"/>
    <w:rsid w:val="006F0785"/>
    <w:rsid w:val="006F1B34"/>
    <w:rsid w:val="006F23D1"/>
    <w:rsid w:val="006F41CD"/>
    <w:rsid w:val="006F525F"/>
    <w:rsid w:val="006F6A9A"/>
    <w:rsid w:val="006F6E47"/>
    <w:rsid w:val="006F7211"/>
    <w:rsid w:val="006F7EED"/>
    <w:rsid w:val="0070007E"/>
    <w:rsid w:val="007002AF"/>
    <w:rsid w:val="0070296F"/>
    <w:rsid w:val="00702DBB"/>
    <w:rsid w:val="00703C4E"/>
    <w:rsid w:val="0070576A"/>
    <w:rsid w:val="00705A8D"/>
    <w:rsid w:val="00705B7F"/>
    <w:rsid w:val="00707F1E"/>
    <w:rsid w:val="007106A8"/>
    <w:rsid w:val="007110E0"/>
    <w:rsid w:val="00711AB9"/>
    <w:rsid w:val="00715E5C"/>
    <w:rsid w:val="00716E0D"/>
    <w:rsid w:val="007172FE"/>
    <w:rsid w:val="007176CF"/>
    <w:rsid w:val="00720B28"/>
    <w:rsid w:val="00720EF2"/>
    <w:rsid w:val="00721C7F"/>
    <w:rsid w:val="0072473E"/>
    <w:rsid w:val="0072566D"/>
    <w:rsid w:val="0072710F"/>
    <w:rsid w:val="007274C5"/>
    <w:rsid w:val="00727CF0"/>
    <w:rsid w:val="007311A4"/>
    <w:rsid w:val="00735B10"/>
    <w:rsid w:val="00736437"/>
    <w:rsid w:val="00736AA5"/>
    <w:rsid w:val="00736AB7"/>
    <w:rsid w:val="00737BBD"/>
    <w:rsid w:val="00740097"/>
    <w:rsid w:val="00741730"/>
    <w:rsid w:val="00744C07"/>
    <w:rsid w:val="007450F5"/>
    <w:rsid w:val="007452B4"/>
    <w:rsid w:val="007459EE"/>
    <w:rsid w:val="00745A4F"/>
    <w:rsid w:val="007477B1"/>
    <w:rsid w:val="0074781B"/>
    <w:rsid w:val="007505E0"/>
    <w:rsid w:val="00750FCD"/>
    <w:rsid w:val="007527EE"/>
    <w:rsid w:val="00755ACD"/>
    <w:rsid w:val="00755E04"/>
    <w:rsid w:val="007562DE"/>
    <w:rsid w:val="00756EFE"/>
    <w:rsid w:val="00757A7B"/>
    <w:rsid w:val="00761B99"/>
    <w:rsid w:val="00762D7D"/>
    <w:rsid w:val="00764B2E"/>
    <w:rsid w:val="007672B8"/>
    <w:rsid w:val="00767B6B"/>
    <w:rsid w:val="007701C0"/>
    <w:rsid w:val="00770C7D"/>
    <w:rsid w:val="00771B92"/>
    <w:rsid w:val="00772220"/>
    <w:rsid w:val="00772AAE"/>
    <w:rsid w:val="00773A8D"/>
    <w:rsid w:val="0077558F"/>
    <w:rsid w:val="007761C5"/>
    <w:rsid w:val="007768C2"/>
    <w:rsid w:val="007809DF"/>
    <w:rsid w:val="00781142"/>
    <w:rsid w:val="00781822"/>
    <w:rsid w:val="0078562E"/>
    <w:rsid w:val="0078663C"/>
    <w:rsid w:val="00786AE3"/>
    <w:rsid w:val="00790391"/>
    <w:rsid w:val="00792994"/>
    <w:rsid w:val="00792C5D"/>
    <w:rsid w:val="00792FCE"/>
    <w:rsid w:val="00792FFD"/>
    <w:rsid w:val="00793B4E"/>
    <w:rsid w:val="00795759"/>
    <w:rsid w:val="007A0341"/>
    <w:rsid w:val="007A3197"/>
    <w:rsid w:val="007A5595"/>
    <w:rsid w:val="007A5D03"/>
    <w:rsid w:val="007A64CC"/>
    <w:rsid w:val="007B0428"/>
    <w:rsid w:val="007B1768"/>
    <w:rsid w:val="007B1F28"/>
    <w:rsid w:val="007B2084"/>
    <w:rsid w:val="007B3199"/>
    <w:rsid w:val="007B36BC"/>
    <w:rsid w:val="007B3D18"/>
    <w:rsid w:val="007B58DC"/>
    <w:rsid w:val="007B63C4"/>
    <w:rsid w:val="007C02A7"/>
    <w:rsid w:val="007C0F1D"/>
    <w:rsid w:val="007C170C"/>
    <w:rsid w:val="007C17CC"/>
    <w:rsid w:val="007C1A8F"/>
    <w:rsid w:val="007C2850"/>
    <w:rsid w:val="007C2BAC"/>
    <w:rsid w:val="007C3746"/>
    <w:rsid w:val="007C3C49"/>
    <w:rsid w:val="007C443D"/>
    <w:rsid w:val="007C53B6"/>
    <w:rsid w:val="007C542E"/>
    <w:rsid w:val="007C69FB"/>
    <w:rsid w:val="007C6B78"/>
    <w:rsid w:val="007C7E53"/>
    <w:rsid w:val="007D06DB"/>
    <w:rsid w:val="007D3790"/>
    <w:rsid w:val="007D4B4E"/>
    <w:rsid w:val="007E08C8"/>
    <w:rsid w:val="007E2991"/>
    <w:rsid w:val="007E5049"/>
    <w:rsid w:val="007E5BC4"/>
    <w:rsid w:val="007E7235"/>
    <w:rsid w:val="007E7F9F"/>
    <w:rsid w:val="007F0114"/>
    <w:rsid w:val="007F0851"/>
    <w:rsid w:val="007F3ABF"/>
    <w:rsid w:val="007F3B2A"/>
    <w:rsid w:val="007F40B4"/>
    <w:rsid w:val="007F4C3C"/>
    <w:rsid w:val="007F539B"/>
    <w:rsid w:val="007F539C"/>
    <w:rsid w:val="007F756F"/>
    <w:rsid w:val="007F7FAF"/>
    <w:rsid w:val="00800277"/>
    <w:rsid w:val="00800F18"/>
    <w:rsid w:val="008034A6"/>
    <w:rsid w:val="00803A7A"/>
    <w:rsid w:val="00804CC5"/>
    <w:rsid w:val="00806900"/>
    <w:rsid w:val="00807FA5"/>
    <w:rsid w:val="00810369"/>
    <w:rsid w:val="0081038C"/>
    <w:rsid w:val="00813DE3"/>
    <w:rsid w:val="00814F77"/>
    <w:rsid w:val="008216D2"/>
    <w:rsid w:val="00821D89"/>
    <w:rsid w:val="00821FD2"/>
    <w:rsid w:val="00823207"/>
    <w:rsid w:val="0082335E"/>
    <w:rsid w:val="00826BAA"/>
    <w:rsid w:val="00831504"/>
    <w:rsid w:val="00832DBA"/>
    <w:rsid w:val="00833C95"/>
    <w:rsid w:val="008357D0"/>
    <w:rsid w:val="00835DD6"/>
    <w:rsid w:val="00840E94"/>
    <w:rsid w:val="00841004"/>
    <w:rsid w:val="00841D7E"/>
    <w:rsid w:val="00843385"/>
    <w:rsid w:val="008441C6"/>
    <w:rsid w:val="00844988"/>
    <w:rsid w:val="00845002"/>
    <w:rsid w:val="00851E9F"/>
    <w:rsid w:val="008553D7"/>
    <w:rsid w:val="008569EB"/>
    <w:rsid w:val="00857619"/>
    <w:rsid w:val="00857660"/>
    <w:rsid w:val="008607F7"/>
    <w:rsid w:val="00863CF6"/>
    <w:rsid w:val="008651D6"/>
    <w:rsid w:val="0086521E"/>
    <w:rsid w:val="0087395C"/>
    <w:rsid w:val="00873F37"/>
    <w:rsid w:val="008741CE"/>
    <w:rsid w:val="00874996"/>
    <w:rsid w:val="00874DD7"/>
    <w:rsid w:val="00875417"/>
    <w:rsid w:val="00877AE0"/>
    <w:rsid w:val="00881611"/>
    <w:rsid w:val="00883194"/>
    <w:rsid w:val="008873DE"/>
    <w:rsid w:val="00890467"/>
    <w:rsid w:val="00890708"/>
    <w:rsid w:val="00891CA4"/>
    <w:rsid w:val="0089235E"/>
    <w:rsid w:val="00892556"/>
    <w:rsid w:val="008926BE"/>
    <w:rsid w:val="008954B8"/>
    <w:rsid w:val="00895DA2"/>
    <w:rsid w:val="00896A11"/>
    <w:rsid w:val="00897200"/>
    <w:rsid w:val="00897B97"/>
    <w:rsid w:val="008A2F2C"/>
    <w:rsid w:val="008A3936"/>
    <w:rsid w:val="008A425B"/>
    <w:rsid w:val="008A4B87"/>
    <w:rsid w:val="008A6683"/>
    <w:rsid w:val="008A694D"/>
    <w:rsid w:val="008A71F1"/>
    <w:rsid w:val="008B116A"/>
    <w:rsid w:val="008B2210"/>
    <w:rsid w:val="008B3665"/>
    <w:rsid w:val="008C05F9"/>
    <w:rsid w:val="008C0C42"/>
    <w:rsid w:val="008C2F68"/>
    <w:rsid w:val="008C3071"/>
    <w:rsid w:val="008C3F78"/>
    <w:rsid w:val="008C4352"/>
    <w:rsid w:val="008C58F1"/>
    <w:rsid w:val="008C6373"/>
    <w:rsid w:val="008D12B4"/>
    <w:rsid w:val="008D3595"/>
    <w:rsid w:val="008D4E3E"/>
    <w:rsid w:val="008D5F7D"/>
    <w:rsid w:val="008D5FD8"/>
    <w:rsid w:val="008E0537"/>
    <w:rsid w:val="008E0796"/>
    <w:rsid w:val="008E37EB"/>
    <w:rsid w:val="008F1ECF"/>
    <w:rsid w:val="008F221A"/>
    <w:rsid w:val="008F3072"/>
    <w:rsid w:val="008F43E5"/>
    <w:rsid w:val="008F5F14"/>
    <w:rsid w:val="008F661D"/>
    <w:rsid w:val="0090228A"/>
    <w:rsid w:val="00902667"/>
    <w:rsid w:val="00902F55"/>
    <w:rsid w:val="009040A1"/>
    <w:rsid w:val="00904D42"/>
    <w:rsid w:val="009076A4"/>
    <w:rsid w:val="00911011"/>
    <w:rsid w:val="00912C92"/>
    <w:rsid w:val="0091546D"/>
    <w:rsid w:val="009175A0"/>
    <w:rsid w:val="00921FB9"/>
    <w:rsid w:val="00922EBD"/>
    <w:rsid w:val="0092482B"/>
    <w:rsid w:val="00924A87"/>
    <w:rsid w:val="00925443"/>
    <w:rsid w:val="00926DA3"/>
    <w:rsid w:val="00927194"/>
    <w:rsid w:val="0093083D"/>
    <w:rsid w:val="0093370E"/>
    <w:rsid w:val="00935FCF"/>
    <w:rsid w:val="00940C5A"/>
    <w:rsid w:val="009411B4"/>
    <w:rsid w:val="0094223D"/>
    <w:rsid w:val="009427B7"/>
    <w:rsid w:val="00942AA3"/>
    <w:rsid w:val="00942EB7"/>
    <w:rsid w:val="009440D3"/>
    <w:rsid w:val="0094452B"/>
    <w:rsid w:val="0094502F"/>
    <w:rsid w:val="00945114"/>
    <w:rsid w:val="00945251"/>
    <w:rsid w:val="00945A9C"/>
    <w:rsid w:val="00946CD3"/>
    <w:rsid w:val="0095169B"/>
    <w:rsid w:val="009526D8"/>
    <w:rsid w:val="009560C6"/>
    <w:rsid w:val="00957C66"/>
    <w:rsid w:val="00957F74"/>
    <w:rsid w:val="009604A4"/>
    <w:rsid w:val="0096725B"/>
    <w:rsid w:val="00970ED5"/>
    <w:rsid w:val="00971196"/>
    <w:rsid w:val="00974453"/>
    <w:rsid w:val="00975B4E"/>
    <w:rsid w:val="00975FE1"/>
    <w:rsid w:val="009837E2"/>
    <w:rsid w:val="00983E7C"/>
    <w:rsid w:val="00983E9E"/>
    <w:rsid w:val="00985145"/>
    <w:rsid w:val="00991F0C"/>
    <w:rsid w:val="00995AB7"/>
    <w:rsid w:val="00995EFF"/>
    <w:rsid w:val="009963CD"/>
    <w:rsid w:val="00996DD1"/>
    <w:rsid w:val="00996E96"/>
    <w:rsid w:val="009A0B30"/>
    <w:rsid w:val="009A143A"/>
    <w:rsid w:val="009A238B"/>
    <w:rsid w:val="009A245C"/>
    <w:rsid w:val="009A32FB"/>
    <w:rsid w:val="009A6CBF"/>
    <w:rsid w:val="009B0047"/>
    <w:rsid w:val="009B143D"/>
    <w:rsid w:val="009B1613"/>
    <w:rsid w:val="009B2CBF"/>
    <w:rsid w:val="009B3291"/>
    <w:rsid w:val="009B3415"/>
    <w:rsid w:val="009B46F3"/>
    <w:rsid w:val="009B4AA7"/>
    <w:rsid w:val="009B59AD"/>
    <w:rsid w:val="009B5FE9"/>
    <w:rsid w:val="009B7955"/>
    <w:rsid w:val="009C1CFA"/>
    <w:rsid w:val="009C2F97"/>
    <w:rsid w:val="009C6A3C"/>
    <w:rsid w:val="009D14D5"/>
    <w:rsid w:val="009D1CDA"/>
    <w:rsid w:val="009D2873"/>
    <w:rsid w:val="009D3252"/>
    <w:rsid w:val="009D410E"/>
    <w:rsid w:val="009D4C65"/>
    <w:rsid w:val="009D4E91"/>
    <w:rsid w:val="009D5753"/>
    <w:rsid w:val="009D5E57"/>
    <w:rsid w:val="009D6871"/>
    <w:rsid w:val="009D7EF4"/>
    <w:rsid w:val="009D7F4D"/>
    <w:rsid w:val="009E03E7"/>
    <w:rsid w:val="009E17F0"/>
    <w:rsid w:val="009E4679"/>
    <w:rsid w:val="009E6536"/>
    <w:rsid w:val="009E6679"/>
    <w:rsid w:val="009E7EB4"/>
    <w:rsid w:val="009F0432"/>
    <w:rsid w:val="009F1E3A"/>
    <w:rsid w:val="009F1EF9"/>
    <w:rsid w:val="009F24E3"/>
    <w:rsid w:val="009F4405"/>
    <w:rsid w:val="009F4731"/>
    <w:rsid w:val="009F62D5"/>
    <w:rsid w:val="00A00C0F"/>
    <w:rsid w:val="00A015FF"/>
    <w:rsid w:val="00A05AA6"/>
    <w:rsid w:val="00A07A2B"/>
    <w:rsid w:val="00A10579"/>
    <w:rsid w:val="00A10BFB"/>
    <w:rsid w:val="00A10D8B"/>
    <w:rsid w:val="00A20927"/>
    <w:rsid w:val="00A215BF"/>
    <w:rsid w:val="00A223BC"/>
    <w:rsid w:val="00A23A0E"/>
    <w:rsid w:val="00A2511A"/>
    <w:rsid w:val="00A26A72"/>
    <w:rsid w:val="00A27EE6"/>
    <w:rsid w:val="00A31832"/>
    <w:rsid w:val="00A334C1"/>
    <w:rsid w:val="00A33A09"/>
    <w:rsid w:val="00A36260"/>
    <w:rsid w:val="00A376F6"/>
    <w:rsid w:val="00A37A5E"/>
    <w:rsid w:val="00A37CD5"/>
    <w:rsid w:val="00A37E70"/>
    <w:rsid w:val="00A45C0F"/>
    <w:rsid w:val="00A45CA0"/>
    <w:rsid w:val="00A46141"/>
    <w:rsid w:val="00A468BF"/>
    <w:rsid w:val="00A478EB"/>
    <w:rsid w:val="00A5168E"/>
    <w:rsid w:val="00A52346"/>
    <w:rsid w:val="00A52A17"/>
    <w:rsid w:val="00A5315A"/>
    <w:rsid w:val="00A55B2B"/>
    <w:rsid w:val="00A55C18"/>
    <w:rsid w:val="00A56FA2"/>
    <w:rsid w:val="00A62803"/>
    <w:rsid w:val="00A64530"/>
    <w:rsid w:val="00A64FB2"/>
    <w:rsid w:val="00A65C14"/>
    <w:rsid w:val="00A6659B"/>
    <w:rsid w:val="00A67C6A"/>
    <w:rsid w:val="00A70FB8"/>
    <w:rsid w:val="00A7168A"/>
    <w:rsid w:val="00A73EDA"/>
    <w:rsid w:val="00A75AB9"/>
    <w:rsid w:val="00A75E7C"/>
    <w:rsid w:val="00A8052D"/>
    <w:rsid w:val="00A80DAD"/>
    <w:rsid w:val="00A819A5"/>
    <w:rsid w:val="00A82008"/>
    <w:rsid w:val="00A82A42"/>
    <w:rsid w:val="00A833C7"/>
    <w:rsid w:val="00A835C8"/>
    <w:rsid w:val="00A8422F"/>
    <w:rsid w:val="00A867F8"/>
    <w:rsid w:val="00A87B69"/>
    <w:rsid w:val="00A90774"/>
    <w:rsid w:val="00A93053"/>
    <w:rsid w:val="00A9408B"/>
    <w:rsid w:val="00A94C38"/>
    <w:rsid w:val="00A94EB8"/>
    <w:rsid w:val="00A95BF8"/>
    <w:rsid w:val="00A96197"/>
    <w:rsid w:val="00A96CC9"/>
    <w:rsid w:val="00A96ECC"/>
    <w:rsid w:val="00AA2554"/>
    <w:rsid w:val="00AA3DEE"/>
    <w:rsid w:val="00AA4E36"/>
    <w:rsid w:val="00AA569C"/>
    <w:rsid w:val="00AA592D"/>
    <w:rsid w:val="00AB1A4E"/>
    <w:rsid w:val="00AB1FAD"/>
    <w:rsid w:val="00AB24DD"/>
    <w:rsid w:val="00AB3DB0"/>
    <w:rsid w:val="00AB5073"/>
    <w:rsid w:val="00AB6650"/>
    <w:rsid w:val="00AC11CC"/>
    <w:rsid w:val="00AC1746"/>
    <w:rsid w:val="00AC2EEC"/>
    <w:rsid w:val="00AC3380"/>
    <w:rsid w:val="00AC3906"/>
    <w:rsid w:val="00AC467F"/>
    <w:rsid w:val="00AC4D2C"/>
    <w:rsid w:val="00AC6B94"/>
    <w:rsid w:val="00AC6C97"/>
    <w:rsid w:val="00AC77C8"/>
    <w:rsid w:val="00AD0D85"/>
    <w:rsid w:val="00AD3FEB"/>
    <w:rsid w:val="00AD5079"/>
    <w:rsid w:val="00AD677C"/>
    <w:rsid w:val="00AD7C79"/>
    <w:rsid w:val="00AE3A4F"/>
    <w:rsid w:val="00AE5FE8"/>
    <w:rsid w:val="00AE671D"/>
    <w:rsid w:val="00AF10D1"/>
    <w:rsid w:val="00AF1AEE"/>
    <w:rsid w:val="00B000E5"/>
    <w:rsid w:val="00B002FA"/>
    <w:rsid w:val="00B0191C"/>
    <w:rsid w:val="00B037FF"/>
    <w:rsid w:val="00B04D97"/>
    <w:rsid w:val="00B0655C"/>
    <w:rsid w:val="00B069E4"/>
    <w:rsid w:val="00B1245D"/>
    <w:rsid w:val="00B12BD4"/>
    <w:rsid w:val="00B1560F"/>
    <w:rsid w:val="00B15C44"/>
    <w:rsid w:val="00B16EC8"/>
    <w:rsid w:val="00B17B67"/>
    <w:rsid w:val="00B209E1"/>
    <w:rsid w:val="00B2328C"/>
    <w:rsid w:val="00B25B2C"/>
    <w:rsid w:val="00B26647"/>
    <w:rsid w:val="00B3004C"/>
    <w:rsid w:val="00B306EF"/>
    <w:rsid w:val="00B3348B"/>
    <w:rsid w:val="00B36345"/>
    <w:rsid w:val="00B37A6D"/>
    <w:rsid w:val="00B37C2F"/>
    <w:rsid w:val="00B40757"/>
    <w:rsid w:val="00B40995"/>
    <w:rsid w:val="00B41CD2"/>
    <w:rsid w:val="00B41FB6"/>
    <w:rsid w:val="00B41FD7"/>
    <w:rsid w:val="00B420E0"/>
    <w:rsid w:val="00B4408C"/>
    <w:rsid w:val="00B44729"/>
    <w:rsid w:val="00B45599"/>
    <w:rsid w:val="00B4683D"/>
    <w:rsid w:val="00B46B03"/>
    <w:rsid w:val="00B511D6"/>
    <w:rsid w:val="00B55BEC"/>
    <w:rsid w:val="00B55F87"/>
    <w:rsid w:val="00B56389"/>
    <w:rsid w:val="00B62ABC"/>
    <w:rsid w:val="00B638AC"/>
    <w:rsid w:val="00B668F7"/>
    <w:rsid w:val="00B71CD9"/>
    <w:rsid w:val="00B74DF4"/>
    <w:rsid w:val="00B7569F"/>
    <w:rsid w:val="00B76BE2"/>
    <w:rsid w:val="00B80C67"/>
    <w:rsid w:val="00B80D42"/>
    <w:rsid w:val="00B8564D"/>
    <w:rsid w:val="00B85829"/>
    <w:rsid w:val="00B90ADF"/>
    <w:rsid w:val="00B9147B"/>
    <w:rsid w:val="00B94659"/>
    <w:rsid w:val="00B964F0"/>
    <w:rsid w:val="00B9697E"/>
    <w:rsid w:val="00B96CE8"/>
    <w:rsid w:val="00BA1893"/>
    <w:rsid w:val="00BA1CAD"/>
    <w:rsid w:val="00BA218D"/>
    <w:rsid w:val="00BA2F14"/>
    <w:rsid w:val="00BA465C"/>
    <w:rsid w:val="00BA6380"/>
    <w:rsid w:val="00BB02EF"/>
    <w:rsid w:val="00BB1AAB"/>
    <w:rsid w:val="00BB4ADB"/>
    <w:rsid w:val="00BB568E"/>
    <w:rsid w:val="00BB622F"/>
    <w:rsid w:val="00BC0E5B"/>
    <w:rsid w:val="00BC1D93"/>
    <w:rsid w:val="00BC2717"/>
    <w:rsid w:val="00BC2A98"/>
    <w:rsid w:val="00BC2ECB"/>
    <w:rsid w:val="00BC7393"/>
    <w:rsid w:val="00BD3155"/>
    <w:rsid w:val="00BD3E92"/>
    <w:rsid w:val="00BD40D9"/>
    <w:rsid w:val="00BD49A0"/>
    <w:rsid w:val="00BD5151"/>
    <w:rsid w:val="00BD5680"/>
    <w:rsid w:val="00BD659D"/>
    <w:rsid w:val="00BD767F"/>
    <w:rsid w:val="00BD7A47"/>
    <w:rsid w:val="00BE0824"/>
    <w:rsid w:val="00BE0E9F"/>
    <w:rsid w:val="00BE23DA"/>
    <w:rsid w:val="00BE3CBF"/>
    <w:rsid w:val="00BE442B"/>
    <w:rsid w:val="00BE45CC"/>
    <w:rsid w:val="00BE4754"/>
    <w:rsid w:val="00BE4E66"/>
    <w:rsid w:val="00BE6299"/>
    <w:rsid w:val="00BE6C80"/>
    <w:rsid w:val="00BE6DFC"/>
    <w:rsid w:val="00BE7DC4"/>
    <w:rsid w:val="00BF0461"/>
    <w:rsid w:val="00BF2F68"/>
    <w:rsid w:val="00BF3EF5"/>
    <w:rsid w:val="00BF626D"/>
    <w:rsid w:val="00BF6EC9"/>
    <w:rsid w:val="00C01F06"/>
    <w:rsid w:val="00C04156"/>
    <w:rsid w:val="00C05029"/>
    <w:rsid w:val="00C05996"/>
    <w:rsid w:val="00C064CC"/>
    <w:rsid w:val="00C107B2"/>
    <w:rsid w:val="00C12157"/>
    <w:rsid w:val="00C15694"/>
    <w:rsid w:val="00C156AF"/>
    <w:rsid w:val="00C165C3"/>
    <w:rsid w:val="00C172A4"/>
    <w:rsid w:val="00C179F2"/>
    <w:rsid w:val="00C265EF"/>
    <w:rsid w:val="00C26ED2"/>
    <w:rsid w:val="00C3234A"/>
    <w:rsid w:val="00C32E5E"/>
    <w:rsid w:val="00C35149"/>
    <w:rsid w:val="00C35A61"/>
    <w:rsid w:val="00C3704A"/>
    <w:rsid w:val="00C3793A"/>
    <w:rsid w:val="00C40C9B"/>
    <w:rsid w:val="00C410B1"/>
    <w:rsid w:val="00C413E5"/>
    <w:rsid w:val="00C4347A"/>
    <w:rsid w:val="00C436DA"/>
    <w:rsid w:val="00C43861"/>
    <w:rsid w:val="00C44814"/>
    <w:rsid w:val="00C44DFE"/>
    <w:rsid w:val="00C4512A"/>
    <w:rsid w:val="00C46F14"/>
    <w:rsid w:val="00C4719E"/>
    <w:rsid w:val="00C50241"/>
    <w:rsid w:val="00C506CB"/>
    <w:rsid w:val="00C51FFF"/>
    <w:rsid w:val="00C535EB"/>
    <w:rsid w:val="00C54510"/>
    <w:rsid w:val="00C545B6"/>
    <w:rsid w:val="00C55524"/>
    <w:rsid w:val="00C56FC4"/>
    <w:rsid w:val="00C573AE"/>
    <w:rsid w:val="00C605E1"/>
    <w:rsid w:val="00C609A6"/>
    <w:rsid w:val="00C6210E"/>
    <w:rsid w:val="00C62F1C"/>
    <w:rsid w:val="00C66631"/>
    <w:rsid w:val="00C67CB0"/>
    <w:rsid w:val="00C71643"/>
    <w:rsid w:val="00C71F03"/>
    <w:rsid w:val="00C72A59"/>
    <w:rsid w:val="00C72C2D"/>
    <w:rsid w:val="00C72E2C"/>
    <w:rsid w:val="00C767FF"/>
    <w:rsid w:val="00C81843"/>
    <w:rsid w:val="00C826FE"/>
    <w:rsid w:val="00C82DB4"/>
    <w:rsid w:val="00C841CB"/>
    <w:rsid w:val="00C8465B"/>
    <w:rsid w:val="00C85719"/>
    <w:rsid w:val="00C85A34"/>
    <w:rsid w:val="00C929B8"/>
    <w:rsid w:val="00C93DD4"/>
    <w:rsid w:val="00C93FB5"/>
    <w:rsid w:val="00C94115"/>
    <w:rsid w:val="00CA11F9"/>
    <w:rsid w:val="00CA3BB8"/>
    <w:rsid w:val="00CA5438"/>
    <w:rsid w:val="00CB4774"/>
    <w:rsid w:val="00CB5F8B"/>
    <w:rsid w:val="00CC4DBC"/>
    <w:rsid w:val="00CC5452"/>
    <w:rsid w:val="00CC64CF"/>
    <w:rsid w:val="00CC6A42"/>
    <w:rsid w:val="00CC7456"/>
    <w:rsid w:val="00CC776D"/>
    <w:rsid w:val="00CD13CF"/>
    <w:rsid w:val="00CD3202"/>
    <w:rsid w:val="00CD3DF5"/>
    <w:rsid w:val="00CD7198"/>
    <w:rsid w:val="00CD72AE"/>
    <w:rsid w:val="00CE062E"/>
    <w:rsid w:val="00CE066F"/>
    <w:rsid w:val="00CE10A5"/>
    <w:rsid w:val="00CE1464"/>
    <w:rsid w:val="00CE14B0"/>
    <w:rsid w:val="00CE1C25"/>
    <w:rsid w:val="00CE2BF0"/>
    <w:rsid w:val="00CE488F"/>
    <w:rsid w:val="00CE705D"/>
    <w:rsid w:val="00CE7B72"/>
    <w:rsid w:val="00CE7E93"/>
    <w:rsid w:val="00CF6442"/>
    <w:rsid w:val="00CF6B7F"/>
    <w:rsid w:val="00CF730F"/>
    <w:rsid w:val="00D006BB"/>
    <w:rsid w:val="00D00BDD"/>
    <w:rsid w:val="00D0154A"/>
    <w:rsid w:val="00D01ED4"/>
    <w:rsid w:val="00D022CE"/>
    <w:rsid w:val="00D029CB"/>
    <w:rsid w:val="00D0728A"/>
    <w:rsid w:val="00D0740F"/>
    <w:rsid w:val="00D07ECE"/>
    <w:rsid w:val="00D116B7"/>
    <w:rsid w:val="00D11A50"/>
    <w:rsid w:val="00D124FB"/>
    <w:rsid w:val="00D1334E"/>
    <w:rsid w:val="00D14708"/>
    <w:rsid w:val="00D15583"/>
    <w:rsid w:val="00D1563E"/>
    <w:rsid w:val="00D1627B"/>
    <w:rsid w:val="00D20DDE"/>
    <w:rsid w:val="00D24E40"/>
    <w:rsid w:val="00D25AEF"/>
    <w:rsid w:val="00D276AF"/>
    <w:rsid w:val="00D27BB6"/>
    <w:rsid w:val="00D308DC"/>
    <w:rsid w:val="00D32DE4"/>
    <w:rsid w:val="00D36924"/>
    <w:rsid w:val="00D37F8F"/>
    <w:rsid w:val="00D4305E"/>
    <w:rsid w:val="00D43F3E"/>
    <w:rsid w:val="00D44E63"/>
    <w:rsid w:val="00D454BE"/>
    <w:rsid w:val="00D45C96"/>
    <w:rsid w:val="00D47E80"/>
    <w:rsid w:val="00D513E6"/>
    <w:rsid w:val="00D518BA"/>
    <w:rsid w:val="00D51E63"/>
    <w:rsid w:val="00D52787"/>
    <w:rsid w:val="00D53D8E"/>
    <w:rsid w:val="00D55D88"/>
    <w:rsid w:val="00D55D92"/>
    <w:rsid w:val="00D5631D"/>
    <w:rsid w:val="00D6426B"/>
    <w:rsid w:val="00D657BB"/>
    <w:rsid w:val="00D6685D"/>
    <w:rsid w:val="00D66E38"/>
    <w:rsid w:val="00D67D43"/>
    <w:rsid w:val="00D70C8A"/>
    <w:rsid w:val="00D7185B"/>
    <w:rsid w:val="00D719E0"/>
    <w:rsid w:val="00D743D9"/>
    <w:rsid w:val="00D74B77"/>
    <w:rsid w:val="00D758A4"/>
    <w:rsid w:val="00D75F22"/>
    <w:rsid w:val="00D760A0"/>
    <w:rsid w:val="00D766FB"/>
    <w:rsid w:val="00D77384"/>
    <w:rsid w:val="00D8379F"/>
    <w:rsid w:val="00D83952"/>
    <w:rsid w:val="00D83F1E"/>
    <w:rsid w:val="00D83F96"/>
    <w:rsid w:val="00D8550F"/>
    <w:rsid w:val="00D86D3F"/>
    <w:rsid w:val="00D87492"/>
    <w:rsid w:val="00D878F5"/>
    <w:rsid w:val="00D90498"/>
    <w:rsid w:val="00D915D2"/>
    <w:rsid w:val="00D93595"/>
    <w:rsid w:val="00D96A24"/>
    <w:rsid w:val="00D97548"/>
    <w:rsid w:val="00D97F0F"/>
    <w:rsid w:val="00DA04C7"/>
    <w:rsid w:val="00DA11D3"/>
    <w:rsid w:val="00DA1346"/>
    <w:rsid w:val="00DA2C6D"/>
    <w:rsid w:val="00DA49C1"/>
    <w:rsid w:val="00DA5B62"/>
    <w:rsid w:val="00DB251C"/>
    <w:rsid w:val="00DB3625"/>
    <w:rsid w:val="00DB4B49"/>
    <w:rsid w:val="00DB7CCB"/>
    <w:rsid w:val="00DC0D56"/>
    <w:rsid w:val="00DC358D"/>
    <w:rsid w:val="00DC4A8D"/>
    <w:rsid w:val="00DC5237"/>
    <w:rsid w:val="00DC5705"/>
    <w:rsid w:val="00DC5E01"/>
    <w:rsid w:val="00DC662A"/>
    <w:rsid w:val="00DC6670"/>
    <w:rsid w:val="00DD27DD"/>
    <w:rsid w:val="00DD2AAD"/>
    <w:rsid w:val="00DD34A9"/>
    <w:rsid w:val="00DD355B"/>
    <w:rsid w:val="00DD383D"/>
    <w:rsid w:val="00DE1349"/>
    <w:rsid w:val="00DE1CEB"/>
    <w:rsid w:val="00DE4CC7"/>
    <w:rsid w:val="00DE6A36"/>
    <w:rsid w:val="00DE6DC0"/>
    <w:rsid w:val="00DF08FD"/>
    <w:rsid w:val="00DF38BE"/>
    <w:rsid w:val="00DF47A4"/>
    <w:rsid w:val="00E0091E"/>
    <w:rsid w:val="00E02E20"/>
    <w:rsid w:val="00E03944"/>
    <w:rsid w:val="00E03E59"/>
    <w:rsid w:val="00E04172"/>
    <w:rsid w:val="00E046E1"/>
    <w:rsid w:val="00E04CF6"/>
    <w:rsid w:val="00E0565E"/>
    <w:rsid w:val="00E106A3"/>
    <w:rsid w:val="00E115C4"/>
    <w:rsid w:val="00E14A52"/>
    <w:rsid w:val="00E2023C"/>
    <w:rsid w:val="00E20E7E"/>
    <w:rsid w:val="00E2218B"/>
    <w:rsid w:val="00E229EA"/>
    <w:rsid w:val="00E265A3"/>
    <w:rsid w:val="00E27B2A"/>
    <w:rsid w:val="00E30976"/>
    <w:rsid w:val="00E33127"/>
    <w:rsid w:val="00E34A3B"/>
    <w:rsid w:val="00E36C1B"/>
    <w:rsid w:val="00E36E19"/>
    <w:rsid w:val="00E37AF4"/>
    <w:rsid w:val="00E37F53"/>
    <w:rsid w:val="00E400FE"/>
    <w:rsid w:val="00E41E21"/>
    <w:rsid w:val="00E42269"/>
    <w:rsid w:val="00E42D7A"/>
    <w:rsid w:val="00E463B3"/>
    <w:rsid w:val="00E528EB"/>
    <w:rsid w:val="00E53085"/>
    <w:rsid w:val="00E551A3"/>
    <w:rsid w:val="00E55980"/>
    <w:rsid w:val="00E563AE"/>
    <w:rsid w:val="00E5655C"/>
    <w:rsid w:val="00E5664E"/>
    <w:rsid w:val="00E57D18"/>
    <w:rsid w:val="00E57F92"/>
    <w:rsid w:val="00E63BBE"/>
    <w:rsid w:val="00E64104"/>
    <w:rsid w:val="00E64515"/>
    <w:rsid w:val="00E64F38"/>
    <w:rsid w:val="00E65558"/>
    <w:rsid w:val="00E673E6"/>
    <w:rsid w:val="00E70CCA"/>
    <w:rsid w:val="00E711A1"/>
    <w:rsid w:val="00E7191E"/>
    <w:rsid w:val="00E747D6"/>
    <w:rsid w:val="00E751B7"/>
    <w:rsid w:val="00E76441"/>
    <w:rsid w:val="00E76D07"/>
    <w:rsid w:val="00E76E09"/>
    <w:rsid w:val="00E77126"/>
    <w:rsid w:val="00E8040C"/>
    <w:rsid w:val="00E81513"/>
    <w:rsid w:val="00E8326C"/>
    <w:rsid w:val="00E8370E"/>
    <w:rsid w:val="00E85938"/>
    <w:rsid w:val="00E85EE7"/>
    <w:rsid w:val="00E8661F"/>
    <w:rsid w:val="00E879BA"/>
    <w:rsid w:val="00E87D1E"/>
    <w:rsid w:val="00E9092B"/>
    <w:rsid w:val="00E91FA3"/>
    <w:rsid w:val="00E9202E"/>
    <w:rsid w:val="00E920B9"/>
    <w:rsid w:val="00E92FAE"/>
    <w:rsid w:val="00E942AF"/>
    <w:rsid w:val="00E96060"/>
    <w:rsid w:val="00E976CB"/>
    <w:rsid w:val="00EA070E"/>
    <w:rsid w:val="00EA3167"/>
    <w:rsid w:val="00EB11C3"/>
    <w:rsid w:val="00EB3E15"/>
    <w:rsid w:val="00EB4764"/>
    <w:rsid w:val="00EB5CCD"/>
    <w:rsid w:val="00EB78E5"/>
    <w:rsid w:val="00EB7BDC"/>
    <w:rsid w:val="00EC028C"/>
    <w:rsid w:val="00EC47E8"/>
    <w:rsid w:val="00EC5A50"/>
    <w:rsid w:val="00ED0639"/>
    <w:rsid w:val="00ED1D0A"/>
    <w:rsid w:val="00ED4006"/>
    <w:rsid w:val="00ED4F57"/>
    <w:rsid w:val="00ED5359"/>
    <w:rsid w:val="00ED79BE"/>
    <w:rsid w:val="00EE0B70"/>
    <w:rsid w:val="00EE2004"/>
    <w:rsid w:val="00EE21FC"/>
    <w:rsid w:val="00EE3613"/>
    <w:rsid w:val="00EE37B7"/>
    <w:rsid w:val="00EE7256"/>
    <w:rsid w:val="00EF0EFF"/>
    <w:rsid w:val="00EF26C4"/>
    <w:rsid w:val="00EF30A6"/>
    <w:rsid w:val="00EF5FE2"/>
    <w:rsid w:val="00EF6DD4"/>
    <w:rsid w:val="00EF73D6"/>
    <w:rsid w:val="00EF782E"/>
    <w:rsid w:val="00F02B9E"/>
    <w:rsid w:val="00F04D93"/>
    <w:rsid w:val="00F05BF7"/>
    <w:rsid w:val="00F10754"/>
    <w:rsid w:val="00F10FF5"/>
    <w:rsid w:val="00F120B7"/>
    <w:rsid w:val="00F13F87"/>
    <w:rsid w:val="00F1552E"/>
    <w:rsid w:val="00F171EE"/>
    <w:rsid w:val="00F2665F"/>
    <w:rsid w:val="00F30522"/>
    <w:rsid w:val="00F31B7A"/>
    <w:rsid w:val="00F33AFD"/>
    <w:rsid w:val="00F37A90"/>
    <w:rsid w:val="00F40009"/>
    <w:rsid w:val="00F4513E"/>
    <w:rsid w:val="00F46F6D"/>
    <w:rsid w:val="00F470CC"/>
    <w:rsid w:val="00F47CC1"/>
    <w:rsid w:val="00F5004C"/>
    <w:rsid w:val="00F50845"/>
    <w:rsid w:val="00F51192"/>
    <w:rsid w:val="00F5186F"/>
    <w:rsid w:val="00F524A6"/>
    <w:rsid w:val="00F52847"/>
    <w:rsid w:val="00F57931"/>
    <w:rsid w:val="00F6027A"/>
    <w:rsid w:val="00F61521"/>
    <w:rsid w:val="00F633A1"/>
    <w:rsid w:val="00F63C3E"/>
    <w:rsid w:val="00F66B18"/>
    <w:rsid w:val="00F70702"/>
    <w:rsid w:val="00F71916"/>
    <w:rsid w:val="00F722CE"/>
    <w:rsid w:val="00F7424D"/>
    <w:rsid w:val="00F74B1E"/>
    <w:rsid w:val="00F7620C"/>
    <w:rsid w:val="00F77367"/>
    <w:rsid w:val="00F77B24"/>
    <w:rsid w:val="00F81364"/>
    <w:rsid w:val="00F85342"/>
    <w:rsid w:val="00F86A73"/>
    <w:rsid w:val="00F8769C"/>
    <w:rsid w:val="00F94B52"/>
    <w:rsid w:val="00F94D98"/>
    <w:rsid w:val="00F96AF9"/>
    <w:rsid w:val="00F97E40"/>
    <w:rsid w:val="00FA3B5C"/>
    <w:rsid w:val="00FA3EA1"/>
    <w:rsid w:val="00FA43AA"/>
    <w:rsid w:val="00FB03DA"/>
    <w:rsid w:val="00FB0AAC"/>
    <w:rsid w:val="00FB0FCF"/>
    <w:rsid w:val="00FB5911"/>
    <w:rsid w:val="00FB7E27"/>
    <w:rsid w:val="00FC15B9"/>
    <w:rsid w:val="00FC342D"/>
    <w:rsid w:val="00FC5D54"/>
    <w:rsid w:val="00FC6AC3"/>
    <w:rsid w:val="00FC7422"/>
    <w:rsid w:val="00FD04B0"/>
    <w:rsid w:val="00FD214F"/>
    <w:rsid w:val="00FD2CFF"/>
    <w:rsid w:val="00FD394E"/>
    <w:rsid w:val="00FD47F0"/>
    <w:rsid w:val="00FD5D54"/>
    <w:rsid w:val="00FD6CB2"/>
    <w:rsid w:val="00FE14D7"/>
    <w:rsid w:val="00FE180D"/>
    <w:rsid w:val="00FE2CA8"/>
    <w:rsid w:val="00FE2FA3"/>
    <w:rsid w:val="00FE7B2B"/>
    <w:rsid w:val="00FF03F8"/>
    <w:rsid w:val="00FF254A"/>
    <w:rsid w:val="00FF35BA"/>
    <w:rsid w:val="00FF69DB"/>
    <w:rsid w:val="00FF73B7"/>
    <w:rsid w:val="00FF7F5B"/>
    <w:rsid w:val="17E23B5E"/>
    <w:rsid w:val="5C63AAD9"/>
    <w:rsid w:val="66153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8CCC"/>
  <w15:docId w15:val="{C1AFBA51-CA27-44C8-AF47-091AAF4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2D"/>
  </w:style>
  <w:style w:type="paragraph" w:styleId="Ttulo1">
    <w:name w:val="heading 1"/>
    <w:basedOn w:val="Normal"/>
    <w:next w:val="Normal"/>
    <w:link w:val="Ttulo1Char"/>
    <w:uiPriority w:val="9"/>
    <w:qFormat/>
    <w:rsid w:val="00892556"/>
    <w:pPr>
      <w:keepNext/>
      <w:keepLines/>
      <w:spacing w:before="240"/>
      <w:outlineLvl w:val="0"/>
    </w:pPr>
    <w:rPr>
      <w:rFonts w:ascii="Times New Roman" w:eastAsiaTheme="majorEastAsia" w:hAnsi="Times New Roman" w:cstheme="majorBidi"/>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1245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1245D"/>
    <w:rPr>
      <w:sz w:val="20"/>
      <w:szCs w:val="20"/>
    </w:rPr>
  </w:style>
  <w:style w:type="paragraph" w:styleId="Textodecomentrio">
    <w:name w:val="annotation text"/>
    <w:basedOn w:val="Normal"/>
    <w:link w:val="TextodecomentrioChar"/>
    <w:uiPriority w:val="99"/>
    <w:unhideWhenUsed/>
    <w:rsid w:val="00B1245D"/>
    <w:pPr>
      <w:spacing w:line="240" w:lineRule="auto"/>
    </w:pPr>
    <w:rPr>
      <w:sz w:val="20"/>
      <w:szCs w:val="20"/>
    </w:rPr>
  </w:style>
  <w:style w:type="character" w:customStyle="1" w:styleId="TextodecomentrioChar">
    <w:name w:val="Texto de comentário Char"/>
    <w:basedOn w:val="Fontepargpadro"/>
    <w:link w:val="Textodecomentrio"/>
    <w:uiPriority w:val="99"/>
    <w:rsid w:val="00B1245D"/>
    <w:rPr>
      <w:sz w:val="20"/>
      <w:szCs w:val="20"/>
    </w:rPr>
  </w:style>
  <w:style w:type="character" w:styleId="Refdenotaderodap">
    <w:name w:val="footnote reference"/>
    <w:basedOn w:val="Fontepargpadro"/>
    <w:uiPriority w:val="99"/>
    <w:semiHidden/>
    <w:unhideWhenUsed/>
    <w:rsid w:val="00B1245D"/>
    <w:rPr>
      <w:vertAlign w:val="superscript"/>
    </w:rPr>
  </w:style>
  <w:style w:type="character" w:styleId="Refdecomentrio">
    <w:name w:val="annotation reference"/>
    <w:basedOn w:val="Fontepargpadro"/>
    <w:uiPriority w:val="99"/>
    <w:semiHidden/>
    <w:unhideWhenUsed/>
    <w:rsid w:val="00B1245D"/>
    <w:rPr>
      <w:sz w:val="16"/>
      <w:szCs w:val="16"/>
    </w:rPr>
  </w:style>
  <w:style w:type="paragraph" w:styleId="Reviso">
    <w:name w:val="Revision"/>
    <w:hidden/>
    <w:uiPriority w:val="99"/>
    <w:semiHidden/>
    <w:rsid w:val="00840E94"/>
    <w:pPr>
      <w:spacing w:line="240" w:lineRule="auto"/>
    </w:pPr>
  </w:style>
  <w:style w:type="paragraph" w:styleId="Assuntodocomentrio">
    <w:name w:val="annotation subject"/>
    <w:basedOn w:val="Textodecomentrio"/>
    <w:next w:val="Textodecomentrio"/>
    <w:link w:val="AssuntodocomentrioChar"/>
    <w:uiPriority w:val="99"/>
    <w:semiHidden/>
    <w:unhideWhenUsed/>
    <w:rsid w:val="00A94C38"/>
    <w:rPr>
      <w:b/>
      <w:bCs/>
    </w:rPr>
  </w:style>
  <w:style w:type="character" w:customStyle="1" w:styleId="AssuntodocomentrioChar">
    <w:name w:val="Assunto do comentário Char"/>
    <w:basedOn w:val="TextodecomentrioChar"/>
    <w:link w:val="Assuntodocomentrio"/>
    <w:uiPriority w:val="99"/>
    <w:semiHidden/>
    <w:rsid w:val="00A94C38"/>
    <w:rPr>
      <w:b/>
      <w:bCs/>
      <w:sz w:val="20"/>
      <w:szCs w:val="20"/>
    </w:rPr>
  </w:style>
  <w:style w:type="paragraph" w:styleId="PargrafodaLista">
    <w:name w:val="List Paragraph"/>
    <w:basedOn w:val="Normal"/>
    <w:uiPriority w:val="34"/>
    <w:qFormat/>
    <w:rsid w:val="00DB251C"/>
    <w:pPr>
      <w:ind w:left="720"/>
      <w:contextualSpacing/>
    </w:pPr>
  </w:style>
  <w:style w:type="paragraph" w:styleId="Cabealho">
    <w:name w:val="header"/>
    <w:basedOn w:val="Normal"/>
    <w:link w:val="CabealhoChar"/>
    <w:uiPriority w:val="99"/>
    <w:unhideWhenUsed/>
    <w:rsid w:val="008A3936"/>
    <w:pPr>
      <w:tabs>
        <w:tab w:val="center" w:pos="4252"/>
        <w:tab w:val="right" w:pos="8504"/>
      </w:tabs>
      <w:spacing w:line="240" w:lineRule="auto"/>
    </w:pPr>
  </w:style>
  <w:style w:type="character" w:customStyle="1" w:styleId="CabealhoChar">
    <w:name w:val="Cabeçalho Char"/>
    <w:basedOn w:val="Fontepargpadro"/>
    <w:link w:val="Cabealho"/>
    <w:uiPriority w:val="99"/>
    <w:rsid w:val="008A3936"/>
  </w:style>
  <w:style w:type="paragraph" w:styleId="Rodap">
    <w:name w:val="footer"/>
    <w:basedOn w:val="Normal"/>
    <w:link w:val="RodapChar"/>
    <w:uiPriority w:val="99"/>
    <w:unhideWhenUsed/>
    <w:rsid w:val="008A3936"/>
    <w:pPr>
      <w:tabs>
        <w:tab w:val="center" w:pos="4252"/>
        <w:tab w:val="right" w:pos="8504"/>
      </w:tabs>
      <w:spacing w:line="240" w:lineRule="auto"/>
    </w:pPr>
  </w:style>
  <w:style w:type="character" w:customStyle="1" w:styleId="RodapChar">
    <w:name w:val="Rodapé Char"/>
    <w:basedOn w:val="Fontepargpadro"/>
    <w:link w:val="Rodap"/>
    <w:uiPriority w:val="99"/>
    <w:rsid w:val="008A3936"/>
  </w:style>
  <w:style w:type="character" w:styleId="Hyperlink">
    <w:name w:val="Hyperlink"/>
    <w:basedOn w:val="Fontepargpadro"/>
    <w:uiPriority w:val="99"/>
    <w:unhideWhenUsed/>
    <w:rsid w:val="00542997"/>
    <w:rPr>
      <w:color w:val="0000FF"/>
      <w:u w:val="single"/>
    </w:rPr>
  </w:style>
  <w:style w:type="character" w:styleId="MenoPendente">
    <w:name w:val="Unresolved Mention"/>
    <w:basedOn w:val="Fontepargpadro"/>
    <w:uiPriority w:val="99"/>
    <w:semiHidden/>
    <w:unhideWhenUsed/>
    <w:rsid w:val="00601689"/>
    <w:rPr>
      <w:color w:val="605E5C"/>
      <w:shd w:val="clear" w:color="auto" w:fill="E1DFDD"/>
    </w:r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164426"/>
    <w:rPr>
      <w:color w:val="954F72" w:themeColor="followedHyperlink"/>
      <w:u w:val="single"/>
    </w:rPr>
  </w:style>
  <w:style w:type="character" w:styleId="TextodoEspaoReservado">
    <w:name w:val="Placeholder Text"/>
    <w:basedOn w:val="Fontepargpadro"/>
    <w:uiPriority w:val="99"/>
    <w:semiHidden/>
    <w:rsid w:val="0003133F"/>
    <w:rPr>
      <w:color w:val="808080"/>
    </w:rPr>
  </w:style>
  <w:style w:type="paragraph" w:styleId="Legenda">
    <w:name w:val="caption"/>
    <w:basedOn w:val="Normal"/>
    <w:next w:val="Normal"/>
    <w:uiPriority w:val="35"/>
    <w:unhideWhenUsed/>
    <w:qFormat/>
    <w:rsid w:val="005D270F"/>
    <w:pPr>
      <w:spacing w:after="200" w:line="240" w:lineRule="auto"/>
    </w:pPr>
    <w:rPr>
      <w:i/>
      <w:iCs/>
      <w:color w:val="44546A" w:themeColor="text2"/>
      <w:sz w:val="18"/>
      <w:szCs w:val="18"/>
    </w:rPr>
  </w:style>
  <w:style w:type="character" w:customStyle="1" w:styleId="Ttulo1Char">
    <w:name w:val="Título 1 Char"/>
    <w:basedOn w:val="Fontepargpadro"/>
    <w:link w:val="Ttulo1"/>
    <w:uiPriority w:val="9"/>
    <w:rsid w:val="00892556"/>
    <w:rPr>
      <w:rFonts w:ascii="Times New Roman" w:eastAsiaTheme="majorEastAsia" w:hAnsi="Times New Roman" w:cstheme="majorBidi"/>
      <w:sz w:val="24"/>
      <w:szCs w:val="32"/>
    </w:rPr>
  </w:style>
  <w:style w:type="paragraph" w:styleId="CabealhodoSumrio">
    <w:name w:val="TOC Heading"/>
    <w:basedOn w:val="Ttulo1"/>
    <w:next w:val="Normal"/>
    <w:uiPriority w:val="39"/>
    <w:unhideWhenUsed/>
    <w:qFormat/>
    <w:rsid w:val="008C3071"/>
    <w:pPr>
      <w:spacing w:line="259" w:lineRule="auto"/>
      <w:ind w:firstLine="0"/>
      <w:jc w:val="left"/>
      <w:outlineLvl w:val="9"/>
    </w:pPr>
    <w:rPr>
      <w:lang w:eastAsia="pt-BR"/>
    </w:rPr>
  </w:style>
  <w:style w:type="paragraph" w:styleId="Sumrio1">
    <w:name w:val="toc 1"/>
    <w:basedOn w:val="Normal"/>
    <w:next w:val="Normal"/>
    <w:autoRedefine/>
    <w:uiPriority w:val="39"/>
    <w:unhideWhenUsed/>
    <w:rsid w:val="00E115C4"/>
    <w:pPr>
      <w:tabs>
        <w:tab w:val="left" w:pos="660"/>
        <w:tab w:val="left" w:pos="1320"/>
        <w:tab w:val="right" w:leader="dot" w:pos="8494"/>
      </w:tabs>
      <w:spacing w:after="100"/>
      <w:ind w:firstLine="0"/>
    </w:pPr>
  </w:style>
  <w:style w:type="paragraph" w:styleId="Sumrio2">
    <w:name w:val="toc 2"/>
    <w:basedOn w:val="Normal"/>
    <w:next w:val="Normal"/>
    <w:autoRedefine/>
    <w:uiPriority w:val="39"/>
    <w:unhideWhenUsed/>
    <w:rsid w:val="00E115C4"/>
    <w:pPr>
      <w:spacing w:after="100" w:line="259" w:lineRule="auto"/>
      <w:ind w:left="220" w:firstLine="0"/>
      <w:jc w:val="left"/>
    </w:pPr>
    <w:rPr>
      <w:rFonts w:eastAsiaTheme="minorEastAsia" w:cs="Times New Roman"/>
      <w:lang w:eastAsia="pt-BR"/>
    </w:rPr>
  </w:style>
  <w:style w:type="paragraph" w:styleId="Sumrio3">
    <w:name w:val="toc 3"/>
    <w:basedOn w:val="Normal"/>
    <w:next w:val="Normal"/>
    <w:autoRedefine/>
    <w:uiPriority w:val="39"/>
    <w:unhideWhenUsed/>
    <w:rsid w:val="00E115C4"/>
    <w:pPr>
      <w:spacing w:after="100" w:line="259" w:lineRule="auto"/>
      <w:ind w:left="440" w:firstLine="0"/>
      <w:jc w:val="left"/>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77797">
      <w:bodyDiv w:val="1"/>
      <w:marLeft w:val="0"/>
      <w:marRight w:val="0"/>
      <w:marTop w:val="0"/>
      <w:marBottom w:val="0"/>
      <w:divBdr>
        <w:top w:val="none" w:sz="0" w:space="0" w:color="auto"/>
        <w:left w:val="none" w:sz="0" w:space="0" w:color="auto"/>
        <w:bottom w:val="none" w:sz="0" w:space="0" w:color="auto"/>
        <w:right w:val="none" w:sz="0" w:space="0" w:color="auto"/>
      </w:divBdr>
    </w:div>
    <w:div w:id="515464535">
      <w:bodyDiv w:val="1"/>
      <w:marLeft w:val="0"/>
      <w:marRight w:val="0"/>
      <w:marTop w:val="0"/>
      <w:marBottom w:val="0"/>
      <w:divBdr>
        <w:top w:val="none" w:sz="0" w:space="0" w:color="auto"/>
        <w:left w:val="none" w:sz="0" w:space="0" w:color="auto"/>
        <w:bottom w:val="none" w:sz="0" w:space="0" w:color="auto"/>
        <w:right w:val="none" w:sz="0" w:space="0" w:color="auto"/>
      </w:divBdr>
    </w:div>
    <w:div w:id="551158042">
      <w:bodyDiv w:val="1"/>
      <w:marLeft w:val="0"/>
      <w:marRight w:val="0"/>
      <w:marTop w:val="0"/>
      <w:marBottom w:val="0"/>
      <w:divBdr>
        <w:top w:val="none" w:sz="0" w:space="0" w:color="auto"/>
        <w:left w:val="none" w:sz="0" w:space="0" w:color="auto"/>
        <w:bottom w:val="none" w:sz="0" w:space="0" w:color="auto"/>
        <w:right w:val="none" w:sz="0" w:space="0" w:color="auto"/>
      </w:divBdr>
    </w:div>
    <w:div w:id="621765042">
      <w:bodyDiv w:val="1"/>
      <w:marLeft w:val="0"/>
      <w:marRight w:val="0"/>
      <w:marTop w:val="0"/>
      <w:marBottom w:val="0"/>
      <w:divBdr>
        <w:top w:val="none" w:sz="0" w:space="0" w:color="auto"/>
        <w:left w:val="none" w:sz="0" w:space="0" w:color="auto"/>
        <w:bottom w:val="none" w:sz="0" w:space="0" w:color="auto"/>
        <w:right w:val="none" w:sz="0" w:space="0" w:color="auto"/>
      </w:divBdr>
      <w:divsChild>
        <w:div w:id="903375029">
          <w:marLeft w:val="0"/>
          <w:marRight w:val="0"/>
          <w:marTop w:val="0"/>
          <w:marBottom w:val="0"/>
          <w:divBdr>
            <w:top w:val="single" w:sz="2" w:space="0" w:color="D9D9E3"/>
            <w:left w:val="single" w:sz="2" w:space="0" w:color="D9D9E3"/>
            <w:bottom w:val="single" w:sz="2" w:space="0" w:color="D9D9E3"/>
            <w:right w:val="single" w:sz="2" w:space="0" w:color="D9D9E3"/>
          </w:divBdr>
          <w:divsChild>
            <w:div w:id="446701972">
              <w:marLeft w:val="0"/>
              <w:marRight w:val="0"/>
              <w:marTop w:val="0"/>
              <w:marBottom w:val="0"/>
              <w:divBdr>
                <w:top w:val="single" w:sz="2" w:space="0" w:color="D9D9E3"/>
                <w:left w:val="single" w:sz="2" w:space="0" w:color="D9D9E3"/>
                <w:bottom w:val="single" w:sz="2" w:space="0" w:color="D9D9E3"/>
                <w:right w:val="single" w:sz="2" w:space="0" w:color="D9D9E3"/>
              </w:divBdr>
              <w:divsChild>
                <w:div w:id="1190413557">
                  <w:marLeft w:val="0"/>
                  <w:marRight w:val="0"/>
                  <w:marTop w:val="0"/>
                  <w:marBottom w:val="0"/>
                  <w:divBdr>
                    <w:top w:val="single" w:sz="2" w:space="0" w:color="D9D9E3"/>
                    <w:left w:val="single" w:sz="2" w:space="0" w:color="D9D9E3"/>
                    <w:bottom w:val="single" w:sz="2" w:space="0" w:color="D9D9E3"/>
                    <w:right w:val="single" w:sz="2" w:space="0" w:color="D9D9E3"/>
                  </w:divBdr>
                  <w:divsChild>
                    <w:div w:id="2087726989">
                      <w:marLeft w:val="0"/>
                      <w:marRight w:val="0"/>
                      <w:marTop w:val="0"/>
                      <w:marBottom w:val="0"/>
                      <w:divBdr>
                        <w:top w:val="single" w:sz="2" w:space="0" w:color="D9D9E3"/>
                        <w:left w:val="single" w:sz="2" w:space="0" w:color="D9D9E3"/>
                        <w:bottom w:val="single" w:sz="2" w:space="0" w:color="D9D9E3"/>
                        <w:right w:val="single" w:sz="2" w:space="0" w:color="D9D9E3"/>
                      </w:divBdr>
                      <w:divsChild>
                        <w:div w:id="1396472363">
                          <w:marLeft w:val="0"/>
                          <w:marRight w:val="0"/>
                          <w:marTop w:val="0"/>
                          <w:marBottom w:val="0"/>
                          <w:divBdr>
                            <w:top w:val="single" w:sz="2" w:space="0" w:color="D9D9E3"/>
                            <w:left w:val="single" w:sz="2" w:space="0" w:color="D9D9E3"/>
                            <w:bottom w:val="single" w:sz="2" w:space="0" w:color="D9D9E3"/>
                            <w:right w:val="single" w:sz="2" w:space="0" w:color="D9D9E3"/>
                          </w:divBdr>
                          <w:divsChild>
                            <w:div w:id="1331330532">
                              <w:marLeft w:val="0"/>
                              <w:marRight w:val="0"/>
                              <w:marTop w:val="100"/>
                              <w:marBottom w:val="100"/>
                              <w:divBdr>
                                <w:top w:val="single" w:sz="2" w:space="0" w:color="D9D9E3"/>
                                <w:left w:val="single" w:sz="2" w:space="0" w:color="D9D9E3"/>
                                <w:bottom w:val="single" w:sz="2" w:space="0" w:color="D9D9E3"/>
                                <w:right w:val="single" w:sz="2" w:space="0" w:color="D9D9E3"/>
                              </w:divBdr>
                              <w:divsChild>
                                <w:div w:id="302201178">
                                  <w:marLeft w:val="0"/>
                                  <w:marRight w:val="0"/>
                                  <w:marTop w:val="0"/>
                                  <w:marBottom w:val="0"/>
                                  <w:divBdr>
                                    <w:top w:val="single" w:sz="2" w:space="0" w:color="D9D9E3"/>
                                    <w:left w:val="single" w:sz="2" w:space="0" w:color="D9D9E3"/>
                                    <w:bottom w:val="single" w:sz="2" w:space="0" w:color="D9D9E3"/>
                                    <w:right w:val="single" w:sz="2" w:space="0" w:color="D9D9E3"/>
                                  </w:divBdr>
                                  <w:divsChild>
                                    <w:div w:id="481388788">
                                      <w:marLeft w:val="0"/>
                                      <w:marRight w:val="0"/>
                                      <w:marTop w:val="0"/>
                                      <w:marBottom w:val="0"/>
                                      <w:divBdr>
                                        <w:top w:val="single" w:sz="2" w:space="0" w:color="D9D9E3"/>
                                        <w:left w:val="single" w:sz="2" w:space="0" w:color="D9D9E3"/>
                                        <w:bottom w:val="single" w:sz="2" w:space="0" w:color="D9D9E3"/>
                                        <w:right w:val="single" w:sz="2" w:space="0" w:color="D9D9E3"/>
                                      </w:divBdr>
                                      <w:divsChild>
                                        <w:div w:id="1533181374">
                                          <w:marLeft w:val="0"/>
                                          <w:marRight w:val="0"/>
                                          <w:marTop w:val="0"/>
                                          <w:marBottom w:val="0"/>
                                          <w:divBdr>
                                            <w:top w:val="single" w:sz="2" w:space="0" w:color="D9D9E3"/>
                                            <w:left w:val="single" w:sz="2" w:space="0" w:color="D9D9E3"/>
                                            <w:bottom w:val="single" w:sz="2" w:space="0" w:color="D9D9E3"/>
                                            <w:right w:val="single" w:sz="2" w:space="0" w:color="D9D9E3"/>
                                          </w:divBdr>
                                          <w:divsChild>
                                            <w:div w:id="38557181">
                                              <w:marLeft w:val="0"/>
                                              <w:marRight w:val="0"/>
                                              <w:marTop w:val="0"/>
                                              <w:marBottom w:val="0"/>
                                              <w:divBdr>
                                                <w:top w:val="single" w:sz="2" w:space="0" w:color="D9D9E3"/>
                                                <w:left w:val="single" w:sz="2" w:space="0" w:color="D9D9E3"/>
                                                <w:bottom w:val="single" w:sz="2" w:space="0" w:color="D9D9E3"/>
                                                <w:right w:val="single" w:sz="2" w:space="0" w:color="D9D9E3"/>
                                              </w:divBdr>
                                              <w:divsChild>
                                                <w:div w:id="1344014954">
                                                  <w:marLeft w:val="0"/>
                                                  <w:marRight w:val="0"/>
                                                  <w:marTop w:val="0"/>
                                                  <w:marBottom w:val="0"/>
                                                  <w:divBdr>
                                                    <w:top w:val="single" w:sz="2" w:space="0" w:color="D9D9E3"/>
                                                    <w:left w:val="single" w:sz="2" w:space="0" w:color="D9D9E3"/>
                                                    <w:bottom w:val="single" w:sz="2" w:space="0" w:color="D9D9E3"/>
                                                    <w:right w:val="single" w:sz="2" w:space="0" w:color="D9D9E3"/>
                                                  </w:divBdr>
                                                  <w:divsChild>
                                                    <w:div w:id="811218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0540839">
          <w:marLeft w:val="0"/>
          <w:marRight w:val="0"/>
          <w:marTop w:val="0"/>
          <w:marBottom w:val="0"/>
          <w:divBdr>
            <w:top w:val="none" w:sz="0" w:space="0" w:color="auto"/>
            <w:left w:val="none" w:sz="0" w:space="0" w:color="auto"/>
            <w:bottom w:val="none" w:sz="0" w:space="0" w:color="auto"/>
            <w:right w:val="none" w:sz="0" w:space="0" w:color="auto"/>
          </w:divBdr>
        </w:div>
      </w:divsChild>
    </w:div>
    <w:div w:id="694307287">
      <w:bodyDiv w:val="1"/>
      <w:marLeft w:val="0"/>
      <w:marRight w:val="0"/>
      <w:marTop w:val="0"/>
      <w:marBottom w:val="0"/>
      <w:divBdr>
        <w:top w:val="none" w:sz="0" w:space="0" w:color="auto"/>
        <w:left w:val="none" w:sz="0" w:space="0" w:color="auto"/>
        <w:bottom w:val="none" w:sz="0" w:space="0" w:color="auto"/>
        <w:right w:val="none" w:sz="0" w:space="0" w:color="auto"/>
      </w:divBdr>
    </w:div>
    <w:div w:id="1054506396">
      <w:bodyDiv w:val="1"/>
      <w:marLeft w:val="0"/>
      <w:marRight w:val="0"/>
      <w:marTop w:val="0"/>
      <w:marBottom w:val="0"/>
      <w:divBdr>
        <w:top w:val="none" w:sz="0" w:space="0" w:color="auto"/>
        <w:left w:val="none" w:sz="0" w:space="0" w:color="auto"/>
        <w:bottom w:val="none" w:sz="0" w:space="0" w:color="auto"/>
        <w:right w:val="none" w:sz="0" w:space="0" w:color="auto"/>
      </w:divBdr>
    </w:div>
    <w:div w:id="1310594835">
      <w:bodyDiv w:val="1"/>
      <w:marLeft w:val="0"/>
      <w:marRight w:val="0"/>
      <w:marTop w:val="0"/>
      <w:marBottom w:val="0"/>
      <w:divBdr>
        <w:top w:val="none" w:sz="0" w:space="0" w:color="auto"/>
        <w:left w:val="none" w:sz="0" w:space="0" w:color="auto"/>
        <w:bottom w:val="none" w:sz="0" w:space="0" w:color="auto"/>
        <w:right w:val="none" w:sz="0" w:space="0" w:color="auto"/>
      </w:divBdr>
    </w:div>
    <w:div w:id="1681155413">
      <w:bodyDiv w:val="1"/>
      <w:marLeft w:val="0"/>
      <w:marRight w:val="0"/>
      <w:marTop w:val="0"/>
      <w:marBottom w:val="0"/>
      <w:divBdr>
        <w:top w:val="none" w:sz="0" w:space="0" w:color="auto"/>
        <w:left w:val="none" w:sz="0" w:space="0" w:color="auto"/>
        <w:bottom w:val="none" w:sz="0" w:space="0" w:color="auto"/>
        <w:right w:val="none" w:sz="0" w:space="0" w:color="auto"/>
      </w:divBdr>
    </w:div>
    <w:div w:id="1890875793">
      <w:bodyDiv w:val="1"/>
      <w:marLeft w:val="0"/>
      <w:marRight w:val="0"/>
      <w:marTop w:val="0"/>
      <w:marBottom w:val="0"/>
      <w:divBdr>
        <w:top w:val="none" w:sz="0" w:space="0" w:color="auto"/>
        <w:left w:val="none" w:sz="0" w:space="0" w:color="auto"/>
        <w:bottom w:val="none" w:sz="0" w:space="0" w:color="auto"/>
        <w:right w:val="none" w:sz="0" w:space="0" w:color="auto"/>
      </w:divBdr>
    </w:div>
    <w:div w:id="1949846492">
      <w:bodyDiv w:val="1"/>
      <w:marLeft w:val="0"/>
      <w:marRight w:val="0"/>
      <w:marTop w:val="0"/>
      <w:marBottom w:val="0"/>
      <w:divBdr>
        <w:top w:val="none" w:sz="0" w:space="0" w:color="auto"/>
        <w:left w:val="none" w:sz="0" w:space="0" w:color="auto"/>
        <w:bottom w:val="none" w:sz="0" w:space="0" w:color="auto"/>
        <w:right w:val="none" w:sz="0" w:space="0" w:color="auto"/>
      </w:divBdr>
    </w:div>
    <w:div w:id="205091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necruz@ufsj.edu.br" TargetMode="External"/><Relationship Id="rId13" Type="http://schemas.openxmlformats.org/officeDocument/2006/relationships/chart" Target="charts/chart3.xml"/><Relationship Id="rId18" Type="http://schemas.openxmlformats.org/officeDocument/2006/relationships/hyperlink" Target="http://lattes.cnpq.br/07251107037361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mailto:douglasferreira@ufsj.edu.br" TargetMode="External"/><Relationship Id="rId19" Type="http://schemas.openxmlformats.org/officeDocument/2006/relationships/hyperlink" Target="http://lattes.cnpq.br/1672074409491736" TargetMode="External"/><Relationship Id="rId4" Type="http://schemas.openxmlformats.org/officeDocument/2006/relationships/settings" Target="settings.xml"/><Relationship Id="rId9" Type="http://schemas.openxmlformats.org/officeDocument/2006/relationships/hyperlink" Target="mailto:karine.cv.07@aluno.ufsj.edu.br"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in\Desktop\Dados\Outros\An&#225;lise%20Anu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karin\Desktop\Dados\Outros\An&#225;lise%20Anual.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1"/>
          <c:order val="1"/>
          <c:tx>
            <c:strRef>
              <c:f>'Resultados 3'!$C$1</c:f>
              <c:strCache>
                <c:ptCount val="1"/>
                <c:pt idx="0">
                  <c:v>Variação anual da Taxa de Desemprego (%)</c:v>
                </c:pt>
              </c:strCache>
            </c:strRef>
          </c:tx>
          <c:spPr>
            <a:noFill/>
            <a:ln>
              <a:noFill/>
            </a:ln>
            <a:effectLst/>
          </c:spPr>
          <c:cat>
            <c:numRef>
              <c:f>'Resultados 3'!$A$2:$A$12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extLst/>
            </c:numRef>
          </c:cat>
          <c:val>
            <c:numRef>
              <c:f>'Resultados 3'!$C$2:$C$12</c:f>
              <c:numCache>
                <c:formatCode>General</c:formatCode>
                <c:ptCount val="11"/>
                <c:pt idx="0">
                  <c:v>0</c:v>
                </c:pt>
                <c:pt idx="1">
                  <c:v>-3.53</c:v>
                </c:pt>
                <c:pt idx="2">
                  <c:v>-6.73</c:v>
                </c:pt>
                <c:pt idx="3">
                  <c:v>23.04</c:v>
                </c:pt>
                <c:pt idx="4">
                  <c:v>36.94</c:v>
                </c:pt>
                <c:pt idx="5">
                  <c:v>11.63</c:v>
                </c:pt>
                <c:pt idx="6">
                  <c:v>-3.25</c:v>
                </c:pt>
                <c:pt idx="7">
                  <c:v>-2.93</c:v>
                </c:pt>
                <c:pt idx="8">
                  <c:v>11.8</c:v>
                </c:pt>
                <c:pt idx="9">
                  <c:v>-4.05</c:v>
                </c:pt>
                <c:pt idx="10">
                  <c:v>-28.12</c:v>
                </c:pt>
              </c:numCache>
              <c:extLst/>
            </c:numRef>
          </c:val>
          <c:extLst>
            <c:ext xmlns:c16="http://schemas.microsoft.com/office/drawing/2014/chart" uri="{C3380CC4-5D6E-409C-BE32-E72D297353CC}">
              <c16:uniqueId val="{00000000-8C27-4B7D-BFF0-5434FD4EA772}"/>
            </c:ext>
          </c:extLst>
        </c:ser>
        <c:dLbls>
          <c:showLegendKey val="0"/>
          <c:showVal val="0"/>
          <c:showCatName val="0"/>
          <c:showSerName val="0"/>
          <c:showPercent val="0"/>
          <c:showBubbleSize val="0"/>
        </c:dLbls>
        <c:axId val="523272816"/>
        <c:axId val="523271376"/>
      </c:areaChart>
      <c:barChart>
        <c:barDir val="col"/>
        <c:grouping val="clustered"/>
        <c:varyColors val="0"/>
        <c:ser>
          <c:idx val="0"/>
          <c:order val="0"/>
          <c:tx>
            <c:strRef>
              <c:f>'Resultados 3'!$B$1</c:f>
              <c:strCache>
                <c:ptCount val="1"/>
                <c:pt idx="0">
                  <c:v>Taxas de desemprego (%)</c:v>
                </c:pt>
              </c:strCache>
            </c:strRef>
          </c:tx>
          <c:spPr>
            <a:solidFill>
              <a:schemeClr val="accent2">
                <a:lumMod val="50000"/>
              </a:schemeClr>
            </a:solidFill>
            <a:ln>
              <a:noFill/>
            </a:ln>
            <a:effectLst/>
          </c:spPr>
          <c:invertIfNegative val="0"/>
          <c:cat>
            <c:numRef>
              <c:f>'Resultados 3'!$A$2:$A$12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extLst/>
            </c:numRef>
          </c:cat>
          <c:val>
            <c:numRef>
              <c:f>'Resultados 3'!$B$2:$B$12</c:f>
              <c:numCache>
                <c:formatCode>General</c:formatCode>
                <c:ptCount val="11"/>
                <c:pt idx="0">
                  <c:v>7.09</c:v>
                </c:pt>
                <c:pt idx="1">
                  <c:v>6.84</c:v>
                </c:pt>
                <c:pt idx="2">
                  <c:v>6.38</c:v>
                </c:pt>
                <c:pt idx="3">
                  <c:v>7.85</c:v>
                </c:pt>
                <c:pt idx="4">
                  <c:v>10.75</c:v>
                </c:pt>
                <c:pt idx="5">
                  <c:v>12</c:v>
                </c:pt>
                <c:pt idx="6">
                  <c:v>11.61</c:v>
                </c:pt>
                <c:pt idx="7">
                  <c:v>11.27</c:v>
                </c:pt>
                <c:pt idx="8">
                  <c:v>12.6</c:v>
                </c:pt>
                <c:pt idx="9">
                  <c:v>12.09</c:v>
                </c:pt>
                <c:pt idx="10">
                  <c:v>8.69</c:v>
                </c:pt>
              </c:numCache>
              <c:extLst/>
            </c:numRef>
          </c:val>
          <c:extLst>
            <c:ext xmlns:c16="http://schemas.microsoft.com/office/drawing/2014/chart" uri="{C3380CC4-5D6E-409C-BE32-E72D297353CC}">
              <c16:uniqueId val="{00000001-8C27-4B7D-BFF0-5434FD4EA772}"/>
            </c:ext>
          </c:extLst>
        </c:ser>
        <c:dLbls>
          <c:showLegendKey val="0"/>
          <c:showVal val="0"/>
          <c:showCatName val="0"/>
          <c:showSerName val="0"/>
          <c:showPercent val="0"/>
          <c:showBubbleSize val="0"/>
        </c:dLbls>
        <c:gapWidth val="219"/>
        <c:overlap val="-27"/>
        <c:axId val="523272816"/>
        <c:axId val="523271376"/>
      </c:barChart>
      <c:catAx>
        <c:axId val="52327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23271376"/>
        <c:crosses val="autoZero"/>
        <c:auto val="1"/>
        <c:lblAlgn val="ctr"/>
        <c:lblOffset val="100"/>
        <c:noMultiLvlLbl val="0"/>
      </c:catAx>
      <c:valAx>
        <c:axId val="523271376"/>
        <c:scaling>
          <c:orientation val="minMax"/>
          <c:max val="1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2327281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44546A"/>
            </a:solidFill>
            <a:ln cmpd="sng">
              <a:solidFill>
                <a:srgbClr val="000000"/>
              </a:solidFill>
            </a:ln>
          </c:spPr>
          <c:invertIfNegative val="0"/>
          <c:cat>
            <c:strRef>
              <c:f>Resultados!$AG$4:$AG$8</c:f>
              <c:strCache>
                <c:ptCount val="5"/>
                <c:pt idx="0">
                  <c:v>2022-2012</c:v>
                </c:pt>
                <c:pt idx="1">
                  <c:v>2017-2012</c:v>
                </c:pt>
                <c:pt idx="2">
                  <c:v>2022-2017</c:v>
                </c:pt>
                <c:pt idx="3">
                  <c:v>2016-2015</c:v>
                </c:pt>
                <c:pt idx="4">
                  <c:v>2022-2020</c:v>
                </c:pt>
              </c:strCache>
            </c:strRef>
          </c:cat>
          <c:val>
            <c:numRef>
              <c:f>Resultados!$AH$4:$AH$8</c:f>
              <c:numCache>
                <c:formatCode>0.00</c:formatCode>
                <c:ptCount val="5"/>
                <c:pt idx="0">
                  <c:v>1.5563287233108247</c:v>
                </c:pt>
                <c:pt idx="1">
                  <c:v>4.8884378498325205</c:v>
                </c:pt>
                <c:pt idx="2">
                  <c:v>-3.3312910684797838</c:v>
                </c:pt>
                <c:pt idx="3">
                  <c:v>2.8970132161209539</c:v>
                </c:pt>
                <c:pt idx="4">
                  <c:v>-3.9111991182605577</c:v>
                </c:pt>
              </c:numCache>
            </c:numRef>
          </c:val>
          <c:extLst>
            <c:ext xmlns:c16="http://schemas.microsoft.com/office/drawing/2014/chart" uri="{C3380CC4-5D6E-409C-BE32-E72D297353CC}">
              <c16:uniqueId val="{00000000-0622-41F8-9D05-6F83D3AE582A}"/>
            </c:ext>
          </c:extLst>
        </c:ser>
        <c:ser>
          <c:idx val="1"/>
          <c:order val="1"/>
          <c:tx>
            <c:v>Efeito Composição</c:v>
          </c:tx>
          <c:spPr>
            <a:solidFill>
              <a:srgbClr val="8C5637"/>
            </a:solidFill>
            <a:ln cmpd="sng">
              <a:solidFill>
                <a:srgbClr val="000000"/>
              </a:solidFill>
            </a:ln>
          </c:spPr>
          <c:invertIfNegative val="1"/>
          <c:cat>
            <c:strRef>
              <c:f>Resultados!$AG$4:$AG$8</c:f>
              <c:strCache>
                <c:ptCount val="5"/>
                <c:pt idx="0">
                  <c:v>2022-2012</c:v>
                </c:pt>
                <c:pt idx="1">
                  <c:v>2017-2012</c:v>
                </c:pt>
                <c:pt idx="2">
                  <c:v>2022-2017</c:v>
                </c:pt>
                <c:pt idx="3">
                  <c:v>2016-2015</c:v>
                </c:pt>
                <c:pt idx="4">
                  <c:v>2022-2020</c:v>
                </c:pt>
              </c:strCache>
            </c:strRef>
          </c:cat>
          <c:val>
            <c:numRef>
              <c:f>Resultados!$AI$4:$AI$8</c:f>
              <c:numCache>
                <c:formatCode>0.00</c:formatCode>
                <c:ptCount val="5"/>
                <c:pt idx="0">
                  <c:v>5.1446805281631383E-2</c:v>
                </c:pt>
                <c:pt idx="1">
                  <c:v>2.636391977355397E-2</c:v>
                </c:pt>
                <c:pt idx="2">
                  <c:v>2.4264827466165199E-2</c:v>
                </c:pt>
                <c:pt idx="3">
                  <c:v>2.5775880394178115E-3</c:v>
                </c:pt>
                <c:pt idx="4">
                  <c:v>9.0186251475237629E-3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0622-41F8-9D05-6F83D3AE582A}"/>
            </c:ext>
          </c:extLst>
        </c:ser>
        <c:ser>
          <c:idx val="2"/>
          <c:order val="2"/>
          <c:tx>
            <c:v>Efeito Total</c:v>
          </c:tx>
          <c:spPr>
            <a:solidFill>
              <a:srgbClr val="F2A74B"/>
            </a:solidFill>
            <a:ln cmpd="sng">
              <a:solidFill>
                <a:srgbClr val="000000"/>
              </a:solidFill>
            </a:ln>
          </c:spPr>
          <c:invertIfNegative val="0"/>
          <c:cat>
            <c:strRef>
              <c:f>Resultados!$AG$4:$AG$8</c:f>
              <c:strCache>
                <c:ptCount val="5"/>
                <c:pt idx="0">
                  <c:v>2022-2012</c:v>
                </c:pt>
                <c:pt idx="1">
                  <c:v>2017-2012</c:v>
                </c:pt>
                <c:pt idx="2">
                  <c:v>2022-2017</c:v>
                </c:pt>
                <c:pt idx="3">
                  <c:v>2016-2015</c:v>
                </c:pt>
                <c:pt idx="4">
                  <c:v>2022-2020</c:v>
                </c:pt>
              </c:strCache>
            </c:strRef>
          </c:cat>
          <c:val>
            <c:numRef>
              <c:f>Resultados!$AJ$4:$AJ$8</c:f>
              <c:numCache>
                <c:formatCode>0.00</c:formatCode>
                <c:ptCount val="5"/>
                <c:pt idx="0">
                  <c:v>1.6077755285924553</c:v>
                </c:pt>
                <c:pt idx="1">
                  <c:v>4.9148017696060737</c:v>
                </c:pt>
                <c:pt idx="2">
                  <c:v>-3.3070262410136184</c:v>
                </c:pt>
                <c:pt idx="3">
                  <c:v>2.899590804160372</c:v>
                </c:pt>
                <c:pt idx="4">
                  <c:v>-3.9021804931130344</c:v>
                </c:pt>
              </c:numCache>
            </c:numRef>
          </c:val>
          <c:extLst>
            <c:ext xmlns:c16="http://schemas.microsoft.com/office/drawing/2014/chart" uri="{C3380CC4-5D6E-409C-BE32-E72D297353CC}">
              <c16:uniqueId val="{00000002-0622-41F8-9D05-6F83D3AE582A}"/>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crossAx val="651653334"/>
        <c:crosses val="max"/>
        <c:crossBetween val="between"/>
        <c:majorUnit val="1"/>
        <c:minorUnit val="0.5"/>
      </c:valAx>
      <c:dTable>
        <c:showHorzBorder val="1"/>
        <c:showVertBorder val="1"/>
        <c:showOutline val="1"/>
        <c:showKeys val="1"/>
        <c:spPr>
          <a:ln>
            <a:solidFill>
              <a:sysClr val="windowText" lastClr="000000"/>
            </a:solidFill>
          </a:ln>
        </c:spPr>
      </c:dTable>
    </c:plotArea>
    <c:plotVisOnly val="1"/>
    <c:dispBlanksAs val="zero"/>
    <c:showDLblsOverMax val="1"/>
  </c:chart>
  <c:spPr>
    <a:ln>
      <a:solidFill>
        <a:sysClr val="windowText" lastClr="000000"/>
      </a:solidFill>
    </a:ln>
  </c:spPr>
  <c:txPr>
    <a:bodyPr/>
    <a:lstStyle/>
    <a:p>
      <a:pPr>
        <a:defRPr>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F4B183"/>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Resultados!$AG$12:$AG$16</c:f>
              <c:strCache>
                <c:ptCount val="5"/>
                <c:pt idx="0">
                  <c:v>2022-2012</c:v>
                </c:pt>
                <c:pt idx="1">
                  <c:v>2017-2012</c:v>
                </c:pt>
                <c:pt idx="2">
                  <c:v>2022-2017</c:v>
                </c:pt>
                <c:pt idx="3">
                  <c:v>2016-2015</c:v>
                </c:pt>
                <c:pt idx="4">
                  <c:v>2022-2020</c:v>
                </c:pt>
              </c:strCache>
            </c:strRef>
          </c:cat>
          <c:val>
            <c:numRef>
              <c:f>Resultados!$AH$12:$AH$16</c:f>
              <c:numCache>
                <c:formatCode>0.00</c:formatCode>
                <c:ptCount val="5"/>
                <c:pt idx="0">
                  <c:v>1.5434946627831543</c:v>
                </c:pt>
                <c:pt idx="1">
                  <c:v>4.8318960762465872</c:v>
                </c:pt>
                <c:pt idx="2">
                  <c:v>-3.3028253242980856</c:v>
                </c:pt>
                <c:pt idx="3">
                  <c:v>2.8791583237617111</c:v>
                </c:pt>
                <c:pt idx="4">
                  <c:v>-3.9168841321124441</c:v>
                </c:pt>
              </c:numCache>
            </c:numRef>
          </c:val>
          <c:extLst>
            <c:ext xmlns:c16="http://schemas.microsoft.com/office/drawing/2014/chart" uri="{C3380CC4-5D6E-409C-BE32-E72D297353CC}">
              <c16:uniqueId val="{00000000-AF22-4FD8-BDFA-1FB6757B7C2B}"/>
            </c:ext>
          </c:extLst>
        </c:ser>
        <c:ser>
          <c:idx val="1"/>
          <c:order val="1"/>
          <c:tx>
            <c:v>Efeito Composição</c:v>
          </c:tx>
          <c:spPr>
            <a:solidFill>
              <a:srgbClr val="8C5637"/>
            </a:solidFill>
            <a:ln cmpd="sng">
              <a:solidFill>
                <a:srgbClr val="000000"/>
              </a:solidFill>
            </a:ln>
          </c:spPr>
          <c:invertIfNegative val="1"/>
          <c:cat>
            <c:strRef>
              <c:f>Resultados!$AG$12:$AG$16</c:f>
              <c:strCache>
                <c:ptCount val="5"/>
                <c:pt idx="0">
                  <c:v>2022-2012</c:v>
                </c:pt>
                <c:pt idx="1">
                  <c:v>2017-2012</c:v>
                </c:pt>
                <c:pt idx="2">
                  <c:v>2022-2017</c:v>
                </c:pt>
                <c:pt idx="3">
                  <c:v>2016-2015</c:v>
                </c:pt>
                <c:pt idx="4">
                  <c:v>2022-2020</c:v>
                </c:pt>
              </c:strCache>
            </c:strRef>
          </c:cat>
          <c:val>
            <c:numRef>
              <c:f>Resultados!$AI$12:$AI$16</c:f>
              <c:numCache>
                <c:formatCode>0.00</c:formatCode>
                <c:ptCount val="5"/>
                <c:pt idx="0">
                  <c:v>7.0446379516486496E-2</c:v>
                </c:pt>
                <c:pt idx="1">
                  <c:v>8.7218360813164558E-2</c:v>
                </c:pt>
                <c:pt idx="2" formatCode="0.000">
                  <c:v>-2.3480704620251805E-3</c:v>
                </c:pt>
                <c:pt idx="3" formatCode="0.000">
                  <c:v>2.3296124801044017E-2</c:v>
                </c:pt>
                <c:pt idx="4" formatCode="0.000">
                  <c:v>1.6482171165496814E-2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AF22-4FD8-BDFA-1FB6757B7C2B}"/>
            </c:ext>
          </c:extLst>
        </c:ser>
        <c:ser>
          <c:idx val="2"/>
          <c:order val="2"/>
          <c:tx>
            <c:v>Efeito Total</c:v>
          </c:tx>
          <c:spPr>
            <a:solidFill>
              <a:srgbClr val="C55A11"/>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Resultados!$AG$12:$AG$16</c:f>
              <c:strCache>
                <c:ptCount val="5"/>
                <c:pt idx="0">
                  <c:v>2022-2012</c:v>
                </c:pt>
                <c:pt idx="1">
                  <c:v>2017-2012</c:v>
                </c:pt>
                <c:pt idx="2">
                  <c:v>2022-2017</c:v>
                </c:pt>
                <c:pt idx="3">
                  <c:v>2016-2015</c:v>
                </c:pt>
                <c:pt idx="4">
                  <c:v>2022-2020</c:v>
                </c:pt>
              </c:strCache>
            </c:strRef>
          </c:cat>
          <c:val>
            <c:numRef>
              <c:f>Resultados!$AJ$12:$AJ$16</c:f>
              <c:numCache>
                <c:formatCode>0.00</c:formatCode>
                <c:ptCount val="5"/>
                <c:pt idx="0">
                  <c:v>1.6139410422996407</c:v>
                </c:pt>
                <c:pt idx="1">
                  <c:v>4.9191144370597515</c:v>
                </c:pt>
                <c:pt idx="2">
                  <c:v>-3.3051733947601107</c:v>
                </c:pt>
                <c:pt idx="3">
                  <c:v>2.9024544485627555</c:v>
                </c:pt>
                <c:pt idx="4">
                  <c:v>-3.9004019609469474</c:v>
                </c:pt>
              </c:numCache>
            </c:numRef>
          </c:val>
          <c:extLst>
            <c:ext xmlns:c16="http://schemas.microsoft.com/office/drawing/2014/chart" uri="{C3380CC4-5D6E-409C-BE32-E72D297353CC}">
              <c16:uniqueId val="{00000002-AF22-4FD8-BDFA-1FB6757B7C2B}"/>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txPr>
          <a:bodyPr/>
          <a:lstStyle/>
          <a:p>
            <a:pPr lvl="0">
              <a:defRPr sz="1000" b="0" i="0">
                <a:solidFill>
                  <a:srgbClr val="000000"/>
                </a:solidFill>
                <a:latin typeface="Times New Roman"/>
              </a:defRPr>
            </a:pPr>
            <a:endParaRPr lang="pt-BR"/>
          </a:p>
        </c:txPr>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txPr>
          <a:bodyPr/>
          <a:lstStyle/>
          <a:p>
            <a:pPr lvl="0">
              <a:defRPr sz="1000" b="0" i="0">
                <a:solidFill>
                  <a:srgbClr val="000000"/>
                </a:solidFill>
                <a:latin typeface="Times New Roman"/>
              </a:defRPr>
            </a:pPr>
            <a:endParaRPr lang="pt-BR"/>
          </a:p>
        </c:txPr>
        <c:crossAx val="651653334"/>
        <c:crosses val="max"/>
        <c:crossBetween val="between"/>
        <c:majorUnit val="1"/>
        <c:minorUnit val="0.5"/>
      </c:valAx>
      <c:dTable>
        <c:showHorzBorder val="1"/>
        <c:showVertBorder val="1"/>
        <c:showOutline val="1"/>
        <c:showKeys val="1"/>
        <c:spPr>
          <a:ln>
            <a:solidFill>
              <a:sysClr val="windowText" lastClr="000000"/>
            </a:solidFill>
          </a:ln>
        </c:spPr>
        <c:txPr>
          <a:bodyPr/>
          <a:lstStyle/>
          <a:p>
            <a:pPr rtl="0">
              <a:defRPr>
                <a:latin typeface="Times New Roman" panose="02020603050405020304" pitchFamily="18" charset="0"/>
                <a:cs typeface="Times New Roman" panose="02020603050405020304" pitchFamily="18" charset="0"/>
              </a:defRPr>
            </a:pPr>
            <a:endParaRPr lang="pt-BR"/>
          </a:p>
        </c:txPr>
      </c:dTable>
    </c:plotArea>
    <c:plotVisOnly val="1"/>
    <c:dispBlanksAs val="zero"/>
    <c:showDLblsOverMax val="1"/>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FFC000">
                <a:lumMod val="40000"/>
                <a:lumOff val="60000"/>
              </a:srgbClr>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Resultados!$AG$20:$AG$24</c:f>
              <c:strCache>
                <c:ptCount val="5"/>
                <c:pt idx="0">
                  <c:v>2022-2012</c:v>
                </c:pt>
                <c:pt idx="1">
                  <c:v>2017-2012</c:v>
                </c:pt>
                <c:pt idx="2">
                  <c:v>2022-2017</c:v>
                </c:pt>
                <c:pt idx="3">
                  <c:v>2016-2015</c:v>
                </c:pt>
                <c:pt idx="4">
                  <c:v>2022-2020</c:v>
                </c:pt>
              </c:strCache>
            </c:strRef>
          </c:cat>
          <c:val>
            <c:numRef>
              <c:f>Resultados!$AH$20:$AH$24</c:f>
              <c:numCache>
                <c:formatCode>0.00</c:formatCode>
                <c:ptCount val="5"/>
                <c:pt idx="0">
                  <c:v>1.6126422185283023</c:v>
                </c:pt>
                <c:pt idx="1">
                  <c:v>4.8984488481849935</c:v>
                </c:pt>
                <c:pt idx="2">
                  <c:v>-3.2499467137357154</c:v>
                </c:pt>
                <c:pt idx="3">
                  <c:v>2.8828568237024608</c:v>
                </c:pt>
                <c:pt idx="4">
                  <c:v>-3.9514710201860739</c:v>
                </c:pt>
              </c:numCache>
            </c:numRef>
          </c:val>
          <c:extLst>
            <c:ext xmlns:c16="http://schemas.microsoft.com/office/drawing/2014/chart" uri="{C3380CC4-5D6E-409C-BE32-E72D297353CC}">
              <c16:uniqueId val="{00000000-6B4D-40CF-9EB7-1681772E1CEA}"/>
            </c:ext>
          </c:extLst>
        </c:ser>
        <c:ser>
          <c:idx val="1"/>
          <c:order val="1"/>
          <c:tx>
            <c:v>Efeito Composição</c:v>
          </c:tx>
          <c:spPr>
            <a:solidFill>
              <a:srgbClr val="8C5637"/>
            </a:solidFill>
            <a:ln cmpd="sng">
              <a:solidFill>
                <a:srgbClr val="000000"/>
              </a:solidFill>
            </a:ln>
          </c:spPr>
          <c:invertIfNegative val="1"/>
          <c:cat>
            <c:strRef>
              <c:f>Resultados!$AG$20:$AG$24</c:f>
              <c:strCache>
                <c:ptCount val="5"/>
                <c:pt idx="0">
                  <c:v>2022-2012</c:v>
                </c:pt>
                <c:pt idx="1">
                  <c:v>2017-2012</c:v>
                </c:pt>
                <c:pt idx="2">
                  <c:v>2022-2017</c:v>
                </c:pt>
                <c:pt idx="3">
                  <c:v>2016-2015</c:v>
                </c:pt>
                <c:pt idx="4">
                  <c:v>2022-2020</c:v>
                </c:pt>
              </c:strCache>
            </c:strRef>
          </c:cat>
          <c:val>
            <c:numRef>
              <c:f>Resultados!$AI$20:$AI$24</c:f>
              <c:numCache>
                <c:formatCode>0.00</c:formatCode>
                <c:ptCount val="5"/>
                <c:pt idx="0" formatCode="0.000">
                  <c:v>-4.207966211046521E-3</c:v>
                </c:pt>
                <c:pt idx="1">
                  <c:v>1.3745633364510457E-2</c:v>
                </c:pt>
                <c:pt idx="2">
                  <c:v>-5.381351549653271E-2</c:v>
                </c:pt>
                <c:pt idx="3">
                  <c:v>1.9091546199483098E-2</c:v>
                </c:pt>
                <c:pt idx="4">
                  <c:v>4.9949791462956639E-2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6B4D-40CF-9EB7-1681772E1CEA}"/>
            </c:ext>
          </c:extLst>
        </c:ser>
        <c:ser>
          <c:idx val="2"/>
          <c:order val="2"/>
          <c:tx>
            <c:v>Efeito Total</c:v>
          </c:tx>
          <c:spPr>
            <a:solidFill>
              <a:srgbClr val="FFC000">
                <a:lumMod val="75000"/>
              </a:srgbClr>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Resultados!$AG$20:$AG$24</c:f>
              <c:strCache>
                <c:ptCount val="5"/>
                <c:pt idx="0">
                  <c:v>2022-2012</c:v>
                </c:pt>
                <c:pt idx="1">
                  <c:v>2017-2012</c:v>
                </c:pt>
                <c:pt idx="2">
                  <c:v>2022-2017</c:v>
                </c:pt>
                <c:pt idx="3">
                  <c:v>2016-2015</c:v>
                </c:pt>
                <c:pt idx="4">
                  <c:v>2022-2020</c:v>
                </c:pt>
              </c:strCache>
            </c:strRef>
          </c:cat>
          <c:val>
            <c:numRef>
              <c:f>Resultados!$AJ$20:$AJ$24</c:f>
              <c:numCache>
                <c:formatCode>0.00</c:formatCode>
                <c:ptCount val="5"/>
                <c:pt idx="0">
                  <c:v>1.6084342523172559</c:v>
                </c:pt>
                <c:pt idx="1">
                  <c:v>4.9121944815495038</c:v>
                </c:pt>
                <c:pt idx="2">
                  <c:v>-3.3037602292322479</c:v>
                </c:pt>
                <c:pt idx="3">
                  <c:v>2.9019483699019446</c:v>
                </c:pt>
                <c:pt idx="4">
                  <c:v>-3.9015212287231176</c:v>
                </c:pt>
              </c:numCache>
            </c:numRef>
          </c:val>
          <c:extLst>
            <c:ext xmlns:c16="http://schemas.microsoft.com/office/drawing/2014/chart" uri="{C3380CC4-5D6E-409C-BE32-E72D297353CC}">
              <c16:uniqueId val="{00000002-6B4D-40CF-9EB7-1681772E1CEA}"/>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txPr>
          <a:bodyPr/>
          <a:lstStyle/>
          <a:p>
            <a:pPr lvl="0">
              <a:defRPr sz="1000" b="0" i="0">
                <a:solidFill>
                  <a:srgbClr val="000000"/>
                </a:solidFill>
                <a:latin typeface="Times New Roman"/>
              </a:defRPr>
            </a:pPr>
            <a:endParaRPr lang="pt-BR"/>
          </a:p>
        </c:txPr>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txPr>
          <a:bodyPr/>
          <a:lstStyle/>
          <a:p>
            <a:pPr lvl="0">
              <a:defRPr sz="1000" b="0" i="0">
                <a:solidFill>
                  <a:srgbClr val="000000"/>
                </a:solidFill>
                <a:latin typeface="Times New Roman"/>
              </a:defRPr>
            </a:pPr>
            <a:endParaRPr lang="pt-BR"/>
          </a:p>
        </c:txPr>
        <c:crossAx val="651653334"/>
        <c:crosses val="max"/>
        <c:crossBetween val="between"/>
        <c:majorUnit val="1"/>
        <c:minorUnit val="0.5"/>
      </c:valAx>
      <c:dTable>
        <c:showHorzBorder val="1"/>
        <c:showVertBorder val="1"/>
        <c:showOutline val="1"/>
        <c:showKeys val="1"/>
        <c:spPr>
          <a:ln>
            <a:solidFill>
              <a:sysClr val="windowText" lastClr="000000"/>
            </a:solidFill>
          </a:ln>
        </c:spPr>
        <c:txPr>
          <a:bodyPr/>
          <a:lstStyle/>
          <a:p>
            <a:pPr rtl="0">
              <a:defRPr>
                <a:latin typeface="Times New Roman" panose="02020603050405020304" pitchFamily="18" charset="0"/>
                <a:cs typeface="Times New Roman" panose="02020603050405020304" pitchFamily="18" charset="0"/>
              </a:defRPr>
            </a:pPr>
            <a:endParaRPr lang="pt-BR"/>
          </a:p>
        </c:txPr>
      </c:dTable>
    </c:plotArea>
    <c:plotVisOnly val="1"/>
    <c:dispBlanksAs val="zero"/>
    <c:showDLblsOverMax val="1"/>
  </c:chart>
  <c:spPr>
    <a:ln>
      <a:solidFill>
        <a:sysClr val="windowText" lastClr="0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C5E0B4"/>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Resultados!$AG$28:$AG$32</c:f>
              <c:strCache>
                <c:ptCount val="5"/>
                <c:pt idx="0">
                  <c:v>2022-2012</c:v>
                </c:pt>
                <c:pt idx="1">
                  <c:v>2017-2012</c:v>
                </c:pt>
                <c:pt idx="2">
                  <c:v>2022-2017</c:v>
                </c:pt>
                <c:pt idx="3">
                  <c:v>2016-2015</c:v>
                </c:pt>
                <c:pt idx="4">
                  <c:v>2022-2020</c:v>
                </c:pt>
              </c:strCache>
            </c:strRef>
          </c:cat>
          <c:val>
            <c:numRef>
              <c:f>Resultados!$AH$28:$AH$32</c:f>
              <c:numCache>
                <c:formatCode>0.00</c:formatCode>
                <c:ptCount val="5"/>
                <c:pt idx="0">
                  <c:v>2.434747562331693</c:v>
                </c:pt>
                <c:pt idx="1">
                  <c:v>5.4392284789345204</c:v>
                </c:pt>
                <c:pt idx="2">
                  <c:v>-2.8128431413780772</c:v>
                </c:pt>
                <c:pt idx="3">
                  <c:v>2.9444261969279792</c:v>
                </c:pt>
                <c:pt idx="4">
                  <c:v>-3.8895777240730238</c:v>
                </c:pt>
              </c:numCache>
            </c:numRef>
          </c:val>
          <c:extLst>
            <c:ext xmlns:c16="http://schemas.microsoft.com/office/drawing/2014/chart" uri="{C3380CC4-5D6E-409C-BE32-E72D297353CC}">
              <c16:uniqueId val="{00000000-F593-446C-B3B0-2C59BD17D552}"/>
            </c:ext>
          </c:extLst>
        </c:ser>
        <c:ser>
          <c:idx val="1"/>
          <c:order val="1"/>
          <c:tx>
            <c:v>Efeito Composição</c:v>
          </c:tx>
          <c:spPr>
            <a:solidFill>
              <a:srgbClr val="70AD47">
                <a:lumMod val="60000"/>
                <a:lumOff val="40000"/>
                <a:alpha val="98000"/>
              </a:srgbClr>
            </a:solidFill>
            <a:ln cmpd="sng">
              <a:solidFill>
                <a:srgbClr val="000000"/>
              </a:solidFill>
            </a:ln>
          </c:spPr>
          <c:invertIfNegative val="0"/>
          <c:cat>
            <c:strRef>
              <c:f>Resultados!$AG$28:$AG$32</c:f>
              <c:strCache>
                <c:ptCount val="5"/>
                <c:pt idx="0">
                  <c:v>2022-2012</c:v>
                </c:pt>
                <c:pt idx="1">
                  <c:v>2017-2012</c:v>
                </c:pt>
                <c:pt idx="2">
                  <c:v>2022-2017</c:v>
                </c:pt>
                <c:pt idx="3">
                  <c:v>2016-2015</c:v>
                </c:pt>
                <c:pt idx="4">
                  <c:v>2022-2020</c:v>
                </c:pt>
              </c:strCache>
            </c:strRef>
          </c:cat>
          <c:val>
            <c:numRef>
              <c:f>Resultados!$AI$28:$AI$32</c:f>
              <c:numCache>
                <c:formatCode>0.00</c:formatCode>
                <c:ptCount val="5"/>
                <c:pt idx="0">
                  <c:v>-0.8250169579649228</c:v>
                </c:pt>
                <c:pt idx="1">
                  <c:v>-0.52288740242973708</c:v>
                </c:pt>
                <c:pt idx="2">
                  <c:v>-0.49376733075993567</c:v>
                </c:pt>
                <c:pt idx="3">
                  <c:v>-4.2606500018098709E-2</c:v>
                </c:pt>
                <c:pt idx="4">
                  <c:v>-1.272310032009747E-2</c:v>
                </c:pt>
              </c:numCache>
            </c:numRef>
          </c:val>
          <c:extLst>
            <c:ext xmlns:c16="http://schemas.microsoft.com/office/drawing/2014/chart" uri="{C3380CC4-5D6E-409C-BE32-E72D297353CC}">
              <c16:uniqueId val="{00000001-F593-446C-B3B0-2C59BD17D552}"/>
            </c:ext>
          </c:extLst>
        </c:ser>
        <c:ser>
          <c:idx val="2"/>
          <c:order val="2"/>
          <c:tx>
            <c:v>Efeito Total</c:v>
          </c:tx>
          <c:spPr>
            <a:solidFill>
              <a:srgbClr val="548235"/>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Resultados!$AG$28:$AG$32</c:f>
              <c:strCache>
                <c:ptCount val="5"/>
                <c:pt idx="0">
                  <c:v>2022-2012</c:v>
                </c:pt>
                <c:pt idx="1">
                  <c:v>2017-2012</c:v>
                </c:pt>
                <c:pt idx="2">
                  <c:v>2022-2017</c:v>
                </c:pt>
                <c:pt idx="3">
                  <c:v>2016-2015</c:v>
                </c:pt>
                <c:pt idx="4">
                  <c:v>2022-2020</c:v>
                </c:pt>
              </c:strCache>
            </c:strRef>
          </c:cat>
          <c:val>
            <c:numRef>
              <c:f>Resultados!$AJ$28:$AJ$32</c:f>
              <c:numCache>
                <c:formatCode>0.00</c:formatCode>
                <c:ptCount val="5"/>
                <c:pt idx="0">
                  <c:v>1.6097306043667707</c:v>
                </c:pt>
                <c:pt idx="1">
                  <c:v>4.9163410765047839</c:v>
                </c:pt>
                <c:pt idx="2">
                  <c:v>-3.3066104721380132</c:v>
                </c:pt>
                <c:pt idx="3">
                  <c:v>2.9018196969098842</c:v>
                </c:pt>
                <c:pt idx="4">
                  <c:v>-3.902300824393123</c:v>
                </c:pt>
              </c:numCache>
            </c:numRef>
          </c:val>
          <c:extLst>
            <c:ext xmlns:c16="http://schemas.microsoft.com/office/drawing/2014/chart" uri="{C3380CC4-5D6E-409C-BE32-E72D297353CC}">
              <c16:uniqueId val="{00000002-F593-446C-B3B0-2C59BD17D552}"/>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txPr>
          <a:bodyPr/>
          <a:lstStyle/>
          <a:p>
            <a:pPr lvl="0">
              <a:defRPr sz="1000" b="0" i="0">
                <a:solidFill>
                  <a:srgbClr val="000000"/>
                </a:solidFill>
                <a:latin typeface="Times New Roman"/>
              </a:defRPr>
            </a:pPr>
            <a:endParaRPr lang="pt-BR"/>
          </a:p>
        </c:txPr>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txPr>
          <a:bodyPr/>
          <a:lstStyle/>
          <a:p>
            <a:pPr lvl="0">
              <a:defRPr sz="1000" b="0" i="0">
                <a:solidFill>
                  <a:srgbClr val="000000"/>
                </a:solidFill>
                <a:latin typeface="Times New Roman"/>
              </a:defRPr>
            </a:pPr>
            <a:endParaRPr lang="pt-BR"/>
          </a:p>
        </c:txPr>
        <c:crossAx val="651653334"/>
        <c:crosses val="max"/>
        <c:crossBetween val="between"/>
        <c:majorUnit val="1"/>
        <c:minorUnit val="0.5"/>
      </c:valAx>
      <c:dTable>
        <c:showHorzBorder val="1"/>
        <c:showVertBorder val="1"/>
        <c:showOutline val="1"/>
        <c:showKeys val="1"/>
        <c:spPr>
          <a:ln>
            <a:solidFill>
              <a:sysClr val="windowText" lastClr="000000"/>
            </a:solidFill>
          </a:ln>
        </c:spPr>
        <c:txPr>
          <a:bodyPr/>
          <a:lstStyle/>
          <a:p>
            <a:pPr rtl="0">
              <a:defRPr>
                <a:latin typeface="Times New Roman" panose="02020603050405020304" pitchFamily="18" charset="0"/>
                <a:cs typeface="Times New Roman" panose="02020603050405020304" pitchFamily="18" charset="0"/>
              </a:defRPr>
            </a:pPr>
            <a:endParaRPr lang="pt-BR"/>
          </a:p>
        </c:txPr>
      </c:dTable>
    </c:plotArea>
    <c:plotVisOnly val="1"/>
    <c:dispBlanksAs val="zero"/>
    <c:showDLblsOverMax val="1"/>
  </c:chart>
  <c:spPr>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7030A0"/>
            </a:solidFill>
            <a:ln cmpd="sng">
              <a:solidFill>
                <a:srgbClr val="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Resultados!$AG$36:$AG$40</c:f>
              <c:strCache>
                <c:ptCount val="5"/>
                <c:pt idx="0">
                  <c:v>2022-2012</c:v>
                </c:pt>
                <c:pt idx="1">
                  <c:v>2017-2012</c:v>
                </c:pt>
                <c:pt idx="2">
                  <c:v>2022-2017</c:v>
                </c:pt>
                <c:pt idx="3">
                  <c:v>2016-2015</c:v>
                </c:pt>
                <c:pt idx="4">
                  <c:v>2022-2020</c:v>
                </c:pt>
              </c:strCache>
            </c:strRef>
          </c:cat>
          <c:val>
            <c:numRef>
              <c:f>Resultados!$AH$36:$AH$40</c:f>
              <c:numCache>
                <c:formatCode>0.00</c:formatCode>
                <c:ptCount val="5"/>
                <c:pt idx="0">
                  <c:v>1.5778082236910536</c:v>
                </c:pt>
                <c:pt idx="1">
                  <c:v>4.9077345240564947</c:v>
                </c:pt>
                <c:pt idx="2">
                  <c:v>-3.3343402334480405</c:v>
                </c:pt>
                <c:pt idx="3">
                  <c:v>2.8775259676324572</c:v>
                </c:pt>
                <c:pt idx="4">
                  <c:v>-3.8837867407324267</c:v>
                </c:pt>
              </c:numCache>
            </c:numRef>
          </c:val>
          <c:extLst>
            <c:ext xmlns:c16="http://schemas.microsoft.com/office/drawing/2014/chart" uri="{C3380CC4-5D6E-409C-BE32-E72D297353CC}">
              <c16:uniqueId val="{00000000-519E-495D-95AE-80A66A05EE77}"/>
            </c:ext>
          </c:extLst>
        </c:ser>
        <c:ser>
          <c:idx val="1"/>
          <c:order val="1"/>
          <c:tx>
            <c:v>Efeito Composição</c:v>
          </c:tx>
          <c:spPr>
            <a:solidFill>
              <a:srgbClr val="8C5637"/>
            </a:solidFill>
            <a:ln cmpd="sng">
              <a:solidFill>
                <a:srgbClr val="000000"/>
              </a:solidFill>
            </a:ln>
          </c:spPr>
          <c:invertIfNegative val="1"/>
          <c:cat>
            <c:strRef>
              <c:f>Resultados!$AG$36:$AG$40</c:f>
              <c:strCache>
                <c:ptCount val="5"/>
                <c:pt idx="0">
                  <c:v>2022-2012</c:v>
                </c:pt>
                <c:pt idx="1">
                  <c:v>2017-2012</c:v>
                </c:pt>
                <c:pt idx="2">
                  <c:v>2022-2017</c:v>
                </c:pt>
                <c:pt idx="3">
                  <c:v>2016-2015</c:v>
                </c:pt>
                <c:pt idx="4">
                  <c:v>2022-2020</c:v>
                </c:pt>
              </c:strCache>
            </c:strRef>
          </c:cat>
          <c:val>
            <c:numRef>
              <c:f>Resultados!$AI$36:$AI$40</c:f>
              <c:numCache>
                <c:formatCode>0.00</c:formatCode>
                <c:ptCount val="5"/>
                <c:pt idx="0">
                  <c:v>3.5621253697262767E-2</c:v>
                </c:pt>
                <c:pt idx="1">
                  <c:v>8.1830827847708433E-3</c:v>
                </c:pt>
                <c:pt idx="2">
                  <c:v>3.1852103995091682E-2</c:v>
                </c:pt>
                <c:pt idx="3">
                  <c:v>2.0609675645710659E-2</c:v>
                </c:pt>
                <c:pt idx="4">
                  <c:v>-1.5254832502416091E-2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519E-495D-95AE-80A66A05EE77}"/>
            </c:ext>
          </c:extLst>
        </c:ser>
        <c:ser>
          <c:idx val="2"/>
          <c:order val="2"/>
          <c:tx>
            <c:v>Efeito Total</c:v>
          </c:tx>
          <c:spPr>
            <a:solidFill>
              <a:srgbClr val="002060"/>
            </a:solidFill>
            <a:ln cmpd="sng">
              <a:solidFill>
                <a:srgbClr val="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Resultados!$AG$36:$AG$40</c:f>
              <c:strCache>
                <c:ptCount val="5"/>
                <c:pt idx="0">
                  <c:v>2022-2012</c:v>
                </c:pt>
                <c:pt idx="1">
                  <c:v>2017-2012</c:v>
                </c:pt>
                <c:pt idx="2">
                  <c:v>2022-2017</c:v>
                </c:pt>
                <c:pt idx="3">
                  <c:v>2016-2015</c:v>
                </c:pt>
                <c:pt idx="4">
                  <c:v>2022-2020</c:v>
                </c:pt>
              </c:strCache>
            </c:strRef>
          </c:cat>
          <c:val>
            <c:numRef>
              <c:f>Resultados!$AJ$36:$AJ$40</c:f>
              <c:numCache>
                <c:formatCode>0.00</c:formatCode>
                <c:ptCount val="5"/>
                <c:pt idx="0">
                  <c:v>1.6134294773883173</c:v>
                </c:pt>
                <c:pt idx="1">
                  <c:v>4.9159176068412638</c:v>
                </c:pt>
                <c:pt idx="2">
                  <c:v>-3.3024881294529465</c:v>
                </c:pt>
                <c:pt idx="3">
                  <c:v>2.8981356432781693</c:v>
                </c:pt>
                <c:pt idx="4">
                  <c:v>-3.8990415732348414</c:v>
                </c:pt>
              </c:numCache>
            </c:numRef>
          </c:val>
          <c:extLst>
            <c:ext xmlns:c16="http://schemas.microsoft.com/office/drawing/2014/chart" uri="{C3380CC4-5D6E-409C-BE32-E72D297353CC}">
              <c16:uniqueId val="{00000002-519E-495D-95AE-80A66A05EE77}"/>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crossAx val="651653334"/>
        <c:crosses val="max"/>
        <c:crossBetween val="between"/>
        <c:majorUnit val="1"/>
        <c:minorUnit val="0.5"/>
      </c:valAx>
      <c:dTable>
        <c:showHorzBorder val="1"/>
        <c:showVertBorder val="1"/>
        <c:showOutline val="1"/>
        <c:showKeys val="1"/>
        <c:spPr>
          <a:ln>
            <a:solidFill>
              <a:sysClr val="windowText" lastClr="000000"/>
            </a:solidFill>
          </a:ln>
        </c:spPr>
      </c:dTable>
    </c:plotArea>
    <c:plotVisOnly val="1"/>
    <c:dispBlanksAs val="zero"/>
    <c:showDLblsOverMax val="1"/>
  </c:chart>
  <c:spPr>
    <a:ln>
      <a:solidFill>
        <a:sysClr val="windowText" lastClr="000000"/>
      </a:solidFill>
    </a:ln>
  </c:spPr>
  <c:txPr>
    <a:bodyPr/>
    <a:lstStyle/>
    <a:p>
      <a:pPr>
        <a:defRPr>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v>Efeito Nível</c:v>
          </c:tx>
          <c:spPr>
            <a:solidFill>
              <a:srgbClr val="FE5C5C"/>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Resultados!$AG$44:$AG$48</c:f>
              <c:strCache>
                <c:ptCount val="5"/>
                <c:pt idx="0">
                  <c:v>2022-2012</c:v>
                </c:pt>
                <c:pt idx="1">
                  <c:v>2017-2012</c:v>
                </c:pt>
                <c:pt idx="2">
                  <c:v>2022-2017</c:v>
                </c:pt>
                <c:pt idx="3">
                  <c:v>2016-2015</c:v>
                </c:pt>
                <c:pt idx="4">
                  <c:v>2022-2020</c:v>
                </c:pt>
              </c:strCache>
            </c:strRef>
          </c:cat>
          <c:val>
            <c:numRef>
              <c:f>Resultados!$AH$44:$AH$48</c:f>
              <c:numCache>
                <c:formatCode>0.00</c:formatCode>
                <c:ptCount val="5"/>
                <c:pt idx="0">
                  <c:v>1.5930908127127466</c:v>
                </c:pt>
                <c:pt idx="1">
                  <c:v>4.893209196725449</c:v>
                </c:pt>
                <c:pt idx="2">
                  <c:v>-3.2980347847895</c:v>
                </c:pt>
                <c:pt idx="3">
                  <c:v>2.8828670426350049</c:v>
                </c:pt>
                <c:pt idx="4">
                  <c:v>-3.8953970099462167</c:v>
                </c:pt>
              </c:numCache>
            </c:numRef>
          </c:val>
          <c:extLst>
            <c:ext xmlns:c16="http://schemas.microsoft.com/office/drawing/2014/chart" uri="{C3380CC4-5D6E-409C-BE32-E72D297353CC}">
              <c16:uniqueId val="{00000000-5E82-418F-8A1B-DF2B64DC54C0}"/>
            </c:ext>
          </c:extLst>
        </c:ser>
        <c:ser>
          <c:idx val="1"/>
          <c:order val="1"/>
          <c:tx>
            <c:v>Efeito Composição</c:v>
          </c:tx>
          <c:spPr>
            <a:solidFill>
              <a:srgbClr val="8C5637"/>
            </a:solidFill>
            <a:ln cmpd="sng">
              <a:solidFill>
                <a:srgbClr val="000000"/>
              </a:solidFill>
            </a:ln>
          </c:spPr>
          <c:invertIfNegative val="1"/>
          <c:cat>
            <c:strRef>
              <c:f>Resultados!$AG$44:$AG$48</c:f>
              <c:strCache>
                <c:ptCount val="5"/>
                <c:pt idx="0">
                  <c:v>2022-2012</c:v>
                </c:pt>
                <c:pt idx="1">
                  <c:v>2017-2012</c:v>
                </c:pt>
                <c:pt idx="2">
                  <c:v>2022-2017</c:v>
                </c:pt>
                <c:pt idx="3">
                  <c:v>2016-2015</c:v>
                </c:pt>
                <c:pt idx="4">
                  <c:v>2022-2020</c:v>
                </c:pt>
              </c:strCache>
            </c:strRef>
          </c:cat>
          <c:val>
            <c:numRef>
              <c:f>Resultados!$AI$44:$AI$48</c:f>
              <c:numCache>
                <c:formatCode>0.00</c:formatCode>
                <c:ptCount val="5"/>
                <c:pt idx="0">
                  <c:v>1.5129347461830346E-2</c:v>
                </c:pt>
                <c:pt idx="1">
                  <c:v>2.1585450531198085E-2</c:v>
                </c:pt>
                <c:pt idx="2">
                  <c:v>-8.5397022925708006E-3</c:v>
                </c:pt>
                <c:pt idx="3">
                  <c:v>2.1212873986476213E-2</c:v>
                </c:pt>
                <c:pt idx="4">
                  <c:v>-5.3693527945490004E-3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5E82-418F-8A1B-DF2B64DC54C0}"/>
            </c:ext>
          </c:extLst>
        </c:ser>
        <c:ser>
          <c:idx val="2"/>
          <c:order val="2"/>
          <c:tx>
            <c:v>Efeito Total</c:v>
          </c:tx>
          <c:spPr>
            <a:solidFill>
              <a:srgbClr val="B30101"/>
            </a:solidFill>
            <a:ln cmpd="sng">
              <a:solidFill>
                <a:srgbClr val="000000"/>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Resultados!$AG$44:$AG$48</c:f>
              <c:strCache>
                <c:ptCount val="5"/>
                <c:pt idx="0">
                  <c:v>2022-2012</c:v>
                </c:pt>
                <c:pt idx="1">
                  <c:v>2017-2012</c:v>
                </c:pt>
                <c:pt idx="2">
                  <c:v>2022-2017</c:v>
                </c:pt>
                <c:pt idx="3">
                  <c:v>2016-2015</c:v>
                </c:pt>
                <c:pt idx="4">
                  <c:v>2022-2020</c:v>
                </c:pt>
              </c:strCache>
            </c:strRef>
          </c:cat>
          <c:val>
            <c:numRef>
              <c:f>Resultados!$AJ$44:$AJ$48</c:f>
              <c:numCache>
                <c:formatCode>0.00</c:formatCode>
                <c:ptCount val="5"/>
                <c:pt idx="0">
                  <c:v>1.6082201601745769</c:v>
                </c:pt>
                <c:pt idx="1">
                  <c:v>4.9147946472566471</c:v>
                </c:pt>
                <c:pt idx="2">
                  <c:v>-3.3065744870820701</c:v>
                </c:pt>
                <c:pt idx="3">
                  <c:v>2.9040799166214812</c:v>
                </c:pt>
                <c:pt idx="4">
                  <c:v>-3.9007663627407663</c:v>
                </c:pt>
              </c:numCache>
            </c:numRef>
          </c:val>
          <c:extLst>
            <c:ext xmlns:c16="http://schemas.microsoft.com/office/drawing/2014/chart" uri="{C3380CC4-5D6E-409C-BE32-E72D297353CC}">
              <c16:uniqueId val="{00000002-5E82-418F-8A1B-DF2B64DC54C0}"/>
            </c:ext>
          </c:extLst>
        </c:ser>
        <c:dLbls>
          <c:showLegendKey val="0"/>
          <c:showVal val="0"/>
          <c:showCatName val="0"/>
          <c:showSerName val="0"/>
          <c:showPercent val="0"/>
          <c:showBubbleSize val="0"/>
        </c:dLbls>
        <c:gapWidth val="150"/>
        <c:axId val="651653334"/>
        <c:axId val="757838633"/>
      </c:barChart>
      <c:catAx>
        <c:axId val="651653334"/>
        <c:scaling>
          <c:orientation val="maxMin"/>
        </c:scaling>
        <c:delete val="0"/>
        <c:axPos val="b"/>
        <c:numFmt formatCode="General" sourceLinked="1"/>
        <c:majorTickMark val="cross"/>
        <c:minorTickMark val="none"/>
        <c:tickLblPos val="nextTo"/>
        <c:txPr>
          <a:bodyPr/>
          <a:lstStyle/>
          <a:p>
            <a:pPr lvl="0">
              <a:defRPr sz="1000" b="0" i="0">
                <a:solidFill>
                  <a:srgbClr val="000000"/>
                </a:solidFill>
                <a:latin typeface="Times New Roman"/>
              </a:defRPr>
            </a:pPr>
            <a:endParaRPr lang="pt-BR"/>
          </a:p>
        </c:txPr>
        <c:crossAx val="757838633"/>
        <c:crosses val="autoZero"/>
        <c:auto val="1"/>
        <c:lblAlgn val="ctr"/>
        <c:lblOffset val="100"/>
        <c:noMultiLvlLbl val="1"/>
      </c:catAx>
      <c:valAx>
        <c:axId val="757838633"/>
        <c:scaling>
          <c:orientation val="minMax"/>
          <c:max val="5"/>
        </c:scaling>
        <c:delete val="0"/>
        <c:axPos val="l"/>
        <c:numFmt formatCode="0.0" sourceLinked="0"/>
        <c:majorTickMark val="out"/>
        <c:minorTickMark val="none"/>
        <c:tickLblPos val="nextTo"/>
        <c:spPr>
          <a:ln/>
        </c:spPr>
        <c:txPr>
          <a:bodyPr/>
          <a:lstStyle/>
          <a:p>
            <a:pPr lvl="0">
              <a:defRPr sz="1000" b="0" i="0">
                <a:solidFill>
                  <a:srgbClr val="000000"/>
                </a:solidFill>
                <a:latin typeface="Times New Roman"/>
              </a:defRPr>
            </a:pPr>
            <a:endParaRPr lang="pt-BR"/>
          </a:p>
        </c:txPr>
        <c:crossAx val="651653334"/>
        <c:crosses val="max"/>
        <c:crossBetween val="between"/>
        <c:majorUnit val="1"/>
        <c:minorUnit val="0.5"/>
      </c:valAx>
      <c:dTable>
        <c:showHorzBorder val="1"/>
        <c:showVertBorder val="1"/>
        <c:showOutline val="1"/>
        <c:showKeys val="1"/>
        <c:spPr>
          <a:ln>
            <a:solidFill>
              <a:sysClr val="windowText" lastClr="000000"/>
            </a:solidFill>
          </a:ln>
        </c:spPr>
        <c:txPr>
          <a:bodyPr/>
          <a:lstStyle/>
          <a:p>
            <a:pPr rtl="0">
              <a:defRPr>
                <a:latin typeface="Times New Roman" panose="02020603050405020304" pitchFamily="18" charset="0"/>
                <a:cs typeface="Times New Roman" panose="02020603050405020304" pitchFamily="18" charset="0"/>
              </a:defRPr>
            </a:pPr>
            <a:endParaRPr lang="pt-BR"/>
          </a:p>
        </c:txPr>
      </c:dTable>
    </c:plotArea>
    <c:plotVisOnly val="1"/>
    <c:dispBlanksAs val="zero"/>
    <c:showDLblsOverMax val="1"/>
  </c:chart>
  <c:spPr>
    <a:ln>
      <a:solidFill>
        <a:srgbClr val="000000"/>
      </a:solid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EB35-BDA6-45EC-8BBF-13ABCE2F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9222</Words>
  <Characters>49805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Fabio de Moraes</cp:lastModifiedBy>
  <cp:revision>7</cp:revision>
  <dcterms:created xsi:type="dcterms:W3CDTF">2025-05-07T14:36:00Z</dcterms:created>
  <dcterms:modified xsi:type="dcterms:W3CDTF">2025-05-07T20:13:00Z</dcterms:modified>
</cp:coreProperties>
</file>