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rPr>
          <w:rFonts w:ascii="Avenir Book" w:hAnsi="Avenir Book"/>
        </w:rPr>
      </w:pPr>
      <w:r>
        <w:rPr>
          <w:rFonts w:ascii="Avenir Book" w:hAnsi="Avenir Book"/>
        </w:rPr>
        <w:drawing>
          <wp:anchor behindDoc="0" distT="0" distB="0" distL="0" distR="0" simplePos="0" locked="0" layoutInCell="0" allowOverlap="1" relativeHeight="2">
            <wp:simplePos x="0" y="0"/>
            <wp:positionH relativeFrom="page">
              <wp:posOffset>7620</wp:posOffset>
            </wp:positionH>
            <wp:positionV relativeFrom="page">
              <wp:posOffset>7620</wp:posOffset>
            </wp:positionV>
            <wp:extent cx="7562850" cy="208597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867" t="0" r="867" b="0"/>
                    <a:stretch>
                      <a:fillRect/>
                    </a:stretch>
                  </pic:blipFill>
                  <pic:spPr bwMode="auto">
                    <a:xfrm>
                      <a:off x="0" y="0"/>
                      <a:ext cx="7562850" cy="2085975"/>
                    </a:xfrm>
                    <a:prstGeom prst="rect">
                      <a:avLst/>
                    </a:prstGeom>
                  </pic:spPr>
                </pic:pic>
              </a:graphicData>
            </a:graphic>
          </wp:anchor>
        </w:drawing>
      </w:r>
    </w:p>
    <w:p>
      <w:pPr>
        <w:pStyle w:val="Ttulododocumento"/>
        <w:rPr>
          <w:rFonts w:ascii="Avenir Book" w:hAnsi="Avenir Book"/>
        </w:rPr>
      </w:pPr>
      <w:r>
        <w:rPr>
          <w:rFonts w:ascii="Avenir Book" w:hAnsi="Avenir Book"/>
        </w:rPr>
      </w:r>
    </w:p>
    <w:p>
      <w:pPr>
        <w:pStyle w:val="Ttulododocumento"/>
        <w:rPr>
          <w:rFonts w:ascii="Avenir Book" w:hAnsi="Avenir Book"/>
        </w:rPr>
      </w:pPr>
      <w:r>
        <w:rPr>
          <w:rFonts w:ascii="Avenir Book" w:hAnsi="Avenir Book"/>
        </w:rPr>
      </w:r>
    </w:p>
    <w:p>
      <w:pPr>
        <w:pStyle w:val="Ttulododocumento"/>
        <w:rPr>
          <w:rFonts w:ascii="Avenir Book" w:hAnsi="Avenir Book"/>
        </w:rPr>
      </w:pPr>
      <w:r>
        <w:rPr>
          <w:rFonts w:ascii="Avenir Book" w:hAnsi="Avenir Book"/>
        </w:rPr>
      </w:r>
    </w:p>
    <w:p>
      <w:pPr>
        <w:pStyle w:val="Ttulododocumento"/>
        <w:rPr>
          <w:rFonts w:ascii="Avenir Book" w:hAnsi="Avenir Book"/>
        </w:rPr>
      </w:pPr>
      <w:r>
        <w:rPr>
          <w:rFonts w:ascii="Avenir Book" w:hAnsi="Avenir Book"/>
        </w:rPr>
      </w:r>
    </w:p>
    <w:p>
      <w:pPr>
        <w:pStyle w:val="Ttulododocumento"/>
        <w:rPr>
          <w:rFonts w:ascii="Avenir Book" w:hAnsi="Avenir Book"/>
        </w:rPr>
      </w:pPr>
      <w:r>
        <w:rPr>
          <w:rFonts w:ascii="Avenir Book" w:hAnsi="Avenir Book"/>
        </w:rPr>
      </w:r>
    </w:p>
    <w:p>
      <w:pPr>
        <w:pStyle w:val="Ttulododocumento"/>
        <w:rPr>
          <w:rFonts w:ascii="Avenir Book" w:hAnsi="Avenir Book"/>
        </w:rPr>
      </w:pPr>
      <w:r>
        <w:rPr>
          <w:rFonts w:ascii="Avenir Book" w:hAnsi="Avenir Book"/>
        </w:rPr>
      </w:r>
    </w:p>
    <w:p>
      <w:pPr>
        <w:pStyle w:val="Ttulododocumento"/>
        <w:rPr>
          <w:rFonts w:ascii="Avenir Book" w:hAnsi="Avenir Book"/>
          <w:sz w:val="20"/>
          <w:szCs w:val="20"/>
        </w:rPr>
      </w:pPr>
      <w:r>
        <w:rPr>
          <w:rFonts w:ascii="Avenir Book" w:hAnsi="Avenir Book"/>
          <w:sz w:val="20"/>
          <w:szCs w:val="20"/>
        </w:rPr>
      </w:r>
    </w:p>
    <w:p>
      <w:pPr>
        <w:pStyle w:val="Normal"/>
        <w:jc w:val="center"/>
        <w:rPr>
          <w:rFonts w:ascii="Avenir Book" w:hAnsi="Avenir Book" w:eastAsia="Arial"/>
          <w:b/>
          <w:bCs/>
          <w:sz w:val="24"/>
          <w:szCs w:val="24"/>
        </w:rPr>
      </w:pPr>
      <w:r>
        <w:rPr>
          <w:rFonts w:eastAsia="Arial" w:ascii="Avenir Book" w:hAnsi="Avenir Book"/>
          <w:b/>
          <w:bCs/>
          <w:sz w:val="24"/>
          <w:szCs w:val="24"/>
        </w:rPr>
      </w:r>
      <w:bookmarkStart w:id="0" w:name="_heading=h.gjdgxs"/>
      <w:bookmarkStart w:id="1" w:name="_heading=h.gjdgxs"/>
      <w:bookmarkEnd w:id="1"/>
    </w:p>
    <w:p>
      <w:pPr>
        <w:pStyle w:val="Normal"/>
        <w:spacing w:before="0" w:after="240"/>
        <w:jc w:val="center"/>
        <w:rPr>
          <w:rFonts w:ascii="Avenir Book" w:hAnsi="Avenir Book" w:eastAsia="Arial"/>
          <w:b/>
          <w:bCs/>
          <w:sz w:val="24"/>
          <w:szCs w:val="24"/>
        </w:rPr>
      </w:pPr>
      <w:r>
        <w:rPr>
          <w:rFonts w:eastAsia="Arial" w:ascii="Avenir Book" w:hAnsi="Avenir Book"/>
          <w:b/>
          <w:bCs/>
          <w:sz w:val="24"/>
          <w:szCs w:val="24"/>
        </w:rPr>
        <w:t>MÓDULO RURAL E MÓDULO FISCAL: REFLEXÕES A PARTIR DE UM EXERCÍCIO NUMÉRICO</w:t>
      </w:r>
    </w:p>
    <w:p>
      <w:pPr>
        <w:pStyle w:val="Normal"/>
        <w:spacing w:before="0" w:after="240"/>
        <w:jc w:val="center"/>
        <w:rPr>
          <w:rFonts w:ascii="Avenir Book" w:hAnsi="Avenir Book" w:eastAsia="Arial"/>
          <w:b/>
          <w:bCs/>
          <w:sz w:val="24"/>
          <w:szCs w:val="24"/>
        </w:rPr>
      </w:pPr>
      <w:r>
        <w:rPr>
          <w:rFonts w:eastAsia="Arial" w:ascii="Avenir Book" w:hAnsi="Avenir Book"/>
          <w:b/>
          <w:bCs/>
          <w:sz w:val="24"/>
          <w:szCs w:val="24"/>
        </w:rPr>
      </w:r>
    </w:p>
    <w:p>
      <w:pPr>
        <w:pStyle w:val="Normal"/>
        <w:ind w:hanging="2"/>
        <w:jc w:val="center"/>
        <w:rPr>
          <w:rFonts w:ascii="Avenir Book" w:hAnsi="Avenir Book" w:eastAsia="Arial" w:cs="Arial"/>
          <w:sz w:val="24"/>
          <w:szCs w:val="24"/>
          <w:vertAlign w:val="superscript"/>
        </w:rPr>
      </w:pPr>
      <w:r>
        <w:rPr>
          <w:rFonts w:eastAsia="Arial" w:cs="Arial" w:ascii="Avenir Book" w:hAnsi="Avenir Book"/>
          <w:sz w:val="24"/>
          <w:szCs w:val="24"/>
        </w:rPr>
        <w:t>Vicente Penteado Meirelles de Azevedo Marques</w:t>
      </w:r>
      <w:r>
        <w:rPr>
          <w:rStyle w:val="Ncoradanotaderodap"/>
          <w:rFonts w:eastAsia="Arial" w:cs="Arial" w:ascii="Avenir Book" w:hAnsi="Avenir Book"/>
          <w:sz w:val="24"/>
          <w:szCs w:val="24"/>
        </w:rPr>
        <w:footnoteReference w:id="2"/>
      </w:r>
    </w:p>
    <w:p>
      <w:pPr>
        <w:pStyle w:val="Normal"/>
        <w:ind w:hanging="2"/>
        <w:jc w:val="center"/>
        <w:rPr>
          <w:rFonts w:ascii="Avenir Book" w:hAnsi="Avenir Book" w:eastAsia="Arial" w:cs="Arial"/>
          <w:sz w:val="24"/>
          <w:szCs w:val="24"/>
        </w:rPr>
      </w:pPr>
      <w:r>
        <w:rPr>
          <w:rFonts w:eastAsia="Arial" w:cs="Arial" w:ascii="Avenir Book" w:hAnsi="Avenir Book"/>
          <w:sz w:val="24"/>
          <w:szCs w:val="24"/>
        </w:rPr>
      </w:r>
    </w:p>
    <w:p>
      <w:pPr>
        <w:pStyle w:val="Normal"/>
        <w:ind w:hanging="2"/>
        <w:rPr>
          <w:rFonts w:ascii="Avenir Book" w:hAnsi="Avenir Book" w:eastAsia="Arial" w:cs="Arial"/>
          <w:color w:val="FF0000"/>
          <w:sz w:val="24"/>
          <w:szCs w:val="24"/>
        </w:rPr>
      </w:pPr>
      <w:r>
        <w:rPr>
          <w:rFonts w:eastAsia="Arial" w:cs="Arial" w:ascii="Avenir Book" w:hAnsi="Avenir Book"/>
          <w:color w:val="FF0000"/>
          <w:sz w:val="24"/>
          <w:szCs w:val="24"/>
        </w:rPr>
      </w:r>
    </w:p>
    <w:p>
      <w:pPr>
        <w:pStyle w:val="Normal"/>
        <w:ind w:hanging="2"/>
        <w:jc w:val="both"/>
        <w:rPr>
          <w:rFonts w:ascii="Avenir Book" w:hAnsi="Avenir Book" w:eastAsia="Arial" w:cs="Arial"/>
          <w:sz w:val="24"/>
          <w:szCs w:val="24"/>
        </w:rPr>
      </w:pPr>
      <w:r>
        <w:rPr>
          <w:rFonts w:eastAsia="Arial" w:cs="Arial" w:ascii="Avenir Book" w:hAnsi="Avenir Book"/>
          <w:b/>
          <w:sz w:val="24"/>
          <w:szCs w:val="24"/>
        </w:rPr>
        <w:t>GT 3:</w:t>
      </w:r>
      <w:r>
        <w:rPr>
          <w:rFonts w:eastAsia="Arial" w:cs="Arial" w:ascii="Avenir Book" w:hAnsi="Avenir Book"/>
          <w:sz w:val="24"/>
          <w:szCs w:val="24"/>
        </w:rPr>
        <w:t xml:space="preserve"> Posse, ocupação, propriedade privada da terra e regularização fundiária: diálogos sobre os instrumentos de dominação e concentração e as estratégias de democratização de terras</w:t>
      </w:r>
    </w:p>
    <w:p>
      <w:pPr>
        <w:pStyle w:val="Normal"/>
        <w:tabs>
          <w:tab w:val="clear" w:pos="720"/>
          <w:tab w:val="left" w:pos="3544" w:leader="none"/>
        </w:tabs>
        <w:spacing w:lineRule="auto" w:line="360"/>
        <w:ind w:hanging="2"/>
        <w:jc w:val="center"/>
        <w:rPr>
          <w:rFonts w:ascii="Avenir Book" w:hAnsi="Avenir Book" w:eastAsia="Arial" w:cs="Arial"/>
          <w:color w:val="FF0000"/>
          <w:sz w:val="24"/>
          <w:szCs w:val="24"/>
        </w:rPr>
      </w:pPr>
      <w:r>
        <w:rPr>
          <w:rFonts w:eastAsia="Arial" w:cs="Arial" w:ascii="Avenir Book" w:hAnsi="Avenir Book"/>
          <w:color w:val="FF0000"/>
          <w:sz w:val="24"/>
          <w:szCs w:val="24"/>
        </w:rPr>
      </w:r>
    </w:p>
    <w:p>
      <w:pPr>
        <w:pStyle w:val="Normal"/>
        <w:tabs>
          <w:tab w:val="clear" w:pos="720"/>
          <w:tab w:val="left" w:pos="3544" w:leader="none"/>
        </w:tabs>
        <w:spacing w:lineRule="auto" w:line="360"/>
        <w:ind w:hanging="2"/>
        <w:jc w:val="center"/>
        <w:rPr>
          <w:rFonts w:ascii="Avenir Book" w:hAnsi="Avenir Book" w:eastAsia="Arial" w:cs="Arial"/>
          <w:color w:val="FF0000"/>
          <w:sz w:val="24"/>
          <w:szCs w:val="24"/>
        </w:rPr>
      </w:pPr>
      <w:r>
        <w:rPr>
          <w:rFonts w:eastAsia="Arial" w:cs="Arial" w:ascii="Avenir Book" w:hAnsi="Avenir Book"/>
          <w:color w:val="FF0000"/>
          <w:sz w:val="24"/>
          <w:szCs w:val="24"/>
        </w:rPr>
      </w:r>
    </w:p>
    <w:p>
      <w:pPr>
        <w:pStyle w:val="Normal"/>
        <w:ind w:hanging="2"/>
        <w:jc w:val="center"/>
        <w:rPr>
          <w:rFonts w:ascii="Avenir Book" w:hAnsi="Avenir Book" w:eastAsia="Arial" w:cs="Arial"/>
          <w:b/>
          <w:sz w:val="24"/>
          <w:szCs w:val="24"/>
        </w:rPr>
      </w:pPr>
      <w:r>
        <w:rPr>
          <w:rFonts w:eastAsia="Arial" w:cs="Arial" w:ascii="Avenir Book" w:hAnsi="Avenir Book"/>
          <w:b/>
          <w:sz w:val="24"/>
          <w:szCs w:val="24"/>
        </w:rPr>
        <w:t xml:space="preserve">RESUMO </w:t>
      </w:r>
    </w:p>
    <w:p>
      <w:pPr>
        <w:pStyle w:val="Normal"/>
        <w:ind w:hanging="2"/>
        <w:jc w:val="both"/>
        <w:rPr>
          <w:rFonts w:ascii="Avenir" w:hAnsi="Avenir"/>
        </w:rPr>
      </w:pPr>
      <w:r>
        <w:rPr>
          <w:rFonts w:ascii="Avenir" w:hAnsi="Avenir"/>
        </w:rPr>
      </w:r>
    </w:p>
    <w:p>
      <w:pPr>
        <w:pStyle w:val="Normal"/>
        <w:ind w:hanging="2"/>
        <w:jc w:val="both"/>
        <w:rPr>
          <w:rFonts w:ascii="Avenir Book" w:hAnsi="Avenir Book"/>
          <w:sz w:val="24"/>
          <w:szCs w:val="24"/>
        </w:rPr>
      </w:pPr>
      <w:r>
        <w:rPr>
          <w:rFonts w:ascii="Avenir Book" w:hAnsi="Avenir Book"/>
          <w:sz w:val="24"/>
          <w:szCs w:val="24"/>
        </w:rPr>
        <w:t>O t</w:t>
      </w:r>
      <w:r>
        <w:rPr>
          <w:rFonts w:ascii="Avenir Book" w:hAnsi="Avenir Book"/>
          <w:sz w:val="24"/>
          <w:szCs w:val="24"/>
        </w:rPr>
        <w:t>rabalho</w:t>
      </w:r>
      <w:r>
        <w:rPr>
          <w:rFonts w:ascii="Avenir Book" w:hAnsi="Avenir Book"/>
          <w:sz w:val="24"/>
          <w:szCs w:val="24"/>
        </w:rPr>
        <w:t xml:space="preserve"> apresenta o Módulo Rural e o Módulo Fiscal, presentes no Estatuto da Terra, de 1964, como Instrumentos da Ação Pública, não neutros, portadores de técnicas e ferramentas próprias, que conformam várias importantes políticas para as áreas rurais, inclusive aquelas relacionadas à Agricultura Familiar. É realizado um exercício numérico de simulação da atualização do Módulo Rural médio para doze regiões geográficas que apresentam classificações cadastrais semelhantes. Os resultados obtidos indicam a existência de transformações </w:t>
      </w:r>
      <w:r>
        <w:rPr>
          <w:rFonts w:ascii="Avenir Book" w:hAnsi="Avenir Book"/>
          <w:sz w:val="24"/>
          <w:szCs w:val="24"/>
        </w:rPr>
        <w:t xml:space="preserve">relevantes </w:t>
      </w:r>
      <w:r>
        <w:rPr>
          <w:rFonts w:ascii="Avenir Book" w:hAnsi="Avenir Book"/>
          <w:sz w:val="24"/>
          <w:szCs w:val="24"/>
        </w:rPr>
        <w:t>não reconhecidas pela ausência de modificação, por décadas, dos valores oficiais desses instrumentos. O exercício realizado também sugere a possibilidade de revisão dos conteúdos desses instrumentos e das suas ferramentas de modo a orientar adequadamente as políticas agrárias que eles informam.</w:t>
      </w:r>
    </w:p>
    <w:p>
      <w:pPr>
        <w:pStyle w:val="Normal"/>
        <w:ind w:hanging="2"/>
        <w:jc w:val="both"/>
        <w:rPr>
          <w:rFonts w:ascii="Avenir Book" w:hAnsi="Avenir Book" w:eastAsia="Arial" w:cs="Arial"/>
          <w:sz w:val="24"/>
          <w:szCs w:val="24"/>
        </w:rPr>
      </w:pPr>
      <w:r>
        <w:rPr>
          <w:rFonts w:eastAsia="Arial" w:cs="Arial" w:ascii="Avenir Book" w:hAnsi="Avenir Book"/>
          <w:sz w:val="24"/>
          <w:szCs w:val="24"/>
        </w:rPr>
      </w:r>
    </w:p>
    <w:p>
      <w:pPr>
        <w:pStyle w:val="Normal"/>
        <w:ind w:hanging="2"/>
        <w:jc w:val="both"/>
        <w:rPr>
          <w:rFonts w:ascii="Avenir Book" w:hAnsi="Avenir Book" w:eastAsia="Arial" w:cs="Arial"/>
          <w:sz w:val="24"/>
          <w:szCs w:val="24"/>
        </w:rPr>
      </w:pPr>
      <w:r>
        <w:rPr>
          <w:rFonts w:eastAsia="Arial" w:cs="Arial" w:ascii="Avenir Book" w:hAnsi="Avenir Book"/>
          <w:sz w:val="24"/>
          <w:szCs w:val="24"/>
        </w:rPr>
        <w:t xml:space="preserve">Palavras-chave: Estatuto da Terra; Instrumento da Ação Pública </w:t>
      </w:r>
    </w:p>
    <w:p>
      <w:pPr>
        <w:pStyle w:val="Normal"/>
        <w:ind w:hanging="2"/>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hanging="2"/>
        <w:jc w:val="both"/>
        <w:rPr>
          <w:rFonts w:ascii="Avenir Book" w:hAnsi="Avenir Book" w:eastAsia="Arial" w:cs="Arial"/>
          <w:color w:val="000000"/>
          <w:sz w:val="24"/>
          <w:szCs w:val="24"/>
        </w:rPr>
      </w:pPr>
      <w:r>
        <w:rPr>
          <w:rFonts w:eastAsia="Arial" w:cs="Arial" w:ascii="Avenir Book" w:hAnsi="Avenir Book"/>
          <w:color w:val="000000"/>
          <w:sz w:val="24"/>
          <w:szCs w:val="24"/>
        </w:rPr>
      </w:r>
    </w:p>
    <w:p>
      <w:pPr>
        <w:pStyle w:val="Normal"/>
        <w:spacing w:lineRule="auto" w:line="360"/>
        <w:jc w:val="both"/>
        <w:rPr>
          <w:rFonts w:ascii="Avenir Book" w:hAnsi="Avenir Book" w:eastAsia="Arial" w:cs="Arial"/>
          <w:b/>
          <w:sz w:val="24"/>
          <w:szCs w:val="24"/>
        </w:rPr>
      </w:pPr>
      <w:r>
        <w:rPr>
          <w:rFonts w:eastAsia="Arial" w:cs="Arial" w:ascii="Avenir Book" w:hAnsi="Avenir Book"/>
          <w:b/>
          <w:sz w:val="24"/>
          <w:szCs w:val="24"/>
        </w:rPr>
        <w:t>INTRODUÇÃO</w:t>
      </w:r>
    </w:p>
    <w:p>
      <w:pPr>
        <w:pStyle w:val="Normal"/>
        <w:spacing w:lineRule="auto" w:line="360"/>
        <w:ind w:left="0" w:right="0" w:firstLine="709"/>
        <w:jc w:val="both"/>
        <w:rPr/>
      </w:pPr>
      <w:r>
        <w:rPr>
          <w:rFonts w:eastAsia="Arial" w:cs="Arial" w:ascii="Avenir Book" w:hAnsi="Avenir Book"/>
          <w:sz w:val="24"/>
          <w:szCs w:val="24"/>
        </w:rPr>
        <w:t xml:space="preserve">O Estatuto da Terra (BRASIL, 1964), é conhecido como o marco institucional da disputa política cujo fundamento é a associação entre a modernização e o tamanho da propriedade, no sentido de distinguir os segmentos sociais que são “reconhecidos como capazes de promover o desenvolvimento” e os que não são (WANDERLEY, 2009). </w:t>
      </w:r>
    </w:p>
    <w:p>
      <w:pPr>
        <w:pStyle w:val="Normal"/>
        <w:spacing w:lineRule="auto" w:line="360"/>
        <w:ind w:left="0" w:right="0" w:firstLine="709"/>
        <w:jc w:val="both"/>
        <w:rPr>
          <w:rFonts w:ascii="Avenir Book" w:hAnsi="Avenir Book" w:eastAsia="Arial" w:cs="Arial"/>
          <w:sz w:val="24"/>
          <w:szCs w:val="24"/>
        </w:rPr>
      </w:pPr>
      <w:r>
        <w:rPr>
          <w:rFonts w:eastAsia="Arial" w:cs="Arial" w:ascii="Avenir Book" w:hAnsi="Avenir Book"/>
          <w:sz w:val="24"/>
          <w:szCs w:val="24"/>
        </w:rPr>
        <w:t>O Módulo Rural, instituído pelo Estatuto, é considerado a “ferramenta básica” da ação pública para a regulação da propriedade pelo Estado (BRUNO, 1995). Ele e o Módulo Fiscal dele derivado estão presentes em vários outros normativos legais e adquiriram diferentes utilidades (originais e derivadas) ao longo dos anos, com efeitos diretos ou indiretos sobre importantes políticas públicas. Entre essas utilidades estão: (i) a desapropriação e a destinação de terras para fins de reforma agrária (1964, 1988); (ii) a colonização (a partir 1964, 1973); (iii) a tributação (Módulo Rural, até 1979, depois Módulo Fiscal, 1979-1980); (iv) o enquadramento sindical (1969); (v) a aquisição de terras por estrangeiros(as) (1971); (vi) a Fração Mínima de Parcelamento da propriedade (1972); (vii) o usucapião especial (1981); (viii) a impenhorabilidade da propriedade (1988); (ix) a definição de pequena e média propriedade (1993); (x) a definição de Agricultura Familiar e as políticas diferenciadas para ela (1995, 2006), como Pronaf, PAA, Garantia-Safra e outras; (xi) a condição de Segurado(a) Especial da Previdência Social (2008); (xii) a regularização fundiária (2009); e (xiii) a proteção e uso sustentável da vegetação nativa (2012). Segundo as normas atuais, a pequena propriedade está limitada à área de até quatro módulos fiscais, e é um dos requisitos para as condições de agricultor(a) familiar e de segurado(a) especial da Previdência Social.</w:t>
      </w:r>
    </w:p>
    <w:p>
      <w:pPr>
        <w:pStyle w:val="Normal"/>
        <w:spacing w:lineRule="auto" w:line="360"/>
        <w:ind w:left="0" w:right="0" w:firstLine="709"/>
        <w:jc w:val="both"/>
        <w:rPr>
          <w:rFonts w:ascii="Avenir Book" w:hAnsi="Avenir Book" w:eastAsia="Arial" w:cs="Arial"/>
          <w:sz w:val="24"/>
          <w:szCs w:val="24"/>
        </w:rPr>
      </w:pPr>
      <w:r>
        <w:rPr>
          <w:rFonts w:eastAsia="Arial" w:cs="Arial" w:ascii="Avenir Book" w:hAnsi="Avenir Book"/>
          <w:b w:val="false"/>
          <w:bCs w:val="false"/>
          <w:sz w:val="24"/>
          <w:szCs w:val="24"/>
        </w:rPr>
        <w:t>A essência do Módulo Rural e o Módulo Fiscal se mantém praticamente inalterada desde a sua origem e a fixação dos seus valores também permanece sem modificação substancial por décadas, a despeito da previsão legal e das inegáveis transformações na produção agropecuária e no meio rural.</w:t>
      </w:r>
    </w:p>
    <w:p>
      <w:pPr>
        <w:pStyle w:val="Normal"/>
        <w:spacing w:lineRule="auto" w:line="360"/>
        <w:ind w:left="0" w:right="0" w:firstLine="709"/>
        <w:jc w:val="both"/>
        <w:rPr/>
      </w:pPr>
      <w:r>
        <w:rPr>
          <w:rFonts w:eastAsia="Arial" w:cs="Arial" w:ascii="Avenir Book" w:hAnsi="Avenir Book"/>
          <w:b w:val="false"/>
          <w:bCs w:val="false"/>
          <w:sz w:val="24"/>
          <w:szCs w:val="24"/>
        </w:rPr>
        <w:t>Neste t</w:t>
      </w:r>
      <w:r>
        <w:rPr>
          <w:rFonts w:eastAsia="Arial" w:cs="Arial" w:ascii="Avenir Book" w:hAnsi="Avenir Book"/>
          <w:b w:val="false"/>
          <w:bCs w:val="false"/>
          <w:sz w:val="24"/>
          <w:szCs w:val="24"/>
        </w:rPr>
        <w:t>rabalho</w:t>
      </w:r>
      <w:r>
        <w:rPr>
          <w:rFonts w:eastAsia="Arial" w:cs="Arial" w:ascii="Avenir Book" w:hAnsi="Avenir Book"/>
          <w:b w:val="false"/>
          <w:bCs w:val="false"/>
          <w:sz w:val="24"/>
          <w:szCs w:val="24"/>
        </w:rPr>
        <w:t xml:space="preserve"> o Módulo Rural e o Módulo Fiscal serão abordados no campo da Sociologia Política da Ação Pública e considerados </w:t>
      </w:r>
      <w:r>
        <w:rPr>
          <w:rFonts w:eastAsia="Arial" w:cs="Arial" w:ascii="Avenir Book" w:hAnsi="Avenir Book"/>
          <w:b w:val="false"/>
          <w:bCs w:val="false"/>
          <w:sz w:val="24"/>
          <w:szCs w:val="24"/>
        </w:rPr>
        <w:t>I</w:t>
      </w:r>
      <w:r>
        <w:rPr>
          <w:rFonts w:eastAsia="Arial" w:cs="Arial" w:ascii="Avenir Book" w:hAnsi="Avenir Book"/>
          <w:b w:val="false"/>
          <w:bCs w:val="false"/>
          <w:sz w:val="24"/>
          <w:szCs w:val="24"/>
        </w:rPr>
        <w:t xml:space="preserve">nstrumentos da </w:t>
      </w:r>
      <w:r>
        <w:rPr>
          <w:rFonts w:eastAsia="Arial" w:cs="Arial" w:ascii="Avenir Book" w:hAnsi="Avenir Book"/>
          <w:b w:val="false"/>
          <w:bCs w:val="false"/>
          <w:sz w:val="24"/>
          <w:szCs w:val="24"/>
        </w:rPr>
        <w:t>A</w:t>
      </w:r>
      <w:r>
        <w:rPr>
          <w:rFonts w:eastAsia="Arial" w:cs="Arial" w:ascii="Avenir Book" w:hAnsi="Avenir Book"/>
          <w:b w:val="false"/>
          <w:bCs w:val="false"/>
          <w:sz w:val="24"/>
          <w:szCs w:val="24"/>
        </w:rPr>
        <w:t xml:space="preserve">ção </w:t>
      </w:r>
      <w:r>
        <w:rPr>
          <w:rFonts w:eastAsia="Arial" w:cs="Arial" w:ascii="Avenir Book" w:hAnsi="Avenir Book"/>
          <w:b w:val="false"/>
          <w:bCs w:val="false"/>
          <w:sz w:val="24"/>
          <w:szCs w:val="24"/>
        </w:rPr>
        <w:t>P</w:t>
      </w:r>
      <w:r>
        <w:rPr>
          <w:rFonts w:eastAsia="Arial" w:cs="Arial" w:ascii="Avenir Book" w:hAnsi="Avenir Book"/>
          <w:b w:val="false"/>
          <w:bCs w:val="false"/>
          <w:sz w:val="24"/>
          <w:szCs w:val="24"/>
        </w:rPr>
        <w:t xml:space="preserve">ública. Esses instrumentos não são neutros e nem resultantes de pura técnica e são portadores de formas concretas em que as relações entre o governo e a sociedade civil são orientadas (LASCOUMES; LES GALÈS, 2012). </w:t>
      </w:r>
    </w:p>
    <w:p>
      <w:pPr>
        <w:pStyle w:val="Normal"/>
        <w:spacing w:lineRule="auto" w:line="360"/>
        <w:ind w:left="0" w:right="0" w:firstLine="709"/>
        <w:jc w:val="both"/>
        <w:rPr/>
      </w:pPr>
      <w:r>
        <w:rPr>
          <w:rFonts w:eastAsia="Arial" w:cs="Arial" w:ascii="Avenir Book" w:hAnsi="Avenir Book"/>
          <w:b w:val="false"/>
          <w:bCs w:val="false"/>
          <w:sz w:val="24"/>
          <w:szCs w:val="24"/>
        </w:rPr>
        <w:t>O objetivo do t</w:t>
      </w:r>
      <w:r>
        <w:rPr>
          <w:rFonts w:eastAsia="Arial" w:cs="Arial" w:ascii="Avenir Book" w:hAnsi="Avenir Book"/>
          <w:b w:val="false"/>
          <w:bCs w:val="false"/>
          <w:sz w:val="24"/>
          <w:szCs w:val="24"/>
        </w:rPr>
        <w:t>rabalho</w:t>
      </w:r>
      <w:r>
        <w:rPr>
          <w:rFonts w:eastAsia="Arial" w:cs="Arial" w:ascii="Avenir Book" w:hAnsi="Avenir Book"/>
          <w:b w:val="false"/>
          <w:bCs w:val="false"/>
          <w:sz w:val="24"/>
          <w:szCs w:val="24"/>
        </w:rPr>
        <w:t xml:space="preserve"> é estabelecer </w:t>
      </w:r>
      <w:r>
        <w:rPr>
          <w:rFonts w:eastAsia="Arial" w:cs="Arial" w:ascii="Avenir Book" w:hAnsi="Avenir Book"/>
          <w:b w:val="false"/>
          <w:bCs w:val="false"/>
          <w:sz w:val="24"/>
          <w:szCs w:val="24"/>
        </w:rPr>
        <w:t xml:space="preserve">reflexões e </w:t>
      </w:r>
      <w:r>
        <w:rPr>
          <w:rFonts w:eastAsia="Arial" w:cs="Arial" w:ascii="Avenir Book" w:hAnsi="Avenir Book"/>
          <w:b w:val="false"/>
          <w:bCs w:val="false"/>
          <w:sz w:val="24"/>
          <w:szCs w:val="24"/>
        </w:rPr>
        <w:t xml:space="preserve">possibilidades de análise das políticas agrárias a partir do exame das características das técnicas e ferramentas envolvidas na simulação da atualização dos seus valores conforme as normas vigentes. </w:t>
      </w:r>
      <w:r>
        <w:rPr>
          <w:rFonts w:eastAsia="Arial" w:cs="Arial" w:ascii="Avenir Book" w:hAnsi="Avenir Book"/>
          <w:sz w:val="24"/>
          <w:szCs w:val="24"/>
        </w:rPr>
        <w:t xml:space="preserve">A primeira seção trata da caracterização do Módulo Rural e do Módulo Fiscal e das principais técnica (zoneamento) e ferramentas (potencial demográfico induzido e dimensionamento dos módulos) utilizadas. A segunda seção aborda as possibilidades de simulação de apuração do módulo rural médio para as regiões onde estão municípios selecionados com base em dados recentes. A seção seguinte reúne alguns elementos para </w:t>
      </w:r>
      <w:r>
        <w:rPr>
          <w:rFonts w:eastAsia="Arial" w:cs="Arial" w:ascii="Avenir Book" w:hAnsi="Avenir Book"/>
          <w:sz w:val="24"/>
          <w:szCs w:val="24"/>
        </w:rPr>
        <w:t xml:space="preserve">outras análises </w:t>
      </w:r>
      <w:r>
        <w:rPr>
          <w:rFonts w:eastAsia="Arial" w:cs="Arial" w:ascii="Avenir Book" w:hAnsi="Avenir Book"/>
          <w:sz w:val="24"/>
          <w:szCs w:val="24"/>
        </w:rPr>
        <w:t xml:space="preserve">dos dois instrumentos. </w:t>
      </w:r>
    </w:p>
    <w:p>
      <w:pPr>
        <w:pStyle w:val="Normal"/>
        <w:spacing w:lineRule="auto" w:line="36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jc w:val="both"/>
        <w:rPr>
          <w:rFonts w:ascii="Avenir Book" w:hAnsi="Avenir Book" w:eastAsia="Arial" w:cs="Arial"/>
          <w:b/>
          <w:sz w:val="24"/>
          <w:szCs w:val="24"/>
        </w:rPr>
      </w:pPr>
      <w:r>
        <w:rPr>
          <w:rFonts w:eastAsia="Arial" w:cs="Arial" w:ascii="Avenir Book" w:hAnsi="Avenir Book"/>
          <w:b/>
          <w:sz w:val="24"/>
          <w:szCs w:val="24"/>
        </w:rPr>
        <w:t>DESENVOLVIMENTO</w:t>
      </w:r>
    </w:p>
    <w:p>
      <w:pPr>
        <w:pStyle w:val="Normal"/>
        <w:spacing w:lineRule="auto" w:line="360" w:before="113" w:after="113"/>
        <w:ind w:left="0" w:right="0" w:hanging="0"/>
        <w:jc w:val="both"/>
        <w:rPr/>
      </w:pPr>
      <w:r>
        <w:rPr>
          <w:rFonts w:eastAsia="Arial" w:cs="Arial" w:ascii="Avenir Book" w:hAnsi="Avenir Book"/>
          <w:sz w:val="24"/>
          <w:szCs w:val="24"/>
        </w:rPr>
        <w:t>Principais noções e definições</w:t>
      </w:r>
    </w:p>
    <w:p>
      <w:pPr>
        <w:pStyle w:val="Normal"/>
        <w:spacing w:lineRule="auto" w:line="360"/>
        <w:ind w:left="0" w:right="0" w:firstLine="709"/>
        <w:jc w:val="both"/>
        <w:rPr/>
      </w:pPr>
      <w:r>
        <w:rPr>
          <w:rFonts w:eastAsia="Arial" w:cs="Arial" w:ascii="Avenir Book" w:hAnsi="Avenir Book"/>
          <w:sz w:val="24"/>
          <w:szCs w:val="24"/>
        </w:rPr>
        <w:t>O Módulo Rural está presente em todos os títulos do Estatuto da Terra e é importante para conferir alguma unidade a eles. É definido como a área fixada para a “Propriedade Familiar”, considerada o “imóvel rural que, direta e pessoalmente explorado pelo agricultor e sua família, lhes absorva toda a força de trabalho, garantindo-lhes a subsistência e o progresso social e econômico, com área máxima fixada para cada região e tipo de exploração, e eventualmente trabalho com a ajuda de terceiros” (BRASIL, 1964, art. 4º, incisos II, III). O Módulo Fiscal, instituído em 1979, procurou refletir o valor da mediana dos módulos rurais em um Município.</w:t>
      </w:r>
    </w:p>
    <w:p>
      <w:pPr>
        <w:pStyle w:val="Normal"/>
        <w:spacing w:lineRule="auto" w:line="360"/>
        <w:ind w:left="0" w:right="0" w:firstLine="709"/>
        <w:jc w:val="both"/>
        <w:rPr/>
      </w:pPr>
      <w:r>
        <w:rPr>
          <w:rFonts w:eastAsia="Arial" w:cs="Arial" w:ascii="Avenir Book" w:hAnsi="Avenir Book"/>
          <w:sz w:val="24"/>
          <w:szCs w:val="24"/>
        </w:rPr>
        <w:t xml:space="preserve">Na abordagem proposta por Pierre Lascoumes e Patrick Les Galès (2012), que procura estabelecer diferentes níveis de observação e de especificidade de análise, o instrumento Módulo Rural é operacionalizado pela técnica do zoneamento (Regiões e Zonas Típicas de Módulo) e pelas ferramentas (microdispositivos) que correspondem às equações que classificam os territórios e os imóveis. </w:t>
      </w:r>
    </w:p>
    <w:p>
      <w:pPr>
        <w:pStyle w:val="Normal"/>
        <w:spacing w:lineRule="auto" w:line="360"/>
        <w:ind w:left="0" w:right="0" w:firstLine="709"/>
        <w:jc w:val="both"/>
        <w:rPr>
          <w:rFonts w:ascii="Avenir Book" w:hAnsi="Avenir Book" w:eastAsia="Arial" w:cs="Arial"/>
          <w:sz w:val="24"/>
          <w:szCs w:val="24"/>
        </w:rPr>
      </w:pPr>
      <w:r>
        <w:rPr>
          <w:rFonts w:eastAsia="Arial" w:cs="Arial" w:ascii="Avenir Book" w:hAnsi="Avenir Book"/>
          <w:sz w:val="24"/>
          <w:szCs w:val="24"/>
        </w:rPr>
        <w:t xml:space="preserve">As Regiões do Módulo corresponderam àquelas adotadas pelo IBGE em diferentes épocas: a Zona Fisiográfica (até 1968); a Microrregião Homogênea (até 1989); a Microrregião Geográfica (até 2017) e a atual Região Geográfica Imediata. Para cada uma delas foram delimitadas Zonas Típicas de Módulo </w:t>
      </w:r>
      <w:r>
        <w:rPr>
          <w:rFonts w:eastAsia="Arial" w:cs="Arial" w:ascii="Avenir Book" w:hAnsi="Avenir Book"/>
          <w:sz w:val="24"/>
          <w:szCs w:val="24"/>
        </w:rPr>
        <w:t xml:space="preserve">considerando </w:t>
      </w:r>
      <w:r>
        <w:rPr>
          <w:rFonts w:eastAsia="Arial" w:cs="Arial" w:ascii="Avenir Book" w:hAnsi="Avenir Book"/>
          <w:sz w:val="24"/>
          <w:szCs w:val="24"/>
        </w:rPr>
        <w:t xml:space="preserve">o Potencial Demográfico, que tem o objetivo de traduzir a influência demográfica e econômica dos centros urbanos </w:t>
      </w:r>
      <w:r>
        <w:rPr>
          <w:rFonts w:eastAsia="Arial" w:cs="Arial" w:ascii="Avenir Book" w:hAnsi="Avenir Book"/>
          <w:sz w:val="24"/>
          <w:szCs w:val="24"/>
        </w:rPr>
        <w:t xml:space="preserve">em </w:t>
      </w:r>
      <w:r>
        <w:rPr>
          <w:rFonts w:eastAsia="Arial" w:cs="Arial" w:ascii="Avenir Book" w:hAnsi="Avenir Book"/>
          <w:sz w:val="24"/>
          <w:szCs w:val="24"/>
        </w:rPr>
        <w:t>cada área geográfica.</w:t>
      </w:r>
    </w:p>
    <w:p>
      <w:pPr>
        <w:pStyle w:val="Normal"/>
        <w:spacing w:lineRule="auto" w:line="360"/>
        <w:ind w:left="0" w:right="0" w:firstLine="709"/>
        <w:jc w:val="both"/>
        <w:rPr>
          <w:rFonts w:ascii="Avenir Book" w:hAnsi="Avenir Book" w:eastAsia="Arial" w:cs="Arial"/>
          <w:sz w:val="24"/>
          <w:szCs w:val="24"/>
        </w:rPr>
      </w:pPr>
      <w:r>
        <w:rPr>
          <w:rFonts w:eastAsia="Arial" w:cs="Arial" w:ascii="Avenir Book" w:hAnsi="Avenir Book"/>
          <w:sz w:val="24"/>
          <w:szCs w:val="24"/>
        </w:rPr>
        <w:t>A regulamentação do Estatuto da Terra em 1965 estabeleceu quatro Zonas Típicas de Módulo (ZTM) (A, B, C, D) e nove subgrupos (ou subzonas) (A1, A2, A3, B1, B2, B3, C1, C2, D), que estão mantidos até a presente data (BRASIL, 1965). Para cada subzona foi atribuído um valor “típico” de área, segundo o tipo de explotação (lavoura temporária, lavoura permanente, pecuária, hortigrangeira etc.) (BRASIL, 1965; BRASIL, 1973a, Anexo).</w:t>
      </w:r>
    </w:p>
    <w:p>
      <w:pPr>
        <w:pStyle w:val="Normal"/>
        <w:spacing w:lineRule="auto" w:line="360"/>
        <w:ind w:left="0" w:right="0" w:firstLine="709"/>
        <w:jc w:val="both"/>
        <w:rPr>
          <w:rFonts w:ascii="Avenir Book" w:hAnsi="Avenir Book" w:eastAsia="Arial" w:cs="Arial"/>
          <w:sz w:val="24"/>
          <w:szCs w:val="24"/>
        </w:rPr>
      </w:pPr>
      <w:r>
        <w:rPr>
          <w:rFonts w:eastAsia="Arial" w:cs="Arial" w:ascii="Avenir Book" w:hAnsi="Avenir Book"/>
          <w:sz w:val="24"/>
          <w:szCs w:val="24"/>
        </w:rPr>
        <w:t>A equação fundamental para o cálculo do Módulo Rural é A = R/L em que: A é a área do módulo a ser determinado; R é a renda estabelecida para remunerar a mão de obra, o capital fixo e o capital de giro; e L é o lucro líquido da produção base por hectare no tipo de exploração considerada. O cálculo da renda inclui os valores do salário mínimo e da terra nua; e o do lucro, o rendimento agrícola e as despesas diretas por hectare, entre outros (</w:t>
      </w:r>
      <w:r>
        <w:rPr>
          <w:rFonts w:eastAsia="Arial" w:cs="Arial" w:ascii="Avenir Book" w:hAnsi="Avenir Book"/>
          <w:color w:val="000000"/>
          <w:sz w:val="24"/>
          <w:szCs w:val="24"/>
        </w:rPr>
        <w:t>WOLLMANN, 1986)</w:t>
      </w:r>
      <w:r>
        <w:rPr>
          <w:rFonts w:eastAsia="Arial" w:cs="Arial" w:ascii="Avenir Book" w:hAnsi="Avenir Book"/>
          <w:sz w:val="24"/>
          <w:szCs w:val="24"/>
        </w:rPr>
        <w:t xml:space="preserve">. Ou seja, a ferramenta utilizada para o Módulo Rural e consequentemente para o Módulo Fiscal, possui um nítido caráter econômico, coerente com a orientação de promoção da modernização da agropecuária e das áreas rurais. </w:t>
      </w:r>
      <w:r>
        <w:rPr>
          <w:rFonts w:eastAsia="Arial" w:cs="Arial" w:ascii="Avenir Book" w:hAnsi="Avenir Book"/>
          <w:sz w:val="24"/>
          <w:szCs w:val="24"/>
        </w:rPr>
        <w:t>De um modo geral, quanto maior a lucratividade, menor a área necessária para atender à definição legal de propriedade familiar.</w:t>
      </w:r>
    </w:p>
    <w:p>
      <w:pPr>
        <w:pStyle w:val="Normal"/>
        <w:spacing w:lineRule="auto" w:line="360" w:before="113" w:after="113"/>
        <w:ind w:left="0" w:right="0" w:hanging="0"/>
        <w:jc w:val="both"/>
        <w:rPr>
          <w:rFonts w:ascii="Avenir Book" w:hAnsi="Avenir Book" w:eastAsia="Arial" w:cs="Arial"/>
          <w:sz w:val="24"/>
          <w:szCs w:val="24"/>
        </w:rPr>
      </w:pPr>
      <w:r>
        <w:rPr>
          <w:rFonts w:eastAsia="Arial" w:cs="Arial" w:ascii="Avenir Book" w:hAnsi="Avenir Book"/>
          <w:sz w:val="24"/>
          <w:szCs w:val="24"/>
        </w:rPr>
        <w:t>Procedimentos</w:t>
      </w:r>
    </w:p>
    <w:p>
      <w:pPr>
        <w:pStyle w:val="Normal"/>
        <w:spacing w:lineRule="auto" w:line="360"/>
        <w:ind w:left="0" w:right="0" w:firstLine="709"/>
        <w:jc w:val="both"/>
        <w:rPr/>
      </w:pPr>
      <w:r>
        <w:rPr>
          <w:rFonts w:eastAsia="Arial" w:cs="Arial" w:ascii="Avenir Book" w:hAnsi="Avenir Book"/>
          <w:sz w:val="24"/>
          <w:szCs w:val="24"/>
        </w:rPr>
        <w:t xml:space="preserve">Esta seção simula a apuração do Módulo Rural médio para as regiões de municípios selecionados com indicadores cadastrais semelhantes, conforme os procedimentos previstos na IE/INCRA/nº 1/1965, na IE/INCRA/nº 5-A/1973 e os dados mais recentes disponíveis do Censo Agropecuário (BRASIL, 1965; BRASIL, 1973b; DI SABBATO, 1999; BRASIL, 2019). </w:t>
      </w:r>
    </w:p>
    <w:p>
      <w:pPr>
        <w:pStyle w:val="Normal"/>
        <w:spacing w:lineRule="auto" w:line="360"/>
        <w:ind w:left="0" w:right="0" w:firstLine="709"/>
        <w:jc w:val="both"/>
        <w:rPr/>
      </w:pPr>
      <w:r>
        <w:rPr>
          <w:rFonts w:eastAsia="Arial" w:cs="Arial" w:ascii="Avenir Book" w:hAnsi="Avenir Book"/>
          <w:sz w:val="24"/>
          <w:szCs w:val="24"/>
        </w:rPr>
        <w:t>O Módulo Rural médio regional será obtido pelo quociente no número de módulos total pela área aproveitável dos estabelecimentos agropecuários. O número de módulos, por sua vez, será obtido pelo quociente da área utilizada com cada tipo de produção (grupo de produtos) pela área do Módulo Típico da subzona para cada um deles.</w:t>
      </w:r>
    </w:p>
    <w:p>
      <w:pPr>
        <w:pStyle w:val="Normal"/>
        <w:spacing w:lineRule="auto" w:line="360"/>
        <w:ind w:left="0" w:right="0" w:firstLine="709"/>
        <w:jc w:val="both"/>
        <w:rPr/>
      </w:pPr>
      <w:r>
        <w:rPr>
          <w:rFonts w:eastAsia="Arial" w:cs="Arial" w:ascii="Avenir Book" w:hAnsi="Avenir Book"/>
          <w:sz w:val="24"/>
          <w:szCs w:val="24"/>
        </w:rPr>
        <w:t xml:space="preserve">Observe-se que Módulo Rural médio regional não se confunde com o Módulo Típico por exploração ou ZTM. O número médio de Módulos Rurais também não corresponde ao Módulo Fiscal, que procura refletir a área mediana dos Módulos Rurais dos imóveis em um mesmo município. É possível considerar, porém, o Módulo Rural médio como uma variável </w:t>
      </w:r>
      <w:r>
        <w:rPr>
          <w:rFonts w:eastAsia="Arial" w:cs="Arial" w:ascii="Avenir Book" w:hAnsi="Avenir Book"/>
          <w:i/>
          <w:iCs/>
          <w:sz w:val="24"/>
          <w:szCs w:val="24"/>
        </w:rPr>
        <w:t xml:space="preserve">proxy </w:t>
      </w:r>
      <w:r>
        <w:rPr>
          <w:rFonts w:eastAsia="Arial" w:cs="Arial" w:ascii="Avenir Book" w:hAnsi="Avenir Book"/>
          <w:i w:val="false"/>
          <w:iCs w:val="false"/>
          <w:sz w:val="24"/>
          <w:szCs w:val="24"/>
        </w:rPr>
        <w:t>do Módulo Fiscal</w:t>
      </w:r>
      <w:r>
        <w:rPr>
          <w:rFonts w:eastAsia="Arial" w:cs="Arial" w:ascii="Avenir Book" w:hAnsi="Avenir Book"/>
          <w:i/>
          <w:iCs/>
          <w:sz w:val="24"/>
          <w:szCs w:val="24"/>
        </w:rPr>
        <w:t xml:space="preserve"> </w:t>
      </w:r>
      <w:r>
        <w:rPr>
          <w:rFonts w:eastAsia="Arial" w:cs="Arial" w:ascii="Avenir Book" w:hAnsi="Avenir Book"/>
          <w:i w:val="false"/>
          <w:iCs w:val="false"/>
          <w:sz w:val="24"/>
          <w:szCs w:val="24"/>
        </w:rPr>
        <w:t>em uma suposta distribuição normal de dados.</w:t>
      </w:r>
    </w:p>
    <w:p>
      <w:pPr>
        <w:pStyle w:val="Normal"/>
        <w:spacing w:lineRule="auto" w:line="360"/>
        <w:ind w:left="0" w:right="0" w:firstLine="709"/>
        <w:jc w:val="both"/>
        <w:rPr/>
      </w:pPr>
      <w:r>
        <w:rPr>
          <w:rFonts w:eastAsia="Arial" w:cs="Arial" w:ascii="Avenir Book" w:hAnsi="Avenir Book"/>
          <w:sz w:val="24"/>
          <w:szCs w:val="24"/>
        </w:rPr>
        <w:t>A simulação completa da atualização do Módulo Rural requer estudos para a redefinição das ZTM, o que implica o cálculo do Potencial Demográfico para todos os Municípios e Regiões Geográficas Imediatas (RGI), do IBGE. Isso pode ser realizado por meio de tabulações especiais do Censo Agropecuário 2017 e das Estimativas da População 2021, do IBGE, com auxílio de aplicativos de medição da distância entre cidades.</w:t>
      </w:r>
    </w:p>
    <w:p>
      <w:pPr>
        <w:pStyle w:val="Normal"/>
        <w:spacing w:lineRule="auto" w:line="360"/>
        <w:ind w:left="0" w:right="0" w:firstLine="709"/>
        <w:jc w:val="both"/>
        <w:rPr/>
      </w:pPr>
      <w:r>
        <w:rPr>
          <w:rFonts w:eastAsia="Arial" w:cs="Arial" w:ascii="Avenir Book" w:hAnsi="Avenir Book"/>
          <w:sz w:val="24"/>
          <w:szCs w:val="24"/>
        </w:rPr>
        <w:t xml:space="preserve">Os grupos de produtos utilizados pelo IBGE para caracterizar o tipo de produção diferem em termos não substanciais daqueles estabelecidos pelas normas do INCRA. De uma forma geral, os grupos do IBGE são mais amplos. O Censo Agropecuário 2017 não identificou as áreas com horticultura, pecuária de animais de médio porte e piscicultura (aquicultura), o que seriam os correspondentes mais próximos da classificação utilizada pelo INCRA para o cálculo dos módulos. As normas do INCRA não estabelecem módulos típicos para a produção em sistemas agroflorestais, que combinam espécies florestais, lavouras e pastagens para animais. Para efeito deste texto, os sistemas agroflorestais foram considerados produções florestais. As definições de área aproveitável para exploração agropecuária do Decreto nº 84.685/1980 (BRASIL, 1980a), foram atualizadas com base na Lei nº 8.629, de 1993, também conhecida como Lei Agrária (BRASIL, 1993, art. 10, com redação dada pela Lei nº 14.119, de 2021). O Censo Agropecuário 2017 não diferencia as construções e instalações destinadas a fins produtivos, nem as áreas com exploração mineral. Na impossibilidade de aferir a exploração de áreas remanescentes de vegetação não protegidas legalmente, toda a área foi considerada inexplorada ou sem exploração definida para fins deste </w:t>
      </w:r>
      <w:r>
        <w:rPr>
          <w:rFonts w:eastAsia="Arial" w:cs="Arial" w:ascii="Avenir Book" w:hAnsi="Avenir Book"/>
          <w:sz w:val="24"/>
          <w:szCs w:val="24"/>
        </w:rPr>
        <w:t>cálculo</w:t>
      </w:r>
      <w:r>
        <w:rPr>
          <w:rFonts w:eastAsia="Arial" w:cs="Arial" w:ascii="Avenir Book" w:hAnsi="Avenir Book"/>
          <w:sz w:val="24"/>
          <w:szCs w:val="24"/>
        </w:rPr>
        <w:t>.</w:t>
      </w:r>
    </w:p>
    <w:p>
      <w:pPr>
        <w:pStyle w:val="Normal"/>
        <w:spacing w:lineRule="auto" w:line="360"/>
        <w:ind w:left="0" w:right="0" w:firstLine="709"/>
        <w:jc w:val="both"/>
        <w:rPr/>
      </w:pPr>
      <w:r>
        <w:rPr>
          <w:rFonts w:eastAsia="Arial" w:cs="Arial" w:ascii="Avenir Book" w:hAnsi="Avenir Book"/>
          <w:sz w:val="24"/>
          <w:szCs w:val="24"/>
        </w:rPr>
        <w:t xml:space="preserve">Os municípios selecionados, cuja localização pode ser verificada na Figura 1, estão em diferentes Unidades da Federação </w:t>
      </w:r>
      <w:r>
        <w:rPr>
          <w:rFonts w:eastAsia="Arial" w:cs="Arial" w:ascii="Avenir Book" w:hAnsi="Avenir Book"/>
          <w:sz w:val="24"/>
          <w:szCs w:val="24"/>
        </w:rPr>
        <w:t xml:space="preserve">e </w:t>
      </w:r>
      <w:r>
        <w:rPr>
          <w:rFonts w:eastAsia="Arial" w:cs="Arial" w:ascii="Avenir Book" w:hAnsi="Avenir Book"/>
          <w:sz w:val="24"/>
          <w:szCs w:val="24"/>
        </w:rPr>
        <w:t>possuem os mesmos “módulos típicos” por tipo de produção pois pertencem a uma subzona típica de módulo, além de outros indicadores cadastrais semelhantes (Fração Mínima de Parcelamento e Módulo de Exploração Indefinida). Desde 1965 a subzona B3 está conformada pelos núcleos urbanos com até 50 mil habitantes (estrato inferior) e pelo Potencial Demográfico médio entre 60 mil e 100 mil hab/km (estrato intermediário).</w:t>
      </w:r>
    </w:p>
    <w:p>
      <w:pPr>
        <w:pStyle w:val="Normal"/>
        <w:spacing w:lineRule="auto" w:line="360" w:before="113" w:after="113"/>
        <w:ind w:left="0" w:right="0" w:hanging="0"/>
        <w:jc w:val="both"/>
        <w:rPr>
          <w:sz w:val="22"/>
          <w:szCs w:val="22"/>
        </w:rPr>
      </w:pPr>
      <w:r>
        <w:rPr>
          <w:rFonts w:eastAsia="Arial" w:cs="Arial" w:ascii="Avenir Book" w:hAnsi="Avenir Book"/>
          <w:sz w:val="22"/>
          <w:szCs w:val="22"/>
        </w:rPr>
        <w:t>Figura 1. Localização das Regiões Geográficas Imediatas (RGI) selecionadas</w:t>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drawing>
          <wp:anchor behindDoc="0" distT="0" distB="0" distL="0" distR="0" simplePos="0" locked="0" layoutInCell="0" allowOverlap="1" relativeHeight="3">
            <wp:simplePos x="0" y="0"/>
            <wp:positionH relativeFrom="column">
              <wp:posOffset>1830070</wp:posOffset>
            </wp:positionH>
            <wp:positionV relativeFrom="paragraph">
              <wp:posOffset>-88265</wp:posOffset>
            </wp:positionV>
            <wp:extent cx="2238375" cy="210566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2238375" cy="2105660"/>
                    </a:xfrm>
                    <a:prstGeom prst="rect">
                      <a:avLst/>
                    </a:prstGeom>
                  </pic:spPr>
                </pic:pic>
              </a:graphicData>
            </a:graphic>
          </wp:anchor>
        </w:drawing>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ind w:left="0" w:right="0" w:hanging="0"/>
        <w:jc w:val="both"/>
        <w:rPr>
          <w:rFonts w:ascii="Avenir Book" w:hAnsi="Avenir Book" w:eastAsia="Arial" w:cs="Arial"/>
          <w:sz w:val="24"/>
          <w:szCs w:val="24"/>
        </w:rPr>
      </w:pPr>
      <w:r>
        <w:rPr>
          <w:rFonts w:eastAsia="Arial" w:cs="Arial" w:ascii="Avenir Book" w:hAnsi="Avenir Book"/>
          <w:sz w:val="24"/>
          <w:szCs w:val="24"/>
        </w:rPr>
      </w:r>
    </w:p>
    <w:p>
      <w:pPr>
        <w:pStyle w:val="Normal"/>
        <w:spacing w:lineRule="auto" w:line="360" w:before="113" w:after="113"/>
        <w:ind w:left="0" w:right="0" w:hanging="0"/>
        <w:jc w:val="both"/>
        <w:rPr>
          <w:sz w:val="22"/>
          <w:szCs w:val="22"/>
        </w:rPr>
      </w:pPr>
      <w:r>
        <w:rPr>
          <w:rFonts w:eastAsia="Arial" w:cs="Arial" w:ascii="Avenir Book" w:hAnsi="Avenir Book"/>
          <w:sz w:val="22"/>
          <w:szCs w:val="22"/>
        </w:rPr>
        <w:t>Fonte: IBGE (2017)</w:t>
      </w:r>
    </w:p>
    <w:p>
      <w:pPr>
        <w:pStyle w:val="Normal"/>
        <w:spacing w:lineRule="auto" w:line="360" w:before="113" w:after="113"/>
        <w:ind w:left="0" w:right="0" w:hanging="0"/>
        <w:jc w:val="both"/>
        <w:rPr>
          <w:rFonts w:ascii="Avenir Book" w:hAnsi="Avenir Book" w:eastAsia="Arial" w:cs="Arial"/>
          <w:sz w:val="24"/>
          <w:szCs w:val="24"/>
        </w:rPr>
      </w:pPr>
      <w:r>
        <w:rPr>
          <w:rFonts w:eastAsia="Arial" w:cs="Arial" w:ascii="Avenir Book" w:hAnsi="Avenir Book"/>
          <w:sz w:val="24"/>
          <w:szCs w:val="24"/>
        </w:rPr>
        <w:t>Resultados e discussão</w:t>
      </w:r>
    </w:p>
    <w:p>
      <w:pPr>
        <w:pStyle w:val="Normal"/>
        <w:spacing w:lineRule="auto" w:line="360"/>
        <w:ind w:left="0" w:right="0" w:firstLine="709"/>
        <w:jc w:val="both"/>
        <w:rPr>
          <w:rFonts w:ascii="Avenir Book" w:hAnsi="Avenir Book" w:eastAsia="Arial" w:cs="Arial"/>
          <w:sz w:val="24"/>
          <w:szCs w:val="24"/>
        </w:rPr>
      </w:pPr>
      <w:r>
        <w:rPr>
          <w:rFonts w:eastAsia="Arial" w:cs="Arial" w:ascii="Avenir Book" w:hAnsi="Avenir Book"/>
          <w:sz w:val="24"/>
          <w:szCs w:val="24"/>
        </w:rPr>
        <w:t>A Tabela 1 a seguir identifica os municípios e as regiões selecionadas, os seus módulos fiscais e o resultado dos cálculos realizados.</w:t>
      </w:r>
    </w:p>
    <w:p>
      <w:pPr>
        <w:pStyle w:val="Normal"/>
        <w:spacing w:lineRule="auto" w:line="240" w:before="113" w:after="113"/>
        <w:jc w:val="both"/>
        <w:rPr>
          <w:b w:val="false"/>
          <w:bCs w:val="false"/>
        </w:rPr>
      </w:pPr>
      <w:r>
        <w:rPr>
          <w:rFonts w:eastAsia="Arial" w:cs="Arial" w:ascii="Avenir Book" w:hAnsi="Avenir Book"/>
          <w:b w:val="false"/>
          <w:bCs w:val="false"/>
          <w:sz w:val="24"/>
          <w:szCs w:val="24"/>
        </w:rPr>
        <w:t>Tabela 1. Número de módulos rurais e módulos rurais médios regionais e módulos fiscais municipais. Municípios e Regiões Geográficas Imediatas selecionadas. Em hectares. 2017.</w:t>
      </w:r>
    </w:p>
    <w:tbl>
      <w:tblPr>
        <w:tblW w:w="8962" w:type="dxa"/>
        <w:jc w:val="center"/>
        <w:tblInd w:w="0" w:type="dxa"/>
        <w:tblLayout w:type="fixed"/>
        <w:tblCellMar>
          <w:top w:w="28" w:type="dxa"/>
          <w:left w:w="28" w:type="dxa"/>
          <w:bottom w:w="28" w:type="dxa"/>
          <w:right w:w="28" w:type="dxa"/>
        </w:tblCellMar>
      </w:tblPr>
      <w:tblGrid>
        <w:gridCol w:w="706"/>
        <w:gridCol w:w="2100"/>
        <w:gridCol w:w="2264"/>
        <w:gridCol w:w="1190"/>
        <w:gridCol w:w="1588"/>
        <w:gridCol w:w="1113"/>
      </w:tblGrid>
      <w:tr>
        <w:trPr/>
        <w:tc>
          <w:tcPr>
            <w:tcW w:w="706" w:type="dxa"/>
            <w:tcBorders>
              <w:top w:val="single" w:sz="2" w:space="0" w:color="000000"/>
              <w:bottom w:val="single" w:sz="2" w:space="0" w:color="000000"/>
            </w:tcBorders>
            <w:vAlign w:val="center"/>
          </w:tcPr>
          <w:p>
            <w:pPr>
              <w:pStyle w:val="Contedodatabela"/>
              <w:widowControl w:val="false"/>
              <w:jc w:val="center"/>
              <w:rPr>
                <w:rFonts w:ascii="Avenir Book" w:hAnsi="Avenir Book"/>
                <w:color w:val="000000"/>
                <w:sz w:val="24"/>
                <w:szCs w:val="24"/>
              </w:rPr>
            </w:pPr>
            <w:r>
              <w:rPr>
                <w:rFonts w:ascii="Avenir Book" w:hAnsi="Avenir Book"/>
                <w:color w:val="000000"/>
                <w:sz w:val="24"/>
                <w:szCs w:val="24"/>
              </w:rPr>
              <w:t>UF</w:t>
            </w:r>
          </w:p>
        </w:tc>
        <w:tc>
          <w:tcPr>
            <w:tcW w:w="2100" w:type="dxa"/>
            <w:tcBorders>
              <w:top w:val="single" w:sz="2" w:space="0" w:color="000000"/>
              <w:left w:val="single" w:sz="2" w:space="0" w:color="000000"/>
              <w:bottom w:val="single" w:sz="2" w:space="0" w:color="000000"/>
            </w:tcBorders>
            <w:vAlign w:val="center"/>
          </w:tcPr>
          <w:p>
            <w:pPr>
              <w:pStyle w:val="Contedodatabela"/>
              <w:widowControl w:val="false"/>
              <w:jc w:val="center"/>
              <w:rPr>
                <w:rFonts w:ascii="Avenir Book" w:hAnsi="Avenir Book"/>
                <w:color w:val="000000"/>
                <w:sz w:val="24"/>
                <w:szCs w:val="24"/>
              </w:rPr>
            </w:pPr>
            <w:r>
              <w:rPr>
                <w:rFonts w:ascii="Avenir Book" w:hAnsi="Avenir Book"/>
                <w:color w:val="000000"/>
                <w:sz w:val="24"/>
                <w:szCs w:val="24"/>
              </w:rPr>
              <w:t>Município</w:t>
            </w:r>
          </w:p>
        </w:tc>
        <w:tc>
          <w:tcPr>
            <w:tcW w:w="2264" w:type="dxa"/>
            <w:tcBorders>
              <w:top w:val="single" w:sz="2" w:space="0" w:color="000000"/>
              <w:left w:val="single" w:sz="2" w:space="0" w:color="000000"/>
              <w:bottom w:val="single" w:sz="2" w:space="0" w:color="000000"/>
            </w:tcBorders>
            <w:vAlign w:val="center"/>
          </w:tcPr>
          <w:p>
            <w:pPr>
              <w:pStyle w:val="Contedodatabela"/>
              <w:widowControl w:val="false"/>
              <w:jc w:val="center"/>
              <w:rPr>
                <w:rFonts w:ascii="Avenir Book" w:hAnsi="Avenir Book"/>
                <w:color w:val="000000"/>
                <w:sz w:val="24"/>
                <w:szCs w:val="24"/>
              </w:rPr>
            </w:pPr>
            <w:r>
              <w:rPr>
                <w:rFonts w:ascii="Avenir Book" w:hAnsi="Avenir Book"/>
                <w:color w:val="000000"/>
                <w:sz w:val="24"/>
                <w:szCs w:val="24"/>
              </w:rPr>
              <w:t>Região Geográfica Imediata</w:t>
            </w:r>
          </w:p>
        </w:tc>
        <w:tc>
          <w:tcPr>
            <w:tcW w:w="1190" w:type="dxa"/>
            <w:tcBorders>
              <w:top w:val="single" w:sz="2" w:space="0" w:color="000000"/>
              <w:left w:val="single" w:sz="2" w:space="0" w:color="000000"/>
              <w:bottom w:val="single" w:sz="2" w:space="0" w:color="000000"/>
            </w:tcBorders>
            <w:vAlign w:val="center"/>
          </w:tcPr>
          <w:p>
            <w:pPr>
              <w:pStyle w:val="Contedodatabela"/>
              <w:widowControl w:val="false"/>
              <w:jc w:val="center"/>
              <w:rPr>
                <w:rFonts w:ascii="Avenir Book" w:hAnsi="Avenir Book"/>
                <w:color w:val="000000"/>
                <w:sz w:val="24"/>
                <w:szCs w:val="24"/>
              </w:rPr>
            </w:pPr>
            <w:r>
              <w:rPr>
                <w:rFonts w:ascii="Avenir Book" w:hAnsi="Avenir Book"/>
                <w:color w:val="000000"/>
                <w:sz w:val="24"/>
                <w:szCs w:val="24"/>
              </w:rPr>
              <w:t>Nº</w:t>
              <w:br/>
              <w:t>Módulos</w:t>
              <w:br/>
              <w:t>Rurais</w:t>
            </w:r>
          </w:p>
        </w:tc>
        <w:tc>
          <w:tcPr>
            <w:tcW w:w="1588" w:type="dxa"/>
            <w:tcBorders>
              <w:top w:val="single" w:sz="2" w:space="0" w:color="000000"/>
              <w:left w:val="single" w:sz="2" w:space="0" w:color="000000"/>
              <w:bottom w:val="single" w:sz="2" w:space="0" w:color="000000"/>
            </w:tcBorders>
            <w:vAlign w:val="center"/>
          </w:tcPr>
          <w:p>
            <w:pPr>
              <w:pStyle w:val="Contedodatabela"/>
              <w:widowControl w:val="false"/>
              <w:jc w:val="center"/>
              <w:rPr>
                <w:rFonts w:ascii="Avenir Book" w:hAnsi="Avenir Book"/>
                <w:color w:val="000000"/>
                <w:sz w:val="24"/>
                <w:szCs w:val="24"/>
              </w:rPr>
            </w:pPr>
            <w:r>
              <w:rPr>
                <w:rFonts w:ascii="Avenir Book" w:hAnsi="Avenir Book"/>
                <w:color w:val="000000"/>
                <w:sz w:val="24"/>
                <w:szCs w:val="24"/>
              </w:rPr>
              <w:t>Módulo Rural Médio</w:t>
              <w:br/>
              <w:t>(ha)</w:t>
            </w:r>
          </w:p>
        </w:tc>
        <w:tc>
          <w:tcPr>
            <w:tcW w:w="1113" w:type="dxa"/>
            <w:tcBorders>
              <w:top w:val="single" w:sz="2" w:space="0" w:color="000000"/>
              <w:left w:val="single" w:sz="2" w:space="0" w:color="000000"/>
              <w:bottom w:val="single" w:sz="2" w:space="0" w:color="000000"/>
            </w:tcBorders>
            <w:vAlign w:val="center"/>
          </w:tcPr>
          <w:p>
            <w:pPr>
              <w:pStyle w:val="Contedodatabela"/>
              <w:widowControl w:val="false"/>
              <w:jc w:val="center"/>
              <w:rPr>
                <w:rFonts w:ascii="Avenir Book" w:hAnsi="Avenir Book"/>
                <w:color w:val="000000"/>
                <w:sz w:val="24"/>
                <w:szCs w:val="24"/>
              </w:rPr>
            </w:pPr>
            <w:r>
              <w:rPr>
                <w:rFonts w:ascii="Avenir Book" w:hAnsi="Avenir Book"/>
                <w:color w:val="000000"/>
                <w:sz w:val="24"/>
                <w:szCs w:val="24"/>
              </w:rPr>
              <w:t>Módulo Fiscal</w:t>
              <w:br/>
              <w:t xml:space="preserve"> (ha)</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MT</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Sorriso</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Sorriso</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88.925</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32</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90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MS</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Bodoquena</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Aquidauana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25.142</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67</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90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CE</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Tauá</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Tauá</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7.024</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63</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90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TO</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Araguatins</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Araguatins</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4.918</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63</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80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MA</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Balsas</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Balsas</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38.769</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43</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75</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PA</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Xinguara</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Xinguara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16.812</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66</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75</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PE</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Exu</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Araripina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8.482</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46</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PI</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Floriano</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Floriano</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7.602</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54</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SE</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N. S. da Glória</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N. S. da Glória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6.094</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53</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AL</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Piranhas</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Delmiro Gouveia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2.050</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60</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70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BA</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Lençóis</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Seabra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4.787</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55</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65</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GO</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Porangatu</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Porangatu</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27.129</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65</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60</w:t>
            </w:r>
          </w:p>
        </w:tc>
      </w:tr>
      <w:tr>
        <w:trPr/>
        <w:tc>
          <w:tcPr>
            <w:tcW w:w="706" w:type="dxa"/>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RO</w:t>
            </w:r>
          </w:p>
        </w:tc>
        <w:tc>
          <w:tcPr>
            <w:tcW w:w="2100"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Corumbiara</w:t>
            </w:r>
          </w:p>
        </w:tc>
        <w:tc>
          <w:tcPr>
            <w:tcW w:w="2264" w:type="dxa"/>
            <w:tcBorders>
              <w:left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Vilhena</w:t>
            </w:r>
          </w:p>
        </w:tc>
        <w:tc>
          <w:tcPr>
            <w:tcW w:w="1190"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20.403</w:t>
            </w:r>
          </w:p>
        </w:tc>
        <w:tc>
          <w:tcPr>
            <w:tcW w:w="1588"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53</w:t>
            </w:r>
          </w:p>
        </w:tc>
        <w:tc>
          <w:tcPr>
            <w:tcW w:w="1113" w:type="dxa"/>
            <w:tcBorders>
              <w:left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60</w:t>
            </w:r>
          </w:p>
        </w:tc>
      </w:tr>
      <w:tr>
        <w:trPr/>
        <w:tc>
          <w:tcPr>
            <w:tcW w:w="706" w:type="dxa"/>
            <w:tcBorders>
              <w:bottom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PB</w:t>
            </w:r>
          </w:p>
        </w:tc>
        <w:tc>
          <w:tcPr>
            <w:tcW w:w="2100" w:type="dxa"/>
            <w:tcBorders>
              <w:left w:val="single" w:sz="2" w:space="0" w:color="000000"/>
              <w:bottom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Catolé do Rocha</w:t>
            </w:r>
          </w:p>
        </w:tc>
        <w:tc>
          <w:tcPr>
            <w:tcW w:w="2264" w:type="dxa"/>
            <w:tcBorders>
              <w:left w:val="single" w:sz="2" w:space="0" w:color="000000"/>
              <w:bottom w:val="single" w:sz="2" w:space="0" w:color="000000"/>
            </w:tcBorders>
            <w:vAlign w:val="bottom"/>
          </w:tcPr>
          <w:p>
            <w:pPr>
              <w:pStyle w:val="Contedodatabela"/>
              <w:widowControl w:val="false"/>
              <w:jc w:val="left"/>
              <w:rPr>
                <w:rFonts w:ascii="Avenir Book" w:hAnsi="Avenir Book"/>
                <w:color w:val="000000"/>
                <w:sz w:val="24"/>
                <w:szCs w:val="24"/>
              </w:rPr>
            </w:pPr>
            <w:r>
              <w:rPr>
                <w:rFonts w:ascii="Avenir Book" w:hAnsi="Avenir Book"/>
                <w:color w:val="000000"/>
                <w:sz w:val="24"/>
                <w:szCs w:val="24"/>
              </w:rPr>
              <w:t>Catolé do Rocha</w:t>
            </w:r>
          </w:p>
        </w:tc>
        <w:tc>
          <w:tcPr>
            <w:tcW w:w="1190" w:type="dxa"/>
            <w:tcBorders>
              <w:left w:val="single" w:sz="2" w:space="0" w:color="000000"/>
              <w:bottom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4.434</w:t>
            </w:r>
          </w:p>
        </w:tc>
        <w:tc>
          <w:tcPr>
            <w:tcW w:w="1588" w:type="dxa"/>
            <w:tcBorders>
              <w:left w:val="single" w:sz="2" w:space="0" w:color="000000"/>
              <w:bottom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37</w:t>
            </w:r>
          </w:p>
        </w:tc>
        <w:tc>
          <w:tcPr>
            <w:tcW w:w="1113" w:type="dxa"/>
            <w:tcBorders>
              <w:left w:val="single" w:sz="2" w:space="0" w:color="000000"/>
              <w:bottom w:val="single" w:sz="2" w:space="0" w:color="000000"/>
            </w:tcBorders>
            <w:vAlign w:val="bottom"/>
          </w:tcPr>
          <w:p>
            <w:pPr>
              <w:pStyle w:val="Contedodatabela"/>
              <w:widowControl w:val="false"/>
              <w:jc w:val="right"/>
              <w:rPr>
                <w:rFonts w:ascii="Avenir Book" w:hAnsi="Avenir Book"/>
                <w:color w:val="000000"/>
                <w:sz w:val="24"/>
                <w:szCs w:val="24"/>
              </w:rPr>
            </w:pPr>
            <w:r>
              <w:rPr>
                <w:rFonts w:ascii="Avenir Book" w:hAnsi="Avenir Book"/>
                <w:color w:val="000000"/>
                <w:sz w:val="24"/>
                <w:szCs w:val="24"/>
              </w:rPr>
              <w:t>60</w:t>
            </w:r>
          </w:p>
        </w:tc>
      </w:tr>
    </w:tbl>
    <w:p>
      <w:pPr>
        <w:pStyle w:val="Normal"/>
        <w:spacing w:lineRule="auto" w:line="240" w:before="113" w:after="113"/>
        <w:jc w:val="both"/>
        <w:rPr>
          <w:b w:val="false"/>
          <w:bCs w:val="false"/>
        </w:rPr>
      </w:pPr>
      <w:r>
        <w:rPr>
          <w:rFonts w:eastAsia="Arial" w:cs="Arial" w:ascii="Avenir Book" w:hAnsi="Avenir Book"/>
          <w:b w:val="false"/>
          <w:bCs w:val="false"/>
          <w:sz w:val="24"/>
          <w:szCs w:val="24"/>
        </w:rPr>
        <w:t>Fonte: IBGE – Censo Agropecuário 2017 (tabela 6881); BRASIL, 2022. Elaboração do autor a partir de Di Sabbato (1999).</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A partir da Tabela 1 é possível observar que em um mesmo tipo de subzona existem vários valores para o Módulo Fiscal. No caso da subzona B3, em análise, muitos deles se aproximam do seu valor máximo em nível nacional (110 ha). Ou seja, a subzona B3 é marcada pela associação entre os estratos inferiores de população urbana e os intermediários de Potencial Demográfico aos estratos superiores de Módulo Fiscal.</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A mesma tabela mostra que Municípios bastante distantes geograficamente podem possuir Módulos Fiscais iguais, como por exemplo Corumbiara/RO e Catolé do Rocha/PB, ou Bodoquena/MS e Tauá/CE.</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O cálculo do Módulo Rural médio a partir dos dados do Censo Agropecuário 2017 mostra não haver uma relação linear entre o número de módulos total, que deriva da área aproveitável, e o módulo médio. Existem regiões com elevado número de módulos (acima de 15 mil) nos estratos inferior (45 ha ou menos) e superior (65 ha ou mais) dos valores do módulo médio.</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O cálculo revela também importantes alterações da ordem de grandeza dos indicadores regionais em relação ao Módulo Fiscal atual, estabelecido em 1980 e vigente até a presente data (BRASIL, 1980; BRASIL, 2022). </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A proporção entre o maior (90 ha) e o menor (60 ha) valor do Módulo Fiscal (1,5) aumenta quando é calculado o Módulo Rural médio (2,1), cujos valores extremos são 67 ha e 32 ha. Isso sugere que possa haver uma dispersão maior de valores que não está devidamente captada pelos valores vigentes.</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O município de Sorriso/MT, por exemplo, é o que apresenta o maior Módulo Fiscal (90 ha) entre os territórios selecionados e está localizado na região com menor Módulo Rural médio (32 ha). Já o município de Porangatu/GO, que possui o menor Módulo Fiscal entre os territórios selecionados (60 ha), está localizado em uma região que tem um dos maiores Módulos Rurais médios (65 ha) da amostra.</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Em resumo, os resultados obtidos sugerem que exista uma probabilidade significativa de as diferenças entre os valores apresentados serem devidas às transformações ocorridas nos territórios. Essas transformações não são reconhecidas oficialmente por meio da atualização dos dados cadastrais. Como já mencionado, isso traz consequências para um número expressivo de políticas agrárias, inclusive para a caracterização legal de agricultor(a) familiar, segurado(a) especial da Previdência Social e para a aplicação </w:t>
      </w:r>
      <w:r>
        <w:rPr>
          <w:rFonts w:eastAsia="Arial" w:cs="Arial" w:ascii="Avenir Book" w:hAnsi="Avenir Book"/>
          <w:b w:val="false"/>
          <w:bCs w:val="false"/>
          <w:sz w:val="24"/>
          <w:szCs w:val="24"/>
        </w:rPr>
        <w:t xml:space="preserve">de dispositivos da reforma agrária, da regularização fundiário e </w:t>
      </w:r>
      <w:r>
        <w:rPr>
          <w:rFonts w:eastAsia="Arial" w:cs="Arial" w:ascii="Avenir Book" w:hAnsi="Avenir Book"/>
          <w:b w:val="false"/>
          <w:bCs w:val="false"/>
          <w:sz w:val="24"/>
          <w:szCs w:val="24"/>
        </w:rPr>
        <w:t>do chamado Código Florestal, entre outros.</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O limite de espaço para o texto impede que se analise as possíveis transformações ocorridas </w:t>
      </w:r>
      <w:r>
        <w:rPr>
          <w:rFonts w:eastAsia="Arial" w:cs="Arial" w:ascii="Avenir Book" w:hAnsi="Avenir Book"/>
          <w:b w:val="false"/>
          <w:bCs w:val="false"/>
          <w:sz w:val="24"/>
          <w:szCs w:val="24"/>
        </w:rPr>
        <w:t>em cada caso</w:t>
      </w:r>
      <w:r>
        <w:rPr>
          <w:rFonts w:eastAsia="Arial" w:cs="Arial" w:ascii="Avenir Book" w:hAnsi="Avenir Book"/>
          <w:b w:val="false"/>
          <w:bCs w:val="false"/>
          <w:sz w:val="24"/>
          <w:szCs w:val="24"/>
        </w:rPr>
        <w:t>. Os exemplos de Sorriso/MT, nos biomas Amazônia e Cerrado, e de Lençóis/BA, no bioma Caatinga, podem ser ilustrativos dos contrastes entre os valores dos módulos. Enquanto o Módulo Fiscal de Sorriso (90 ha) é significativamente maior que o de Lençóis (65 ha), o Módulo Rural médio da região de Sorriso (32 ha) é bem menor do que a região onde se localiza Lençóis (55 ha).</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Na data da criação e regulamentação do Módulo Fiscal (1979/1980), a localidade de Sorriso havia sido recentemente elevada à categoria de distrito do município de Nobres, de onde se emancipou em 1986. Originário de um projeto de colonização privada às margens da BR-163, que então tinha como objetivo ligar Tenente Portela/RS a Oriximiná/PA, o distrito possuía como principais atividades econômicas anteriores a extração de madeira e de látex </w:t>
      </w:r>
      <w:r>
        <w:rPr>
          <w:rFonts w:eastAsia="Arial" w:cs="Arial" w:ascii="Avenir Book" w:hAnsi="Avenir Book"/>
          <w:b w:val="false"/>
          <w:bCs w:val="false"/>
          <w:sz w:val="24"/>
          <w:szCs w:val="24"/>
        </w:rPr>
        <w:t xml:space="preserve">para borracha </w:t>
      </w:r>
      <w:r>
        <w:rPr>
          <w:rFonts w:eastAsia="Arial" w:cs="Arial" w:ascii="Avenir Book" w:hAnsi="Avenir Book"/>
          <w:b w:val="false"/>
          <w:bCs w:val="false"/>
          <w:sz w:val="24"/>
          <w:szCs w:val="24"/>
        </w:rPr>
        <w:t xml:space="preserve">e a pecuária extensiva. O município passou por um acelerado crescimento populacional e rápida urbanização, </w:t>
      </w:r>
      <w:r>
        <w:rPr>
          <w:rFonts w:eastAsia="Arial" w:cs="Arial" w:ascii="Avenir Book" w:hAnsi="Avenir Book"/>
          <w:b w:val="false"/>
          <w:bCs w:val="false"/>
          <w:sz w:val="24"/>
          <w:szCs w:val="24"/>
        </w:rPr>
        <w:t xml:space="preserve">indo de </w:t>
      </w:r>
      <w:r>
        <w:rPr>
          <w:rFonts w:eastAsia="Arial" w:cs="Arial" w:ascii="Avenir Book" w:hAnsi="Avenir Book"/>
          <w:b w:val="false"/>
          <w:bCs w:val="false"/>
          <w:sz w:val="24"/>
          <w:szCs w:val="24"/>
        </w:rPr>
        <w:t>26 mil habitantes em 1996 para 95 mil habitantes em 2021, dos quais aproximadamente 88% do total em áreas urbanas. É classificado pelo IBGE como um Centro Sub-regional do tipo B, de hierarquia urbana intermediária, pois exerce “influência preponderante sobre centros próximos por oferecer bens e serviços”, além de contar com “movimentos culturais e movimentos políticos” destacados (IBGE, 2019; IBGE, 2020; IBGE, 2023).</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O município apresenta uma elevada receita total dos estabelecimentos agropecuários (R$ 2,9 milhões/ano por estabelecimento, em média); uma reduzida participação dos estabelecimentos com até 100 ha de área total, inclusive os familiares (1% da área total); e o predomínio de pessoas ocupadas sem vínculo com o(a) produtor(a) (65% do total). Isso se deve em grande medida à forte presença da soja e do milho. Em 2021, Sorriso apresentou a maior área colhida com soja no País (605 mil hectares). No município estão instaladas unidades da Archer Daniels Midland (ADM), Bunge, Cargill, Dreyfuss (LDC), Cofco e Amaggi, que estão entre as maiores do mundo da comercialização internacional desses grãos (IBGE, </w:t>
      </w:r>
      <w:r>
        <w:rPr>
          <w:rFonts w:eastAsia="Arial" w:cs="Arial" w:ascii="Avenir Book" w:hAnsi="Avenir Book"/>
          <w:b w:val="false"/>
          <w:bCs w:val="false"/>
          <w:sz w:val="24"/>
          <w:szCs w:val="24"/>
          <w:shd w:fill="auto" w:val="clear"/>
        </w:rPr>
        <w:t>2019; IBGE, 2023</w:t>
      </w:r>
      <w:r>
        <w:rPr>
          <w:rFonts w:eastAsia="Arial" w:cs="Arial" w:ascii="Avenir Book" w:hAnsi="Avenir Book"/>
          <w:b w:val="false"/>
          <w:bCs w:val="false"/>
          <w:sz w:val="24"/>
          <w:szCs w:val="24"/>
        </w:rPr>
        <w:t xml:space="preserve">). Em Sorriso não existem </w:t>
      </w:r>
      <w:r>
        <w:rPr>
          <w:rFonts w:eastAsia="Arial" w:cs="Arial" w:ascii="Avenir Book" w:hAnsi="Avenir Book"/>
          <w:b w:val="false"/>
          <w:bCs w:val="false"/>
          <w:sz w:val="24"/>
          <w:szCs w:val="24"/>
        </w:rPr>
        <w:t xml:space="preserve">povos indígenas e </w:t>
      </w:r>
      <w:r>
        <w:rPr>
          <w:rFonts w:eastAsia="Arial" w:cs="Arial" w:ascii="Avenir Book" w:hAnsi="Avenir Book"/>
          <w:b w:val="false"/>
          <w:bCs w:val="false"/>
          <w:sz w:val="24"/>
          <w:szCs w:val="24"/>
        </w:rPr>
        <w:t>comunidades quilombolas que reivindicam a titulação do seu território.</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Já o município de Lençóis foi emancipado em 1864, </w:t>
      </w:r>
      <w:r>
        <w:rPr>
          <w:rFonts w:eastAsia="Arial" w:cs="Arial" w:ascii="Avenir Book" w:hAnsi="Avenir Book"/>
          <w:b w:val="false"/>
          <w:bCs w:val="false"/>
          <w:sz w:val="24"/>
          <w:szCs w:val="24"/>
        </w:rPr>
        <w:t>durante um ciclo de extração mineral (diamantes). S</w:t>
      </w:r>
      <w:r>
        <w:rPr>
          <w:rFonts w:eastAsia="Arial" w:cs="Arial" w:ascii="Avenir Book" w:hAnsi="Avenir Book"/>
          <w:b w:val="false"/>
          <w:bCs w:val="false"/>
          <w:sz w:val="24"/>
          <w:szCs w:val="24"/>
        </w:rPr>
        <w:t>ua população tem crescido lentamente, passando de 10 mil habitantes em 1996 para 12 mil habitantes em 2021, dos quais aproximadamente 77% do total em áreas urbanas. É classificado pelo IBGE como um Centro Local, o de menor hierarquia urbana, ou seja, que “exercem influência restrita aos seus próprios limites territoriais” e apresentam “fraca centralidade em suas atividades empresariais e de gestão pública, geralmente tendo outros centros urbanos como referência para atividades cotidianas de compras e serviços de sua população, bem como acesso a atividades do poder público e empresas” (IBGE, 2020).</w:t>
      </w:r>
    </w:p>
    <w:p>
      <w:pPr>
        <w:pStyle w:val="Normal"/>
        <w:spacing w:lineRule="auto" w:line="360" w:before="170" w:after="0"/>
        <w:ind w:left="0" w:right="0" w:firstLine="709"/>
        <w:jc w:val="both"/>
        <w:rPr>
          <w:rFonts w:ascii="Avenir Book" w:hAnsi="Avenir Book" w:eastAsia="Arial" w:cs="Arial"/>
          <w:b w:val="false"/>
          <w:bCs w:val="false"/>
          <w:sz w:val="24"/>
          <w:szCs w:val="24"/>
        </w:rPr>
      </w:pPr>
      <w:r>
        <w:rPr>
          <w:rFonts w:eastAsia="Arial" w:cs="Arial" w:ascii="Avenir Book" w:hAnsi="Avenir Book"/>
          <w:b w:val="false"/>
          <w:bCs w:val="false"/>
          <w:sz w:val="24"/>
          <w:szCs w:val="24"/>
        </w:rPr>
        <w:t xml:space="preserve">Os dados censitários mais recentes mostram que em Lençóis houve uma reduzida receita total por estabelecimento (R$ 12 mil/ano), em média), com participação expressiva das rendas não-agropecuárias (58% do total); o predomínio das unidades familiares; da mandioca e </w:t>
      </w:r>
      <w:r>
        <w:rPr>
          <w:rFonts w:eastAsia="Arial" w:cs="Arial" w:ascii="Avenir Book" w:hAnsi="Avenir Book"/>
          <w:b w:val="false"/>
          <w:bCs w:val="false"/>
          <w:sz w:val="24"/>
          <w:szCs w:val="24"/>
        </w:rPr>
        <w:t xml:space="preserve">do </w:t>
      </w:r>
      <w:r>
        <w:rPr>
          <w:rFonts w:eastAsia="Arial" w:cs="Arial" w:ascii="Avenir Book" w:hAnsi="Avenir Book"/>
          <w:b w:val="false"/>
          <w:bCs w:val="false"/>
          <w:sz w:val="24"/>
          <w:szCs w:val="24"/>
        </w:rPr>
        <w:t xml:space="preserve">feijão entre as </w:t>
      </w:r>
      <w:r>
        <w:rPr>
          <w:rFonts w:eastAsia="Arial" w:cs="Arial" w:ascii="Avenir Book" w:hAnsi="Avenir Book"/>
          <w:b w:val="false"/>
          <w:bCs w:val="false"/>
          <w:sz w:val="24"/>
          <w:szCs w:val="24"/>
        </w:rPr>
        <w:t xml:space="preserve">lavouras </w:t>
      </w:r>
      <w:r>
        <w:rPr>
          <w:rFonts w:eastAsia="Arial" w:cs="Arial" w:ascii="Avenir Book" w:hAnsi="Avenir Book"/>
          <w:b w:val="false"/>
          <w:bCs w:val="false"/>
          <w:sz w:val="24"/>
          <w:szCs w:val="24"/>
        </w:rPr>
        <w:t xml:space="preserve">temporárias, </w:t>
      </w:r>
      <w:r>
        <w:rPr>
          <w:rFonts w:eastAsia="Arial" w:cs="Arial" w:ascii="Avenir Book" w:hAnsi="Avenir Book"/>
          <w:b w:val="false"/>
          <w:bCs w:val="false"/>
          <w:sz w:val="24"/>
          <w:szCs w:val="24"/>
        </w:rPr>
        <w:t xml:space="preserve">além de </w:t>
      </w:r>
      <w:r>
        <w:rPr>
          <w:rFonts w:eastAsia="Arial" w:cs="Arial" w:ascii="Avenir Book" w:hAnsi="Avenir Book"/>
          <w:b w:val="false"/>
          <w:bCs w:val="false"/>
          <w:sz w:val="24"/>
          <w:szCs w:val="24"/>
        </w:rPr>
        <w:t>áreas de preservação permanente, estabelecidas em grande parte no interior ou no entorno imediato de Unidades de Conservação ambiental, como por exemplo, o Parque Nacional da Chapada Diamantina, e Área de Proteção Ambiental Marimbus-Iraquara. Em Lençóis existem três comunidades quilombolas que reivindicam a titulação do seu território.</w:t>
      </w:r>
    </w:p>
    <w:p>
      <w:pPr>
        <w:pStyle w:val="Normal"/>
        <w:spacing w:lineRule="auto" w:line="360" w:before="170" w:after="0"/>
        <w:ind w:left="0" w:right="0" w:hanging="0"/>
        <w:jc w:val="both"/>
        <w:rPr>
          <w:rFonts w:ascii="Avenir Book" w:hAnsi="Avenir Book" w:eastAsia="Arial" w:cs="Arial"/>
          <w:b w:val="false"/>
          <w:bCs w:val="false"/>
          <w:sz w:val="24"/>
          <w:szCs w:val="24"/>
        </w:rPr>
      </w:pPr>
      <w:r>
        <w:rPr>
          <w:rFonts w:eastAsia="Arial" w:cs="Arial" w:ascii="Avenir Book" w:hAnsi="Avenir Book"/>
          <w:b/>
          <w:sz w:val="24"/>
          <w:szCs w:val="24"/>
        </w:rPr>
        <w:t>CONSIDERAÇÕES FINAIS</w:t>
      </w:r>
    </w:p>
    <w:p>
      <w:pPr>
        <w:pStyle w:val="Normal"/>
        <w:spacing w:lineRule="auto" w:line="360"/>
        <w:ind w:left="0" w:right="0" w:firstLine="680"/>
        <w:jc w:val="both"/>
        <w:rPr>
          <w:rFonts w:ascii="Avenir Book" w:hAnsi="Avenir Book" w:eastAsia="Arial" w:cs="Arial"/>
          <w:sz w:val="24"/>
          <w:szCs w:val="24"/>
        </w:rPr>
      </w:pPr>
      <w:r>
        <w:rPr>
          <w:rFonts w:eastAsia="Arial" w:cs="Arial" w:ascii="Avenir Book" w:hAnsi="Avenir Book"/>
          <w:sz w:val="24"/>
          <w:szCs w:val="24"/>
        </w:rPr>
        <w:t xml:space="preserve">A compreensão do Módulo Rural e do Módulo Fiscal como instrumentos da ação pública portadores de técnicas e ferramentas próprias permite que eles sejam investigados em diferentes níveis de observação e de análise. Os resultados obtidos com a simulação da atualização do Módulo </w:t>
      </w:r>
      <w:r>
        <w:rPr>
          <w:rFonts w:eastAsia="Arial" w:cs="Arial" w:ascii="Avenir Book" w:hAnsi="Avenir Book"/>
          <w:sz w:val="24"/>
          <w:szCs w:val="24"/>
        </w:rPr>
        <w:t>Rural m</w:t>
      </w:r>
      <w:r>
        <w:rPr>
          <w:rFonts w:eastAsia="Arial" w:cs="Arial" w:ascii="Avenir Book" w:hAnsi="Avenir Book"/>
          <w:sz w:val="24"/>
          <w:szCs w:val="24"/>
        </w:rPr>
        <w:t>édio para uma pequena amostra de regiões conforme as normas atuais, sugerem que existam elementos pouco conhecidos para explicar as diferenças entre el</w:t>
      </w:r>
      <w:r>
        <w:rPr>
          <w:rFonts w:eastAsia="Arial" w:cs="Arial" w:ascii="Avenir Book" w:hAnsi="Avenir Book"/>
          <w:sz w:val="24"/>
          <w:szCs w:val="24"/>
        </w:rPr>
        <w:t>e</w:t>
      </w:r>
      <w:r>
        <w:rPr>
          <w:rFonts w:eastAsia="Arial" w:cs="Arial" w:ascii="Avenir Book" w:hAnsi="Avenir Book"/>
          <w:sz w:val="24"/>
          <w:szCs w:val="24"/>
        </w:rPr>
        <w:t xml:space="preserve"> e o Módulo Fiscal vigente. </w:t>
      </w:r>
    </w:p>
    <w:p>
      <w:pPr>
        <w:pStyle w:val="Normal"/>
        <w:spacing w:lineRule="auto" w:line="360"/>
        <w:ind w:left="0" w:right="0" w:firstLine="680"/>
        <w:jc w:val="both"/>
        <w:rPr>
          <w:rFonts w:ascii="Avenir Book" w:hAnsi="Avenir Book" w:eastAsia="Arial" w:cs="Arial"/>
          <w:sz w:val="24"/>
          <w:szCs w:val="24"/>
        </w:rPr>
      </w:pPr>
      <w:r>
        <w:rPr>
          <w:rFonts w:eastAsia="Arial" w:cs="Arial" w:ascii="Avenir Book" w:hAnsi="Avenir Book"/>
          <w:sz w:val="24"/>
          <w:szCs w:val="24"/>
        </w:rPr>
        <w:t>A breve análise de dois dos municípios selecionados (Sorriso/MT e Lençóis/BA) permitem identificar elementos importantes que não estiveram presentes na época da aprovação e regulamentação do Estatuto da Terra, na década de 1960, nem nas décadas posteriores, quando da criação do Módulo Fiscal e da ampliação do seu uso para políticas públicas não previstas na Lei original. É o caso, por exemplo, das desigualdades sociais, da estrutura fundiária e do trabalho empregado, d</w:t>
      </w:r>
      <w:r>
        <w:rPr>
          <w:rFonts w:eastAsia="Arial" w:cs="Arial" w:ascii="Avenir Book" w:hAnsi="Avenir Book"/>
          <w:sz w:val="24"/>
          <w:szCs w:val="24"/>
        </w:rPr>
        <w:t>os biomas e d</w:t>
      </w:r>
      <w:r>
        <w:rPr>
          <w:rFonts w:eastAsia="Arial" w:cs="Arial" w:ascii="Avenir Book" w:hAnsi="Avenir Book"/>
          <w:sz w:val="24"/>
          <w:szCs w:val="24"/>
        </w:rPr>
        <w:t xml:space="preserve">a conservação ambiental, </w:t>
      </w:r>
      <w:r>
        <w:rPr>
          <w:rFonts w:eastAsia="Arial" w:cs="Arial" w:ascii="Avenir Book" w:hAnsi="Avenir Book"/>
          <w:sz w:val="24"/>
          <w:szCs w:val="24"/>
        </w:rPr>
        <w:t xml:space="preserve">além da </w:t>
      </w:r>
      <w:r>
        <w:rPr>
          <w:rFonts w:eastAsia="Arial" w:cs="Arial" w:ascii="Avenir Book" w:hAnsi="Avenir Book"/>
          <w:sz w:val="24"/>
          <w:szCs w:val="24"/>
        </w:rPr>
        <w:t>presença de povos e comunidades tradicionais, entre outros. É possível verificar também pesquisas contemporâneas sobre as áreas de influência das dos diferentes tipos de cidades, que agregam elementos teóricos e empíricos válidos para o estudo das características e da dinâmica das áreas rurais, com maior qualidade e complexidade que os indicadores da década e 1960.</w:t>
      </w:r>
    </w:p>
    <w:p>
      <w:pPr>
        <w:pStyle w:val="Normal"/>
        <w:spacing w:lineRule="auto" w:line="360"/>
        <w:ind w:left="0" w:right="0" w:firstLine="680"/>
        <w:jc w:val="both"/>
        <w:rPr>
          <w:rFonts w:ascii="Avenir Book" w:hAnsi="Avenir Book" w:eastAsia="Arial" w:cs="Arial"/>
          <w:sz w:val="24"/>
          <w:szCs w:val="24"/>
        </w:rPr>
      </w:pPr>
      <w:r>
        <w:rPr>
          <w:rFonts w:eastAsia="Arial" w:cs="Arial" w:ascii="Avenir Book" w:hAnsi="Avenir Book"/>
          <w:sz w:val="24"/>
          <w:szCs w:val="24"/>
        </w:rPr>
        <w:t xml:space="preserve">A ênfase concedida originalmente aos aspectos de renda </w:t>
      </w:r>
      <w:r>
        <w:rPr>
          <w:rFonts w:eastAsia="Arial" w:cs="Arial" w:ascii="Avenir Book" w:hAnsi="Avenir Book"/>
          <w:sz w:val="24"/>
          <w:szCs w:val="24"/>
        </w:rPr>
        <w:t>monetária</w:t>
      </w:r>
      <w:r>
        <w:rPr>
          <w:rFonts w:eastAsia="Arial" w:cs="Arial" w:ascii="Avenir Book" w:hAnsi="Avenir Book"/>
          <w:sz w:val="24"/>
          <w:szCs w:val="24"/>
        </w:rPr>
        <w:t xml:space="preserve">, </w:t>
      </w:r>
      <w:r>
        <w:rPr>
          <w:rFonts w:eastAsia="Arial" w:cs="Arial" w:ascii="Avenir Book" w:hAnsi="Avenir Book"/>
          <w:sz w:val="24"/>
          <w:szCs w:val="24"/>
        </w:rPr>
        <w:t xml:space="preserve">da </w:t>
      </w:r>
      <w:r>
        <w:rPr>
          <w:rFonts w:eastAsia="Arial" w:cs="Arial" w:ascii="Avenir Book" w:hAnsi="Avenir Book"/>
          <w:sz w:val="24"/>
          <w:szCs w:val="24"/>
        </w:rPr>
        <w:t xml:space="preserve">produtividade </w:t>
      </w:r>
      <w:r>
        <w:rPr>
          <w:rFonts w:eastAsia="Arial" w:cs="Arial" w:ascii="Avenir Book" w:hAnsi="Avenir Book"/>
          <w:sz w:val="24"/>
          <w:szCs w:val="24"/>
        </w:rPr>
        <w:t xml:space="preserve">e da lucratividade </w:t>
      </w:r>
      <w:r>
        <w:rPr>
          <w:rFonts w:eastAsia="Arial" w:cs="Arial" w:ascii="Avenir Book" w:hAnsi="Avenir Book"/>
          <w:sz w:val="24"/>
          <w:szCs w:val="24"/>
        </w:rPr>
        <w:t xml:space="preserve">no cálculo do Módulo Rural refletiram – e ainda refletem – uma determinada concepção de desenvolvimento centrada na modernização das áreas rurais em detrimento de outros aspectos presentes, </w:t>
      </w:r>
      <w:r>
        <w:rPr>
          <w:rFonts w:eastAsia="Arial" w:cs="Arial" w:ascii="Avenir Book" w:hAnsi="Avenir Book"/>
          <w:sz w:val="24"/>
          <w:szCs w:val="24"/>
        </w:rPr>
        <w:t>como o bem estar das famílias trabalhadoras, a conservação dos recursos naturais e a justa relação de trabalho</w:t>
      </w:r>
      <w:r>
        <w:rPr>
          <w:rFonts w:eastAsia="Arial" w:cs="Arial" w:ascii="Avenir Book" w:hAnsi="Avenir Book"/>
          <w:sz w:val="24"/>
          <w:szCs w:val="24"/>
        </w:rPr>
        <w:t xml:space="preserve">. </w:t>
      </w:r>
      <w:r>
        <w:rPr>
          <w:rFonts w:eastAsia="Arial" w:cs="Arial" w:ascii="Avenir Book" w:hAnsi="Avenir Book"/>
          <w:sz w:val="24"/>
          <w:szCs w:val="24"/>
        </w:rPr>
        <w:t xml:space="preserve">Esses aspectos constam, inclusive da </w:t>
      </w:r>
      <w:r>
        <w:rPr>
          <w:rFonts w:eastAsia="Arial" w:cs="Arial" w:ascii="Avenir Book" w:hAnsi="Avenir Book"/>
          <w:sz w:val="24"/>
          <w:szCs w:val="24"/>
        </w:rPr>
        <w:t>definição de função social da propriedade da terra do próprio Estatuto (BRASIL, 1964, art. 2º), recepcionada pela Constituição Federal de 1988. Assim, é coerente considerar que as críticas a essa concepção de desenvolvimento também estejam concretizadas em instrumentos, técnicas e ferramentas adequados a elas.</w:t>
      </w:r>
    </w:p>
    <w:p>
      <w:pPr>
        <w:pStyle w:val="Normal"/>
        <w:spacing w:lineRule="auto" w:line="360" w:before="113" w:after="113"/>
        <w:ind w:hanging="2"/>
        <w:jc w:val="both"/>
        <w:rPr>
          <w:rFonts w:ascii="Avenir Book" w:hAnsi="Avenir Book" w:eastAsia="Arial" w:cs="Arial"/>
          <w:b/>
          <w:color w:val="000000"/>
          <w:sz w:val="24"/>
          <w:szCs w:val="24"/>
        </w:rPr>
      </w:pPr>
      <w:r>
        <w:rPr>
          <w:rFonts w:eastAsia="Arial" w:cs="Arial" w:ascii="Avenir Book" w:hAnsi="Avenir Book"/>
          <w:b/>
          <w:color w:val="000000"/>
          <w:sz w:val="24"/>
          <w:szCs w:val="24"/>
          <w:highlight w:val="white"/>
        </w:rPr>
        <w:t>REFERÊNCIAS</w:t>
      </w:r>
    </w:p>
    <w:p>
      <w:pPr>
        <w:pStyle w:val="Normal"/>
        <w:spacing w:before="170" w:after="0"/>
        <w:ind w:hanging="2"/>
        <w:jc w:val="both"/>
        <w:rPr/>
      </w:pPr>
      <w:r>
        <w:rPr>
          <w:rFonts w:eastAsia="Arial" w:cs="Arial" w:ascii="Avenir Book" w:hAnsi="Avenir Book"/>
          <w:color w:val="000000"/>
          <w:sz w:val="24"/>
          <w:szCs w:val="24"/>
        </w:rPr>
        <w:t xml:space="preserve">BRASIL. Senado Federal. </w:t>
      </w:r>
      <w:r>
        <w:rPr>
          <w:rFonts w:eastAsia="Arial" w:cs="Arial" w:ascii="Avenir Book" w:hAnsi="Avenir Book"/>
          <w:b/>
          <w:bCs/>
          <w:color w:val="000000"/>
          <w:sz w:val="24"/>
          <w:szCs w:val="24"/>
        </w:rPr>
        <w:t>Projeto de Lei nº 26</w:t>
      </w:r>
      <w:r>
        <w:rPr>
          <w:rFonts w:eastAsia="Arial" w:cs="Arial" w:ascii="Avenir Book" w:hAnsi="Avenir Book"/>
          <w:color w:val="000000"/>
          <w:sz w:val="24"/>
          <w:szCs w:val="24"/>
        </w:rPr>
        <w:t>, de 1964. Dispõe sôbre o Estatuto da Terra e dá outras providências. Brasília, 28 out 1964 [documento digitalizado]</w:t>
      </w:r>
    </w:p>
    <w:p>
      <w:pPr>
        <w:pStyle w:val="Normal"/>
        <w:spacing w:before="170" w:after="0"/>
        <w:ind w:hanging="2"/>
        <w:jc w:val="both"/>
        <w:rPr/>
      </w:pPr>
      <w:r>
        <w:rPr>
          <w:rFonts w:eastAsia="Arial" w:cs="Arial" w:ascii="Avenir Book" w:hAnsi="Avenir Book"/>
          <w:color w:val="000000"/>
          <w:sz w:val="24"/>
          <w:szCs w:val="24"/>
        </w:rPr>
        <w:t xml:space="preserve">BRASIL. </w:t>
      </w:r>
      <w:r>
        <w:rPr>
          <w:rFonts w:eastAsia="Arial" w:cs="Arial" w:ascii="Avenir Book" w:hAnsi="Avenir Book"/>
          <w:b/>
          <w:bCs/>
          <w:color w:val="000000"/>
          <w:sz w:val="24"/>
          <w:szCs w:val="24"/>
        </w:rPr>
        <w:t>Lei nº 4.504</w:t>
      </w:r>
      <w:r>
        <w:rPr>
          <w:rFonts w:eastAsia="Arial" w:cs="Arial" w:ascii="Avenir Book" w:hAnsi="Avenir Book"/>
          <w:color w:val="000000"/>
          <w:sz w:val="24"/>
          <w:szCs w:val="24"/>
        </w:rPr>
        <w:t>, de 30 de novembro de 1964. Dispõe sobre o Estatuto da Terra, e dá outras providências. DOU de 30 nov 1964, retificado em 17 dez 1964 e retificado em 6 abr 1965. Disponível em: http://www.planalto.gov.br/ccivil_03/leis/l4504.htm.</w:t>
      </w:r>
    </w:p>
    <w:p>
      <w:pPr>
        <w:pStyle w:val="Normal"/>
        <w:spacing w:before="170" w:after="0"/>
        <w:ind w:hanging="2"/>
        <w:jc w:val="both"/>
        <w:rPr/>
      </w:pPr>
      <w:r>
        <w:rPr>
          <w:rFonts w:eastAsia="Arial" w:cs="Arial" w:ascii="Avenir Book" w:hAnsi="Avenir Book"/>
          <w:color w:val="000000"/>
          <w:sz w:val="24"/>
          <w:szCs w:val="24"/>
        </w:rPr>
        <w:t xml:space="preserve">BRASIL. </w:t>
      </w:r>
      <w:r>
        <w:rPr>
          <w:rFonts w:eastAsia="Arial" w:cs="Arial" w:ascii="Avenir Book" w:hAnsi="Avenir Book"/>
          <w:b/>
          <w:bCs/>
          <w:color w:val="000000"/>
          <w:sz w:val="24"/>
          <w:szCs w:val="24"/>
        </w:rPr>
        <w:t>Decreto nº 55.891</w:t>
      </w:r>
      <w:r>
        <w:rPr>
          <w:rFonts w:eastAsia="Arial" w:cs="Arial" w:ascii="Avenir Book" w:hAnsi="Avenir Book"/>
          <w:color w:val="000000"/>
          <w:sz w:val="24"/>
          <w:szCs w:val="24"/>
        </w:rPr>
        <w:t>, de 31 de março de 1965 (a). Regulamenta o Capítulo I do Título I e a Seção III do Capítulo IV do Título II da Lei nº 4.504, de 30 de novembro de 1964 - Estatuto da Terra. DOU de 8 abr 1965. Disponível em: https://www.planalto.gov.br/ccivil_03/decreto/1950-1969/D55891.htm</w:t>
      </w:r>
    </w:p>
    <w:p>
      <w:pPr>
        <w:pStyle w:val="Normal"/>
        <w:spacing w:before="170" w:after="0"/>
        <w:ind w:hanging="2"/>
        <w:jc w:val="both"/>
        <w:rPr/>
      </w:pPr>
      <w:r>
        <w:rPr>
          <w:rFonts w:eastAsia="Arial" w:cs="Arial" w:ascii="Avenir Book" w:hAnsi="Avenir Book"/>
          <w:color w:val="000000"/>
          <w:sz w:val="24"/>
          <w:szCs w:val="24"/>
        </w:rPr>
        <w:t xml:space="preserve">BRASIL. Instituto Brasileiro de Reforma Agrária (IBRA). </w:t>
      </w:r>
      <w:r>
        <w:rPr>
          <w:rFonts w:eastAsia="Arial" w:cs="Arial" w:ascii="Avenir Book" w:hAnsi="Avenir Book"/>
          <w:b/>
          <w:bCs/>
          <w:color w:val="000000"/>
          <w:sz w:val="24"/>
          <w:szCs w:val="24"/>
        </w:rPr>
        <w:t>Instrução Especial nº 1</w:t>
      </w:r>
      <w:r>
        <w:rPr>
          <w:rFonts w:eastAsia="Arial" w:cs="Arial" w:ascii="Avenir Book" w:hAnsi="Avenir Book"/>
          <w:color w:val="000000"/>
          <w:sz w:val="24"/>
          <w:szCs w:val="24"/>
        </w:rPr>
        <w:t>, de 1º de setembro de 1965 (b). Regulamenta dispositivos do Decreto nº 55.891, de 31 de março de 1965, e do Decreto nº 56.792, de 26 de agôsto de 1965, sôbre o Zoneamento do País, Zonas Típicas e Módulos de Imóveis Rurais, os Cadastros a serem realizados pelo IBRA e a Tributação da Terra, prevista na Lei nº 4.504, de 30 de novembro de 1964 - Estatuto da Terra. DOU de 15 set 1965 [documento digitalizado]</w:t>
      </w:r>
    </w:p>
    <w:p>
      <w:pPr>
        <w:pStyle w:val="Normal"/>
        <w:spacing w:before="170" w:after="0"/>
        <w:ind w:hanging="2"/>
        <w:jc w:val="both"/>
        <w:rPr>
          <w:highlight w:val="none"/>
          <w:shd w:fill="auto" w:val="clear"/>
        </w:rPr>
      </w:pPr>
      <w:r>
        <w:rPr>
          <w:rFonts w:eastAsia="Arial" w:cs="Arial" w:ascii="Avenir Book" w:hAnsi="Avenir Book"/>
          <w:color w:val="000000"/>
          <w:sz w:val="24"/>
          <w:szCs w:val="24"/>
          <w:shd w:fill="auto" w:val="clear"/>
        </w:rPr>
        <w:t xml:space="preserve">BRASIL. </w:t>
      </w:r>
      <w:r>
        <w:rPr>
          <w:rFonts w:eastAsia="Arial" w:cs="Arial" w:ascii="Avenir Book" w:hAnsi="Avenir Book"/>
          <w:b/>
          <w:bCs/>
          <w:color w:val="000000"/>
          <w:sz w:val="24"/>
          <w:szCs w:val="24"/>
          <w:shd w:fill="auto" w:val="clear"/>
        </w:rPr>
        <w:t>Decreto nº 72.106</w:t>
      </w:r>
      <w:r>
        <w:rPr>
          <w:rFonts w:eastAsia="Arial" w:cs="Arial" w:ascii="Avenir Book" w:hAnsi="Avenir Book"/>
          <w:color w:val="000000"/>
          <w:sz w:val="24"/>
          <w:szCs w:val="24"/>
          <w:shd w:fill="auto" w:val="clear"/>
        </w:rPr>
        <w:t>, de 18 de abril de 1973 (a). Regulamenta a Lei nº 5.868, de 12 de dezembro de 1972, que institui o Sistema Nacional de Cadastro Rural e dá outras providências. DOU de 24 abr 1973. Disponível em: https://www.planalto.gov.br/ccivil_03/decreto/1970-1979/D72106.htm</w:t>
      </w:r>
    </w:p>
    <w:p>
      <w:pPr>
        <w:pStyle w:val="Normal"/>
        <w:spacing w:before="170" w:after="0"/>
        <w:ind w:hanging="2"/>
        <w:jc w:val="both"/>
        <w:rPr/>
      </w:pPr>
      <w:r>
        <w:rPr>
          <w:rFonts w:eastAsia="Arial" w:cs="Arial" w:ascii="Avenir Book" w:hAnsi="Avenir Book"/>
          <w:color w:val="000000"/>
          <w:sz w:val="24"/>
          <w:szCs w:val="24"/>
        </w:rPr>
        <w:t xml:space="preserve">BRASIL. Instituto Nacional de Colonização e Reforma Agrária (INCRA). </w:t>
      </w:r>
      <w:r>
        <w:rPr>
          <w:rFonts w:eastAsia="Arial" w:cs="Arial" w:ascii="Avenir Book" w:hAnsi="Avenir Book"/>
          <w:b/>
          <w:bCs/>
          <w:color w:val="000000"/>
          <w:sz w:val="24"/>
          <w:szCs w:val="24"/>
        </w:rPr>
        <w:t>Instrução Especial nº 05-A</w:t>
      </w:r>
      <w:r>
        <w:rPr>
          <w:rFonts w:eastAsia="Arial" w:cs="Arial" w:ascii="Avenir Book" w:hAnsi="Avenir Book"/>
          <w:color w:val="000000"/>
          <w:sz w:val="24"/>
          <w:szCs w:val="24"/>
        </w:rPr>
        <w:t>, de 6 de junho de 1973 (b) Dispõe sobre Normas, Classificações, Questionários e Tabelas Relativas à Implantação do Sistema Nacional de Cadastro Rural e a Tributação previstas no Decreto nº 72.106, de 18 de abril de 1973 e no Decreto nº 55.891, de 31 de março de 1965. DOU de 7 jun 1973 [documento digitalizado]</w:t>
      </w:r>
    </w:p>
    <w:p>
      <w:pPr>
        <w:pStyle w:val="Normal"/>
        <w:spacing w:before="170" w:after="0"/>
        <w:ind w:hanging="2"/>
        <w:jc w:val="both"/>
        <w:rPr/>
      </w:pPr>
      <w:r>
        <w:rPr>
          <w:rFonts w:eastAsia="Arial" w:cs="Arial" w:ascii="Avenir Book" w:hAnsi="Avenir Book"/>
          <w:color w:val="000000"/>
          <w:sz w:val="24"/>
          <w:szCs w:val="24"/>
        </w:rPr>
        <w:t xml:space="preserve">BRASIL. </w:t>
      </w:r>
      <w:r>
        <w:rPr>
          <w:rFonts w:eastAsia="Arial" w:cs="Arial" w:ascii="Avenir Book" w:hAnsi="Avenir Book"/>
          <w:b/>
          <w:bCs/>
          <w:color w:val="000000"/>
          <w:sz w:val="24"/>
          <w:szCs w:val="24"/>
        </w:rPr>
        <w:t>Decreto nº 84.685</w:t>
      </w:r>
      <w:r>
        <w:rPr>
          <w:rFonts w:eastAsia="Arial" w:cs="Arial" w:ascii="Avenir Book" w:hAnsi="Avenir Book"/>
          <w:color w:val="000000"/>
          <w:sz w:val="24"/>
          <w:szCs w:val="24"/>
        </w:rPr>
        <w:t>, de 6 de maio de 1980 (a). Regulamento a Lei nº 6.746, de 10 de dezembro de 1979, que trata do Imposto sobre a Propriedade Territorial Rural - ITR e dá outras providências. DOU de 7 mai 1980. Disponível em: http://www.planalto.gov.br/ccivil_03/decreto/1980-1989/d84685.htm</w:t>
      </w:r>
    </w:p>
    <w:p>
      <w:pPr>
        <w:pStyle w:val="Normal"/>
        <w:spacing w:before="170" w:after="0"/>
        <w:ind w:hanging="2"/>
        <w:jc w:val="both"/>
        <w:rPr/>
      </w:pPr>
      <w:r>
        <w:rPr>
          <w:rFonts w:eastAsia="Arial" w:cs="Arial" w:ascii="Avenir Book" w:hAnsi="Avenir Book"/>
          <w:color w:val="000000"/>
          <w:sz w:val="24"/>
          <w:szCs w:val="24"/>
        </w:rPr>
        <w:t xml:space="preserve">BRASIL. Instituto Nacional de Colonização e Reforma Agrária (INCRA). </w:t>
      </w:r>
      <w:r>
        <w:rPr>
          <w:rFonts w:eastAsia="Arial" w:cs="Arial" w:ascii="Avenir Book" w:hAnsi="Avenir Book"/>
          <w:b/>
          <w:bCs/>
          <w:color w:val="000000"/>
          <w:sz w:val="24"/>
          <w:szCs w:val="24"/>
        </w:rPr>
        <w:t>Instrução Especial nº 20</w:t>
      </w:r>
      <w:r>
        <w:rPr>
          <w:rFonts w:eastAsia="Arial" w:cs="Arial" w:ascii="Avenir Book" w:hAnsi="Avenir Book"/>
          <w:color w:val="000000"/>
          <w:sz w:val="24"/>
          <w:szCs w:val="24"/>
        </w:rPr>
        <w:t>, de 28 de maio de 1980 (b). Estabelece o Módulo Fiscal de cada Município, previsto no Decreto nº 84.685, de 06 de maio de 1980. DOU de 12 jun 1980. Disponível em: https://www.gov.br/incra/pt-br/centrais-de-conteudos/legislacao/ie20_1980.pdf</w:t>
      </w:r>
    </w:p>
    <w:p>
      <w:pPr>
        <w:pStyle w:val="Normal"/>
        <w:spacing w:before="170" w:after="0"/>
        <w:ind w:hanging="2"/>
        <w:jc w:val="both"/>
        <w:rPr/>
      </w:pPr>
      <w:r>
        <w:rPr>
          <w:rFonts w:eastAsia="Arial" w:cs="Arial" w:ascii="Avenir Book" w:hAnsi="Avenir Book"/>
          <w:color w:val="000000"/>
          <w:sz w:val="24"/>
          <w:szCs w:val="24"/>
        </w:rPr>
        <w:t xml:space="preserve">BRASIL. </w:t>
      </w:r>
      <w:r>
        <w:rPr>
          <w:rFonts w:eastAsia="Arial" w:cs="Arial" w:ascii="Avenir Book" w:hAnsi="Avenir Book"/>
          <w:b/>
          <w:bCs/>
          <w:color w:val="000000"/>
          <w:sz w:val="24"/>
          <w:szCs w:val="24"/>
        </w:rPr>
        <w:t>Lei nº 8.629</w:t>
      </w:r>
      <w:r>
        <w:rPr>
          <w:rFonts w:eastAsia="Arial" w:cs="Arial" w:ascii="Avenir Book" w:hAnsi="Avenir Book"/>
          <w:color w:val="000000"/>
          <w:sz w:val="24"/>
          <w:szCs w:val="24"/>
        </w:rPr>
        <w:t>, de 25 de fevereiro de 1993. Dispõe sobre a regulamentação dos dispositivos constitucionais relativos à reforma agrária, previstos no Capítulo III, Título VII, da Constituição Federal. DOU de 26 fev 1993. Disponível em: https://www.planalto.gov.br/ccivil_03/leis/l8629.htm</w:t>
      </w:r>
    </w:p>
    <w:p>
      <w:pPr>
        <w:pStyle w:val="Normal"/>
        <w:spacing w:before="170" w:after="0"/>
        <w:ind w:hanging="2"/>
        <w:jc w:val="both"/>
        <w:rPr/>
      </w:pPr>
      <w:r>
        <w:rPr>
          <w:rFonts w:eastAsia="Arial" w:cs="Arial" w:ascii="Avenir Book" w:hAnsi="Avenir Book"/>
          <w:color w:val="000000"/>
          <w:sz w:val="24"/>
          <w:szCs w:val="24"/>
        </w:rPr>
        <w:t xml:space="preserve">BRASIL. Instituto Brasileiro de Geografia e Estatística (IBGE). </w:t>
      </w:r>
      <w:r>
        <w:rPr>
          <w:rFonts w:eastAsia="Arial" w:cs="Arial" w:ascii="Avenir Book" w:hAnsi="Avenir Book"/>
          <w:b/>
          <w:bCs/>
          <w:color w:val="000000"/>
          <w:sz w:val="24"/>
          <w:szCs w:val="24"/>
        </w:rPr>
        <w:t>Divisão regional do Brasil em regiões geográficas imediatas e regiões geográficas intermediárias</w:t>
      </w:r>
      <w:r>
        <w:rPr>
          <w:rFonts w:eastAsia="Arial" w:cs="Arial" w:ascii="Avenir Book" w:hAnsi="Avenir Book"/>
          <w:color w:val="000000"/>
          <w:sz w:val="24"/>
          <w:szCs w:val="24"/>
        </w:rPr>
        <w:t>: 2017. Rio de Janeiro : IBGE, 2017. 82 p. Disponível em: https://biblioteca.ibge.gov.br/visualizacao/livros/liv100600.pdf</w:t>
      </w:r>
    </w:p>
    <w:p>
      <w:pPr>
        <w:pStyle w:val="Normal"/>
        <w:spacing w:before="170" w:after="0"/>
        <w:ind w:hanging="2"/>
        <w:jc w:val="both"/>
        <w:rPr/>
      </w:pPr>
      <w:r>
        <w:rPr>
          <w:rFonts w:eastAsia="Arial" w:cs="Arial" w:ascii="Avenir Book" w:hAnsi="Avenir Book"/>
          <w:color w:val="000000"/>
          <w:sz w:val="24"/>
          <w:szCs w:val="24"/>
        </w:rPr>
        <w:t xml:space="preserve">BRASIL. Instituto Brasileiro de Geografia e Estatística (IBGE). </w:t>
      </w:r>
      <w:r>
        <w:rPr>
          <w:rFonts w:eastAsia="Arial" w:cs="Arial" w:ascii="Avenir Book" w:hAnsi="Avenir Book"/>
          <w:b/>
          <w:bCs/>
          <w:color w:val="000000"/>
          <w:sz w:val="24"/>
          <w:szCs w:val="24"/>
        </w:rPr>
        <w:t>Censo agropecuário 2017</w:t>
      </w:r>
      <w:r>
        <w:rPr>
          <w:rFonts w:eastAsia="Arial" w:cs="Arial" w:ascii="Avenir Book" w:hAnsi="Avenir Book"/>
          <w:color w:val="000000"/>
          <w:sz w:val="24"/>
          <w:szCs w:val="24"/>
        </w:rPr>
        <w:t>. Resultados definitivos. Rio de Janeiro, v. 8, p. 1-105, 2019. Disponível em: https://biblioteca.ibge.gov.br/visualizacao/periodicos/3096/agro_2017_resultados_definitivos.pdf</w:t>
      </w:r>
    </w:p>
    <w:p>
      <w:pPr>
        <w:pStyle w:val="Normal"/>
        <w:spacing w:before="170" w:after="0"/>
        <w:ind w:hanging="2"/>
        <w:jc w:val="both"/>
        <w:rPr/>
      </w:pPr>
      <w:r>
        <w:rPr>
          <w:rFonts w:eastAsia="Arial" w:cs="Arial" w:ascii="Avenir Book" w:hAnsi="Avenir Book"/>
          <w:color w:val="000000"/>
          <w:sz w:val="24"/>
          <w:szCs w:val="24"/>
        </w:rPr>
        <w:t xml:space="preserve">BRASIL. Instituto Brasileiro de Geografia e Estatística (IBGE). </w:t>
      </w:r>
      <w:r>
        <w:rPr>
          <w:rFonts w:eastAsia="Arial" w:cs="Arial" w:ascii="Avenir Book" w:hAnsi="Avenir Book"/>
          <w:b/>
          <w:bCs/>
          <w:color w:val="000000"/>
          <w:sz w:val="24"/>
          <w:szCs w:val="24"/>
        </w:rPr>
        <w:t>Regiões de influência das cidades</w:t>
      </w:r>
      <w:r>
        <w:rPr>
          <w:rFonts w:eastAsia="Arial" w:cs="Arial" w:ascii="Avenir Book" w:hAnsi="Avenir Book"/>
          <w:color w:val="000000"/>
          <w:sz w:val="24"/>
          <w:szCs w:val="24"/>
        </w:rPr>
        <w:t>: 2018. Rio de Janeiro/RJ: IBGE, 2020. 192 p. Disponível em: https://biblioteca.ibge.gov.br/visualizacao/livros/liv101728.pdf</w:t>
      </w:r>
    </w:p>
    <w:p>
      <w:pPr>
        <w:pStyle w:val="Normal"/>
        <w:spacing w:before="170" w:after="0"/>
        <w:ind w:hanging="2"/>
        <w:jc w:val="both"/>
        <w:rPr/>
      </w:pPr>
      <w:r>
        <w:rPr>
          <w:rFonts w:eastAsia="Arial" w:cs="Arial" w:ascii="Avenir Book" w:hAnsi="Avenir Book"/>
          <w:color w:val="000000"/>
          <w:sz w:val="24"/>
          <w:szCs w:val="24"/>
        </w:rPr>
        <w:t xml:space="preserve">BRASIL. Instituto Nacional de Colonização e Reforma Agrária (INCRA). </w:t>
      </w:r>
      <w:r>
        <w:rPr>
          <w:rFonts w:eastAsia="Arial" w:cs="Arial" w:ascii="Avenir Book" w:hAnsi="Avenir Book"/>
          <w:b/>
          <w:bCs/>
          <w:color w:val="000000"/>
          <w:sz w:val="24"/>
          <w:szCs w:val="24"/>
        </w:rPr>
        <w:t>Instrução Especial nº 5</w:t>
      </w:r>
      <w:r>
        <w:rPr>
          <w:rFonts w:eastAsia="Arial" w:cs="Arial" w:ascii="Avenir Book" w:hAnsi="Avenir Book"/>
          <w:color w:val="000000"/>
          <w:sz w:val="24"/>
          <w:szCs w:val="24"/>
        </w:rPr>
        <w:t>, de 29 de julho de 2022. Dispõe sobre os índices básicos cadastrais e os parâmetros para o cálculo do módulo rural. DOU de 01 ago 2022, republicada em 02 ago 2022. Disponível em: https://www.in.gov.br/web/dou/-/instrucao-especial-n-5-de-29-de-julho-de-2022-*-419636741</w:t>
      </w:r>
    </w:p>
    <w:p>
      <w:pPr>
        <w:pStyle w:val="Normal"/>
        <w:spacing w:lineRule="auto" w:line="240" w:before="227" w:after="0"/>
        <w:ind w:left="0" w:right="0" w:hanging="0"/>
        <w:jc w:val="both"/>
        <w:rPr>
          <w:rFonts w:ascii="Liberation Serif" w:hAnsi="Liberation Serif"/>
          <w:b w:val="false"/>
          <w:bCs w:val="false"/>
          <w:shd w:fill="auto" w:val="clear"/>
        </w:rPr>
      </w:pPr>
      <w:r>
        <w:rPr>
          <w:rFonts w:eastAsia="Arial" w:cs="Arial" w:ascii="Avenir Book" w:hAnsi="Avenir Book"/>
          <w:b w:val="false"/>
          <w:bCs w:val="false"/>
          <w:color w:val="000000"/>
          <w:sz w:val="24"/>
          <w:szCs w:val="24"/>
          <w:shd w:fill="auto" w:val="clear"/>
        </w:rPr>
        <w:t xml:space="preserve">BRASIL. Instituto Brasileiro de Geografia e Estatística (IBGE). Sistema Agregador de Informações </w:t>
      </w:r>
      <w:r>
        <w:rPr>
          <w:rFonts w:eastAsia="Arial" w:cs="Arial" w:ascii="Avenir Book" w:hAnsi="Avenir Book"/>
          <w:b/>
          <w:bCs/>
          <w:color w:val="000000"/>
          <w:sz w:val="24"/>
          <w:szCs w:val="24"/>
          <w:shd w:fill="auto" w:val="clear"/>
        </w:rPr>
        <w:t>Cidades@</w:t>
      </w:r>
      <w:r>
        <w:rPr>
          <w:rFonts w:eastAsia="Arial" w:cs="Arial" w:ascii="Avenir Book" w:hAnsi="Avenir Book"/>
          <w:b w:val="false"/>
          <w:bCs w:val="false"/>
          <w:color w:val="000000"/>
          <w:sz w:val="24"/>
          <w:szCs w:val="24"/>
          <w:shd w:fill="auto" w:val="clear"/>
        </w:rPr>
        <w:t>. Acessado em: 22 jun 2023. Disponível em: https://cidades.ibge.gov.br/</w:t>
      </w:r>
    </w:p>
    <w:p>
      <w:pPr>
        <w:pStyle w:val="Normal"/>
        <w:spacing w:before="170" w:after="0"/>
        <w:ind w:hanging="2"/>
        <w:jc w:val="both"/>
        <w:rPr/>
      </w:pPr>
      <w:r>
        <w:rPr>
          <w:rFonts w:eastAsia="Arial" w:cs="Arial" w:ascii="Avenir Book" w:hAnsi="Avenir Book"/>
          <w:color w:val="000000"/>
          <w:sz w:val="24"/>
          <w:szCs w:val="24"/>
        </w:rPr>
        <w:t xml:space="preserve">BRUNO, Regina. O Estatuto da Terra: entre a conciliação e o confronto. </w:t>
      </w:r>
      <w:r>
        <w:rPr>
          <w:rFonts w:eastAsia="Arial" w:cs="Arial" w:ascii="Avenir Book" w:hAnsi="Avenir Book"/>
          <w:b/>
          <w:bCs/>
          <w:color w:val="000000"/>
          <w:sz w:val="24"/>
          <w:szCs w:val="24"/>
        </w:rPr>
        <w:t>Estudos Sociedade e Agricultura</w:t>
      </w:r>
      <w:r>
        <w:rPr>
          <w:rFonts w:eastAsia="Arial" w:cs="Arial" w:ascii="Avenir Book" w:hAnsi="Avenir Book"/>
          <w:color w:val="000000"/>
          <w:sz w:val="24"/>
          <w:szCs w:val="24"/>
        </w:rPr>
        <w:t>, Rio de Janeiro, nº 5, novembro, p. 5-31, 1995</w:t>
      </w:r>
    </w:p>
    <w:p>
      <w:pPr>
        <w:pStyle w:val="Normal"/>
        <w:spacing w:before="170" w:after="0"/>
        <w:ind w:hanging="2"/>
        <w:jc w:val="both"/>
        <w:rPr/>
      </w:pPr>
      <w:r>
        <w:rPr>
          <w:rFonts w:eastAsia="Arial" w:cs="Arial" w:ascii="Avenir Book" w:hAnsi="Avenir Book"/>
          <w:color w:val="000000"/>
          <w:sz w:val="24"/>
          <w:szCs w:val="24"/>
        </w:rPr>
        <w:t xml:space="preserve">DI SABBATO, Alberto. </w:t>
      </w:r>
      <w:r>
        <w:rPr>
          <w:rFonts w:eastAsia="Arial" w:cs="Arial" w:ascii="Avenir Book" w:hAnsi="Avenir Book"/>
          <w:b/>
          <w:bCs/>
          <w:color w:val="000000"/>
          <w:sz w:val="24"/>
          <w:szCs w:val="24"/>
        </w:rPr>
        <w:t>Módulo e Agricultura Familiar</w:t>
      </w:r>
      <w:r>
        <w:rPr>
          <w:rFonts w:eastAsia="Arial" w:cs="Arial" w:ascii="Avenir Book" w:hAnsi="Avenir Book"/>
          <w:color w:val="000000"/>
          <w:sz w:val="24"/>
          <w:szCs w:val="24"/>
        </w:rPr>
        <w:t>. Proposta de metodologia para cálculo do módulo fiscal municipal. S.l: s.e., dezembro de 1999, 57 p. (Projeto de Cooperação Técnica INCRA/FAO UTF/BRA/051/BRA) [documento digitalizado]</w:t>
      </w:r>
    </w:p>
    <w:p>
      <w:pPr>
        <w:pStyle w:val="Normal"/>
        <w:spacing w:before="170" w:after="0"/>
        <w:ind w:hanging="2"/>
        <w:jc w:val="both"/>
        <w:rPr/>
      </w:pPr>
      <w:r>
        <w:rPr>
          <w:rFonts w:eastAsia="Arial" w:cs="Arial" w:ascii="Avenir Book" w:hAnsi="Avenir Book"/>
          <w:color w:val="000000"/>
          <w:sz w:val="24"/>
          <w:szCs w:val="24"/>
        </w:rPr>
        <w:t xml:space="preserve">LASCOUMES, Pierre; LES GALÈS, Patrick. </w:t>
      </w:r>
      <w:r>
        <w:rPr>
          <w:rFonts w:eastAsia="Arial" w:cs="Arial" w:ascii="Avenir Book" w:hAnsi="Avenir Book"/>
          <w:b/>
          <w:bCs/>
          <w:color w:val="000000"/>
          <w:sz w:val="24"/>
          <w:szCs w:val="24"/>
        </w:rPr>
        <w:t>A ação pública abordada pelos seus instrumentos</w:t>
      </w:r>
      <w:r>
        <w:rPr>
          <w:rFonts w:eastAsia="Arial" w:cs="Arial" w:ascii="Avenir Book" w:hAnsi="Avenir Book"/>
          <w:color w:val="000000"/>
          <w:sz w:val="24"/>
          <w:szCs w:val="24"/>
        </w:rPr>
        <w:t>. Trad. Maria José da Silva Aquino Teisserenc. Revista Pós Ciências Sociais, São Luís, v. 9, nº 18, p. 19-43, jul/dez. 2012. Disponível em: http://www.periodicoseletronicos.ufma.br/index.php/rpcsoc/article/view/1331</w:t>
      </w:r>
    </w:p>
    <w:p>
      <w:pPr>
        <w:pStyle w:val="Normal"/>
        <w:spacing w:before="170" w:after="0"/>
        <w:ind w:hanging="2"/>
        <w:jc w:val="both"/>
        <w:rPr/>
      </w:pPr>
      <w:r>
        <w:rPr>
          <w:rFonts w:eastAsia="Arial" w:cs="Arial" w:ascii="Avenir Book" w:hAnsi="Avenir Book"/>
          <w:color w:val="000000"/>
          <w:sz w:val="24"/>
          <w:szCs w:val="24"/>
        </w:rPr>
        <w:t xml:space="preserve">WANDERLEY, Maria Nazareth B. </w:t>
      </w:r>
      <w:r>
        <w:rPr>
          <w:rFonts w:eastAsia="Arial" w:cs="Arial" w:ascii="Avenir Book" w:hAnsi="Avenir Book"/>
          <w:b/>
          <w:bCs/>
          <w:color w:val="000000"/>
          <w:sz w:val="24"/>
          <w:szCs w:val="24"/>
        </w:rPr>
        <w:t>O mundo rural como um espaço de vida</w:t>
      </w:r>
      <w:r>
        <w:rPr>
          <w:rFonts w:eastAsia="Arial" w:cs="Arial" w:ascii="Avenir Book" w:hAnsi="Avenir Book"/>
          <w:color w:val="000000"/>
          <w:sz w:val="24"/>
          <w:szCs w:val="24"/>
        </w:rPr>
        <w:t>: reflexões sobre a propriedade da terra, agricultura familiar e ruralidade. Porto Alegre: Ed. UFRGS, 2009. 330 p. (Série Estudos Rurais)</w:t>
      </w:r>
    </w:p>
    <w:p>
      <w:pPr>
        <w:pStyle w:val="Normal"/>
        <w:spacing w:before="170" w:after="0"/>
        <w:ind w:hanging="2"/>
        <w:jc w:val="both"/>
        <w:rPr/>
      </w:pPr>
      <w:r>
        <w:rPr>
          <w:rFonts w:eastAsia="Arial" w:cs="Arial" w:ascii="Avenir Book" w:hAnsi="Avenir Book"/>
          <w:color w:val="000000"/>
          <w:sz w:val="24"/>
          <w:szCs w:val="24"/>
        </w:rPr>
        <w:t xml:space="preserve">WOLLMANN, Francisco Amilton. </w:t>
      </w:r>
      <w:r>
        <w:rPr>
          <w:rFonts w:eastAsia="Arial" w:cs="Arial" w:ascii="Avenir Book" w:hAnsi="Avenir Book"/>
          <w:b/>
          <w:bCs/>
          <w:color w:val="000000"/>
          <w:sz w:val="24"/>
          <w:szCs w:val="24"/>
        </w:rPr>
        <w:t>Notas Técnicas DCA-1 nº 01/86</w:t>
      </w:r>
      <w:r>
        <w:rPr>
          <w:rFonts w:eastAsia="Arial" w:cs="Arial" w:ascii="Avenir Book" w:hAnsi="Avenir Book"/>
          <w:color w:val="000000"/>
          <w:sz w:val="24"/>
          <w:szCs w:val="24"/>
        </w:rPr>
        <w:t>. In: MIRAD. Estatísticas, estudos, contribuições e análises. Brasília: DCA/INCRA/MIRAD, 1986, p. 105-115 (Módulo, volume II) [documento digitalizado]</w:t>
      </w:r>
    </w:p>
    <w:sectPr>
      <w:footnotePr>
        <w:numFmt w:val="decimal"/>
      </w:footnotePr>
      <w:type w:val="nextPage"/>
      <w:pgSz w:w="11906" w:h="16838"/>
      <w:pgMar w:left="1418" w:right="1418" w:gutter="0" w:header="0" w:top="1418" w:footer="0" w:bottom="141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Avenir Book">
    <w:charset w:val="01"/>
    <w:family w:val="roman"/>
    <w:pitch w:val="variable"/>
  </w:font>
  <w:font w:name="Avenir">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jc w:val="both"/>
        <w:rPr>
          <w:rFonts w:ascii="Avenir Book" w:hAnsi="Avenir Book"/>
          <w:lang w:val="pt-BR"/>
        </w:rPr>
      </w:pPr>
      <w:r>
        <w:rPr>
          <w:rStyle w:val="Caracteresdenotaderodap"/>
        </w:rPr>
        <w:footnoteRef/>
      </w:r>
      <w:r>
        <w:rPr>
          <w:rFonts w:ascii="Avenir Book" w:hAnsi="Avenir Book"/>
        </w:rPr>
        <w:t xml:space="preserve"> </w:t>
      </w:r>
      <w:r>
        <w:rPr>
          <w:rFonts w:ascii="Avenir Book" w:hAnsi="Avenir Book"/>
        </w:rPr>
        <w:t>Doutorando PPG Desenvolvimento Rural, UFRGS, e-mail vicenteamarques@gmail.com</w:t>
      </w:r>
    </w:p>
  </w:footnote>
</w:footnotes>
</file>

<file path=word/settings.xml><?xml version="1.0" encoding="utf-8"?>
<w:settings xmlns:w="http://schemas.openxmlformats.org/wordprocessingml/2006/main">
  <w:zoom w:val="bestFit" w:percent="155"/>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pt-BR" w:bidi="ar-SA"/>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6c5da7"/>
    <w:rPr>
      <w:rFonts w:ascii="Times New Roman" w:hAnsi="Times New Roman" w:eastAsia="Times New Roman" w:cs="Times New Roman"/>
      <w:b/>
      <w:lang w:val="pt-BR"/>
    </w:rPr>
  </w:style>
  <w:style w:type="character" w:styleId="TextodenotaderodapChar" w:customStyle="1">
    <w:name w:val="Texto de nota de rodapé Char"/>
    <w:basedOn w:val="DefaultParagraphFont"/>
    <w:uiPriority w:val="99"/>
    <w:semiHidden/>
    <w:qFormat/>
    <w:rsid w:val="003435df"/>
    <w:rPr>
      <w:sz w:val="20"/>
      <w:szCs w:val="20"/>
      <w:lang w:val="pt-PT"/>
    </w:rPr>
  </w:style>
  <w:style w:type="character" w:styleId="Caracteresdenotaderodap">
    <w:name w:val="Caracteres de nota de rodapé"/>
    <w:uiPriority w:val="99"/>
    <w:semiHidden/>
    <w:unhideWhenUsed/>
    <w:qFormat/>
    <w:rsid w:val="003435df"/>
    <w:rPr>
      <w:vertAlign w:val="superscript"/>
    </w:rPr>
  </w:style>
  <w:style w:type="character" w:styleId="Ncoradanotaderodap">
    <w:name w:val="Footnote Reference"/>
    <w:rPr>
      <w:vertAlign w:val="superscript"/>
    </w:rPr>
  </w:style>
  <w:style w:type="character" w:styleId="LinkdaInternet">
    <w:name w:val="Hyperlink"/>
    <w:rPr>
      <w:color w:val="000080"/>
      <w:u w:val="single"/>
    </w:rPr>
  </w:style>
  <w:style w:type="character" w:styleId="Caracteresdenotadefim">
    <w:name w:val="Caracteres de nota de fim"/>
    <w:qFormat/>
    <w:rPr>
      <w:vertAlign w:val="superscrip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Noto Sans CJK SC" w:cs="Free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tulododocumento">
    <w:name w:val="Title"/>
    <w:basedOn w:val="Normal"/>
    <w:uiPriority w:val="10"/>
    <w:qFormat/>
    <w:pPr/>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ABNT-Corpodetextoartigo" w:customStyle="1">
    <w:name w:val="ABNT - Corpo de texto artigo"/>
    <w:basedOn w:val="Normal"/>
    <w:qFormat/>
    <w:rsid w:val="006c5da7"/>
    <w:pPr>
      <w:widowControl/>
      <w:ind w:firstLine="709"/>
      <w:jc w:val="both"/>
    </w:pPr>
    <w:rPr>
      <w:rFonts w:eastAsia="Calibri"/>
      <w:sz w:val="24"/>
      <w:lang w:val="pt-BR"/>
    </w:rPr>
  </w:style>
  <w:style w:type="paragraph" w:styleId="ABNT-Ttulodoartigo" w:customStyle="1">
    <w:name w:val="ABNT - Título do artigo"/>
    <w:basedOn w:val="Normal"/>
    <w:qFormat/>
    <w:rsid w:val="006c5da7"/>
    <w:pPr>
      <w:widowControl/>
      <w:jc w:val="center"/>
    </w:pPr>
    <w:rPr>
      <w:rFonts w:eastAsia="Calibri"/>
      <w:b/>
      <w:caps/>
      <w:sz w:val="24"/>
      <w:lang w:val="pt-BR"/>
    </w:rPr>
  </w:style>
  <w:style w:type="paragraph" w:styleId="ABNT-Autores" w:customStyle="1">
    <w:name w:val="ABNT - Autores"/>
    <w:basedOn w:val="Normal"/>
    <w:qFormat/>
    <w:rsid w:val="006c5da7"/>
    <w:pPr>
      <w:widowControl/>
      <w:jc w:val="right"/>
    </w:pPr>
    <w:rPr>
      <w:rFonts w:eastAsia="Calibri"/>
      <w:sz w:val="24"/>
      <w:lang w:val="pt-BR"/>
    </w:rPr>
  </w:style>
  <w:style w:type="paragraph" w:styleId="ABNT-Citaodiretalonga" w:customStyle="1">
    <w:name w:val="ABNT - Citação direta longa"/>
    <w:basedOn w:val="Normal"/>
    <w:qFormat/>
    <w:rsid w:val="006c5da7"/>
    <w:pPr>
      <w:widowControl/>
      <w:spacing w:before="340" w:after="340"/>
      <w:ind w:left="2268" w:hanging="0"/>
      <w:jc w:val="both"/>
    </w:pPr>
    <w:rPr>
      <w:rFonts w:eastAsia="Calibri"/>
      <w:sz w:val="20"/>
      <w:lang w:val="pt-BR"/>
    </w:rPr>
  </w:style>
  <w:style w:type="paragraph" w:styleId="ABNT-Resumoartigo" w:customStyle="1">
    <w:name w:val="ABNT - Resumo artigo"/>
    <w:basedOn w:val="ABNT-Corpodetextoartigo"/>
    <w:qFormat/>
    <w:rsid w:val="006c5da7"/>
    <w:pPr>
      <w:ind w:hanging="0"/>
    </w:pPr>
    <w:rPr/>
  </w:style>
  <w:style w:type="paragraph" w:styleId="ABNT-Ttulononumerado" w:customStyle="1">
    <w:name w:val="ABNT - Título não numerado"/>
    <w:basedOn w:val="ABNT-Ttulodoartigo"/>
    <w:qFormat/>
    <w:rsid w:val="006c5da7"/>
    <w:pPr>
      <w:spacing w:before="397" w:after="397"/>
      <w:jc w:val="left"/>
    </w:pPr>
    <w:rPr>
      <w:caps w:val="false"/>
      <w:smallCaps w:val="false"/>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taderodap">
    <w:name w:val="Footnote Text"/>
    <w:basedOn w:val="Normal"/>
    <w:link w:val="TextodenotaderodapChar"/>
    <w:uiPriority w:val="99"/>
    <w:semiHidden/>
    <w:unhideWhenUsed/>
    <w:rsid w:val="003435df"/>
    <w:pPr/>
    <w:rPr>
      <w:sz w:val="20"/>
      <w:szCs w:val="20"/>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Application>LibreOffice/7.5.4.2$Linux_X86_64 LibreOffice_project/36ccfdc35048b057fd9854c757a8b67ec53977b6</Application>
  <AppVersion>15.0000</AppVersion>
  <Pages>13</Pages>
  <Words>3803</Words>
  <Characters>21370</Characters>
  <CharactersWithSpaces>25028</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2023-03-13T18:07:00Z</dcterms:created>
  <dc:creator>Camila</dc:creator>
  <dc:description/>
  <dc:language>pt-BR</dc:language>
  <cp:lastModifiedBy/>
  <cp:lastPrinted>2023-03-13T16:47:00Z</cp:lastPrinted>
  <dcterms:modified xsi:type="dcterms:W3CDTF">2023-06-23T09:55:49Z</dcterms:modified>
  <cp:revision>216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