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AB31" w14:textId="77777777" w:rsidR="00991FE3" w:rsidRDefault="00991FE3" w:rsidP="00991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E1EBD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C2854" w14:textId="5783D041" w:rsidR="00BD73CC" w:rsidRPr="007E3C60" w:rsidRDefault="006B20EC" w:rsidP="00BD73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C60">
        <w:rPr>
          <w:rFonts w:ascii="Times New Roman" w:hAnsi="Times New Roman" w:cs="Times New Roman"/>
          <w:b/>
          <w:bCs/>
          <w:sz w:val="24"/>
          <w:szCs w:val="24"/>
        </w:rPr>
        <w:t xml:space="preserve">ATUAÇÃO DA ENFERMAGEM NO ATENDIMENTO </w:t>
      </w:r>
      <w:r>
        <w:rPr>
          <w:rFonts w:ascii="Times New Roman" w:hAnsi="Times New Roman" w:cs="Times New Roman"/>
          <w:b/>
          <w:bCs/>
          <w:sz w:val="24"/>
          <w:szCs w:val="24"/>
        </w:rPr>
        <w:t>ÀS</w:t>
      </w:r>
      <w:r w:rsidRPr="007E3C60">
        <w:rPr>
          <w:rFonts w:ascii="Times New Roman" w:hAnsi="Times New Roman" w:cs="Times New Roman"/>
          <w:b/>
          <w:bCs/>
          <w:sz w:val="24"/>
          <w:szCs w:val="24"/>
        </w:rPr>
        <w:t xml:space="preserve"> MULHERES VÍTIMAS</w:t>
      </w:r>
      <w:r w:rsidR="00BD73CC" w:rsidRPr="007E3C60">
        <w:rPr>
          <w:rFonts w:ascii="Times New Roman" w:hAnsi="Times New Roman" w:cs="Times New Roman"/>
          <w:b/>
          <w:bCs/>
          <w:sz w:val="24"/>
          <w:szCs w:val="24"/>
        </w:rPr>
        <w:t xml:space="preserve"> DE VIOLÊNCIA SEXUAL: UMA REVISÃO </w:t>
      </w:r>
      <w:r w:rsidR="00BD73CC">
        <w:rPr>
          <w:rFonts w:ascii="Times New Roman" w:hAnsi="Times New Roman" w:cs="Times New Roman"/>
          <w:b/>
          <w:bCs/>
          <w:sz w:val="24"/>
          <w:szCs w:val="24"/>
        </w:rPr>
        <w:t>INTEGRATIVA</w:t>
      </w:r>
    </w:p>
    <w:p w14:paraId="6525C57E" w14:textId="77777777" w:rsidR="006B20EC" w:rsidRPr="004227B4" w:rsidRDefault="006B20EC" w:rsidP="00BD73CC">
      <w:pPr>
        <w:rPr>
          <w:rFonts w:ascii="Times New Roman" w:hAnsi="Times New Roman" w:cs="Times New Roman"/>
        </w:rPr>
      </w:pPr>
    </w:p>
    <w:p w14:paraId="75166C87" w14:textId="77777777" w:rsidR="006B20EC" w:rsidRDefault="006B20EC" w:rsidP="001342B1">
      <w:pPr>
        <w:shd w:val="clear" w:color="auto" w:fill="FFFFFF"/>
        <w:spacing w:after="75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Eixo: </w:t>
      </w:r>
      <w:r w:rsidRPr="007E3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t>Desafios de atendimentos humanizados e revitimização das mulheres agredidas</w:t>
      </w:r>
    </w:p>
    <w:p w14:paraId="50AA33AB" w14:textId="77777777" w:rsidR="001342B1" w:rsidRPr="007E3C60" w:rsidRDefault="001342B1" w:rsidP="006B20EC">
      <w:pPr>
        <w:shd w:val="clear" w:color="auto" w:fill="FFFFFF"/>
        <w:spacing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84E7D9C" w14:textId="77777777" w:rsidR="006B20EC" w:rsidRPr="007E3C60" w:rsidRDefault="006B20EC" w:rsidP="006B20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5D290" w14:textId="77777777" w:rsidR="006B20EC" w:rsidRDefault="006B20EC" w:rsidP="006B2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4C7900">
        <w:rPr>
          <w:rFonts w:ascii="Times New Roman" w:hAnsi="Times New Roman" w:cs="Times New Roman"/>
          <w:sz w:val="24"/>
          <w:szCs w:val="24"/>
        </w:rPr>
        <w:t>A v</w:t>
      </w:r>
      <w:r w:rsidRPr="007E3C60">
        <w:rPr>
          <w:rFonts w:ascii="Times New Roman" w:hAnsi="Times New Roman" w:cs="Times New Roman"/>
          <w:sz w:val="24"/>
          <w:szCs w:val="24"/>
        </w:rPr>
        <w:t xml:space="preserve">iolência sexual </w:t>
      </w:r>
      <w:r>
        <w:rPr>
          <w:rFonts w:ascii="Times New Roman" w:hAnsi="Times New Roman" w:cs="Times New Roman"/>
          <w:sz w:val="24"/>
          <w:szCs w:val="24"/>
        </w:rPr>
        <w:t xml:space="preserve">provoca impactos na vida das mulheres através de danos físicos e psicológicos. É também considerada um problema de Saúde Pública e se </w:t>
      </w:r>
      <w:r w:rsidRPr="007E3C60">
        <w:rPr>
          <w:rFonts w:ascii="Times New Roman" w:hAnsi="Times New Roman" w:cs="Times New Roman"/>
          <w:sz w:val="24"/>
          <w:szCs w:val="24"/>
        </w:rPr>
        <w:t>relaciona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7E3C60">
        <w:rPr>
          <w:rFonts w:ascii="Times New Roman" w:hAnsi="Times New Roman" w:cs="Times New Roman"/>
          <w:sz w:val="24"/>
          <w:szCs w:val="24"/>
        </w:rPr>
        <w:t>termos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t>constranger, ameaçar, praticar ou permitir o ato libidinoso</w:t>
      </w:r>
      <w:r>
        <w:rPr>
          <w:rFonts w:ascii="Times New Roman" w:hAnsi="Times New Roman" w:cs="Times New Roman"/>
          <w:sz w:val="24"/>
          <w:szCs w:val="24"/>
        </w:rPr>
        <w:t xml:space="preserve">. Ademais, as </w:t>
      </w:r>
      <w:r w:rsidRPr="007E3C60">
        <w:rPr>
          <w:rFonts w:ascii="Times New Roman" w:hAnsi="Times New Roman" w:cs="Times New Roman"/>
          <w:sz w:val="24"/>
          <w:szCs w:val="24"/>
        </w:rPr>
        <w:t xml:space="preserve"> mulheres são as principais vítimas de violência, abuso e importunação sexual.</w:t>
      </w:r>
      <w:r>
        <w:rPr>
          <w:rFonts w:ascii="Times New Roman" w:hAnsi="Times New Roman" w:cs="Times New Roman"/>
          <w:sz w:val="24"/>
          <w:szCs w:val="24"/>
        </w:rPr>
        <w:t xml:space="preserve"> E q</w:t>
      </w:r>
      <w:r w:rsidRPr="007E3C60">
        <w:rPr>
          <w:rFonts w:ascii="Times New Roman" w:hAnsi="Times New Roman" w:cs="Times New Roman"/>
          <w:sz w:val="24"/>
          <w:szCs w:val="24"/>
        </w:rPr>
        <w:t>uando uma vítima procura auxílio e cuidados após sofrer uma agressão sexual, na maioria das vezes, o primeiro profissional de saúde que</w:t>
      </w:r>
      <w:r>
        <w:rPr>
          <w:rFonts w:ascii="Times New Roman" w:hAnsi="Times New Roman" w:cs="Times New Roman"/>
          <w:sz w:val="24"/>
          <w:szCs w:val="24"/>
        </w:rPr>
        <w:t xml:space="preserve"> a atende </w:t>
      </w:r>
      <w:r w:rsidRPr="007E3C60">
        <w:rPr>
          <w:rFonts w:ascii="Times New Roman" w:hAnsi="Times New Roman" w:cs="Times New Roman"/>
          <w:sz w:val="24"/>
          <w:szCs w:val="24"/>
        </w:rPr>
        <w:t>é um enfermeiro</w:t>
      </w:r>
      <w:r>
        <w:rPr>
          <w:rFonts w:ascii="Times New Roman" w:hAnsi="Times New Roman" w:cs="Times New Roman"/>
          <w:sz w:val="24"/>
          <w:szCs w:val="24"/>
        </w:rPr>
        <w:t>. Assim,</w:t>
      </w:r>
      <w:r w:rsidRPr="007E3C60">
        <w:rPr>
          <w:rFonts w:ascii="Times New Roman" w:hAnsi="Times New Roman" w:cs="Times New Roman"/>
          <w:sz w:val="24"/>
          <w:szCs w:val="24"/>
        </w:rPr>
        <w:t xml:space="preserve"> é de extrema importância a capacitação de enfermeiros para prestar o cuidado adequado às mulheres vítimas de abuso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E227BE">
        <w:rPr>
          <w:rFonts w:ascii="Times New Roman" w:hAnsi="Times New Roman" w:cs="Times New Roman"/>
          <w:sz w:val="24"/>
          <w:szCs w:val="24"/>
        </w:rPr>
        <w:t>Verificar na literatura</w:t>
      </w:r>
      <w:r>
        <w:rPr>
          <w:rFonts w:ascii="Times New Roman" w:hAnsi="Times New Roman" w:cs="Times New Roman"/>
          <w:sz w:val="24"/>
          <w:szCs w:val="24"/>
        </w:rPr>
        <w:t xml:space="preserve"> científica a </w:t>
      </w:r>
      <w:r w:rsidRPr="007E3C60">
        <w:rPr>
          <w:rFonts w:ascii="Times New Roman" w:hAnsi="Times New Roman" w:cs="Times New Roman"/>
          <w:sz w:val="24"/>
          <w:szCs w:val="24"/>
        </w:rPr>
        <w:t>atuação dos profissionais de enfermagem no atendimento às mulheres vítimas de violência sexual.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7E3C60">
        <w:rPr>
          <w:rFonts w:ascii="Times New Roman" w:hAnsi="Times New Roman" w:cs="Times New Roman"/>
          <w:sz w:val="24"/>
          <w:szCs w:val="24"/>
        </w:rPr>
        <w:t>Trata-se de um</w:t>
      </w:r>
      <w:r>
        <w:rPr>
          <w:rFonts w:ascii="Times New Roman" w:hAnsi="Times New Roman" w:cs="Times New Roman"/>
          <w:sz w:val="24"/>
          <w:szCs w:val="24"/>
        </w:rPr>
        <w:t xml:space="preserve">a revisão integrativa utilizando as bases </w:t>
      </w:r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Medical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Retrieval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Online (MEDLINE) e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Eletronic Library Online ( </w:t>
      </w:r>
      <w:proofErr w:type="spellStart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Scielo</w:t>
      </w:r>
      <w:proofErr w:type="spellEnd"/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), via Biblioteca Virtual em Saúde (BVS)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com estudos publicados entre 2020 e 2023, com vistas a responder à questão norteadora: “ Como é a atuação dos profissionais da enfermagem frente às mulheres vítimas de violência sexual?”, utilizando-se as palavras-chave:</w:t>
      </w:r>
      <w:r w:rsidRPr="00E22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“Cuidados de enfermagem”, “Violência sexual”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>“Mulher”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E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r w:rsidRPr="007E3C60">
        <w:rPr>
          <w:rFonts w:ascii="Times New Roman" w:hAnsi="Times New Roman" w:cs="Times New Roman"/>
          <w:sz w:val="24"/>
          <w:szCs w:val="24"/>
        </w:rPr>
        <w:t>Violência sexual e danos causados na vítima” e “Ações na assistência à mulher vítima de abuso sexual atribuída ao enfermeiro”</w:t>
      </w:r>
      <w:r>
        <w:rPr>
          <w:rFonts w:ascii="Times New Roman" w:hAnsi="Times New Roman" w:cs="Times New Roman"/>
          <w:sz w:val="24"/>
          <w:szCs w:val="24"/>
        </w:rPr>
        <w:t xml:space="preserve">. Do total de 177 referências, foram selecionadas 5 que abordaram a atuação da enfermagem no atendimento às mulheres vítimas de violência sexual.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 xml:space="preserve">Evidenciou-se </w:t>
      </w:r>
      <w:r w:rsidRPr="007E3C60">
        <w:rPr>
          <w:rFonts w:ascii="Times New Roman" w:hAnsi="Times New Roman" w:cs="Times New Roman"/>
          <w:sz w:val="24"/>
          <w:szCs w:val="24"/>
        </w:rPr>
        <w:t>o medo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E3C60">
        <w:rPr>
          <w:rFonts w:ascii="Times New Roman" w:hAnsi="Times New Roman" w:cs="Times New Roman"/>
          <w:sz w:val="24"/>
          <w:szCs w:val="24"/>
        </w:rPr>
        <w:t xml:space="preserve"> pacientes em relatar o ocorrido </w:t>
      </w:r>
      <w:r>
        <w:rPr>
          <w:rFonts w:ascii="Times New Roman" w:hAnsi="Times New Roman" w:cs="Times New Roman"/>
          <w:sz w:val="24"/>
          <w:szCs w:val="24"/>
        </w:rPr>
        <w:t xml:space="preserve">durante o </w:t>
      </w:r>
      <w:r w:rsidRPr="007E3C60">
        <w:rPr>
          <w:rFonts w:ascii="Times New Roman" w:hAnsi="Times New Roman" w:cs="Times New Roman"/>
          <w:sz w:val="24"/>
          <w:szCs w:val="24"/>
        </w:rPr>
        <w:t>atendimento. Com isso, o enfermeiro deve estar preparado e demonstrar apoio a vítima, seguir a política de consentimento</w:t>
      </w:r>
      <w:r>
        <w:rPr>
          <w:rFonts w:ascii="Times New Roman" w:hAnsi="Times New Roman" w:cs="Times New Roman"/>
          <w:sz w:val="24"/>
          <w:szCs w:val="24"/>
        </w:rPr>
        <w:t xml:space="preserve">, zelando </w:t>
      </w:r>
      <w:r w:rsidRPr="007E3C60">
        <w:rPr>
          <w:rFonts w:ascii="Times New Roman" w:hAnsi="Times New Roman" w:cs="Times New Roman"/>
          <w:sz w:val="24"/>
          <w:szCs w:val="24"/>
        </w:rPr>
        <w:t xml:space="preserve">pela privacidade da </w:t>
      </w:r>
      <w:r>
        <w:rPr>
          <w:rFonts w:ascii="Times New Roman" w:hAnsi="Times New Roman" w:cs="Times New Roman"/>
          <w:sz w:val="24"/>
          <w:szCs w:val="24"/>
        </w:rPr>
        <w:t xml:space="preserve">mesma. Enfatiza-se </w:t>
      </w:r>
      <w:r w:rsidRPr="007E3C60">
        <w:rPr>
          <w:rFonts w:ascii="Times New Roman" w:hAnsi="Times New Roman" w:cs="Times New Roman"/>
          <w:sz w:val="24"/>
          <w:szCs w:val="24"/>
        </w:rPr>
        <w:t>que atitudes acolhedoras por parte de enfermeiros corroboraram com 84,9% do retorno de pacientes às consultas de enfermagem ambulatorial após o evento traumático.  Nesse sentido,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t>evidencia</w:t>
      </w:r>
      <w:r>
        <w:rPr>
          <w:rFonts w:ascii="Times New Roman" w:hAnsi="Times New Roman" w:cs="Times New Roman"/>
          <w:sz w:val="24"/>
          <w:szCs w:val="24"/>
        </w:rPr>
        <w:t>-se</w:t>
      </w:r>
      <w:r w:rsidRPr="007E3C60">
        <w:rPr>
          <w:rFonts w:ascii="Times New Roman" w:hAnsi="Times New Roman" w:cs="Times New Roman"/>
          <w:sz w:val="24"/>
          <w:szCs w:val="24"/>
        </w:rPr>
        <w:t xml:space="preserve"> pontos importantes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3C60">
        <w:rPr>
          <w:rFonts w:ascii="Times New Roman" w:hAnsi="Times New Roman" w:cs="Times New Roman"/>
          <w:sz w:val="24"/>
          <w:szCs w:val="24"/>
        </w:rPr>
        <w:t xml:space="preserve"> serem seguidos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7E3C60">
        <w:rPr>
          <w:rFonts w:ascii="Times New Roman" w:hAnsi="Times New Roman" w:cs="Times New Roman"/>
          <w:sz w:val="24"/>
          <w:szCs w:val="24"/>
        </w:rPr>
        <w:t xml:space="preserve"> assistência em enfermagem, como: não julgar, buscando não reforçar estereótipos de culpabilização; garantir o sigilo e privacidade, reforçando a segurança da unidade e a confidencialidade dos registros; garantir que a paciente saiba os meios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7E3C60">
        <w:rPr>
          <w:rFonts w:ascii="Times New Roman" w:hAnsi="Times New Roman" w:cs="Times New Roman"/>
          <w:sz w:val="24"/>
          <w:szCs w:val="24"/>
        </w:rPr>
        <w:t>pedir ajuda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C60">
        <w:rPr>
          <w:rFonts w:ascii="Times New Roman" w:hAnsi="Times New Roman" w:cs="Times New Roman"/>
          <w:sz w:val="24"/>
          <w:szCs w:val="24"/>
        </w:rPr>
        <w:t>deixando-a decidir como lidar com a situação.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lastRenderedPageBreak/>
        <w:t>O profissional deve, também, fazer anotações mantendo o caráter legal do documento, atentando-se tanto para a escrita legível,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60">
        <w:rPr>
          <w:rFonts w:ascii="Times New Roman" w:hAnsi="Times New Roman" w:cs="Times New Roman"/>
          <w:sz w:val="24"/>
          <w:szCs w:val="24"/>
        </w:rPr>
        <w:t>como para a utilização de termos adequados, como “informa”, “narra”, objetivando deixar expl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7E3C60">
        <w:rPr>
          <w:rFonts w:ascii="Times New Roman" w:hAnsi="Times New Roman" w:cs="Times New Roman"/>
          <w:sz w:val="24"/>
          <w:szCs w:val="24"/>
        </w:rPr>
        <w:t>cito que está registrando o relato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E3C60">
        <w:rPr>
          <w:rFonts w:ascii="Times New Roman" w:hAnsi="Times New Roman" w:cs="Times New Roman"/>
          <w:sz w:val="24"/>
          <w:szCs w:val="24"/>
        </w:rPr>
        <w:t>paciente sem impressões pessoais. A</w:t>
      </w:r>
      <w:r>
        <w:rPr>
          <w:rFonts w:ascii="Times New Roman" w:hAnsi="Times New Roman" w:cs="Times New Roman"/>
          <w:sz w:val="24"/>
          <w:szCs w:val="24"/>
        </w:rPr>
        <w:t>lém do mais</w:t>
      </w:r>
      <w:r w:rsidRPr="007E3C60">
        <w:rPr>
          <w:rFonts w:ascii="Times New Roman" w:hAnsi="Times New Roman" w:cs="Times New Roman"/>
          <w:sz w:val="24"/>
          <w:szCs w:val="24"/>
        </w:rPr>
        <w:t xml:space="preserve">, os artigos analisados </w:t>
      </w:r>
      <w:r>
        <w:rPr>
          <w:rFonts w:ascii="Times New Roman" w:hAnsi="Times New Roman" w:cs="Times New Roman"/>
          <w:sz w:val="24"/>
          <w:szCs w:val="24"/>
        </w:rPr>
        <w:t>destacaram</w:t>
      </w:r>
      <w:r w:rsidRPr="007E3C60">
        <w:rPr>
          <w:rFonts w:ascii="Times New Roman" w:hAnsi="Times New Roman" w:cs="Times New Roman"/>
          <w:sz w:val="24"/>
          <w:szCs w:val="24"/>
        </w:rPr>
        <w:t xml:space="preserve"> a falta de capacitação e a necessidade em incluir tal temática nos cursos de graduação em enfermagem, além do cuidado clínico dos sinais físicos deixados pela violência</w:t>
      </w:r>
      <w:r>
        <w:rPr>
          <w:rFonts w:ascii="Times New Roman" w:hAnsi="Times New Roman" w:cs="Times New Roman"/>
          <w:sz w:val="24"/>
          <w:szCs w:val="24"/>
        </w:rPr>
        <w:t>, como visto em u</w:t>
      </w:r>
      <w:r w:rsidRPr="007E3C60">
        <w:rPr>
          <w:rFonts w:ascii="Times New Roman" w:hAnsi="Times New Roman" w:cs="Times New Roman"/>
          <w:sz w:val="24"/>
          <w:szCs w:val="24"/>
        </w:rPr>
        <w:t xml:space="preserve">m estudo realizado no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E3C60">
        <w:rPr>
          <w:rFonts w:ascii="Times New Roman" w:hAnsi="Times New Roman" w:cs="Times New Roman"/>
          <w:sz w:val="24"/>
          <w:szCs w:val="24"/>
        </w:rPr>
        <w:t>rasil, no qual 93% dos enfermeiros que atendiam mulheres em situação de violência sexual, ap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3C60">
        <w:rPr>
          <w:rFonts w:ascii="Times New Roman" w:hAnsi="Times New Roman" w:cs="Times New Roman"/>
          <w:sz w:val="24"/>
          <w:szCs w:val="24"/>
        </w:rPr>
        <w:t xml:space="preserve">sar de reconhecerem a importância da coleta 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E3C60">
        <w:rPr>
          <w:rFonts w:ascii="Times New Roman" w:hAnsi="Times New Roman" w:cs="Times New Roman"/>
          <w:sz w:val="24"/>
          <w:szCs w:val="24"/>
        </w:rPr>
        <w:t xml:space="preserve">preservação dos vestígios deixados após a violência sexual, não conheciam as técnicas de coleta desses vestígios.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>Assim, faz-se necessário que os</w:t>
      </w:r>
      <w:r w:rsidRPr="007E3C60">
        <w:rPr>
          <w:rFonts w:ascii="Times New Roman" w:hAnsi="Times New Roman" w:cs="Times New Roman"/>
          <w:sz w:val="24"/>
          <w:szCs w:val="24"/>
        </w:rPr>
        <w:t xml:space="preserve"> profissionais de enfermagem </w:t>
      </w:r>
      <w:r>
        <w:rPr>
          <w:rFonts w:ascii="Times New Roman" w:hAnsi="Times New Roman" w:cs="Times New Roman"/>
          <w:sz w:val="24"/>
          <w:szCs w:val="24"/>
        </w:rPr>
        <w:t>estejam mais preparados para atuar frente às situações de mulheres vítimas de violência sexual e que tais discussões precisam ser inseridas no âmbito da formação em enfermagem.</w:t>
      </w:r>
    </w:p>
    <w:p w14:paraId="09DBD920" w14:textId="77777777" w:rsidR="006B20EC" w:rsidRDefault="006B20EC" w:rsidP="006B20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54903" w14:textId="77777777" w:rsidR="006B20EC" w:rsidRDefault="006B20EC" w:rsidP="006B2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6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 </w:t>
      </w:r>
      <w:r w:rsidRPr="007E3C60">
        <w:rPr>
          <w:rFonts w:ascii="Times New Roman" w:hAnsi="Times New Roman" w:cs="Times New Roman"/>
          <w:sz w:val="24"/>
          <w:szCs w:val="24"/>
        </w:rPr>
        <w:t>Enfermagem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3C60">
        <w:rPr>
          <w:rFonts w:ascii="Times New Roman" w:hAnsi="Times New Roman" w:cs="Times New Roman"/>
          <w:sz w:val="24"/>
          <w:szCs w:val="24"/>
        </w:rPr>
        <w:t xml:space="preserve"> Violência sexual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E3C60">
        <w:rPr>
          <w:rFonts w:ascii="Times New Roman" w:hAnsi="Times New Roman" w:cs="Times New Roman"/>
          <w:sz w:val="24"/>
          <w:szCs w:val="24"/>
        </w:rPr>
        <w:t xml:space="preserve"> Cuidados de enfermagem. </w:t>
      </w:r>
    </w:p>
    <w:p w14:paraId="7B6ECE41" w14:textId="77777777" w:rsidR="006B20EC" w:rsidRDefault="006B20EC" w:rsidP="006B20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B8F78" w14:textId="77777777" w:rsidR="006B20EC" w:rsidRPr="007E3C60" w:rsidRDefault="006B20EC" w:rsidP="006B20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C60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BIBLIOGRÁFICAS</w:t>
      </w:r>
    </w:p>
    <w:p w14:paraId="3BEBD22D" w14:textId="77777777" w:rsidR="006B20EC" w:rsidRPr="007773B4" w:rsidRDefault="006B20EC" w:rsidP="006B20E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FUKUMOTO, T. Assistência de enfermagem prestada em instituições médicas a mulheres vítimas imediatamente após um incidente de agressão sexual: um estudo qualitativo descritivo. </w:t>
      </w:r>
      <w:r w:rsidRPr="007773B4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Enfermagem aberta</w:t>
      </w: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 v. 10, n. 4, p. 2118-2131, dez. 2022. Disponível em: </w:t>
      </w:r>
      <w:hyperlink r:id="rId8" w:history="1">
        <w:r w:rsidRPr="007773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https://doi.org/10.1002/nop2.1459</w:t>
        </w:r>
      </w:hyperlink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Acesso em: 16 ago. 2023. </w:t>
      </w:r>
    </w:p>
    <w:p w14:paraId="60EACB2F" w14:textId="77777777" w:rsidR="006B20EC" w:rsidRPr="007773B4" w:rsidRDefault="006B20EC" w:rsidP="006B20EC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MELO, S. A. </w:t>
      </w:r>
      <w:r w:rsidRPr="007773B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et al. </w:t>
      </w: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Mulheres em situação de violência: reflexões sobre a atuação da enfermagem. </w:t>
      </w:r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Rev. </w:t>
      </w:r>
      <w:proofErr w:type="spellStart"/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Enferm</w:t>
      </w:r>
      <w:proofErr w:type="spellEnd"/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Atual In Derme</w:t>
      </w: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96, n. 40, p. 1-8, dez. 2022. Disponível em: </w:t>
      </w:r>
      <w:hyperlink r:id="rId9" w:history="1">
        <w:r w:rsidRPr="007773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https://doi.org/10.31011/reaid-2022-v.96-n.40-art.1522</w:t>
        </w:r>
      </w:hyperlink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16 ago. 2023. </w:t>
      </w:r>
    </w:p>
    <w:p w14:paraId="2A81A4D0" w14:textId="77777777" w:rsidR="006B20EC" w:rsidRPr="007773B4" w:rsidRDefault="006B20EC" w:rsidP="006B2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OSORNO NAVARRO, M.</w:t>
      </w: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M.; POUSADA ZAPATA, I.C. Perdão? A impossibilidade de lidar com os danos das mulheres vítimas de violência sexual.  </w:t>
      </w:r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(Bucaramanga.2010)</w:t>
      </w: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14, n. 2, p. 1-15, 2023. Disponível em: </w:t>
      </w:r>
      <w:hyperlink r:id="rId10" w:history="1">
        <w:r w:rsidRPr="007773B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http://dx.doi.org/10.15649/cuidarte.2536</w:t>
        </w:r>
      </w:hyperlink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Acesso em: 19 ago. 2023. </w:t>
      </w:r>
    </w:p>
    <w:p w14:paraId="4A9C9821" w14:textId="77777777" w:rsidR="006B20EC" w:rsidRPr="007773B4" w:rsidRDefault="006B20EC" w:rsidP="006B20E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484F849" w14:textId="77777777" w:rsidR="006B20EC" w:rsidRPr="007773B4" w:rsidRDefault="006B20EC" w:rsidP="006B20EC">
      <w:pPr>
        <w:jc w:val="both"/>
        <w:rPr>
          <w:rFonts w:ascii="Times New Roman" w:hAnsi="Times New Roman" w:cs="Times New Roman"/>
          <w:color w:val="00314C"/>
          <w:sz w:val="24"/>
          <w:szCs w:val="24"/>
          <w:lang w:eastAsia="pt-BR"/>
        </w:rPr>
      </w:pP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SANTOS, D. G. </w:t>
      </w:r>
      <w:r w:rsidRPr="007773B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et al</w:t>
      </w:r>
      <w:r w:rsidRPr="007773B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7773B4">
        <w:rPr>
          <w:rFonts w:ascii="Times New Roman" w:hAnsi="Times New Roman" w:cs="Times New Roman"/>
          <w:sz w:val="24"/>
          <w:szCs w:val="24"/>
          <w:lang w:eastAsia="pt-BR"/>
        </w:rPr>
        <w:t xml:space="preserve">Atendimento de enfermagem às mulheres em situação de violência sexual: representações sociais de enfermeiros. </w:t>
      </w:r>
      <w:proofErr w:type="spellStart"/>
      <w:r w:rsidRPr="007773B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Cogit</w:t>
      </w:r>
      <w:proofErr w:type="spellEnd"/>
      <w:r w:rsidRPr="007773B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proofErr w:type="spellStart"/>
      <w:r w:rsidRPr="007773B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Enferm</w:t>
      </w:r>
      <w:proofErr w:type="spellEnd"/>
      <w:r w:rsidRPr="007773B4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 (Online)</w:t>
      </w:r>
      <w:r w:rsidRPr="007773B4">
        <w:rPr>
          <w:rFonts w:ascii="Times New Roman" w:hAnsi="Times New Roman" w:cs="Times New Roman"/>
          <w:sz w:val="24"/>
          <w:szCs w:val="24"/>
          <w:lang w:eastAsia="pt-BR"/>
        </w:rPr>
        <w:t xml:space="preserve">, Curitiba, v. 27, 2022. Disponível em: </w:t>
      </w:r>
      <w:hyperlink r:id="rId11" w:history="1">
        <w:r w:rsidRPr="007773B4">
          <w:rPr>
            <w:rStyle w:val="Hyperlink"/>
            <w:rFonts w:ascii="Times New Roman" w:hAnsi="Times New Roman" w:cs="Times New Roman"/>
            <w:sz w:val="24"/>
            <w:szCs w:val="24"/>
            <w:lang w:eastAsia="pt-BR"/>
          </w:rPr>
          <w:t>https://doi.org/10.5380/ce.v27i0.79138</w:t>
        </w:r>
      </w:hyperlink>
      <w:r w:rsidRPr="007773B4">
        <w:rPr>
          <w:rFonts w:ascii="Times New Roman" w:hAnsi="Times New Roman" w:cs="Times New Roman"/>
          <w:sz w:val="24"/>
          <w:szCs w:val="24"/>
          <w:lang w:eastAsia="pt-BR"/>
        </w:rPr>
        <w:t xml:space="preserve">. Acesso em: 20 ago. 2023. </w:t>
      </w:r>
    </w:p>
    <w:p w14:paraId="2C36019B" w14:textId="77777777" w:rsidR="006B20EC" w:rsidRPr="007773B4" w:rsidRDefault="006B20EC" w:rsidP="006B20EC">
      <w:pPr>
        <w:jc w:val="both"/>
        <w:rPr>
          <w:rFonts w:ascii="Times New Roman" w:hAnsi="Times New Roman" w:cs="Times New Roman"/>
          <w:color w:val="00314C"/>
          <w:sz w:val="24"/>
          <w:szCs w:val="24"/>
          <w:lang w:eastAsia="pt-BR"/>
        </w:rPr>
      </w:pP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>FRANCO, J.</w:t>
      </w:r>
      <w:r w:rsidRPr="007773B4">
        <w:rPr>
          <w:rFonts w:ascii="Times New Roman" w:hAnsi="Times New Roman" w:cs="Times New Roman"/>
          <w:sz w:val="24"/>
          <w:szCs w:val="24"/>
          <w:lang w:eastAsia="pt-BR"/>
        </w:rPr>
        <w:t xml:space="preserve">M.; LOURENÇO, R.G. </w:t>
      </w:r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Assistência de enfermagem prestada às mulheres em situação de violência em serviços de emergência. </w:t>
      </w:r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Rev. Eletrônica </w:t>
      </w:r>
      <w:proofErr w:type="spellStart"/>
      <w:r w:rsidRPr="007773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Enferm</w:t>
      </w:r>
      <w:proofErr w:type="spellEnd"/>
      <w:r w:rsidRPr="007773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24, p. 1-15, jan. 2022. Disponível em: </w:t>
      </w:r>
      <w:hyperlink r:id="rId12" w:history="1">
        <w:r w:rsidRPr="007773B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https://doi.org/10.5216/ree.v23.68266</w:t>
        </w:r>
      </w:hyperlink>
      <w:r w:rsidRPr="007773B4">
        <w:rPr>
          <w:rFonts w:ascii="Times New Roman" w:hAnsi="Times New Roman" w:cs="Times New Roman"/>
          <w:sz w:val="24"/>
          <w:szCs w:val="24"/>
        </w:rPr>
        <w:t xml:space="preserve">.. Acesso em: 21 ago. 2023. </w:t>
      </w:r>
    </w:p>
    <w:p w14:paraId="05F4A0E0" w14:textId="44D64170" w:rsidR="00991FE3" w:rsidRPr="000941F9" w:rsidRDefault="00991FE3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FE3" w:rsidRPr="000941F9" w:rsidSect="00D96739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F8D4" w14:textId="77777777" w:rsidR="002B15F6" w:rsidRDefault="002B15F6" w:rsidP="00B83C74">
      <w:pPr>
        <w:spacing w:after="0" w:line="240" w:lineRule="auto"/>
      </w:pPr>
      <w:r>
        <w:separator/>
      </w:r>
    </w:p>
  </w:endnote>
  <w:endnote w:type="continuationSeparator" w:id="0">
    <w:p w14:paraId="453AD5FB" w14:textId="77777777" w:rsidR="002B15F6" w:rsidRDefault="002B15F6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SimSu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11B" w14:textId="60D5F0CA" w:rsidR="00F45AB9" w:rsidRDefault="00F45AB9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1825E9" wp14:editId="17C82098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DB7B685" wp14:editId="2C9BAA01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82AF" w14:textId="77777777" w:rsidR="002B15F6" w:rsidRDefault="002B15F6" w:rsidP="00B83C74">
      <w:pPr>
        <w:spacing w:after="0" w:line="240" w:lineRule="auto"/>
      </w:pPr>
      <w:r>
        <w:separator/>
      </w:r>
    </w:p>
  </w:footnote>
  <w:footnote w:type="continuationSeparator" w:id="0">
    <w:p w14:paraId="7172CE3A" w14:textId="77777777" w:rsidR="002B15F6" w:rsidRDefault="002B15F6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AFD" w14:textId="0F3F226A" w:rsidR="00B83C74" w:rsidRPr="00643370" w:rsidRDefault="00F45AB9" w:rsidP="00B83C7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CCB940" wp14:editId="46A780C3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A9DC6" wp14:editId="269CEFB0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79A1" w14:textId="77777777" w:rsidR="00F45AB9" w:rsidRPr="00F45AB9" w:rsidRDefault="00F45AB9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A9D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" filled="f" stroked="f">
              <v:textbox>
                <w:txbxContent>
                  <w:p w14:paraId="6C5B79A1" w14:textId="77777777" w:rsidR="00F45AB9" w:rsidRPr="00F45AB9" w:rsidRDefault="00F45AB9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B47BE9" wp14:editId="4F4C8F7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DD0E" wp14:editId="2754EE8B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4CA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E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7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BFF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F3837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AE7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0F23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1CA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3278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496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7064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56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522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78041">
    <w:abstractNumId w:val="9"/>
  </w:num>
  <w:num w:numId="2" w16cid:durableId="445396155">
    <w:abstractNumId w:val="1"/>
  </w:num>
  <w:num w:numId="3" w16cid:durableId="1728456289">
    <w:abstractNumId w:val="6"/>
  </w:num>
  <w:num w:numId="4" w16cid:durableId="253053715">
    <w:abstractNumId w:val="4"/>
  </w:num>
  <w:num w:numId="5" w16cid:durableId="1999455327">
    <w:abstractNumId w:val="3"/>
  </w:num>
  <w:num w:numId="6" w16cid:durableId="13463970">
    <w:abstractNumId w:val="2"/>
  </w:num>
  <w:num w:numId="7" w16cid:durableId="1514957476">
    <w:abstractNumId w:val="11"/>
  </w:num>
  <w:num w:numId="8" w16cid:durableId="285236775">
    <w:abstractNumId w:val="5"/>
  </w:num>
  <w:num w:numId="9" w16cid:durableId="1152135209">
    <w:abstractNumId w:val="10"/>
  </w:num>
  <w:num w:numId="10" w16cid:durableId="1055589597">
    <w:abstractNumId w:val="0"/>
  </w:num>
  <w:num w:numId="11" w16cid:durableId="1177118583">
    <w:abstractNumId w:val="7"/>
  </w:num>
  <w:num w:numId="12" w16cid:durableId="453602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7573D"/>
    <w:rsid w:val="000941F9"/>
    <w:rsid w:val="00107BE5"/>
    <w:rsid w:val="001342B1"/>
    <w:rsid w:val="0026007A"/>
    <w:rsid w:val="00275991"/>
    <w:rsid w:val="002B15F6"/>
    <w:rsid w:val="00335C02"/>
    <w:rsid w:val="00396024"/>
    <w:rsid w:val="00416060"/>
    <w:rsid w:val="00426AEE"/>
    <w:rsid w:val="0044268F"/>
    <w:rsid w:val="004A6D92"/>
    <w:rsid w:val="004E5F40"/>
    <w:rsid w:val="005A5086"/>
    <w:rsid w:val="005F2413"/>
    <w:rsid w:val="00643370"/>
    <w:rsid w:val="006B20EC"/>
    <w:rsid w:val="006B74A0"/>
    <w:rsid w:val="00776244"/>
    <w:rsid w:val="007866EB"/>
    <w:rsid w:val="007A7033"/>
    <w:rsid w:val="007F5120"/>
    <w:rsid w:val="00833509"/>
    <w:rsid w:val="008D67E2"/>
    <w:rsid w:val="00912A12"/>
    <w:rsid w:val="00916025"/>
    <w:rsid w:val="00991FE3"/>
    <w:rsid w:val="00A602C5"/>
    <w:rsid w:val="00A856B1"/>
    <w:rsid w:val="00AA6264"/>
    <w:rsid w:val="00AB3A02"/>
    <w:rsid w:val="00B767FA"/>
    <w:rsid w:val="00B83C74"/>
    <w:rsid w:val="00BD28CB"/>
    <w:rsid w:val="00BD73CC"/>
    <w:rsid w:val="00C265FC"/>
    <w:rsid w:val="00C54CB0"/>
    <w:rsid w:val="00C87A05"/>
    <w:rsid w:val="00CC5047"/>
    <w:rsid w:val="00D466EA"/>
    <w:rsid w:val="00D6241A"/>
    <w:rsid w:val="00D72914"/>
    <w:rsid w:val="00D8501D"/>
    <w:rsid w:val="00D96739"/>
    <w:rsid w:val="00DE0388"/>
    <w:rsid w:val="00E10FB8"/>
    <w:rsid w:val="00E9494D"/>
    <w:rsid w:val="00F41CFE"/>
    <w:rsid w:val="00F41DDF"/>
    <w:rsid w:val="00F45AB9"/>
    <w:rsid w:val="00FB375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D33"/>
  <w15:chartTrackingRefBased/>
  <w15:docId w15:val="{66100C94-20E0-4BF7-A50E-D91ACB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nop2.145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5216/ree.v23.682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380/ce.v27i0.791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5649/cuidarte.2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11/reaid-2022-v.96-n.40-art.15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4DD1-031F-4A7F-A51F-9951BE7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sabrina maciel</cp:lastModifiedBy>
  <cp:revision>4</cp:revision>
  <cp:lastPrinted>2023-08-23T18:59:00Z</cp:lastPrinted>
  <dcterms:created xsi:type="dcterms:W3CDTF">2023-11-06T15:23:00Z</dcterms:created>
  <dcterms:modified xsi:type="dcterms:W3CDTF">2023-11-06T15:23:00Z</dcterms:modified>
</cp:coreProperties>
</file>