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6697302"/>
        <w:docPartObj>
          <w:docPartGallery w:val="Cover Pages"/>
          <w:docPartUnique/>
        </w:docPartObj>
      </w:sdtPr>
      <w:sdtContent>
        <w:p w14:paraId="376EA4EB" w14:textId="1A2244EB" w:rsidR="0053021A" w:rsidRDefault="0053021A">
          <w:r>
            <w:rPr>
              <w:noProof/>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3CC871A2" w:rsidR="0027518C" w:rsidRDefault="00A6111A">
          <w:r>
            <w:rPr>
              <w:noProof/>
            </w:rPr>
            <mc:AlternateContent>
              <mc:Choice Requires="wps">
                <w:drawing>
                  <wp:anchor distT="0" distB="0" distL="114300" distR="114300" simplePos="0" relativeHeight="251665408" behindDoc="0" locked="0" layoutInCell="1" allowOverlap="1" wp14:anchorId="784170F8" wp14:editId="3B2F4002">
                    <wp:simplePos x="0" y="0"/>
                    <wp:positionH relativeFrom="column">
                      <wp:posOffset>435399</wp:posOffset>
                    </wp:positionH>
                    <wp:positionV relativeFrom="paragraph">
                      <wp:posOffset>6856307</wp:posOffset>
                    </wp:positionV>
                    <wp:extent cx="1388322" cy="494030"/>
                    <wp:effectExtent l="0" t="0" r="0" b="1270"/>
                    <wp:wrapNone/>
                    <wp:docPr id="1983561110" name="Caixa de Texto 4"/>
                    <wp:cNvGraphicFramePr/>
                    <a:graphic xmlns:a="http://schemas.openxmlformats.org/drawingml/2006/main">
                      <a:graphicData uri="http://schemas.microsoft.com/office/word/2010/wordprocessingShape">
                        <wps:wsp>
                          <wps:cNvSpPr txBox="1"/>
                          <wps:spPr>
                            <a:xfrm>
                              <a:off x="0" y="0"/>
                              <a:ext cx="1388322" cy="494030"/>
                            </a:xfrm>
                            <a:prstGeom prst="rect">
                              <a:avLst/>
                            </a:prstGeom>
                            <a:noFill/>
                            <a:ln w="6350">
                              <a:noFill/>
                            </a:ln>
                          </wps:spPr>
                          <wps:txbx>
                            <w:txbxContent>
                              <w:p w14:paraId="7AC046C5" w14:textId="6372336C"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A6111A">
                                  <w:rPr>
                                    <w:rFonts w:ascii="Antonio" w:hAnsi="Antonio"/>
                                    <w:color w:val="F8EDD1"/>
                                    <w:sz w:val="44"/>
                                    <w:szCs w:val="44"/>
                                  </w:rP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170F8" id="_x0000_t202" coordsize="21600,21600" o:spt="202" path="m,l,21600r21600,l21600,xe">
                    <v:stroke joinstyle="miter"/>
                    <v:path gradientshapeok="t" o:connecttype="rect"/>
                  </v:shapetype>
                  <v:shape id="Caixa de Texto 4" o:spid="_x0000_s1026" type="#_x0000_t202" style="position:absolute;margin-left:34.3pt;margin-top:539.85pt;width:109.3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" filled="f" stroked="f" strokeweight=".5pt">
                    <v:textbox>
                      <w:txbxContent>
                        <w:p w14:paraId="7AC046C5" w14:textId="6372336C"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w:t>
                          </w:r>
                          <w:r w:rsidR="00A6111A">
                            <w:rPr>
                              <w:rFonts w:ascii="Antonio" w:hAnsi="Antonio"/>
                              <w:color w:val="F8EDD1"/>
                              <w:sz w:val="44"/>
                              <w:szCs w:val="44"/>
                            </w:rPr>
                            <w:t xml:space="preserve"> 11</w:t>
                          </w:r>
                        </w:p>
                      </w:txbxContent>
                    </v:textbox>
                  </v:shape>
                </w:pict>
              </mc:Fallback>
            </mc:AlternateContent>
          </w:r>
          <w:r w:rsidR="00642D5A">
            <w:rPr>
              <w:noProof/>
            </w:rPr>
            <mc:AlternateContent>
              <mc:Choice Requires="wps">
                <w:drawing>
                  <wp:anchor distT="0" distB="0" distL="114300" distR="114300" simplePos="0" relativeHeight="251664384" behindDoc="0" locked="0" layoutInCell="1" allowOverlap="1" wp14:anchorId="5E65D060" wp14:editId="6D8AC46A">
                    <wp:simplePos x="0" y="0"/>
                    <wp:positionH relativeFrom="column">
                      <wp:posOffset>1231265</wp:posOffset>
                    </wp:positionH>
                    <wp:positionV relativeFrom="paragraph">
                      <wp:posOffset>6847840</wp:posOffset>
                    </wp:positionV>
                    <wp:extent cx="3870960" cy="1727200"/>
                    <wp:effectExtent l="0" t="0" r="0" b="6350"/>
                    <wp:wrapNone/>
                    <wp:docPr id="10815487" name="Caixa de Texto 2"/>
                    <wp:cNvGraphicFramePr/>
                    <a:graphic xmlns:a="http://schemas.openxmlformats.org/drawingml/2006/main">
                      <a:graphicData uri="http://schemas.microsoft.com/office/word/2010/wordprocessingShape">
                        <wps:wsp>
                          <wps:cNvSpPr txBox="1"/>
                          <wps:spPr>
                            <a:xfrm>
                              <a:off x="0" y="0"/>
                              <a:ext cx="3870960" cy="1727200"/>
                            </a:xfrm>
                            <a:prstGeom prst="rect">
                              <a:avLst/>
                            </a:prstGeom>
                            <a:noFill/>
                            <a:ln w="6350">
                              <a:noFill/>
                            </a:ln>
                          </wps:spPr>
                          <wps:txbx>
                            <w:txbxContent>
                              <w:p w14:paraId="638EDCFA" w14:textId="187366DB" w:rsidR="0053021A" w:rsidRPr="00A6111A" w:rsidRDefault="00642D5A" w:rsidP="0053021A">
                                <w:pPr>
                                  <w:rPr>
                                    <w:color w:val="1A9B3C"/>
                                    <w:sz w:val="36"/>
                                    <w:szCs w:val="36"/>
                                  </w:rPr>
                                </w:pPr>
                                <w:r w:rsidRPr="00A6111A">
                                  <w:rPr>
                                    <w:color w:val="1A9B3C"/>
                                    <w:sz w:val="36"/>
                                    <w:szCs w:val="36"/>
                                  </w:rPr>
                                  <w:t>Mulheres do campo, das águas, das florestas e da agricultura urbana em tempos de emergências climáticas: experiências de resistência e reconstrução dos territórios</w:t>
                                </w:r>
                                <w:r w:rsidRPr="00A6111A">
                                  <w:rPr>
                                    <w:color w:val="1A9B3C"/>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5D060" id="Caixa de Texto 2" o:spid="_x0000_s1027" type="#_x0000_t202" style="position:absolute;margin-left:96.95pt;margin-top:539.2pt;width:304.8pt;height:1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" filled="f" stroked="f" strokeweight=".5pt">
                    <v:textbox>
                      <w:txbxContent>
                        <w:p w14:paraId="638EDCFA" w14:textId="187366DB" w:rsidR="0053021A" w:rsidRPr="00A6111A" w:rsidRDefault="00642D5A" w:rsidP="0053021A">
                          <w:pPr>
                            <w:rPr>
                              <w:color w:val="1A9B3C"/>
                              <w:sz w:val="36"/>
                              <w:szCs w:val="36"/>
                            </w:rPr>
                          </w:pPr>
                          <w:r w:rsidRPr="00A6111A">
                            <w:rPr>
                              <w:color w:val="1A9B3C"/>
                              <w:sz w:val="36"/>
                              <w:szCs w:val="36"/>
                            </w:rPr>
                            <w:t>Mulheres do campo, das águas, das florestas e da agricultura urbana em tempos de emergências climáticas: experiências de resistência e reconstrução dos territórios</w:t>
                          </w:r>
                          <w:r w:rsidRPr="00A6111A">
                            <w:rPr>
                              <w:color w:val="1A9B3C"/>
                              <w:sz w:val="36"/>
                              <w:szCs w:val="36"/>
                            </w:rPr>
                            <w:t>.</w:t>
                          </w:r>
                        </w:p>
                      </w:txbxContent>
                    </v:textbox>
                  </v:shape>
                </w:pict>
              </mc:Fallback>
            </mc:AlternateContent>
          </w:r>
          <w:r w:rsidR="0053021A">
            <w:rPr>
              <w:noProof/>
            </w:rPr>
            <mc:AlternateContent>
              <mc:Choice Requires="wps">
                <w:drawing>
                  <wp:anchor distT="0" distB="0" distL="114300" distR="114300" simplePos="0" relativeHeight="251667456" behindDoc="1" locked="0" layoutInCell="1" allowOverlap="1" wp14:anchorId="486A8980" wp14:editId="70BC396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DC06C2"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" fillcolor="#1a9b3c" stroked="f" strokeweight="1pt">
                    <v:stroke joinstyle="miter"/>
                  </v:roundrect>
                </w:pict>
              </mc:Fallback>
            </mc:AlternateContent>
          </w:r>
          <w:r w:rsidR="0053021A">
            <w:br w:type="page"/>
          </w:r>
        </w:p>
      </w:sdtContent>
    </w:sdt>
    <w:p w14:paraId="576075D7" w14:textId="50DCFCC5" w:rsidR="00552F68" w:rsidRDefault="00642D5A" w:rsidP="008B5E81">
      <w:pPr>
        <w:spacing w:after="240"/>
        <w:jc w:val="center"/>
        <w:rPr>
          <w:rFonts w:eastAsia="Arial"/>
          <w:b/>
          <w:bCs/>
        </w:rPr>
      </w:pPr>
      <w:r w:rsidRPr="00642D5A">
        <w:rPr>
          <w:rFonts w:eastAsia="Arial"/>
          <w:b/>
          <w:bCs/>
        </w:rPr>
        <w:lastRenderedPageBreak/>
        <w:t>MULHERES JANDAÍRAS E SUAS ESTRATÉGIAS DE RESISTÊNCIA DO SERTÃO E LITORAL DA BAHIA</w:t>
      </w:r>
      <w:r w:rsidR="00552F68">
        <w:rPr>
          <w:rStyle w:val="Refdenotaderodap"/>
          <w:rFonts w:eastAsia="Arial"/>
          <w:b/>
          <w:bCs/>
        </w:rPr>
        <w:footnoteReference w:id="1"/>
      </w:r>
      <w:r>
        <w:rPr>
          <w:rFonts w:eastAsia="Arial"/>
          <w:b/>
          <w:bCs/>
        </w:rPr>
        <w:t>.</w:t>
      </w:r>
    </w:p>
    <w:p w14:paraId="5C68B2CE" w14:textId="694F4117" w:rsidR="00642D5A" w:rsidRPr="000D403E" w:rsidRDefault="00642D5A" w:rsidP="00552F68">
      <w:pPr>
        <w:spacing w:after="240"/>
        <w:jc w:val="center"/>
        <w:rPr>
          <w:rFonts w:eastAsia="Arial"/>
          <w:sz w:val="20"/>
          <w:szCs w:val="20"/>
        </w:rPr>
      </w:pPr>
      <w:r w:rsidRPr="000D403E">
        <w:rPr>
          <w:rFonts w:eastAsia="Arial"/>
          <w:sz w:val="20"/>
          <w:szCs w:val="20"/>
        </w:rPr>
        <w:t>Aryella da Silva Leite</w:t>
      </w:r>
      <w:r w:rsidR="00552F68" w:rsidRPr="000D403E">
        <w:rPr>
          <w:rStyle w:val="Refdenotaderodap"/>
          <w:rFonts w:eastAsia="Arial"/>
          <w:sz w:val="20"/>
          <w:szCs w:val="20"/>
        </w:rPr>
        <w:footnoteReference w:id="2"/>
      </w:r>
    </w:p>
    <w:p w14:paraId="749D355E" w14:textId="2A959E09" w:rsidR="00642D5A" w:rsidRPr="000D403E" w:rsidRDefault="00642D5A" w:rsidP="00552F68">
      <w:pPr>
        <w:spacing w:after="240"/>
        <w:jc w:val="center"/>
        <w:rPr>
          <w:rFonts w:eastAsia="Arial"/>
          <w:sz w:val="20"/>
          <w:szCs w:val="20"/>
        </w:rPr>
      </w:pPr>
      <w:r w:rsidRPr="000D403E">
        <w:rPr>
          <w:rFonts w:eastAsia="Arial"/>
          <w:sz w:val="20"/>
          <w:szCs w:val="20"/>
        </w:rPr>
        <w:t>Danielle da Silva</w:t>
      </w:r>
      <w:r w:rsidR="00552F68" w:rsidRPr="000D403E">
        <w:rPr>
          <w:rStyle w:val="Refdenotaderodap"/>
          <w:rFonts w:eastAsia="Arial"/>
          <w:sz w:val="20"/>
          <w:szCs w:val="20"/>
        </w:rPr>
        <w:footnoteReference w:id="3"/>
      </w:r>
      <w:r w:rsidRPr="000D403E">
        <w:rPr>
          <w:rFonts w:eastAsia="Arial"/>
          <w:sz w:val="20"/>
          <w:szCs w:val="20"/>
        </w:rPr>
        <w:t xml:space="preserve"> e </w:t>
      </w:r>
      <w:proofErr w:type="spellStart"/>
      <w:r w:rsidRPr="000D403E">
        <w:rPr>
          <w:rFonts w:eastAsia="Arial"/>
          <w:sz w:val="20"/>
          <w:szCs w:val="20"/>
        </w:rPr>
        <w:t>Laeticia</w:t>
      </w:r>
      <w:proofErr w:type="spellEnd"/>
      <w:r w:rsidRPr="000D403E">
        <w:rPr>
          <w:rFonts w:eastAsia="Arial"/>
          <w:sz w:val="20"/>
          <w:szCs w:val="20"/>
        </w:rPr>
        <w:t xml:space="preserve"> Medeiros Jalil</w:t>
      </w:r>
      <w:r w:rsidR="00552F68" w:rsidRPr="000D403E">
        <w:rPr>
          <w:rStyle w:val="Refdenotaderodap"/>
          <w:rFonts w:eastAsia="Arial"/>
          <w:sz w:val="20"/>
          <w:szCs w:val="20"/>
        </w:rPr>
        <w:footnoteReference w:id="4"/>
      </w:r>
    </w:p>
    <w:p w14:paraId="3C22E788" w14:textId="464D36E5" w:rsidR="00552F68" w:rsidRPr="00642D5A" w:rsidRDefault="00552F68" w:rsidP="008B5E81">
      <w:pPr>
        <w:spacing w:after="240"/>
        <w:jc w:val="both"/>
        <w:rPr>
          <w:rFonts w:eastAsia="Arial"/>
          <w:b/>
          <w:bCs/>
        </w:rPr>
      </w:pPr>
      <w:r w:rsidRPr="00552F68">
        <w:rPr>
          <w:rFonts w:eastAsia="Arial"/>
          <w:b/>
          <w:bCs/>
        </w:rPr>
        <w:t>GT 11: Mulheres do campo, das águas, das florestas e da agricultura urbana em tempos de emergências climáticas: experiências de resistência e reconstrução dos territórios</w:t>
      </w:r>
      <w:r w:rsidR="008B5E81">
        <w:rPr>
          <w:rFonts w:eastAsia="Arial"/>
          <w:b/>
          <w:bCs/>
        </w:rPr>
        <w:t>.</w:t>
      </w:r>
    </w:p>
    <w:p w14:paraId="4E153D0D" w14:textId="77777777" w:rsidR="00642D5A" w:rsidRPr="00642D5A" w:rsidRDefault="00642D5A" w:rsidP="008B5E81">
      <w:pPr>
        <w:spacing w:after="240"/>
        <w:jc w:val="center"/>
        <w:rPr>
          <w:rFonts w:eastAsia="Arial"/>
          <w:b/>
          <w:bCs/>
        </w:rPr>
      </w:pPr>
      <w:r w:rsidRPr="00642D5A">
        <w:rPr>
          <w:rFonts w:eastAsia="Arial"/>
          <w:b/>
          <w:bCs/>
        </w:rPr>
        <w:t xml:space="preserve">RESUMO </w:t>
      </w:r>
    </w:p>
    <w:p w14:paraId="0D249CF3" w14:textId="0EB5F846" w:rsidR="00216EFF" w:rsidRPr="008B5E81" w:rsidRDefault="008B5E81" w:rsidP="008B5E81">
      <w:pPr>
        <w:spacing w:after="240"/>
        <w:jc w:val="both"/>
        <w:rPr>
          <w:rFonts w:eastAsia="Arial"/>
        </w:rPr>
      </w:pPr>
      <w:r w:rsidRPr="008B5E81">
        <w:rPr>
          <w:rFonts w:eastAsia="Arial"/>
        </w:rPr>
        <w:t xml:space="preserve">Este artigo tem o objetivo de apresentar algumas estratégias de resistência que as mulheres desenvolvem nos territórios e as formas de cuidados, umas com as outras, de forma solidária e recíproca, a partir da formação de grupos produtivos. Portanto, serão apresentadas as experiências observadas em quatro grupos que participam do Projeto </w:t>
      </w:r>
      <w:proofErr w:type="spellStart"/>
      <w:r w:rsidRPr="008B5E81">
        <w:rPr>
          <w:rFonts w:eastAsia="Arial"/>
        </w:rPr>
        <w:t>Jandaíras</w:t>
      </w:r>
      <w:proofErr w:type="spellEnd"/>
      <w:r w:rsidRPr="008B5E81">
        <w:rPr>
          <w:rFonts w:eastAsia="Arial"/>
        </w:rPr>
        <w:t xml:space="preserve">, com mulheres de povos e comunidades tradicionais - </w:t>
      </w:r>
      <w:proofErr w:type="spellStart"/>
      <w:r w:rsidRPr="008B5E81">
        <w:rPr>
          <w:rFonts w:eastAsia="Arial"/>
        </w:rPr>
        <w:t>PCTs</w:t>
      </w:r>
      <w:proofErr w:type="spellEnd"/>
      <w:r w:rsidRPr="008B5E81">
        <w:rPr>
          <w:rFonts w:eastAsia="Arial"/>
        </w:rPr>
        <w:t xml:space="preserve"> da Bahia, localizados nos territórios de identidade do Velho Chico e do Litoral Sul. A partir de uma abordagem metodológica qualitativa, com revisão bibliográfica numa perspectiva feminista e observação participante, os resultados apresentarão as semelhanças e as diferenças dessas práticas produtivas e de cuidados com as pessoas e a natureza, ancoradas em saberes ancestrais da sociobiodiversidade e da auto-organização das mulheres, num cenário de avanço dos megaprojetos das energias renováveis nos territórios, como também o descaso das políticas públicas e negação de direitos desses povos e comunidades tradicionais.</w:t>
      </w:r>
    </w:p>
    <w:p w14:paraId="480B2C1C" w14:textId="04E98C3F" w:rsidR="00216EFF" w:rsidRPr="00216EFF" w:rsidRDefault="00216EFF" w:rsidP="00216EFF">
      <w:pPr>
        <w:spacing w:line="360" w:lineRule="auto"/>
        <w:ind w:hanging="2"/>
        <w:jc w:val="both"/>
        <w:rPr>
          <w:rFonts w:eastAsia="Arial" w:cs="Arial"/>
        </w:rPr>
      </w:pPr>
      <w:r w:rsidRPr="000D403E">
        <w:rPr>
          <w:rFonts w:eastAsia="Arial" w:cs="Arial"/>
          <w:b/>
          <w:bCs/>
        </w:rPr>
        <w:t>Palavras-chave:</w:t>
      </w:r>
      <w:r w:rsidRPr="00216EFF">
        <w:rPr>
          <w:rFonts w:eastAsia="Arial" w:cs="Arial"/>
        </w:rPr>
        <w:t xml:space="preserve"> </w:t>
      </w:r>
      <w:r w:rsidR="008B5E81">
        <w:rPr>
          <w:rFonts w:eastAsia="Arial" w:cs="Arial"/>
        </w:rPr>
        <w:t>G</w:t>
      </w:r>
      <w:r w:rsidR="008B5E81" w:rsidRPr="008B5E81">
        <w:rPr>
          <w:rFonts w:eastAsia="Arial" w:cs="Arial"/>
        </w:rPr>
        <w:t xml:space="preserve">ênero, </w:t>
      </w:r>
      <w:r w:rsidR="008B5E81">
        <w:rPr>
          <w:rFonts w:eastAsia="Arial" w:cs="Arial"/>
        </w:rPr>
        <w:t>R</w:t>
      </w:r>
      <w:r w:rsidR="008B5E81" w:rsidRPr="008B5E81">
        <w:rPr>
          <w:rFonts w:eastAsia="Arial" w:cs="Arial"/>
        </w:rPr>
        <w:t xml:space="preserve">uralidades, </w:t>
      </w:r>
      <w:r w:rsidR="008B5E81">
        <w:rPr>
          <w:rFonts w:eastAsia="Arial" w:cs="Arial"/>
        </w:rPr>
        <w:t>P</w:t>
      </w:r>
      <w:r w:rsidR="008B5E81" w:rsidRPr="008B5E81">
        <w:rPr>
          <w:rFonts w:eastAsia="Arial" w:cs="Arial"/>
        </w:rPr>
        <w:t xml:space="preserve">ovos e </w:t>
      </w:r>
      <w:r w:rsidR="008B5E81">
        <w:rPr>
          <w:rFonts w:eastAsia="Arial" w:cs="Arial"/>
        </w:rPr>
        <w:t>C</w:t>
      </w:r>
      <w:r w:rsidR="008B5E81" w:rsidRPr="008B5E81">
        <w:rPr>
          <w:rFonts w:eastAsia="Arial" w:cs="Arial"/>
        </w:rPr>
        <w:t xml:space="preserve">omunidades </w:t>
      </w:r>
      <w:r w:rsidR="008B5E81">
        <w:rPr>
          <w:rFonts w:eastAsia="Arial" w:cs="Arial"/>
        </w:rPr>
        <w:t>T</w:t>
      </w:r>
      <w:r w:rsidR="008B5E81" w:rsidRPr="008B5E81">
        <w:rPr>
          <w:rFonts w:eastAsia="Arial" w:cs="Arial"/>
        </w:rPr>
        <w:t>radicionais</w:t>
      </w:r>
      <w:r w:rsidR="008B5E81">
        <w:rPr>
          <w:rFonts w:eastAsia="Arial" w:cs="Arial"/>
        </w:rPr>
        <w:t xml:space="preserve"> (</w:t>
      </w:r>
      <w:proofErr w:type="spellStart"/>
      <w:r w:rsidR="008B5E81">
        <w:rPr>
          <w:rFonts w:eastAsia="Arial" w:cs="Arial"/>
        </w:rPr>
        <w:t>PCTs</w:t>
      </w:r>
      <w:proofErr w:type="spellEnd"/>
      <w:r w:rsidR="008B5E81">
        <w:rPr>
          <w:rFonts w:eastAsia="Arial" w:cs="Arial"/>
        </w:rPr>
        <w:t>).</w:t>
      </w:r>
    </w:p>
    <w:p w14:paraId="1ABB7E9C" w14:textId="77777777" w:rsidR="00216EFF" w:rsidRPr="00216EFF" w:rsidRDefault="00216EFF" w:rsidP="008B5E81">
      <w:pPr>
        <w:spacing w:line="360" w:lineRule="auto"/>
        <w:jc w:val="both"/>
        <w:rPr>
          <w:rFonts w:eastAsia="Arial" w:cs="Arial"/>
          <w:color w:val="000000"/>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lastRenderedPageBreak/>
        <w:t>INTRODUÇÃO</w:t>
      </w:r>
    </w:p>
    <w:p w14:paraId="3706802C" w14:textId="77777777" w:rsidR="008B5E81" w:rsidRPr="008B5E81" w:rsidRDefault="008B5E81" w:rsidP="008B5E81">
      <w:pPr>
        <w:spacing w:line="360" w:lineRule="auto"/>
        <w:ind w:firstLine="708"/>
        <w:jc w:val="both"/>
        <w:rPr>
          <w:rFonts w:eastAsia="Arial" w:cs="Arial"/>
        </w:rPr>
      </w:pPr>
      <w:r w:rsidRPr="008B5E81">
        <w:rPr>
          <w:rFonts w:eastAsia="Arial" w:cs="Arial"/>
        </w:rPr>
        <w:t>As mulheres rurais são diversas, elas vivem nos campos, nas florestas, nas águas, ou seja, são agricultoras, marisqueiras, raizeiras, benzedeiras, parteiras, artesãs, dentre outros saberes e fazeres ancestrais e ligados à biodiversidade. Mas também exercem outros ofícios, dentro e fora de seus territórios: merendeiras, professoras, médicas, enfermeiras, dentre outras.</w:t>
      </w:r>
    </w:p>
    <w:p w14:paraId="0F6FEF34" w14:textId="77777777" w:rsidR="008B5E81" w:rsidRPr="008B5E81" w:rsidRDefault="008B5E81" w:rsidP="008B5E81">
      <w:pPr>
        <w:ind w:left="2124"/>
        <w:jc w:val="both"/>
        <w:rPr>
          <w:rFonts w:eastAsia="Arial" w:cs="Arial"/>
          <w:sz w:val="20"/>
          <w:szCs w:val="20"/>
        </w:rPr>
      </w:pPr>
      <w:r w:rsidRPr="008B5E81">
        <w:rPr>
          <w:rFonts w:eastAsia="Arial" w:cs="Arial"/>
          <w:sz w:val="20"/>
          <w:szCs w:val="20"/>
        </w:rPr>
        <w:t>As mulheres rurais vivem, sentem e reproduzem esse modo de ser a partir de seus corpos e trajetórias, da sua relação com a natureza, com a biodiversidade, suas práticas de trabalho, culturais e espirituais distintas de outras mulheres. São portadoras de saberes ancestrais e geradoras de novos conhecimentos, fundamentais para o fortalecimento do tecido social nos territórios em que vivem e, sobretudo, para a reprodução deste modo de vida específico, que também é uma forma de organização social e política que constroem outras formas de relações sociais. (JALIL et al, 2021).</w:t>
      </w:r>
    </w:p>
    <w:p w14:paraId="120EB85F" w14:textId="77777777" w:rsidR="008B5E81" w:rsidRPr="008B5E81" w:rsidRDefault="008B5E81" w:rsidP="008B5E81">
      <w:pPr>
        <w:spacing w:line="360" w:lineRule="auto"/>
        <w:ind w:firstLine="708"/>
        <w:jc w:val="both"/>
        <w:rPr>
          <w:rFonts w:eastAsia="Arial" w:cs="Arial"/>
        </w:rPr>
      </w:pPr>
      <w:r w:rsidRPr="008B5E81">
        <w:rPr>
          <w:rFonts w:eastAsia="Arial" w:cs="Arial"/>
        </w:rPr>
        <w:t>Diante disto, é possível afirmar que as vivências e os enfrentamentos são interseccionais, ou seja, “considera que as categorias de raça, classe, gênero, orientação sexual, nacionalidade, capacidade, etnia e faixa etária - entre outras - são inter-relacionadas e moldam-se mutuamente" (HILL COLLINS E BILGE, 2021, p. 15).</w:t>
      </w:r>
    </w:p>
    <w:p w14:paraId="289C1D9C" w14:textId="0E7656E6" w:rsidR="00C96B75" w:rsidRDefault="008B5E81" w:rsidP="008B5E81">
      <w:pPr>
        <w:spacing w:line="360" w:lineRule="auto"/>
        <w:ind w:firstLine="708"/>
        <w:jc w:val="both"/>
        <w:rPr>
          <w:rFonts w:eastAsia="Arial" w:cs="Arial"/>
        </w:rPr>
      </w:pPr>
      <w:r w:rsidRPr="008B5E81">
        <w:rPr>
          <w:rFonts w:eastAsia="Arial" w:cs="Arial"/>
        </w:rPr>
        <w:t xml:space="preserve">O Projeto </w:t>
      </w:r>
      <w:proofErr w:type="spellStart"/>
      <w:r w:rsidRPr="008B5E81">
        <w:rPr>
          <w:rFonts w:eastAsia="Arial" w:cs="Arial"/>
        </w:rPr>
        <w:t>Jandaíras</w:t>
      </w:r>
      <w:proofErr w:type="spellEnd"/>
      <w:r w:rsidRPr="008B5E81">
        <w:rPr>
          <w:rFonts w:eastAsia="Arial" w:cs="Arial"/>
        </w:rPr>
        <w:t xml:space="preserve"> é executado pela Universidade Federal Rural de Pernambuco – UFRPE e integra 37 grupos produtivos de mulheres de Povos e Comunidades Tradicionais (</w:t>
      </w:r>
      <w:proofErr w:type="spellStart"/>
      <w:r w:rsidRPr="008B5E81">
        <w:rPr>
          <w:rFonts w:eastAsia="Arial" w:cs="Arial"/>
        </w:rPr>
        <w:t>PCTs</w:t>
      </w:r>
      <w:proofErr w:type="spellEnd"/>
      <w:r w:rsidRPr="008B5E81">
        <w:rPr>
          <w:rFonts w:eastAsia="Arial" w:cs="Arial"/>
        </w:rPr>
        <w:t>)</w:t>
      </w:r>
      <w:r w:rsidR="000D403E">
        <w:rPr>
          <w:rStyle w:val="Refdenotaderodap"/>
          <w:rFonts w:eastAsia="Arial" w:cs="Arial"/>
        </w:rPr>
        <w:footnoteReference w:id="5"/>
      </w:r>
      <w:r w:rsidRPr="008B5E81">
        <w:rPr>
          <w:rFonts w:eastAsia="Arial" w:cs="Arial"/>
        </w:rPr>
        <w:t xml:space="preserve">, logo, existe um forte vínculo entre suas identidades e seus territórios. O projeto visa a integração de saberes tradicionais com conhecimento técnico-científico, paralelamente a ciclos de formação diversas para adequar agroindústrias comunitárias e grupos </w:t>
      </w:r>
      <w:r w:rsidRPr="008B5E81">
        <w:rPr>
          <w:rFonts w:eastAsia="Arial" w:cs="Arial"/>
        </w:rPr>
        <w:lastRenderedPageBreak/>
        <w:t xml:space="preserve">produtivos à legislação sanitária e boas práticas de fabricação de alimentos (SOUZA et al, 2024). </w:t>
      </w:r>
    </w:p>
    <w:p w14:paraId="59C3D5A0" w14:textId="572D620F" w:rsidR="008B5E81" w:rsidRPr="008B5E81" w:rsidRDefault="008B5E81" w:rsidP="008B5E81">
      <w:pPr>
        <w:spacing w:line="360" w:lineRule="auto"/>
        <w:ind w:firstLine="708"/>
        <w:jc w:val="both"/>
        <w:rPr>
          <w:rFonts w:eastAsia="Arial" w:cs="Arial"/>
        </w:rPr>
      </w:pPr>
      <w:r w:rsidRPr="008B5E81">
        <w:rPr>
          <w:rFonts w:eastAsia="Arial" w:cs="Arial"/>
        </w:rPr>
        <w:t>As experiências aqui mostradas serão de dois grupos em comunidades de Fundo e Fecho de Pasto, localizados no Território de Identidades (TI)</w:t>
      </w:r>
      <w:r w:rsidR="009E1293">
        <w:rPr>
          <w:rStyle w:val="Refdenotaderodap"/>
          <w:rFonts w:eastAsia="Arial" w:cs="Arial"/>
        </w:rPr>
        <w:footnoteReference w:id="6"/>
      </w:r>
      <w:r w:rsidRPr="008B5E81">
        <w:rPr>
          <w:rFonts w:eastAsia="Arial" w:cs="Arial"/>
        </w:rPr>
        <w:t xml:space="preserve"> do Velho Chico, em Brotas de Macaúbas - BA, região de Caatinga, um grupo de Quilombo e um grupo de Assentamento, localizados no TI Litoral Sul, mais especificamente em Camamu - BA.</w:t>
      </w:r>
    </w:p>
    <w:p w14:paraId="48E72F0B" w14:textId="77777777" w:rsidR="008B5E81" w:rsidRPr="00C96B75" w:rsidRDefault="008B5E81" w:rsidP="00C96B75">
      <w:pPr>
        <w:ind w:left="2124"/>
        <w:jc w:val="both"/>
        <w:rPr>
          <w:rFonts w:eastAsia="Arial" w:cs="Arial"/>
          <w:sz w:val="20"/>
          <w:szCs w:val="20"/>
        </w:rPr>
      </w:pPr>
      <w:r w:rsidRPr="00C96B75">
        <w:rPr>
          <w:rFonts w:eastAsia="Arial" w:cs="Arial"/>
          <w:sz w:val="20"/>
          <w:szCs w:val="20"/>
        </w:rPr>
        <w:t>As comunidades tradicionais rurais dizem respeito a feições camponeses/as variadas que possuem características socioculturais, políticas e econômicas próprias. Elas desenvolveram e conservam práticas tradicionais como a manutenção das terras de uso comum, o uso da água e da biodiversidade a partir de normas costumeiras (que regulam, por exemplo, a pesca, a coleta, o uso das pastagens nativas, etc.) e fazem gestão comunitária desses bens comuns, que fazem parte das estratégias de alimentação, moradia, confecção de utensílios, práticas medicinais e religiosas, bem como de geração de renda. Os complexos saberes associados ao uso, manejo e conservação dessa agro/sociobiodiversidade são caros à manutenção da vida nos lugares que habitam (ANA/TERRA DE DIREITOS, 2018, p. 5).</w:t>
      </w:r>
    </w:p>
    <w:p w14:paraId="1505D073" w14:textId="77777777" w:rsidR="008B5E81" w:rsidRPr="008B5E81" w:rsidRDefault="008B5E81" w:rsidP="00C96B75">
      <w:pPr>
        <w:spacing w:line="360" w:lineRule="auto"/>
        <w:ind w:firstLine="708"/>
        <w:jc w:val="both"/>
        <w:rPr>
          <w:rFonts w:eastAsia="Arial" w:cs="Arial"/>
        </w:rPr>
      </w:pPr>
      <w:r w:rsidRPr="008B5E81">
        <w:rPr>
          <w:rFonts w:eastAsia="Arial" w:cs="Arial"/>
        </w:rPr>
        <w:t xml:space="preserve">Dentre esses saberes, podemos destacar o trabalho das mulheres dentro de suas casas, quintais e roças ou de forma comunitária, como na coleta de matéria-prima na floresta para produção de artesanato. A divisão sexual do trabalho promove a invisibilidade desses trabalhos, por relacionar o doméstico e o cuidado com a vida e a natureza como obrigação das mulheres e sem valor monetário, mesmo envolvendo “atividades complexas de gestão e organização, necessárias para o funcionamento diário do lar e de seus moradores” (CARRASCO, 2002, p. 17). </w:t>
      </w:r>
    </w:p>
    <w:p w14:paraId="1B1A7C69" w14:textId="77777777" w:rsidR="008B5E81" w:rsidRPr="008B5E81" w:rsidRDefault="008B5E81" w:rsidP="00C96B75">
      <w:pPr>
        <w:spacing w:line="360" w:lineRule="auto"/>
        <w:ind w:firstLine="708"/>
        <w:jc w:val="both"/>
        <w:rPr>
          <w:rFonts w:eastAsia="Arial" w:cs="Arial"/>
        </w:rPr>
      </w:pPr>
      <w:r w:rsidRPr="008B5E81">
        <w:rPr>
          <w:rFonts w:eastAsia="Arial" w:cs="Arial"/>
        </w:rPr>
        <w:lastRenderedPageBreak/>
        <w:t>A economia feminista escancara a super exploração do trabalho das mulheres e da natureza pelo sistema capitalista patriarcal: “Parte do crescimento econômico e do lucro provém destas duas fontes: aceleração dos ritmos da exploração ou da extração dos recursos naturais e intensificação do trabalho de cuidados realizado fundamentalmente pelas mulheres" (CARRASCO, 2018, p. 56).</w:t>
      </w:r>
    </w:p>
    <w:p w14:paraId="1AE7F53A" w14:textId="62237733" w:rsidR="00216EFF" w:rsidRDefault="008B5E81" w:rsidP="00C96B75">
      <w:pPr>
        <w:spacing w:line="360" w:lineRule="auto"/>
        <w:ind w:firstLine="708"/>
        <w:jc w:val="both"/>
        <w:rPr>
          <w:rFonts w:eastAsia="Arial" w:cs="Arial"/>
        </w:rPr>
      </w:pPr>
      <w:r w:rsidRPr="008B5E81">
        <w:rPr>
          <w:rFonts w:eastAsia="Arial" w:cs="Arial"/>
        </w:rPr>
        <w:t>Logo, as experiências apresentadas vão no caminho de mostrar as alternativas coletivas encontradas por elas em seus territórios, que reconhecem os seus trabalhos, tanto no doméstico e de cuidados, como na produção de alimentos, bebidas e artesanatos, de forma agroecológica e com o fortalecimento dos “comuns”, ou seja, “relações e espaços sociais baseados na solidariedade, no compartilhamento de riquezas, no trabalho cooperativo e nas tomadas de decisão (CAFFENTZIS &amp; FEDERICI, 2013, p. 83-99 apud FEDERICI, 2015, p. 206), principalmente num território cobiçado pelos grandes empreendimentos de energia, os quais mantém relações desiguais de poder com as comunidade e tem aval do Estado para explorar.</w:t>
      </w:r>
    </w:p>
    <w:p w14:paraId="025B982B" w14:textId="77777777" w:rsidR="008B5E81" w:rsidRPr="00216EFF" w:rsidRDefault="008B5E81" w:rsidP="008B5E81">
      <w:pPr>
        <w:spacing w:line="360" w:lineRule="auto"/>
        <w:jc w:val="both"/>
        <w:rPr>
          <w:rFonts w:eastAsia="Arial" w:cs="Arial"/>
        </w:rPr>
      </w:pPr>
    </w:p>
    <w:p w14:paraId="4FB782B1" w14:textId="77777777" w:rsidR="00216EFF" w:rsidRPr="00216EFF" w:rsidRDefault="00216EFF" w:rsidP="00216EFF">
      <w:pPr>
        <w:spacing w:line="360" w:lineRule="auto"/>
        <w:jc w:val="both"/>
        <w:rPr>
          <w:rFonts w:eastAsia="Arial" w:cs="Arial"/>
          <w:b/>
        </w:rPr>
      </w:pPr>
      <w:r w:rsidRPr="00216EFF">
        <w:rPr>
          <w:rFonts w:eastAsia="Arial" w:cs="Arial"/>
          <w:b/>
        </w:rPr>
        <w:t>DESENVOLVIMENTO</w:t>
      </w:r>
    </w:p>
    <w:p w14:paraId="4A93A04A" w14:textId="5F211429" w:rsidR="00C96B75" w:rsidRPr="00C96B75" w:rsidRDefault="00C96B75" w:rsidP="00C96B75">
      <w:pPr>
        <w:spacing w:line="360" w:lineRule="auto"/>
        <w:ind w:firstLine="708"/>
        <w:jc w:val="both"/>
        <w:rPr>
          <w:rFonts w:eastAsia="Arial" w:cs="Arial"/>
        </w:rPr>
      </w:pPr>
      <w:r w:rsidRPr="00C96B75">
        <w:rPr>
          <w:rFonts w:eastAsia="Arial" w:cs="Arial"/>
        </w:rPr>
        <w:t xml:space="preserve">O </w:t>
      </w:r>
      <w:r>
        <w:rPr>
          <w:rFonts w:eastAsia="Arial" w:cs="Arial"/>
        </w:rPr>
        <w:t>P</w:t>
      </w:r>
      <w:r w:rsidRPr="00C96B75">
        <w:rPr>
          <w:rFonts w:eastAsia="Arial" w:cs="Arial"/>
        </w:rPr>
        <w:t xml:space="preserve">rojeto </w:t>
      </w:r>
      <w:proofErr w:type="spellStart"/>
      <w:r w:rsidRPr="00C96B75">
        <w:rPr>
          <w:rFonts w:eastAsia="Arial" w:cs="Arial"/>
        </w:rPr>
        <w:t>Jandaíras</w:t>
      </w:r>
      <w:proofErr w:type="spellEnd"/>
      <w:r w:rsidRPr="00C96B75">
        <w:rPr>
          <w:rFonts w:eastAsia="Arial" w:cs="Arial"/>
        </w:rPr>
        <w:t xml:space="preserve"> é realizado em 09 grupos produtivos de mulheres de povos e comunidades tradicionais (</w:t>
      </w:r>
      <w:proofErr w:type="spellStart"/>
      <w:r w:rsidRPr="00C96B75">
        <w:rPr>
          <w:rFonts w:eastAsia="Arial" w:cs="Arial"/>
        </w:rPr>
        <w:t>PCTs</w:t>
      </w:r>
      <w:proofErr w:type="spellEnd"/>
      <w:r w:rsidRPr="00C96B75">
        <w:rPr>
          <w:rFonts w:eastAsia="Arial" w:cs="Arial"/>
        </w:rPr>
        <w:t>) da Bahia, sendo territórios pesqueiros, quilombolas, assentamentos e fundo e fecho de pasto.</w:t>
      </w:r>
    </w:p>
    <w:p w14:paraId="1C790A21" w14:textId="77777777" w:rsidR="00C96B75" w:rsidRPr="00C96B75" w:rsidRDefault="00C96B75" w:rsidP="00C96B75">
      <w:pPr>
        <w:ind w:left="2124"/>
        <w:jc w:val="both"/>
        <w:rPr>
          <w:rFonts w:eastAsia="Arial" w:cs="Arial"/>
          <w:sz w:val="20"/>
          <w:szCs w:val="20"/>
        </w:rPr>
      </w:pPr>
      <w:r w:rsidRPr="00C96B75">
        <w:rPr>
          <w:rFonts w:eastAsia="Arial" w:cs="Arial"/>
          <w:sz w:val="20"/>
          <w:szCs w:val="20"/>
        </w:rPr>
        <w:t>Povos e comunidades tradicionais são grupos de pessoas que têm uma cultura diferente da maioria da sociedade e que se organizam de um jeito próprio. Eles vivem em lugares importantes para eles, porque lá podem manter suas tradições, suas crenças, seus costumes e seu modo de ganhar a vida. Também sabem muitas coisas sobre a natureza, e usam esses conhecimentos de forma inteligente e sustentável. Esses povos e comunidades são reconhecidos pelo governo federal, que tem o dever de proteger seus direitos (HABITAT, 2025).</w:t>
      </w:r>
    </w:p>
    <w:p w14:paraId="410DDCC0" w14:textId="3BB8C2C3" w:rsidR="00C96B75" w:rsidRPr="00C96B75" w:rsidRDefault="00C96B75" w:rsidP="00C96B75">
      <w:pPr>
        <w:spacing w:line="360" w:lineRule="auto"/>
        <w:jc w:val="both"/>
        <w:rPr>
          <w:rFonts w:eastAsia="Arial" w:cs="Arial"/>
        </w:rPr>
      </w:pPr>
      <w:r w:rsidRPr="00C96B75">
        <w:rPr>
          <w:rFonts w:eastAsia="Arial" w:cs="Arial"/>
        </w:rPr>
        <w:t xml:space="preserve"> </w:t>
      </w:r>
      <w:r w:rsidRPr="00C96B75">
        <w:rPr>
          <w:rFonts w:eastAsia="Arial" w:cs="Arial"/>
        </w:rPr>
        <w:tab/>
        <w:t xml:space="preserve">Neste trabalho vamos tratar de quatro desses grupos, sendo dois de Fundo e Fecho de Pasto, localizados no município de Brotas de Macaúbas/BA, que possui uma população de 11.765 pessoas (IBGE, 2022), área territorial de </w:t>
      </w:r>
      <w:r w:rsidRPr="00C96B75">
        <w:rPr>
          <w:rFonts w:eastAsia="Arial" w:cs="Arial"/>
        </w:rPr>
        <w:lastRenderedPageBreak/>
        <w:t>2.520,817 km² (IBGE, 2023), fica no Território de Identidade Velho Chico</w:t>
      </w:r>
      <w:r w:rsidR="009E1293">
        <w:rPr>
          <w:rStyle w:val="Refdenotaderodap"/>
          <w:rFonts w:eastAsia="Arial" w:cs="Arial"/>
        </w:rPr>
        <w:footnoteReference w:id="7"/>
      </w:r>
      <w:r w:rsidRPr="00C96B75">
        <w:rPr>
          <w:rFonts w:eastAsia="Arial" w:cs="Arial"/>
        </w:rPr>
        <w:t>, nas proximidades do Rio São Francisco, numa região Semiárida com o bioma Caatinga</w:t>
      </w:r>
      <w:r w:rsidR="009E1293">
        <w:rPr>
          <w:rStyle w:val="Refdenotaderodap"/>
          <w:rFonts w:eastAsia="Arial" w:cs="Arial"/>
        </w:rPr>
        <w:footnoteReference w:id="8"/>
      </w:r>
      <w:r w:rsidRPr="00C96B75">
        <w:rPr>
          <w:rFonts w:eastAsia="Arial" w:cs="Arial"/>
        </w:rPr>
        <w:t>.</w:t>
      </w:r>
    </w:p>
    <w:p w14:paraId="4BDA855F" w14:textId="04DB14A4" w:rsidR="00C96B75" w:rsidRPr="00C96B75" w:rsidRDefault="00C96B75" w:rsidP="00C96B75">
      <w:pPr>
        <w:spacing w:line="360" w:lineRule="auto"/>
        <w:jc w:val="both"/>
        <w:rPr>
          <w:rFonts w:eastAsia="Arial" w:cs="Arial"/>
        </w:rPr>
      </w:pPr>
      <w:r w:rsidRPr="00C96B75">
        <w:rPr>
          <w:rFonts w:eastAsia="Arial" w:cs="Arial"/>
        </w:rPr>
        <w:tab/>
        <w:t>E dois grupos Quilombolas, um em território de assentamento e outro em quilombo, localizados no município de Camamu/BA, do Território de Identidade Litoral Sul</w:t>
      </w:r>
      <w:r w:rsidR="009E1293">
        <w:rPr>
          <w:rStyle w:val="Refdenotaderodap"/>
          <w:rFonts w:eastAsia="Arial" w:cs="Arial"/>
        </w:rPr>
        <w:footnoteReference w:id="9"/>
      </w:r>
      <w:r w:rsidRPr="00C96B75">
        <w:rPr>
          <w:rFonts w:eastAsia="Arial" w:cs="Arial"/>
        </w:rPr>
        <w:t>, com vegetação Mata Atlântica, tem uma população de 30.469 pessoas (IBGE, 2022) e área territorial de 839.702 km² (IBGE, 2023).</w:t>
      </w:r>
    </w:p>
    <w:p w14:paraId="193B5C44" w14:textId="77777777" w:rsidR="00C96B75" w:rsidRPr="00C96B75" w:rsidRDefault="00C96B75" w:rsidP="00C96B75">
      <w:pPr>
        <w:spacing w:line="360" w:lineRule="auto"/>
        <w:jc w:val="both"/>
        <w:rPr>
          <w:rFonts w:eastAsia="Arial" w:cs="Arial"/>
        </w:rPr>
      </w:pPr>
      <w:r w:rsidRPr="00C96B75">
        <w:rPr>
          <w:rFonts w:eastAsia="Arial" w:cs="Arial"/>
        </w:rPr>
        <w:tab/>
      </w:r>
      <w:r w:rsidRPr="00C96B75">
        <w:rPr>
          <w:rFonts w:eastAsia="Arial" w:cs="Arial"/>
        </w:rPr>
        <w:tab/>
      </w:r>
      <w:r w:rsidRPr="00C96B75">
        <w:rPr>
          <w:rFonts w:eastAsia="Arial" w:cs="Arial"/>
        </w:rPr>
        <w:tab/>
      </w:r>
    </w:p>
    <w:p w14:paraId="154F4C83" w14:textId="77777777" w:rsidR="00C96B75" w:rsidRPr="00C96B75" w:rsidRDefault="00C96B75" w:rsidP="00C96B75">
      <w:pPr>
        <w:spacing w:line="360" w:lineRule="auto"/>
        <w:jc w:val="both"/>
        <w:rPr>
          <w:rFonts w:eastAsia="Arial" w:cs="Arial"/>
          <w:b/>
          <w:bCs/>
        </w:rPr>
      </w:pPr>
      <w:r w:rsidRPr="00C96B75">
        <w:rPr>
          <w:rFonts w:eastAsia="Arial" w:cs="Arial"/>
          <w:b/>
          <w:bCs/>
        </w:rPr>
        <w:t>GRUPOS JANDAÍRAS DE FUNDO E FECHO DE PASTO</w:t>
      </w:r>
    </w:p>
    <w:p w14:paraId="1E36ECB9" w14:textId="77777777" w:rsidR="00C96B75" w:rsidRPr="00C96B75" w:rsidRDefault="00C96B75" w:rsidP="00C96B75">
      <w:pPr>
        <w:spacing w:line="360" w:lineRule="auto"/>
        <w:ind w:firstLine="708"/>
        <w:jc w:val="both"/>
        <w:rPr>
          <w:rFonts w:eastAsia="Arial" w:cs="Arial"/>
        </w:rPr>
      </w:pPr>
      <w:r w:rsidRPr="00C96B75">
        <w:rPr>
          <w:rFonts w:eastAsia="Arial" w:cs="Arial"/>
        </w:rPr>
        <w:t xml:space="preserve">Os grupos </w:t>
      </w:r>
      <w:proofErr w:type="spellStart"/>
      <w:r w:rsidRPr="00C96B75">
        <w:rPr>
          <w:rFonts w:eastAsia="Arial" w:cs="Arial"/>
        </w:rPr>
        <w:t>Natumel</w:t>
      </w:r>
      <w:proofErr w:type="spellEnd"/>
      <w:r w:rsidRPr="00C96B75">
        <w:rPr>
          <w:rFonts w:eastAsia="Arial" w:cs="Arial"/>
        </w:rPr>
        <w:t xml:space="preserve"> Cosméticos e Artesãs Filhas do Vento, por estarem no mesmo território, vivenciam desafios parecidos na gestão dos seus grupos, indicando a busca por melhorias que ampliem a produção e as vendas, tais como, planejamento, comunicação e identidade visual, gestão financeira e de estoque, canais de vendas e pagamentos online, rotulagem, adequação de estrutura física, logística e distribuição, aquisição de novos equipamentos e captação de recursos por editais, parcerias e ações solidárias, como bingos e doações. </w:t>
      </w:r>
    </w:p>
    <w:p w14:paraId="3C243259" w14:textId="77777777" w:rsidR="00C96B75" w:rsidRPr="00C96B75" w:rsidRDefault="00C96B75" w:rsidP="00C96B75">
      <w:pPr>
        <w:spacing w:line="360" w:lineRule="auto"/>
        <w:ind w:firstLine="708"/>
        <w:jc w:val="both"/>
        <w:rPr>
          <w:rFonts w:eastAsia="Arial" w:cs="Arial"/>
        </w:rPr>
      </w:pPr>
      <w:r w:rsidRPr="00C96B75">
        <w:rPr>
          <w:rFonts w:eastAsia="Arial" w:cs="Arial"/>
        </w:rPr>
        <w:t xml:space="preserve">As Artesãs Filhas do Vento utilizam da palmeira de licuri para a produção de bolsas, cestas, artesanatos utilitários, e o grupo </w:t>
      </w:r>
      <w:proofErr w:type="spellStart"/>
      <w:r w:rsidRPr="00C96B75">
        <w:rPr>
          <w:rFonts w:eastAsia="Arial" w:cs="Arial"/>
        </w:rPr>
        <w:t>Natumel</w:t>
      </w:r>
      <w:proofErr w:type="spellEnd"/>
      <w:r w:rsidRPr="00C96B75">
        <w:rPr>
          <w:rFonts w:eastAsia="Arial" w:cs="Arial"/>
        </w:rPr>
        <w:t xml:space="preserve"> cria abelhas e </w:t>
      </w:r>
      <w:r w:rsidRPr="00C96B75">
        <w:rPr>
          <w:rFonts w:eastAsia="Arial" w:cs="Arial"/>
        </w:rPr>
        <w:lastRenderedPageBreak/>
        <w:t xml:space="preserve">produz cosméticos naturais a base de mel e própolis, como forma de preservação das espécies do bioma da Caatinga, mas também como forma de cuidado e alternatividades resguardando como patrimônio formas ancestrais de alimentação, dos cuidados com a terra e com os seres. </w:t>
      </w:r>
    </w:p>
    <w:p w14:paraId="53AC6290" w14:textId="77777777" w:rsidR="00C96B75" w:rsidRPr="00C96B75" w:rsidRDefault="00C96B75" w:rsidP="00C96B75">
      <w:pPr>
        <w:spacing w:line="360" w:lineRule="auto"/>
        <w:ind w:firstLine="708"/>
        <w:jc w:val="both"/>
        <w:rPr>
          <w:rFonts w:eastAsia="Arial" w:cs="Arial"/>
        </w:rPr>
      </w:pPr>
      <w:r w:rsidRPr="00C96B75">
        <w:rPr>
          <w:rFonts w:eastAsia="Arial" w:cs="Arial"/>
        </w:rPr>
        <w:t>A necessidade de maior visibilidade dos produtos é uma preocupação comum aos grupos, sendo a origem da sociobiodiversidade da Caatinga e o modo de fazer ancestral estratégica para tal ação. Vale ressaltar a importância de produtos como estes fazerem parte de publicações especializadas, como o “Catálogo de Produtos da Sociobiodiversidade do Brasil” ou similares.</w:t>
      </w:r>
    </w:p>
    <w:p w14:paraId="174E0D2D" w14:textId="77777777" w:rsidR="00C96B75" w:rsidRPr="00C96B75" w:rsidRDefault="00C96B75" w:rsidP="00C96B75">
      <w:pPr>
        <w:spacing w:line="360" w:lineRule="auto"/>
        <w:ind w:firstLine="708"/>
        <w:jc w:val="both"/>
        <w:rPr>
          <w:rFonts w:eastAsia="Arial" w:cs="Arial"/>
        </w:rPr>
      </w:pPr>
      <w:r w:rsidRPr="00C96B75">
        <w:rPr>
          <w:rFonts w:eastAsia="Arial" w:cs="Arial"/>
        </w:rPr>
        <w:t xml:space="preserve">A auto-organização das mulheres destes coletivos são, em sua maioria, lideranças em seus territórios e atuantes em outros espaços de conhecimento e formação de base popular, sindicatos, associações e inclusive, prefeituras e escolas, o que possibilita um maior acesso a informações e entendimento dos processos da chegada de megaempreendimentos. </w:t>
      </w:r>
    </w:p>
    <w:p w14:paraId="285C292D" w14:textId="77777777" w:rsidR="00C96B75" w:rsidRPr="00C96B75" w:rsidRDefault="00C96B75" w:rsidP="00C96B75">
      <w:pPr>
        <w:spacing w:line="360" w:lineRule="auto"/>
        <w:ind w:firstLine="708"/>
        <w:jc w:val="both"/>
        <w:rPr>
          <w:rFonts w:eastAsia="Arial" w:cs="Arial"/>
        </w:rPr>
      </w:pPr>
      <w:r w:rsidRPr="00C96B75">
        <w:rPr>
          <w:rFonts w:eastAsia="Arial" w:cs="Arial"/>
        </w:rPr>
        <w:t xml:space="preserve">Assim, uma das estratégias das mulheres consiste no diálogo em grupo, o que facilita o entendimento e a própria tomada de decisão, mas também de unificação de forças entre organizações para pensarem e buscarem estratégias em conjunto pela defesa de direitos e do território. </w:t>
      </w:r>
    </w:p>
    <w:p w14:paraId="72A4752B" w14:textId="77777777" w:rsidR="00C96B75" w:rsidRPr="00C96B75" w:rsidRDefault="00C96B75" w:rsidP="00C96B75">
      <w:pPr>
        <w:spacing w:line="360" w:lineRule="auto"/>
        <w:ind w:firstLine="708"/>
        <w:jc w:val="both"/>
        <w:rPr>
          <w:rFonts w:eastAsia="Arial" w:cs="Arial"/>
        </w:rPr>
      </w:pPr>
      <w:r w:rsidRPr="00C96B75">
        <w:rPr>
          <w:rFonts w:eastAsia="Arial" w:cs="Arial"/>
        </w:rPr>
        <w:t>Dentro desse contexto, as práticas e os saberes tradicionais, são fatores que unem as mulheres para o fazer e para geração de renda, sendo o precursor de outras iniciativas de defesa organizada, pois permite que elas se encontrem, dialoguem, partilhem suas experiências e suas observações do que ocorre ao seu redor, seja na perspectiva ambiental, social e econômica.</w:t>
      </w:r>
    </w:p>
    <w:p w14:paraId="633E8B43" w14:textId="2A2FD9F3" w:rsidR="00216EFF" w:rsidRPr="00216EFF" w:rsidRDefault="00C96B75" w:rsidP="00C96B75">
      <w:pPr>
        <w:spacing w:line="360" w:lineRule="auto"/>
        <w:ind w:firstLine="708"/>
        <w:jc w:val="both"/>
        <w:rPr>
          <w:rFonts w:eastAsia="Arial" w:cs="Arial"/>
        </w:rPr>
      </w:pPr>
      <w:r w:rsidRPr="00C96B75">
        <w:rPr>
          <w:rFonts w:eastAsia="Arial" w:cs="Arial"/>
        </w:rPr>
        <w:t>A biodiversidade no território de fundo e fecho de pasto permite esse fazer coletivo de artesanato, produtos medicinais, cosméticos e alimentares:</w:t>
      </w:r>
    </w:p>
    <w:p w14:paraId="5F4C9593" w14:textId="77777777" w:rsidR="00C96B75" w:rsidRPr="00C96B75" w:rsidRDefault="00C96B75" w:rsidP="00C96B75">
      <w:pPr>
        <w:ind w:left="2124"/>
        <w:jc w:val="both"/>
        <w:rPr>
          <w:rFonts w:eastAsia="Arial" w:cs="Arial"/>
          <w:sz w:val="20"/>
          <w:szCs w:val="20"/>
        </w:rPr>
      </w:pPr>
      <w:r w:rsidRPr="00C96B75">
        <w:rPr>
          <w:rFonts w:eastAsia="Arial" w:cs="Arial"/>
          <w:sz w:val="20"/>
          <w:szCs w:val="20"/>
        </w:rPr>
        <w:t xml:space="preserve">[...] na área identificada como Caatinga são encontradas populações significativas de juazeiro, quixabeira, umburana de cambão, catingueira e jurema, entre outras. [...] Destaca-se a presença das fruteiras nativas como umbuzeiro, cajazeira, cajueiro, jabuticabeira, entre outras que produzem todos os anos, sejam mais chuvosos ou mais </w:t>
      </w:r>
      <w:r w:rsidRPr="00C96B75">
        <w:rPr>
          <w:rFonts w:eastAsia="Arial" w:cs="Arial"/>
          <w:sz w:val="20"/>
          <w:szCs w:val="20"/>
        </w:rPr>
        <w:lastRenderedPageBreak/>
        <w:t xml:space="preserve">secos. A importância das culturas nativas, além da manutenção da biodiversidade, reside no fato que a estas tem sido agregado valor quando beneficiadas na forma de geleia, doces, compotas, sucos, passas, entre outros, sendo fonte de renda para as famílias </w:t>
      </w:r>
      <w:proofErr w:type="spellStart"/>
      <w:proofErr w:type="gramStart"/>
      <w:r w:rsidRPr="00C96B75">
        <w:rPr>
          <w:rFonts w:eastAsia="Arial" w:cs="Arial"/>
          <w:sz w:val="20"/>
          <w:szCs w:val="20"/>
        </w:rPr>
        <w:t>locais.O</w:t>
      </w:r>
      <w:proofErr w:type="spellEnd"/>
      <w:proofErr w:type="gramEnd"/>
      <w:r w:rsidRPr="00C96B75">
        <w:rPr>
          <w:rFonts w:eastAsia="Arial" w:cs="Arial"/>
          <w:sz w:val="20"/>
          <w:szCs w:val="20"/>
        </w:rPr>
        <w:t xml:space="preserve"> uso do solo tem como predominância a pastagem em áreas de Caatinga, com a presença do pastoreio extensivo predominantemente de animais de pequeno porte. Também é encontrado o cultivo de agricultura camponesa, fortemente marcada por policulturas temporárias tradicionais (GERMANI e OLIVEIRA, 2020, p. 354). </w:t>
      </w:r>
    </w:p>
    <w:p w14:paraId="4F7EE0E8" w14:textId="77777777" w:rsidR="00C96B75" w:rsidRDefault="00C96B75" w:rsidP="00C96B75">
      <w:pPr>
        <w:spacing w:line="360" w:lineRule="auto"/>
        <w:jc w:val="both"/>
        <w:rPr>
          <w:rFonts w:eastAsia="Arial" w:cs="Arial"/>
        </w:rPr>
      </w:pPr>
      <w:r>
        <w:rPr>
          <w:rFonts w:eastAsia="Arial" w:cs="Arial"/>
        </w:rPr>
        <w:tab/>
      </w:r>
      <w:r>
        <w:rPr>
          <w:rFonts w:eastAsia="Arial" w:cs="Arial"/>
        </w:rPr>
        <w:tab/>
      </w:r>
    </w:p>
    <w:p w14:paraId="5B2269D2" w14:textId="41F0D742" w:rsidR="00C96B75" w:rsidRPr="00C96B75" w:rsidRDefault="00C96B75" w:rsidP="00C96B75">
      <w:pPr>
        <w:spacing w:line="360" w:lineRule="auto"/>
        <w:ind w:firstLine="708"/>
        <w:jc w:val="both"/>
        <w:rPr>
          <w:rFonts w:eastAsia="Arial" w:cs="Arial"/>
        </w:rPr>
      </w:pPr>
      <w:r w:rsidRPr="00C96B75">
        <w:rPr>
          <w:rFonts w:eastAsia="Arial" w:cs="Arial"/>
        </w:rPr>
        <w:t>Essas comunidades tradicionais são conhecidas por manter a prática ancestral de “utilizar terras na forma de uso comum”, preservar a Caatinga e priorizar o trabalho entre as pessoas com parentesco próximo. </w:t>
      </w:r>
    </w:p>
    <w:p w14:paraId="52427209" w14:textId="77777777" w:rsidR="00C96B75" w:rsidRPr="00C96B75" w:rsidRDefault="00C96B75" w:rsidP="00C96B75">
      <w:pPr>
        <w:ind w:left="2124"/>
        <w:jc w:val="both"/>
        <w:rPr>
          <w:rFonts w:eastAsia="Arial" w:cs="Arial"/>
          <w:sz w:val="20"/>
          <w:szCs w:val="20"/>
        </w:rPr>
      </w:pPr>
      <w:r w:rsidRPr="00C96B75">
        <w:rPr>
          <w:rFonts w:eastAsia="Arial" w:cs="Arial"/>
          <w:sz w:val="20"/>
          <w:szCs w:val="20"/>
        </w:rPr>
        <w:t>As comunidades Tradicionais de Fundo de Pasto possuem uma relação de simbiose com a vegetação local, onde os trabalhos desenvolvidos não impactam o meio ambiente, possibilitando, ao mesmo tempo em que se reproduz, retirar da natureza o que lhe é necessário, preservar essa mesma natureza como um legado para as gerações futuras (GEOGRAFAR/UFBA, 2023).</w:t>
      </w:r>
    </w:p>
    <w:p w14:paraId="60992E19" w14:textId="38E9AA16" w:rsidR="00C96B75" w:rsidRPr="00C96B75" w:rsidRDefault="00C96B75" w:rsidP="00C96B75">
      <w:pPr>
        <w:spacing w:line="360" w:lineRule="auto"/>
        <w:ind w:firstLine="708"/>
        <w:jc w:val="both"/>
        <w:rPr>
          <w:rFonts w:eastAsia="Arial" w:cs="Arial"/>
        </w:rPr>
      </w:pPr>
      <w:r w:rsidRPr="00C96B75">
        <w:rPr>
          <w:rFonts w:eastAsia="Arial" w:cs="Arial"/>
        </w:rPr>
        <w:t>Nos últimos 200 anos, essas comunidades ficaram populares nos anos 80, pelo reconhecimento na legislação da Bahia</w:t>
      </w:r>
      <w:r w:rsidR="009E1293">
        <w:rPr>
          <w:rStyle w:val="Refdenotaderodap"/>
          <w:rFonts w:eastAsia="Arial" w:cs="Arial"/>
        </w:rPr>
        <w:footnoteReference w:id="10"/>
      </w:r>
      <w:r w:rsidRPr="00C96B75">
        <w:rPr>
          <w:rFonts w:eastAsia="Arial" w:cs="Arial"/>
        </w:rPr>
        <w:t xml:space="preserve"> e pelos enfrentamentos ao aumento da grilagem de terras para o agronegócio. Em 2023 foi julgado pelo Supremo Tribunal Federal - STF a inclusão de </w:t>
      </w:r>
      <w:proofErr w:type="spellStart"/>
      <w:r w:rsidRPr="00C96B75">
        <w:rPr>
          <w:rFonts w:eastAsia="Arial" w:cs="Arial"/>
        </w:rPr>
        <w:t>PCTs</w:t>
      </w:r>
      <w:proofErr w:type="spellEnd"/>
      <w:r w:rsidRPr="00C96B75">
        <w:rPr>
          <w:rFonts w:eastAsia="Arial" w:cs="Arial"/>
        </w:rPr>
        <w:t xml:space="preserve"> de Fundo e Fecho de Pasto e Quilombolas no dispositivo do Marco Temporal</w:t>
      </w:r>
      <w:r w:rsidR="009E1293">
        <w:rPr>
          <w:rStyle w:val="Refdenotaderodap"/>
          <w:rFonts w:eastAsia="Arial" w:cs="Arial"/>
        </w:rPr>
        <w:footnoteReference w:id="11"/>
      </w:r>
      <w:r w:rsidRPr="00C96B75">
        <w:rPr>
          <w:rFonts w:eastAsia="Arial" w:cs="Arial"/>
        </w:rPr>
        <w:t>, sendo declarado inconstitucional diante da pressão social. Além dessas questões, que aumentam a violência no campo, há novos desafios para permanência nos territórios, como a chegada voraz dos megaempreendimentos eólicos e de extração de minério. </w:t>
      </w:r>
    </w:p>
    <w:p w14:paraId="6F8A58CF" w14:textId="77777777" w:rsidR="00C96B75" w:rsidRPr="00C96B75" w:rsidRDefault="00C96B75" w:rsidP="00C96B75">
      <w:pPr>
        <w:spacing w:line="360" w:lineRule="auto"/>
        <w:ind w:firstLine="708"/>
        <w:jc w:val="both"/>
        <w:rPr>
          <w:rFonts w:eastAsia="Arial" w:cs="Arial"/>
        </w:rPr>
      </w:pPr>
      <w:r w:rsidRPr="00C96B75">
        <w:rPr>
          <w:rFonts w:eastAsia="Arial" w:cs="Arial"/>
        </w:rPr>
        <w:t xml:space="preserve">Assim, a partir dessas questões que afligem as mulheres a nível de território, elas são desafiadas a buscarem estratégias cotidianas para encarar esse modelo de desenvolvimento impulsionado pelo Estado. Os megaempreendimentos se apresentam nas comunidades “ofertando” apoio com </w:t>
      </w:r>
      <w:r w:rsidRPr="00C96B75">
        <w:rPr>
          <w:rFonts w:eastAsia="Arial" w:cs="Arial"/>
        </w:rPr>
        <w:lastRenderedPageBreak/>
        <w:t xml:space="preserve">recurso para projetos socioambientais, fazendo uso dessas ações junto com a comunidade para seu marketing publicitário, como é o caso da empresa </w:t>
      </w:r>
      <w:proofErr w:type="spellStart"/>
      <w:r w:rsidRPr="00C96B75">
        <w:rPr>
          <w:rFonts w:eastAsia="Arial" w:cs="Arial"/>
        </w:rPr>
        <w:t>Statkraft</w:t>
      </w:r>
      <w:proofErr w:type="spellEnd"/>
      <w:r w:rsidRPr="00C96B75">
        <w:rPr>
          <w:rFonts w:eastAsia="Arial" w:cs="Arial"/>
        </w:rPr>
        <w:t>, mas que na realidade faz parte das obrigações das empresas realizar a compensação ambiental. </w:t>
      </w:r>
    </w:p>
    <w:p w14:paraId="297DF456" w14:textId="77777777" w:rsidR="00C96B75" w:rsidRPr="00C96B75" w:rsidRDefault="00C96B75" w:rsidP="00C96B75">
      <w:pPr>
        <w:spacing w:line="360" w:lineRule="auto"/>
        <w:ind w:firstLine="708"/>
        <w:jc w:val="both"/>
        <w:rPr>
          <w:rFonts w:eastAsia="Arial" w:cs="Arial"/>
        </w:rPr>
      </w:pPr>
      <w:r w:rsidRPr="00C96B75">
        <w:rPr>
          <w:rFonts w:eastAsia="Arial" w:cs="Arial"/>
        </w:rPr>
        <w:t xml:space="preserve">Nesse contexto foram apontados tanto no grupo Artesãs Filhas do Vento, como no grupo </w:t>
      </w:r>
      <w:proofErr w:type="spellStart"/>
      <w:r w:rsidRPr="00C96B75">
        <w:rPr>
          <w:rFonts w:eastAsia="Arial" w:cs="Arial"/>
        </w:rPr>
        <w:t>Natumel</w:t>
      </w:r>
      <w:proofErr w:type="spellEnd"/>
      <w:r w:rsidRPr="00C96B75">
        <w:rPr>
          <w:rFonts w:eastAsia="Arial" w:cs="Arial"/>
        </w:rPr>
        <w:t xml:space="preserve">, o contato para realização de parceria para formações, capacitações e assessoria. Por isso, é de fundamental importância que as mulheres em seus sindicatos e associações busquem por informações a fim de compreenderem os processos que sucedem em seus territórios, pois inclusive, órgãos que deveriam ser uma unidade em defesa dos direitos dos </w:t>
      </w:r>
      <w:proofErr w:type="spellStart"/>
      <w:r w:rsidRPr="00C96B75">
        <w:rPr>
          <w:rFonts w:eastAsia="Arial" w:cs="Arial"/>
        </w:rPr>
        <w:t>PCT’s</w:t>
      </w:r>
      <w:proofErr w:type="spellEnd"/>
      <w:r w:rsidRPr="00C96B75">
        <w:rPr>
          <w:rFonts w:eastAsia="Arial" w:cs="Arial"/>
        </w:rPr>
        <w:t>, na realidade apoiam as empresas de fora, ofertando as mesmas com a isenção de impostos e outros benefícios.</w:t>
      </w:r>
    </w:p>
    <w:p w14:paraId="601359E3" w14:textId="77777777" w:rsidR="00C96B75" w:rsidRPr="00C96B75" w:rsidRDefault="00C96B75" w:rsidP="00C96B75">
      <w:pPr>
        <w:spacing w:line="360" w:lineRule="auto"/>
        <w:ind w:firstLine="708"/>
        <w:jc w:val="both"/>
        <w:rPr>
          <w:rFonts w:eastAsia="Arial" w:cs="Arial"/>
        </w:rPr>
      </w:pPr>
      <w:r w:rsidRPr="00C96B75">
        <w:rPr>
          <w:rFonts w:eastAsia="Arial" w:cs="Arial"/>
        </w:rPr>
        <w:t>Pois é no manejar da palha de licuri para artesanato utilitário, do uso do licuri para alimentar-se, no manejo e criação das abelhas para a produção de cosméticos naturais, alimento e produção de remédios naturais que as mulheres utilizam de recursos naturais de forma sustentável, desenvolvendo estratégias para autonomia econômica e o fortalecimento territorial. </w:t>
      </w:r>
    </w:p>
    <w:p w14:paraId="616C40B7" w14:textId="77777777" w:rsidR="00C96B75" w:rsidRPr="00C96B75" w:rsidRDefault="00C96B75" w:rsidP="00C96B75">
      <w:pPr>
        <w:spacing w:line="360" w:lineRule="auto"/>
        <w:ind w:firstLine="708"/>
        <w:jc w:val="both"/>
        <w:rPr>
          <w:rFonts w:eastAsia="Arial" w:cs="Arial"/>
        </w:rPr>
      </w:pPr>
      <w:r w:rsidRPr="00C96B75">
        <w:rPr>
          <w:rFonts w:eastAsia="Arial" w:cs="Arial"/>
        </w:rPr>
        <w:t>Em ambos os casos, o desmatamento em favor dos parques eólicos, apresentam uma perda de alimento e moradia às abelhas e sua criação, como também um risco à cultura de licuri. O aspecto ambiental também está associado à perda de identidade da comunidade de fundo de pasto aos costumes e a forma de viver como a criação de gado solto. Essas empresas distribuem no decorrer das estradas os conhecidos “mata-burros”, estrutura posta no solo com o objetivo de prender a pata de animais e aos poucos afastar o gado das estradas que passam as hélices das turbinas eólicas.  </w:t>
      </w:r>
    </w:p>
    <w:p w14:paraId="10FB91DD" w14:textId="25779D40" w:rsidR="00C96B75" w:rsidRPr="00C96B75" w:rsidRDefault="00C96B75" w:rsidP="00C96B75">
      <w:pPr>
        <w:spacing w:line="360" w:lineRule="auto"/>
        <w:ind w:firstLine="708"/>
        <w:jc w:val="both"/>
        <w:rPr>
          <w:rFonts w:eastAsia="Arial" w:cs="Arial"/>
        </w:rPr>
      </w:pPr>
      <w:r w:rsidRPr="00C96B75">
        <w:rPr>
          <w:rFonts w:eastAsia="Arial" w:cs="Arial"/>
        </w:rPr>
        <w:t>Vale destacar ainda frente a chegada desse</w:t>
      </w:r>
      <w:r>
        <w:rPr>
          <w:rFonts w:eastAsia="Arial" w:cs="Arial"/>
        </w:rPr>
        <w:t>s</w:t>
      </w:r>
      <w:r w:rsidRPr="00C96B75">
        <w:rPr>
          <w:rFonts w:eastAsia="Arial" w:cs="Arial"/>
        </w:rPr>
        <w:t xml:space="preserve"> empreendimentos, o aumento de assédios por parte dos homens que estão de passagem pelos territórios, vindos para trabalhar temporariamente nessas empresas eólicas. Os </w:t>
      </w:r>
      <w:r w:rsidRPr="00C96B75">
        <w:rPr>
          <w:rFonts w:eastAsia="Arial" w:cs="Arial"/>
        </w:rPr>
        <w:lastRenderedPageBreak/>
        <w:t>homens assediam as mulheres em festejos tradicionais, como foram relatados pelas próprias mulheres nesses territórios. A problemática que se repete em outros estados, como a Paraíba, onde as mulheres organizadas trazem à tona essa situação ao criarem o grupo “os filhos do vento” sobre as crianças órfãs de pai, advindas de relações com trabalhadores dessas empresas, e que geralmente, não assumem a paternidade das crianças.</w:t>
      </w:r>
    </w:p>
    <w:p w14:paraId="1E17758C" w14:textId="3576889C" w:rsidR="00C96B75" w:rsidRPr="00C96B75" w:rsidRDefault="00C96B75" w:rsidP="00C96B75">
      <w:pPr>
        <w:spacing w:line="360" w:lineRule="auto"/>
        <w:jc w:val="both"/>
        <w:rPr>
          <w:rFonts w:eastAsia="Arial" w:cs="Arial"/>
        </w:rPr>
      </w:pPr>
      <w:r w:rsidRPr="00C96B75">
        <w:rPr>
          <w:rFonts w:eastAsia="Arial" w:cs="Arial"/>
        </w:rPr>
        <w:tab/>
        <w:t>Os moradores do território têm outras questões que os preocupam, como é o caso da Educação no ensino médio que se dá com aula online, em que os alunos vão para a escola e um supervisor conecta a turma com o professor que dá aula de Salvador. Dificuldades no transporte para aulas na Escola da Família Agrícola. Em relação aos desmatamentos têm a ameaça de extinção do tatu-bola do nordeste</w:t>
      </w:r>
      <w:r w:rsidR="000E3E10">
        <w:rPr>
          <w:rStyle w:val="Refdenotaderodap"/>
          <w:rFonts w:eastAsia="Arial" w:cs="Arial"/>
        </w:rPr>
        <w:footnoteReference w:id="12"/>
      </w:r>
      <w:r w:rsidRPr="00C96B75">
        <w:rPr>
          <w:rFonts w:eastAsia="Arial" w:cs="Arial"/>
        </w:rPr>
        <w:t>, animal retratado pelas Artesãs do Vento em uma linda peça de fibra de licuri. </w:t>
      </w:r>
    </w:p>
    <w:p w14:paraId="0505406C" w14:textId="12AF9CED" w:rsidR="00C96B75" w:rsidRDefault="00C96B75" w:rsidP="00C96B75">
      <w:pPr>
        <w:spacing w:line="360" w:lineRule="auto"/>
        <w:ind w:firstLine="708"/>
        <w:jc w:val="both"/>
        <w:rPr>
          <w:rFonts w:eastAsia="Arial" w:cs="Arial"/>
        </w:rPr>
      </w:pPr>
      <w:r w:rsidRPr="00C96B75">
        <w:rPr>
          <w:rFonts w:eastAsia="Arial" w:cs="Arial"/>
        </w:rPr>
        <w:t>A empregabilidade prometida com a chegada dos empreendimentos fica restrita a alguns homens. A falta de transparência nos contratos sigilosos de uso da terra demonstra o poder do capital nos territórios com aval do poder público, além de fragmentar as comunidades com o cercamento dessas terras para uso privativo das empresas. Interferência na criação de animais soltos, além do barulho e da luz vermelha. É possível perceber a migração forçada diante da nova realidade.</w:t>
      </w:r>
    </w:p>
    <w:p w14:paraId="1FCEE7A7" w14:textId="77777777" w:rsidR="000D403E" w:rsidRPr="000D403E" w:rsidRDefault="000D403E" w:rsidP="000D403E">
      <w:pPr>
        <w:spacing w:line="360" w:lineRule="auto"/>
        <w:jc w:val="both"/>
        <w:rPr>
          <w:rFonts w:eastAsia="Arial" w:cs="Arial"/>
        </w:rPr>
      </w:pPr>
      <w:r w:rsidRPr="000D403E">
        <w:rPr>
          <w:rFonts w:eastAsia="Arial" w:cs="Arial"/>
          <w:b/>
          <w:bCs/>
        </w:rPr>
        <w:t>GRUPOS JANDAÍRAS DE ASSENTAMENTO E QUILOMBO</w:t>
      </w:r>
    </w:p>
    <w:p w14:paraId="5F99B75A" w14:textId="1478682B" w:rsidR="000D403E" w:rsidRPr="000D403E" w:rsidRDefault="000D403E" w:rsidP="000D403E">
      <w:pPr>
        <w:spacing w:line="360" w:lineRule="auto"/>
        <w:jc w:val="both"/>
        <w:rPr>
          <w:rFonts w:eastAsia="Arial" w:cs="Arial"/>
        </w:rPr>
      </w:pPr>
      <w:r w:rsidRPr="000D403E">
        <w:rPr>
          <w:rFonts w:eastAsia="Arial" w:cs="Arial"/>
        </w:rPr>
        <w:tab/>
        <w:t>A produção dos grupos Roçado de Mulheres da Dandara e Quilombo do Barroso refletem “os saberes e sabores ancestrais”</w:t>
      </w:r>
      <w:r w:rsidR="000E3E10">
        <w:rPr>
          <w:rStyle w:val="Refdenotaderodap"/>
          <w:rFonts w:eastAsia="Arial" w:cs="Arial"/>
        </w:rPr>
        <w:footnoteReference w:id="13"/>
      </w:r>
      <w:r w:rsidRPr="000D403E">
        <w:rPr>
          <w:rFonts w:eastAsia="Arial" w:cs="Arial"/>
        </w:rPr>
        <w:t xml:space="preserve"> típicos da culinária </w:t>
      </w:r>
      <w:r w:rsidRPr="000D403E">
        <w:rPr>
          <w:rFonts w:eastAsia="Arial" w:cs="Arial"/>
        </w:rPr>
        <w:lastRenderedPageBreak/>
        <w:t>quilombola (MDA, 2024). O Dandara produz alimentos à base de aipim e beneficiamento de cacau e cupuaçu e o Barroso de aipim e cacau.</w:t>
      </w:r>
    </w:p>
    <w:p w14:paraId="271BCEB0" w14:textId="77777777" w:rsidR="000D403E" w:rsidRPr="000D403E" w:rsidRDefault="000D403E" w:rsidP="000D403E">
      <w:pPr>
        <w:ind w:left="2124"/>
        <w:jc w:val="both"/>
        <w:rPr>
          <w:rFonts w:eastAsia="Arial" w:cs="Arial"/>
          <w:sz w:val="20"/>
          <w:szCs w:val="20"/>
        </w:rPr>
      </w:pPr>
      <w:r w:rsidRPr="000D403E">
        <w:rPr>
          <w:rFonts w:eastAsia="Arial" w:cs="Arial"/>
          <w:sz w:val="20"/>
          <w:szCs w:val="20"/>
        </w:rPr>
        <w:t>A culinária quilombola é um reflexo direto da história de resistência e adaptação das comunidades negras no Brasil. Originárias de territórios conquistados e cultivados por pessoas que fugiram da escravidão, essas comunidades mantêm até hoje práticas alimentares do período colonial. A relação entre a agricultura familiar e a produção de alimentos nas comunidades quilombolas é uma das principais fontes de subsistência e identidade, sendo profundamente ligada ao cuidado com a terra e ao uso sustentável dos recursos naturais. Nas comunidades quilombolas, a base alimentar é composta por cultivos que, em sua grande maioria, são de culturas temporárias e permanentes, como mandioca, milho, feijão, macaxeira, caju, acerola, mamão, banana, umbu e coco. Esses alimentos não só fazem parte do cotidiano dessas populações, mas também são cultivados com práticas que buscam garantir a preservação do território para as futuras gerações. O cuidado com a terra é um princípio fundamental para a permanência dessas comunidades em seus territórios, evitando a degradação ambiental e respeitando os ciclos naturais (MDA, 2024).</w:t>
      </w:r>
    </w:p>
    <w:p w14:paraId="38217E99" w14:textId="77777777" w:rsidR="000D403E" w:rsidRPr="000D403E" w:rsidRDefault="000D403E" w:rsidP="000D403E">
      <w:pPr>
        <w:spacing w:line="360" w:lineRule="auto"/>
        <w:ind w:firstLine="708"/>
        <w:jc w:val="both"/>
        <w:rPr>
          <w:rFonts w:eastAsia="Arial" w:cs="Arial"/>
        </w:rPr>
      </w:pPr>
      <w:r w:rsidRPr="000D403E">
        <w:rPr>
          <w:rFonts w:eastAsia="Arial" w:cs="Arial"/>
        </w:rPr>
        <w:t>O Dandara tem infraestrutura produtiva composta por equipamentos como freezer, fogão e liquidificador industrial que foram doados por entidades ao Grupo. Porém, a estrutura física precisa de adequação para atender a legislação sanitária. </w:t>
      </w:r>
    </w:p>
    <w:p w14:paraId="780273A5" w14:textId="6C85F782" w:rsidR="000D403E" w:rsidRPr="000D403E" w:rsidRDefault="000D403E" w:rsidP="000D403E">
      <w:pPr>
        <w:spacing w:line="360" w:lineRule="auto"/>
        <w:ind w:firstLine="708"/>
        <w:jc w:val="both"/>
        <w:rPr>
          <w:rFonts w:eastAsia="Arial" w:cs="Arial"/>
        </w:rPr>
      </w:pPr>
      <w:r w:rsidRPr="000D403E">
        <w:rPr>
          <w:rFonts w:eastAsia="Arial" w:cs="Arial"/>
        </w:rPr>
        <w:t xml:space="preserve">A característica de acesso </w:t>
      </w:r>
      <w:r>
        <w:rPr>
          <w:rFonts w:eastAsia="Arial" w:cs="Arial"/>
        </w:rPr>
        <w:t>à</w:t>
      </w:r>
      <w:r w:rsidRPr="000D403E">
        <w:rPr>
          <w:rFonts w:eastAsia="Arial" w:cs="Arial"/>
        </w:rPr>
        <w:t xml:space="preserve"> terra foi por meio de assentamento, após 30 anos de reivindicações, em 1997 surge o Assentamento Dandara e em 1999 a doação foi aprovada. “Em 2004 a comunidade iniciou a produção de alimentos nos quintais, a criação de pequenos animais, o resgate das plantas medicinais e dos remédios caseiros e um programa de reeducação alimentar” (ASPTA, 2024).</w:t>
      </w:r>
    </w:p>
    <w:p w14:paraId="111B6666" w14:textId="77777777" w:rsidR="000D403E" w:rsidRPr="000D403E" w:rsidRDefault="000D403E" w:rsidP="000E3E10">
      <w:pPr>
        <w:ind w:left="2124"/>
        <w:jc w:val="both"/>
        <w:rPr>
          <w:rFonts w:eastAsia="Arial" w:cs="Arial"/>
        </w:rPr>
      </w:pPr>
      <w:r w:rsidRPr="000D403E">
        <w:rPr>
          <w:rFonts w:eastAsia="Arial" w:cs="Arial"/>
        </w:rPr>
        <w:t>Os assentados são os trabalhadores e trabalhadoras do campo que, após a fase de mobilizações e acampamentos em terras improdutivas, obtiveram respaldo do Estado nas demandas pelo direito à terra e adquiriram formalmente as propriedades rurais. Eles se reúnem em unidades agrícolas dentro do assentamento, onde vivem e realizam sua produção familiar (CPT, 2025). </w:t>
      </w:r>
    </w:p>
    <w:p w14:paraId="6334086E" w14:textId="77777777" w:rsidR="000D403E" w:rsidRPr="000D403E" w:rsidRDefault="000D403E" w:rsidP="000D403E">
      <w:pPr>
        <w:spacing w:line="360" w:lineRule="auto"/>
        <w:jc w:val="both"/>
        <w:rPr>
          <w:rFonts w:eastAsia="Arial" w:cs="Arial"/>
        </w:rPr>
      </w:pPr>
    </w:p>
    <w:p w14:paraId="5E3458B3" w14:textId="77777777" w:rsidR="000D403E" w:rsidRPr="000D403E" w:rsidRDefault="000D403E" w:rsidP="000E3E10">
      <w:pPr>
        <w:spacing w:line="360" w:lineRule="auto"/>
        <w:ind w:firstLine="708"/>
        <w:jc w:val="both"/>
        <w:rPr>
          <w:rFonts w:eastAsia="Arial" w:cs="Arial"/>
        </w:rPr>
      </w:pPr>
      <w:r w:rsidRPr="000D403E">
        <w:rPr>
          <w:rFonts w:eastAsia="Arial" w:cs="Arial"/>
        </w:rPr>
        <w:lastRenderedPageBreak/>
        <w:t>Porém, o Barroso conseguiu o reconhecimento enquanto território remanescente de quilombo em 2008, mesmo com mais de 200 anos de história no local.</w:t>
      </w:r>
    </w:p>
    <w:p w14:paraId="193BA4B8" w14:textId="77777777" w:rsidR="000D403E" w:rsidRPr="000D403E" w:rsidRDefault="000D403E" w:rsidP="000D403E">
      <w:pPr>
        <w:ind w:left="2124"/>
        <w:jc w:val="both"/>
        <w:rPr>
          <w:rFonts w:eastAsia="Arial" w:cs="Arial"/>
          <w:sz w:val="20"/>
          <w:szCs w:val="20"/>
        </w:rPr>
      </w:pPr>
      <w:r w:rsidRPr="000D403E">
        <w:rPr>
          <w:rFonts w:eastAsia="Arial" w:cs="Arial"/>
          <w:sz w:val="20"/>
          <w:szCs w:val="20"/>
        </w:rPr>
        <w:t>Os quilombos, no contexto da escravidão do período colonial no Brasil, representavam um local de fuga e luta pela liberdade para os povos negros escravizados. Derivada desse espaço de resistência, a denominação “quilombola” abrange todas as comunidades remanescentes desses povos no passado, espalhadas por todo o território nacional. Dados do último censo de 2022 do Instituto Brasileiro de Geografia e Estatística (IBGE) demonstram que, no país, cerca de 1,3 milhão de quilombolas compõem a população brasileira. Sinônimo de preservação das crenças e tradições, bem como de resistência, às comunidades quilombolas perseveram na luta por direitos e na integração dos povos africanos da diáspora, trazidos compulsoriamente ao Brasil (CPT, 2025).  </w:t>
      </w:r>
    </w:p>
    <w:p w14:paraId="29761166" w14:textId="448A4574" w:rsidR="000D403E" w:rsidRPr="000D403E" w:rsidRDefault="000D403E" w:rsidP="000D403E">
      <w:pPr>
        <w:spacing w:line="360" w:lineRule="auto"/>
        <w:ind w:firstLine="708"/>
        <w:jc w:val="both"/>
        <w:rPr>
          <w:rFonts w:eastAsia="Arial" w:cs="Arial"/>
        </w:rPr>
      </w:pPr>
      <w:r w:rsidRPr="000D403E">
        <w:rPr>
          <w:rFonts w:eastAsia="Arial" w:cs="Arial"/>
        </w:rPr>
        <w:t>As desigualdade</w:t>
      </w:r>
      <w:r>
        <w:rPr>
          <w:rFonts w:eastAsia="Arial" w:cs="Arial"/>
        </w:rPr>
        <w:t>s</w:t>
      </w:r>
      <w:r w:rsidRPr="000D403E">
        <w:rPr>
          <w:rFonts w:eastAsia="Arial" w:cs="Arial"/>
        </w:rPr>
        <w:t xml:space="preserve"> resultantes da divisão sexual do trabalho são presentes desde o início do grupo, como descrito a seguir:</w:t>
      </w:r>
    </w:p>
    <w:p w14:paraId="31864388" w14:textId="46D9E5CF" w:rsidR="000D403E" w:rsidRPr="000D403E" w:rsidRDefault="000D403E" w:rsidP="000D403E">
      <w:pPr>
        <w:ind w:left="2124"/>
        <w:jc w:val="both"/>
        <w:rPr>
          <w:rFonts w:eastAsia="Arial" w:cs="Arial"/>
          <w:sz w:val="20"/>
          <w:szCs w:val="20"/>
        </w:rPr>
      </w:pPr>
      <w:r>
        <w:rPr>
          <w:rFonts w:eastAsia="Arial" w:cs="Arial"/>
          <w:sz w:val="20"/>
          <w:szCs w:val="20"/>
        </w:rPr>
        <w:t>“</w:t>
      </w:r>
      <w:r w:rsidRPr="000D403E">
        <w:rPr>
          <w:rFonts w:eastAsia="Arial" w:cs="Arial"/>
          <w:sz w:val="20"/>
          <w:szCs w:val="20"/>
        </w:rPr>
        <w:t>Esse primeiro momento também foi marcado pelo descrédito dos homens da comunidade que, em desrespeito às mulheres e ao padrão de manejo que elas escolheram, utilizavam veneno nos quintais cultivados por elas. Além de dificultar a disseminação das práticas agroecológicas no assentamento, essa atitude foi considerada uma violência contra as mulheres. Devido ao trabalho duro e à falta de apoio de alguns maridos, algumas mulheres foram desistindo do processo, restando as sete que permanecem até hoje” (ASPTA, 2024).</w:t>
      </w:r>
    </w:p>
    <w:p w14:paraId="62BE18B7" w14:textId="76DAA1B6" w:rsidR="000D403E" w:rsidRPr="000D403E" w:rsidRDefault="000D403E" w:rsidP="000D403E">
      <w:pPr>
        <w:spacing w:line="360" w:lineRule="auto"/>
        <w:jc w:val="both"/>
        <w:rPr>
          <w:rFonts w:eastAsia="Arial" w:cs="Arial"/>
        </w:rPr>
      </w:pPr>
      <w:r w:rsidRPr="000D403E">
        <w:rPr>
          <w:rFonts w:eastAsia="Arial" w:cs="Arial"/>
        </w:rPr>
        <w:tab/>
        <w:t>Como estratégias de resistência, as mulheres do Dandara praticam a agricultura agroecológica, possuem um fundo rotativo e um viveiro de mudas nativas realizados em parceria com organizações, roça comunitária onde organizam a produção para atender a feira, o Programa Nacional de Alimentação Escolar-PNAE</w:t>
      </w:r>
      <w:r w:rsidR="000E3E10">
        <w:rPr>
          <w:rStyle w:val="Refdenotaderodap"/>
          <w:rFonts w:eastAsia="Arial" w:cs="Arial"/>
        </w:rPr>
        <w:footnoteReference w:id="14"/>
      </w:r>
      <w:r w:rsidRPr="000D403E">
        <w:rPr>
          <w:rFonts w:eastAsia="Arial" w:cs="Arial"/>
        </w:rPr>
        <w:t xml:space="preserve"> e buffets para ONGs. Elas são associadas ao Sindicato dos Trabalhadores e Trabalhadoras Rurais de Camamu (STTR) e possuem o lema “Mulheres de Dandara na luta pelos seus direitos”</w:t>
      </w:r>
      <w:r w:rsidR="000E3E10">
        <w:rPr>
          <w:rStyle w:val="Refdenotaderodap"/>
          <w:rFonts w:eastAsia="Arial" w:cs="Arial"/>
        </w:rPr>
        <w:footnoteReference w:id="15"/>
      </w:r>
      <w:r w:rsidRPr="000D403E">
        <w:rPr>
          <w:rFonts w:eastAsia="Arial" w:cs="Arial"/>
        </w:rPr>
        <w:t>.</w:t>
      </w:r>
    </w:p>
    <w:p w14:paraId="31C7019E" w14:textId="77777777" w:rsidR="000D403E" w:rsidRPr="000D403E" w:rsidRDefault="000D403E" w:rsidP="000D403E">
      <w:pPr>
        <w:spacing w:line="360" w:lineRule="auto"/>
        <w:jc w:val="both"/>
        <w:rPr>
          <w:rFonts w:eastAsia="Arial" w:cs="Arial"/>
        </w:rPr>
      </w:pPr>
      <w:r w:rsidRPr="000D403E">
        <w:rPr>
          <w:rFonts w:eastAsia="Arial" w:cs="Arial"/>
        </w:rPr>
        <w:lastRenderedPageBreak/>
        <w:tab/>
        <w:t>O Barroso possui cozinha solidária onde realizam o processamento de alimentos, mas a estrutura precisa de ajustes estruturais para atender a legislação sanitária e a necessidade de aquisição de novos equipamentos para o beneficiamento. Este grupo realiza cursos e capacitações para as suas participantes que visam a qualidade dos seus produtos. Precisa acessar políticas públicas como o PNAE e PAA, selo de orgânico e código de barras que podem facilitar o escoamento da produção, além de melhorias estruturais, como as estradas.</w:t>
      </w:r>
    </w:p>
    <w:p w14:paraId="3A95DBC5" w14:textId="77777777" w:rsidR="000D403E" w:rsidRPr="000D403E" w:rsidRDefault="000D403E" w:rsidP="000D403E">
      <w:pPr>
        <w:spacing w:line="360" w:lineRule="auto"/>
        <w:jc w:val="both"/>
        <w:rPr>
          <w:rFonts w:eastAsia="Arial" w:cs="Arial"/>
        </w:rPr>
      </w:pPr>
      <w:r w:rsidRPr="000D403E">
        <w:rPr>
          <w:rFonts w:eastAsia="Arial" w:cs="Arial"/>
        </w:rPr>
        <w:tab/>
        <w:t>Como estratégias de resistência, as mulheres do Quilombo Barroso estão organizadas em associação, praticam a agricultura agroecológica a partir do plantio coletivo de aipim entre outros, possuem uma cozinha solidária e criaram um Museu do Quilombo para preservar a própria memória.</w:t>
      </w:r>
    </w:p>
    <w:p w14:paraId="221CF873" w14:textId="77777777" w:rsidR="000D403E" w:rsidRPr="000D403E" w:rsidRDefault="000D403E" w:rsidP="000D403E">
      <w:pPr>
        <w:spacing w:line="360" w:lineRule="auto"/>
        <w:jc w:val="both"/>
        <w:rPr>
          <w:rFonts w:eastAsia="Arial" w:cs="Arial"/>
        </w:rPr>
      </w:pPr>
      <w:r w:rsidRPr="000D403E">
        <w:rPr>
          <w:rFonts w:eastAsia="Arial" w:cs="Arial"/>
        </w:rPr>
        <w:tab/>
        <w:t>Assim como os grupos de Fundo e Fecho de Pasto, o Assentamento e o Quilombo carecem de melhorias na gestão do grupo produtivo, mesmo com avanços significativos da auto organização dessas mulheres que refletem no fazer coletivo e consequentemente, na produção e comercialização dos seus produtos. Há a necessidade de organização para acesso a outras políticas públicas que incentivem a produção e o escoamento desta.</w:t>
      </w:r>
    </w:p>
    <w:p w14:paraId="4C740C1F" w14:textId="77777777" w:rsidR="000D403E" w:rsidRPr="000D403E" w:rsidRDefault="000D403E" w:rsidP="000D403E">
      <w:pPr>
        <w:spacing w:line="360" w:lineRule="auto"/>
        <w:jc w:val="both"/>
        <w:rPr>
          <w:rFonts w:eastAsia="Arial" w:cs="Arial"/>
        </w:rPr>
      </w:pPr>
      <w:r w:rsidRPr="000D403E">
        <w:rPr>
          <w:rFonts w:eastAsia="Arial" w:cs="Arial"/>
        </w:rPr>
        <w:tab/>
        <w:t>Dentre os principais desafios para participação nos grupos produtivos, as mulheres identificam a sobrecarga de trabalho doméstico e de cuidados, além do próprio machismo que reforça a posição imposta na divisão sexual do trabalho, inclusive nos espaços mistos com relação à ocupação de posições dentro do sindicato.</w:t>
      </w:r>
    </w:p>
    <w:p w14:paraId="1B01F1E2" w14:textId="05221921" w:rsidR="000D403E" w:rsidRPr="000D403E" w:rsidRDefault="000D403E" w:rsidP="000D403E">
      <w:pPr>
        <w:spacing w:line="360" w:lineRule="auto"/>
        <w:jc w:val="both"/>
        <w:rPr>
          <w:rFonts w:eastAsia="Arial" w:cs="Arial"/>
        </w:rPr>
      </w:pPr>
      <w:r w:rsidRPr="000D403E">
        <w:rPr>
          <w:rFonts w:eastAsia="Arial" w:cs="Arial"/>
        </w:rPr>
        <w:tab/>
        <w:t xml:space="preserve">Em relação aos problemas socioambientais, o Litoral Sul sofre com desmatamento da Mata Atlântica, disputa pelo uso da água e terra pelos megaempreendimentos que resultam, inclusive, no aumento da violência no </w:t>
      </w:r>
      <w:r w:rsidRPr="000D403E">
        <w:rPr>
          <w:rFonts w:eastAsia="Arial" w:cs="Arial"/>
        </w:rPr>
        <w:lastRenderedPageBreak/>
        <w:t>campo, como ocorreu com a disputa pela casa de farinha</w:t>
      </w:r>
      <w:r w:rsidR="000E3E10">
        <w:rPr>
          <w:rStyle w:val="Refdenotaderodap"/>
          <w:rFonts w:eastAsia="Arial" w:cs="Arial"/>
        </w:rPr>
        <w:footnoteReference w:id="16"/>
      </w:r>
      <w:r w:rsidRPr="000D403E">
        <w:rPr>
          <w:rFonts w:eastAsia="Arial" w:cs="Arial"/>
        </w:rPr>
        <w:t>, conforme denúncias da Comissão Pastoral da Terra.</w:t>
      </w:r>
    </w:p>
    <w:p w14:paraId="23596A9B" w14:textId="77777777" w:rsidR="00C96B75" w:rsidRPr="00216EFF" w:rsidRDefault="00C96B75" w:rsidP="00216EFF">
      <w:pPr>
        <w:spacing w:line="360" w:lineRule="auto"/>
        <w:jc w:val="both"/>
        <w:rPr>
          <w:rFonts w:eastAsia="Arial" w:cs="Arial"/>
        </w:rPr>
      </w:pPr>
    </w:p>
    <w:p w14:paraId="28D0CC89" w14:textId="03A2F132" w:rsidR="00216EFF" w:rsidRPr="00216EFF" w:rsidRDefault="00216EFF" w:rsidP="00216EFF">
      <w:pPr>
        <w:spacing w:line="360" w:lineRule="auto"/>
        <w:jc w:val="both"/>
        <w:rPr>
          <w:rFonts w:eastAsia="Arial" w:cs="Arial"/>
          <w:b/>
        </w:rPr>
      </w:pPr>
      <w:r w:rsidRPr="00216EFF">
        <w:rPr>
          <w:rFonts w:eastAsia="Arial" w:cs="Arial"/>
          <w:b/>
        </w:rPr>
        <w:t>CONSIDERAÇÕES FINAIS</w:t>
      </w:r>
    </w:p>
    <w:p w14:paraId="766D18E4" w14:textId="77777777" w:rsidR="000D403E" w:rsidRPr="000D403E" w:rsidRDefault="000D403E" w:rsidP="000D403E">
      <w:pPr>
        <w:spacing w:line="360" w:lineRule="auto"/>
        <w:ind w:firstLine="708"/>
        <w:jc w:val="both"/>
        <w:rPr>
          <w:rFonts w:eastAsia="Arial" w:cs="Arial"/>
        </w:rPr>
      </w:pPr>
      <w:r w:rsidRPr="000D403E">
        <w:rPr>
          <w:rFonts w:eastAsia="Arial" w:cs="Arial"/>
        </w:rPr>
        <w:t>A partir de visitas realizadas nos territórios dos quatro grupos produtivos, houve o conhecimento sobre questões diretamente relacionadas à produção, mas também da auto organização dessas mulheres em seus territórios que potencializa as resistências diante do assédio do capital nos territórios, principalmente por mulheres de coletivos autônomos, com suas pautas que questionam o modelo de desenvolvimento insustentável para a humanidade.</w:t>
      </w:r>
    </w:p>
    <w:p w14:paraId="5260CB5A" w14:textId="77777777" w:rsidR="000D403E" w:rsidRPr="000D403E" w:rsidRDefault="000D403E" w:rsidP="000D403E">
      <w:pPr>
        <w:spacing w:line="360" w:lineRule="auto"/>
        <w:ind w:firstLine="708"/>
        <w:jc w:val="both"/>
        <w:rPr>
          <w:rFonts w:eastAsia="Arial" w:cs="Arial"/>
        </w:rPr>
      </w:pPr>
      <w:r w:rsidRPr="000D403E">
        <w:rPr>
          <w:rFonts w:eastAsia="Arial" w:cs="Arial"/>
        </w:rPr>
        <w:t xml:space="preserve">Os grupos de mulheres trazem o reconhecimento do próprio trabalho, diante das reflexões sobre a divisão sexual do trabalho nas suas casas, quintais e espaços de coletivos, assim como, alimentação saudável pautada nos saberes e sabores ancestrais. A centralidade da vida e a preservação do meio ambiente são parte da identidade dos </w:t>
      </w:r>
      <w:proofErr w:type="spellStart"/>
      <w:r w:rsidRPr="000D403E">
        <w:rPr>
          <w:rFonts w:eastAsia="Arial" w:cs="Arial"/>
        </w:rPr>
        <w:t>PCTs</w:t>
      </w:r>
      <w:proofErr w:type="spellEnd"/>
      <w:r w:rsidRPr="000D403E">
        <w:rPr>
          <w:rFonts w:eastAsia="Arial" w:cs="Arial"/>
        </w:rPr>
        <w:t>, pensado e praticado pelas mulheres numa perspectiva agroecológica.</w:t>
      </w:r>
    </w:p>
    <w:p w14:paraId="66662485" w14:textId="77777777" w:rsidR="000D403E" w:rsidRPr="000D403E" w:rsidRDefault="000D403E" w:rsidP="000D403E">
      <w:pPr>
        <w:spacing w:line="360" w:lineRule="auto"/>
        <w:ind w:firstLine="708"/>
        <w:jc w:val="both"/>
        <w:rPr>
          <w:rFonts w:eastAsia="Arial" w:cs="Arial"/>
        </w:rPr>
      </w:pPr>
      <w:r w:rsidRPr="000D403E">
        <w:rPr>
          <w:rFonts w:eastAsia="Arial" w:cs="Arial"/>
        </w:rPr>
        <w:t>Desta forma, é possível identificar o protagonismo dessas mulheres na defesa dos seus territórios e modo de vida, assim como ocorre em outras partes da América Latina. Entendendo que as relações de poder impostas pelos empreendimentos e agronegócio são desproporcionais, mas mesmo assim resistem há séculos.</w:t>
      </w:r>
    </w:p>
    <w:p w14:paraId="7793E093" w14:textId="1D0BCA7B" w:rsidR="000D403E" w:rsidRPr="000D403E" w:rsidRDefault="000D403E" w:rsidP="000D403E">
      <w:pPr>
        <w:spacing w:line="360" w:lineRule="auto"/>
        <w:ind w:firstLine="708"/>
        <w:jc w:val="both"/>
        <w:rPr>
          <w:rFonts w:eastAsia="Arial" w:cs="Arial"/>
        </w:rPr>
      </w:pPr>
      <w:r w:rsidRPr="000D403E">
        <w:rPr>
          <w:rFonts w:eastAsia="Arial" w:cs="Arial"/>
        </w:rPr>
        <w:t xml:space="preserve">Dentre as formas de resistência podemos citar a criação dos próprios grupos produtivos, enquanto forma alternativa de produção e consumo em suas comunidades e fora delas, envolvendo experiências de cozinhas solidárias, roçados comunitários, coleta de licuri nas áreas comuns, comercialização </w:t>
      </w:r>
      <w:r w:rsidRPr="000D403E">
        <w:rPr>
          <w:rFonts w:eastAsia="Arial" w:cs="Arial"/>
        </w:rPr>
        <w:lastRenderedPageBreak/>
        <w:t xml:space="preserve">coletiva, o museu e suas músicas e danças, tudo envolvendo a preservação de saberes, sabores e do meio ambiente. </w:t>
      </w:r>
    </w:p>
    <w:p w14:paraId="4F81AF00" w14:textId="77777777" w:rsidR="00216EFF" w:rsidRPr="00216EFF" w:rsidRDefault="00216EFF" w:rsidP="00216EFF">
      <w:pPr>
        <w:spacing w:line="360" w:lineRule="auto"/>
        <w:jc w:val="both"/>
        <w:rPr>
          <w:rFonts w:eastAsia="Arial" w:cs="Arial"/>
        </w:rPr>
      </w:pPr>
    </w:p>
    <w:p w14:paraId="3D237921" w14:textId="77777777" w:rsidR="00216EFF" w:rsidRPr="00216EFF" w:rsidRDefault="00216EFF" w:rsidP="00216EFF">
      <w:pPr>
        <w:spacing w:line="360" w:lineRule="auto"/>
        <w:ind w:hanging="2"/>
        <w:jc w:val="both"/>
        <w:rPr>
          <w:rFonts w:eastAsia="Arial" w:cs="Arial"/>
          <w:b/>
          <w:color w:val="000000"/>
        </w:rPr>
      </w:pPr>
      <w:r w:rsidRPr="00216EFF">
        <w:rPr>
          <w:rFonts w:eastAsia="Arial" w:cs="Arial"/>
          <w:b/>
          <w:color w:val="000000"/>
          <w:highlight w:val="white"/>
        </w:rPr>
        <w:t>REFERÊNCIAS</w:t>
      </w:r>
    </w:p>
    <w:p w14:paraId="67D7BBDA" w14:textId="1C822E2C" w:rsidR="000D403E" w:rsidRPr="000D403E" w:rsidRDefault="000D403E" w:rsidP="000D403E">
      <w:pPr>
        <w:ind w:hanging="2"/>
        <w:jc w:val="both"/>
        <w:rPr>
          <w:rFonts w:eastAsia="Arial" w:cs="Arial"/>
        </w:rPr>
      </w:pPr>
      <w:r w:rsidRPr="000D403E">
        <w:rPr>
          <w:rFonts w:eastAsia="Arial" w:cs="Arial"/>
        </w:rPr>
        <w:t xml:space="preserve">ARTICULAÇÃO NACIONAL DE AGROECOLOGIA. SCHMITT. Cláudia. MONTEIRO, Fernanda Testa. FERNANDES, Gabriel. SOLDATI, Gustavo. MELGAREJO, Leonardo. BITTENCOURT, Naiara. MARTINS, Pedro. Agro-socio-Biodiversidade: direitos, democracia e agroecologia no campo e na cidade. 18 de julho de 2018. Articulação Nacional de Agroecologia e Terra de Direitos. Disponível em </w:t>
      </w:r>
      <w:hyperlink r:id="rId8" w:history="1">
        <w:r w:rsidRPr="000D403E">
          <w:rPr>
            <w:rStyle w:val="Hyperlink"/>
            <w:rFonts w:eastAsia="Arial" w:cs="Arial"/>
          </w:rPr>
          <w:t>https://agroecologia.org.br/2018/07/16/informativo-agro-socio-biodiversidade-direitos-democracia-e-agroecologia-no-campo-e-na-cidade/</w:t>
        </w:r>
      </w:hyperlink>
      <w:r w:rsidRPr="000D403E">
        <w:rPr>
          <w:rFonts w:eastAsia="Arial" w:cs="Arial"/>
        </w:rPr>
        <w:t xml:space="preserve"> Acesso em 27 de abril de 2025.</w:t>
      </w:r>
    </w:p>
    <w:p w14:paraId="44AEDD37" w14:textId="77777777" w:rsidR="000D403E" w:rsidRPr="00B76C98" w:rsidRDefault="000D403E" w:rsidP="000D403E">
      <w:pPr>
        <w:ind w:hanging="2"/>
        <w:jc w:val="both"/>
        <w:rPr>
          <w:rFonts w:eastAsia="Arial" w:cs="Arial"/>
        </w:rPr>
      </w:pPr>
      <w:r w:rsidRPr="000D403E">
        <w:rPr>
          <w:rFonts w:eastAsia="Arial" w:cs="Arial"/>
        </w:rPr>
        <w:t>BRASIL. Decreto nº 6.040, de 7 de fevereiro de 2007. Institui a Política Nacional de Desenvolvimento Sustentável dos Povos e Comunidades Tradicionais. Diário Oficial da União: seção 1, Brasília, DF, 8 fev. 2007. Disponível em:</w:t>
      </w:r>
      <w:hyperlink r:id="rId9" w:history="1">
        <w:r w:rsidRPr="000D403E">
          <w:rPr>
            <w:rStyle w:val="Hyperlink"/>
            <w:rFonts w:eastAsia="Arial" w:cs="Arial"/>
            <w:color w:val="auto"/>
          </w:rPr>
          <w:t xml:space="preserve"> Decreto/D6040.htm</w:t>
        </w:r>
      </w:hyperlink>
      <w:r w:rsidRPr="00B76C98">
        <w:rPr>
          <w:rFonts w:eastAsia="Arial" w:cs="Arial"/>
        </w:rPr>
        <w:t>.</w:t>
      </w:r>
      <w:r w:rsidRPr="000D403E">
        <w:rPr>
          <w:rFonts w:eastAsia="Arial" w:cs="Arial"/>
        </w:rPr>
        <w:t>  Acesso em: 27 de abril de 2025.</w:t>
      </w:r>
    </w:p>
    <w:p w14:paraId="124A0677" w14:textId="2D0F72AB" w:rsidR="000D403E" w:rsidRPr="000D403E" w:rsidRDefault="000D403E" w:rsidP="000D403E">
      <w:pPr>
        <w:ind w:hanging="2"/>
        <w:jc w:val="both"/>
        <w:rPr>
          <w:rFonts w:eastAsia="Arial" w:cs="Arial"/>
        </w:rPr>
      </w:pPr>
      <w:r w:rsidRPr="000D403E">
        <w:rPr>
          <w:rFonts w:eastAsia="Arial" w:cs="Arial"/>
        </w:rPr>
        <w:t>BRASIL. Povos e Comunidades Tradicionais. Ministério do Meio Ambiente e Mudança do Clima. Disponível em</w:t>
      </w:r>
      <w:hyperlink r:id="rId10" w:history="1">
        <w:r w:rsidRPr="000D403E">
          <w:rPr>
            <w:rStyle w:val="Hyperlink"/>
            <w:rFonts w:eastAsia="Arial" w:cs="Arial"/>
            <w:color w:val="auto"/>
          </w:rPr>
          <w:t xml:space="preserve"> https://www.gov.br/mma/pt-br/assuntos/povos-e-comunidades-tradicionais</w:t>
        </w:r>
      </w:hyperlink>
      <w:r w:rsidRPr="000D403E">
        <w:rPr>
          <w:rFonts w:eastAsia="Arial" w:cs="Arial"/>
        </w:rPr>
        <w:t xml:space="preserve"> Acesso em 27 de abril de 2025.</w:t>
      </w:r>
    </w:p>
    <w:p w14:paraId="3CE6C4B8" w14:textId="77777777" w:rsidR="000D403E" w:rsidRPr="000D403E" w:rsidRDefault="000D403E" w:rsidP="000D403E">
      <w:pPr>
        <w:ind w:hanging="2"/>
        <w:jc w:val="both"/>
        <w:rPr>
          <w:rFonts w:eastAsia="Arial" w:cs="Arial"/>
        </w:rPr>
      </w:pPr>
      <w:r w:rsidRPr="000D403E">
        <w:rPr>
          <w:rFonts w:eastAsia="Arial" w:cs="Arial"/>
        </w:rPr>
        <w:t>CARRASCO BENGOA, Cristina. A economia feminista: um panorama sobre o conceito de reprodução. Universidade de Barcelona. Disponível em: https://www.sof.org.br/ Acesso em: 17/04/2025.</w:t>
      </w:r>
    </w:p>
    <w:p w14:paraId="7C15973D" w14:textId="77777777" w:rsidR="000D403E" w:rsidRPr="000D403E" w:rsidRDefault="000D403E" w:rsidP="000D403E">
      <w:pPr>
        <w:ind w:hanging="2"/>
        <w:jc w:val="both"/>
        <w:rPr>
          <w:rFonts w:eastAsia="Arial" w:cs="Arial"/>
        </w:rPr>
      </w:pPr>
      <w:r w:rsidRPr="000D403E">
        <w:rPr>
          <w:rFonts w:eastAsia="Arial" w:cs="Arial"/>
        </w:rPr>
        <w:t>COMISSÃO PASTORAL DA TERRA. Povos e Comunidades Tradicionais. Disponível em</w:t>
      </w:r>
      <w:hyperlink r:id="rId11" w:history="1">
        <w:r w:rsidRPr="000D403E">
          <w:rPr>
            <w:rStyle w:val="Hyperlink"/>
            <w:rFonts w:eastAsia="Arial" w:cs="Arial"/>
            <w:color w:val="auto"/>
          </w:rPr>
          <w:t xml:space="preserve"> https://cptnacional.org.br/comunidades/</w:t>
        </w:r>
      </w:hyperlink>
      <w:r w:rsidRPr="000D403E">
        <w:rPr>
          <w:rFonts w:eastAsia="Arial" w:cs="Arial"/>
        </w:rPr>
        <w:t xml:space="preserve"> Acesso em 11 de maio de 2025.</w:t>
      </w:r>
    </w:p>
    <w:p w14:paraId="6357FB8A" w14:textId="77777777" w:rsidR="000D403E" w:rsidRPr="000D403E" w:rsidRDefault="000D403E" w:rsidP="000D403E">
      <w:pPr>
        <w:ind w:hanging="2"/>
        <w:jc w:val="both"/>
        <w:rPr>
          <w:rFonts w:eastAsia="Arial" w:cs="Arial"/>
        </w:rPr>
      </w:pPr>
      <w:r w:rsidRPr="000D403E">
        <w:rPr>
          <w:rFonts w:eastAsia="Arial" w:cs="Arial"/>
        </w:rPr>
        <w:t>GEOGRAFAR. Importância dos Territórios de Fundo e Fecho de Pasto: Uso comum da terra e a conservação da Caatinga. Disponível em</w:t>
      </w:r>
      <w:hyperlink r:id="rId12" w:history="1">
        <w:r w:rsidRPr="000D403E">
          <w:rPr>
            <w:rStyle w:val="Hyperlink"/>
            <w:rFonts w:eastAsia="Arial" w:cs="Arial"/>
            <w:color w:val="auto"/>
          </w:rPr>
          <w:t xml:space="preserve"> https://geografar.ufba.br/sites/geografar.ufba.br/files/apoio_a_comunidade_tradicional_de_fundo_de_pasto_de_caboclo_juazeiro_ba.pdf</w:t>
        </w:r>
      </w:hyperlink>
      <w:r w:rsidRPr="000D403E">
        <w:rPr>
          <w:rFonts w:eastAsia="Arial" w:cs="Arial"/>
        </w:rPr>
        <w:t xml:space="preserve"> Acesso em: 27 de abril de 2025.</w:t>
      </w:r>
    </w:p>
    <w:p w14:paraId="4159CB0E" w14:textId="77777777" w:rsidR="000D403E" w:rsidRPr="000D403E" w:rsidRDefault="000D403E" w:rsidP="000D403E">
      <w:pPr>
        <w:ind w:hanging="2"/>
        <w:jc w:val="both"/>
        <w:rPr>
          <w:rFonts w:eastAsia="Arial" w:cs="Arial"/>
        </w:rPr>
      </w:pPr>
      <w:r w:rsidRPr="000D403E">
        <w:rPr>
          <w:rFonts w:eastAsia="Arial" w:cs="Arial"/>
        </w:rPr>
        <w:t xml:space="preserve">GERMANI, Guiomar; OLIVEIRA, </w:t>
      </w:r>
      <w:proofErr w:type="spellStart"/>
      <w:r w:rsidRPr="000D403E">
        <w:rPr>
          <w:rFonts w:eastAsia="Arial" w:cs="Arial"/>
        </w:rPr>
        <w:t>Gilca</w:t>
      </w:r>
      <w:proofErr w:type="spellEnd"/>
      <w:r w:rsidRPr="000D403E">
        <w:rPr>
          <w:rFonts w:eastAsia="Arial" w:cs="Arial"/>
        </w:rPr>
        <w:t xml:space="preserve"> G. de. (Coordenação). Mapeamento das Comunidades de Fundo e Fechos de Pasto no Estado da Bahia: relatório técnico.  Salvador: UFBA/</w:t>
      </w:r>
      <w:proofErr w:type="spellStart"/>
      <w:r w:rsidRPr="000D403E">
        <w:rPr>
          <w:rFonts w:eastAsia="Arial" w:cs="Arial"/>
        </w:rPr>
        <w:t>GeografAR</w:t>
      </w:r>
      <w:proofErr w:type="spellEnd"/>
      <w:r w:rsidRPr="000D403E">
        <w:rPr>
          <w:rFonts w:eastAsia="Arial" w:cs="Arial"/>
        </w:rPr>
        <w:t>/</w:t>
      </w:r>
      <w:proofErr w:type="spellStart"/>
      <w:r w:rsidRPr="000D403E">
        <w:rPr>
          <w:rFonts w:eastAsia="Arial" w:cs="Arial"/>
        </w:rPr>
        <w:t>Sepromi</w:t>
      </w:r>
      <w:proofErr w:type="spellEnd"/>
      <w:r w:rsidRPr="000D403E">
        <w:rPr>
          <w:rFonts w:eastAsia="Arial" w:cs="Arial"/>
        </w:rPr>
        <w:t>, 2020, 750 p. Disponível em</w:t>
      </w:r>
      <w:hyperlink r:id="rId13" w:history="1">
        <w:r w:rsidRPr="000D403E">
          <w:rPr>
            <w:rStyle w:val="Hyperlink"/>
            <w:rFonts w:eastAsia="Arial" w:cs="Arial"/>
            <w:color w:val="auto"/>
          </w:rPr>
          <w:t xml:space="preserve"> Microsoft Word - RelatorioFinal_MapeamentoFFP_VersaoFinal.docx</w:t>
        </w:r>
      </w:hyperlink>
      <w:r w:rsidRPr="000D403E">
        <w:rPr>
          <w:rFonts w:eastAsia="Arial" w:cs="Arial"/>
        </w:rPr>
        <w:t>  Acesso: 28 de abril de 2025.</w:t>
      </w:r>
    </w:p>
    <w:p w14:paraId="2CCF9D79" w14:textId="77777777" w:rsidR="000D403E" w:rsidRPr="000D403E" w:rsidRDefault="000D403E" w:rsidP="000D403E">
      <w:pPr>
        <w:ind w:hanging="2"/>
        <w:jc w:val="both"/>
        <w:rPr>
          <w:rFonts w:eastAsia="Arial" w:cs="Arial"/>
        </w:rPr>
      </w:pPr>
      <w:r w:rsidRPr="000D403E">
        <w:rPr>
          <w:rFonts w:eastAsia="Arial" w:cs="Arial"/>
        </w:rPr>
        <w:t xml:space="preserve">JALIL, </w:t>
      </w:r>
      <w:proofErr w:type="spellStart"/>
      <w:r w:rsidRPr="000D403E">
        <w:rPr>
          <w:rFonts w:eastAsia="Arial" w:cs="Arial"/>
        </w:rPr>
        <w:t>Laeticia</w:t>
      </w:r>
      <w:proofErr w:type="spellEnd"/>
      <w:r w:rsidRPr="000D403E">
        <w:rPr>
          <w:rFonts w:eastAsia="Arial" w:cs="Arial"/>
        </w:rPr>
        <w:t xml:space="preserve"> Medeiros; COSTA, Michelly Aragão G.; SILVA, Luiza Carolina; OLIVEIRA, Maria do Socorro de L. O Impacto da Covid-19 na Vida das Mulheres Rurais do Nordeste do Brasil. Cadernos de Agroecologia, v. 16, p. 1-13, 2021. Disponível em</w:t>
      </w:r>
      <w:hyperlink r:id="rId14" w:history="1">
        <w:r w:rsidRPr="000D403E">
          <w:rPr>
            <w:rStyle w:val="Hyperlink"/>
            <w:rFonts w:eastAsia="Arial" w:cs="Arial"/>
            <w:color w:val="auto"/>
          </w:rPr>
          <w:t xml:space="preserve"> http://cadernos.aba-agroecologia.org.br/index.php/cadernos/article/view/6621</w:t>
        </w:r>
      </w:hyperlink>
      <w:r w:rsidRPr="000D403E">
        <w:rPr>
          <w:rFonts w:eastAsia="Arial" w:cs="Arial"/>
        </w:rPr>
        <w:t xml:space="preserve"> Acesso em 27 de abril de 2025.</w:t>
      </w:r>
    </w:p>
    <w:p w14:paraId="33D8E614" w14:textId="77777777" w:rsidR="000D403E" w:rsidRPr="000D403E" w:rsidRDefault="000D403E" w:rsidP="000D403E">
      <w:pPr>
        <w:ind w:hanging="2"/>
        <w:jc w:val="both"/>
        <w:rPr>
          <w:rFonts w:eastAsia="Arial" w:cs="Arial"/>
        </w:rPr>
      </w:pPr>
      <w:r w:rsidRPr="000D403E">
        <w:rPr>
          <w:rFonts w:eastAsia="Arial" w:cs="Arial"/>
        </w:rPr>
        <w:lastRenderedPageBreak/>
        <w:t xml:space="preserve">FEDERICI, Silvia </w:t>
      </w:r>
      <w:proofErr w:type="spellStart"/>
      <w:r w:rsidRPr="000D403E">
        <w:rPr>
          <w:rFonts w:eastAsia="Arial" w:cs="Arial"/>
        </w:rPr>
        <w:t>Reencantando</w:t>
      </w:r>
      <w:proofErr w:type="spellEnd"/>
      <w:r w:rsidRPr="000D403E">
        <w:rPr>
          <w:rFonts w:eastAsia="Arial" w:cs="Arial"/>
        </w:rPr>
        <w:t xml:space="preserve"> o mundo: feminismo e a política dos comuns / Silvia </w:t>
      </w:r>
      <w:proofErr w:type="spellStart"/>
      <w:r w:rsidRPr="000D403E">
        <w:rPr>
          <w:rFonts w:eastAsia="Arial" w:cs="Arial"/>
        </w:rPr>
        <w:t>Federici</w:t>
      </w:r>
      <w:proofErr w:type="spellEnd"/>
      <w:r w:rsidRPr="000D403E">
        <w:rPr>
          <w:rFonts w:eastAsia="Arial" w:cs="Arial"/>
        </w:rPr>
        <w:t xml:space="preserve">; tradução de Coletivo </w:t>
      </w:r>
      <w:proofErr w:type="spellStart"/>
      <w:r w:rsidRPr="000D403E">
        <w:rPr>
          <w:rFonts w:eastAsia="Arial" w:cs="Arial"/>
        </w:rPr>
        <w:t>Sycorax</w:t>
      </w:r>
      <w:proofErr w:type="spellEnd"/>
      <w:r w:rsidRPr="000D403E">
        <w:rPr>
          <w:rFonts w:eastAsia="Arial" w:cs="Arial"/>
        </w:rPr>
        <w:t xml:space="preserve"> — São Paulo: Elefante, 2022. 320 p.: il., color.</w:t>
      </w:r>
    </w:p>
    <w:p w14:paraId="22FF4CCF" w14:textId="77777777" w:rsidR="000D403E" w:rsidRPr="000D403E" w:rsidRDefault="000D403E" w:rsidP="000D403E">
      <w:pPr>
        <w:ind w:hanging="2"/>
        <w:jc w:val="both"/>
        <w:rPr>
          <w:rFonts w:eastAsia="Arial" w:cs="Arial"/>
        </w:rPr>
      </w:pPr>
      <w:r w:rsidRPr="000D403E">
        <w:rPr>
          <w:rFonts w:eastAsia="Arial" w:cs="Arial"/>
        </w:rPr>
        <w:t xml:space="preserve">SOUZA, </w:t>
      </w:r>
      <w:proofErr w:type="spellStart"/>
      <w:r w:rsidRPr="000D403E">
        <w:rPr>
          <w:rFonts w:eastAsia="Arial" w:cs="Arial"/>
        </w:rPr>
        <w:t>Francieli</w:t>
      </w:r>
      <w:proofErr w:type="spellEnd"/>
      <w:r w:rsidRPr="000D403E">
        <w:rPr>
          <w:rFonts w:eastAsia="Arial" w:cs="Arial"/>
        </w:rPr>
        <w:t xml:space="preserve"> das Dores Valdivino de; MELO, Carolina Montenegro Carvalho Pedrosa de; SILVA, Maria Vitória de Alcântara da; SILVA, Letícia da Costa e; ARAÚJO, Marli Gondin de; JALIL, </w:t>
      </w:r>
      <w:proofErr w:type="spellStart"/>
      <w:r w:rsidRPr="000D403E">
        <w:rPr>
          <w:rFonts w:eastAsia="Arial" w:cs="Arial"/>
        </w:rPr>
        <w:t>Laeticia</w:t>
      </w:r>
      <w:proofErr w:type="spellEnd"/>
      <w:r w:rsidRPr="000D403E">
        <w:rPr>
          <w:rFonts w:eastAsia="Arial" w:cs="Arial"/>
        </w:rPr>
        <w:t xml:space="preserve">. Projeto </w:t>
      </w:r>
      <w:proofErr w:type="spellStart"/>
      <w:r w:rsidRPr="000D403E">
        <w:rPr>
          <w:rFonts w:eastAsia="Arial" w:cs="Arial"/>
        </w:rPr>
        <w:t>Jandaíras</w:t>
      </w:r>
      <w:proofErr w:type="spellEnd"/>
      <w:r w:rsidRPr="000D403E">
        <w:rPr>
          <w:rFonts w:eastAsia="Arial" w:cs="Arial"/>
        </w:rPr>
        <w:t>: Promoção da Agroecologia por meio do Fortalecimento de Grupos Produtivos de Mulheres de Povos e Comunidades Tradicionais. Apresentado no VII SEMINÁRIO DE AGROECOLOGIA E VI SEMINÁRIO DE EDUCAÇÃO DO CAMPO DO IFPE. Dias 7 a 9 de maio de 2024.</w:t>
      </w:r>
    </w:p>
    <w:p w14:paraId="14EAB092" w14:textId="77777777" w:rsidR="00216EFF" w:rsidRPr="00216EFF" w:rsidRDefault="00216EFF" w:rsidP="00216EFF">
      <w:pPr>
        <w:spacing w:line="360" w:lineRule="auto"/>
        <w:ind w:hanging="2"/>
        <w:rPr>
          <w:rFonts w:eastAsia="Arial" w:cs="Arial"/>
          <w:color w:val="FF0000"/>
        </w:rPr>
      </w:pPr>
    </w:p>
    <w:sectPr w:rsidR="00216EFF" w:rsidRPr="00216EFF" w:rsidSect="0053021A">
      <w:footerReference w:type="default" r:id="rId15"/>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066B21" w14:textId="77777777" w:rsidR="00FD6C93" w:rsidRDefault="00FD6C93" w:rsidP="0027518C">
      <w:r>
        <w:separator/>
      </w:r>
    </w:p>
  </w:endnote>
  <w:endnote w:type="continuationSeparator" w:id="0">
    <w:p w14:paraId="7F2A548C" w14:textId="77777777" w:rsidR="00FD6C93" w:rsidRDefault="00FD6C93"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226C" w14:textId="22A22BF5" w:rsidR="0027518C" w:rsidRDefault="0027518C">
    <w:pPr>
      <w:pStyle w:val="Rodap"/>
    </w:pPr>
    <w:r>
      <w:rPr>
        <w:noProof/>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86980" w14:textId="77777777" w:rsidR="00FD6C93" w:rsidRDefault="00FD6C93" w:rsidP="0027518C">
      <w:r>
        <w:separator/>
      </w:r>
    </w:p>
  </w:footnote>
  <w:footnote w:type="continuationSeparator" w:id="0">
    <w:p w14:paraId="7C3ACFB1" w14:textId="77777777" w:rsidR="00FD6C93" w:rsidRDefault="00FD6C93" w:rsidP="0027518C">
      <w:r>
        <w:continuationSeparator/>
      </w:r>
    </w:p>
  </w:footnote>
  <w:footnote w:id="1">
    <w:p w14:paraId="4D97B87B" w14:textId="4F7F48A6" w:rsidR="00552F68" w:rsidRPr="00552F68" w:rsidRDefault="00552F68" w:rsidP="00552F68">
      <w:pPr>
        <w:pStyle w:val="Textodenotaderodap"/>
        <w:jc w:val="both"/>
        <w:rPr>
          <w:rFonts w:ascii="Trebuchet MS" w:hAnsi="Trebuchet MS"/>
          <w:lang w:val="pt-BR"/>
        </w:rPr>
      </w:pPr>
      <w:r w:rsidRPr="00552F68">
        <w:rPr>
          <w:rStyle w:val="Refdenotaderodap"/>
          <w:rFonts w:ascii="Trebuchet MS" w:hAnsi="Trebuchet MS"/>
        </w:rPr>
        <w:footnoteRef/>
      </w:r>
      <w:r w:rsidRPr="00552F68">
        <w:rPr>
          <w:rFonts w:ascii="Trebuchet MS" w:hAnsi="Trebuchet MS"/>
        </w:rPr>
        <w:t xml:space="preserve"> </w:t>
      </w:r>
      <w:r w:rsidRPr="00552F68">
        <w:rPr>
          <w:rFonts w:ascii="Trebuchet MS" w:hAnsi="Trebuchet MS"/>
          <w:lang w:val="pt-BR"/>
        </w:rPr>
        <w:t> Agradecimentos ao Núcleo Jurema Feminismos, Agroecologia e Ruralidades da Universidade Federal Rural de Pernambuco (UFRPE), ao Programa de Pós-graduação em Ciências Sociais - PPGCS da UFRPE e à Fundação de Amparo à Ciência e Tecnologia do Estado de Pernambuco (</w:t>
      </w:r>
      <w:proofErr w:type="spellStart"/>
      <w:r w:rsidRPr="00552F68">
        <w:rPr>
          <w:rFonts w:ascii="Trebuchet MS" w:hAnsi="Trebuchet MS"/>
          <w:lang w:val="pt-BR"/>
        </w:rPr>
        <w:t>Facepe</w:t>
      </w:r>
      <w:proofErr w:type="spellEnd"/>
      <w:r w:rsidRPr="00552F68">
        <w:rPr>
          <w:rFonts w:ascii="Trebuchet MS" w:hAnsi="Trebuchet MS"/>
          <w:lang w:val="pt-BR"/>
        </w:rPr>
        <w:t>).</w:t>
      </w:r>
    </w:p>
  </w:footnote>
  <w:footnote w:id="2">
    <w:p w14:paraId="2CABB233" w14:textId="5A6428D5" w:rsidR="00552F68" w:rsidRPr="00552F68" w:rsidRDefault="00552F68" w:rsidP="00552F68">
      <w:pPr>
        <w:pStyle w:val="Textodenotaderodap"/>
        <w:jc w:val="both"/>
        <w:rPr>
          <w:rFonts w:asciiTheme="minorHAnsi" w:hAnsiTheme="minorHAnsi"/>
          <w:lang w:val="pt-BR"/>
        </w:rPr>
      </w:pPr>
      <w:r w:rsidRPr="00552F68">
        <w:rPr>
          <w:rStyle w:val="Refdenotaderodap"/>
          <w:rFonts w:asciiTheme="minorHAnsi" w:hAnsiTheme="minorHAnsi"/>
        </w:rPr>
        <w:footnoteRef/>
      </w:r>
      <w:r w:rsidRPr="00552F68">
        <w:rPr>
          <w:rFonts w:asciiTheme="minorHAnsi" w:hAnsiTheme="minorHAnsi"/>
        </w:rPr>
        <w:t xml:space="preserve"> </w:t>
      </w:r>
      <w:r w:rsidRPr="00552F68">
        <w:rPr>
          <w:rFonts w:asciiTheme="minorHAnsi" w:hAnsiTheme="minorHAnsi"/>
          <w:lang w:val="pt-BR"/>
        </w:rPr>
        <w:t>Universidade Federal Rural de Pernambuco - UFRPE. Discente do Programa de Pós-Graduação em Ciências Sociais-PPGCS. Bolsista Núcleo Jurema Feminismos, Agroecologia e Ruralidades - UFRPE.</w:t>
      </w:r>
      <w:r>
        <w:rPr>
          <w:rFonts w:asciiTheme="minorHAnsi" w:hAnsiTheme="minorHAnsi"/>
          <w:lang w:val="pt-BR"/>
        </w:rPr>
        <w:t xml:space="preserve"> </w:t>
      </w:r>
      <w:hyperlink r:id="rId1" w:history="1">
        <w:r w:rsidRPr="004D3FD4">
          <w:rPr>
            <w:rStyle w:val="Hyperlink"/>
            <w:rFonts w:asciiTheme="minorHAnsi" w:hAnsiTheme="minorHAnsi"/>
            <w:lang w:val="pt-BR"/>
          </w:rPr>
          <w:t>aryella.leite@ufrpe.br</w:t>
        </w:r>
      </w:hyperlink>
      <w:r>
        <w:rPr>
          <w:rFonts w:asciiTheme="minorHAnsi" w:hAnsiTheme="minorHAnsi"/>
          <w:lang w:val="pt-BR"/>
        </w:rPr>
        <w:t xml:space="preserve"> </w:t>
      </w:r>
    </w:p>
  </w:footnote>
  <w:footnote w:id="3">
    <w:p w14:paraId="2FB922A5" w14:textId="51C2CC1B" w:rsidR="00552F68" w:rsidRPr="00552F68" w:rsidRDefault="00552F68" w:rsidP="00552F68">
      <w:pPr>
        <w:pStyle w:val="Textodenotaderodap"/>
        <w:jc w:val="both"/>
        <w:rPr>
          <w:rFonts w:asciiTheme="minorHAnsi" w:hAnsiTheme="minorHAnsi"/>
          <w:lang w:val="pt-BR"/>
        </w:rPr>
      </w:pPr>
      <w:r w:rsidRPr="00552F68">
        <w:rPr>
          <w:rStyle w:val="Refdenotaderodap"/>
          <w:rFonts w:asciiTheme="minorHAnsi" w:hAnsiTheme="minorHAnsi"/>
        </w:rPr>
        <w:footnoteRef/>
      </w:r>
      <w:r w:rsidRPr="00552F68">
        <w:rPr>
          <w:rFonts w:asciiTheme="minorHAnsi" w:hAnsiTheme="minorHAnsi"/>
        </w:rPr>
        <w:t xml:space="preserve"> </w:t>
      </w:r>
      <w:r w:rsidRPr="00552F68">
        <w:rPr>
          <w:rFonts w:asciiTheme="minorHAnsi" w:hAnsiTheme="minorHAnsi"/>
        </w:rPr>
        <w:t xml:space="preserve">Universidade Federal Rural de Pernambuco - UFRPE, Discente do Departamento de Ciência Florestal. Bolsista do Núcleo Jurema Feminismos, Agroecologia e Ruralidades - UFRPE. </w:t>
      </w:r>
      <w:r>
        <w:rPr>
          <w:rFonts w:asciiTheme="minorHAnsi" w:hAnsiTheme="minorHAnsi"/>
        </w:rPr>
        <w:fldChar w:fldCharType="begin"/>
      </w:r>
      <w:r>
        <w:rPr>
          <w:rFonts w:asciiTheme="minorHAnsi" w:hAnsiTheme="minorHAnsi"/>
        </w:rPr>
        <w:instrText>HYPERLINK "mailto:</w:instrText>
      </w:r>
      <w:r w:rsidRPr="00552F68">
        <w:rPr>
          <w:rFonts w:asciiTheme="minorHAnsi" w:hAnsiTheme="minorHAnsi"/>
        </w:rPr>
        <w:instrText>danielle.nsilva@ufrpe.br</w:instrText>
      </w:r>
      <w:r>
        <w:rPr>
          <w:rFonts w:asciiTheme="minorHAnsi" w:hAnsiTheme="minorHAnsi"/>
        </w:rPr>
        <w:instrText>"</w:instrText>
      </w:r>
      <w:r>
        <w:rPr>
          <w:rFonts w:asciiTheme="minorHAnsi" w:hAnsiTheme="minorHAnsi"/>
        </w:rPr>
        <w:fldChar w:fldCharType="separate"/>
      </w:r>
      <w:r w:rsidRPr="004D3FD4">
        <w:rPr>
          <w:rStyle w:val="Hyperlink"/>
          <w:rFonts w:asciiTheme="minorHAnsi" w:hAnsiTheme="minorHAnsi"/>
        </w:rPr>
        <w:t>danielle.nsilva@ufrpe.br</w:t>
      </w:r>
      <w:r>
        <w:rPr>
          <w:rFonts w:asciiTheme="minorHAnsi" w:hAnsiTheme="minorHAnsi"/>
        </w:rPr>
        <w:fldChar w:fldCharType="end"/>
      </w:r>
      <w:r>
        <w:rPr>
          <w:rFonts w:asciiTheme="minorHAnsi" w:hAnsiTheme="minorHAnsi"/>
        </w:rPr>
        <w:t xml:space="preserve"> </w:t>
      </w:r>
    </w:p>
  </w:footnote>
  <w:footnote w:id="4">
    <w:p w14:paraId="5F4C296B" w14:textId="09FF3E79" w:rsidR="00552F68" w:rsidRPr="00552F68" w:rsidRDefault="00552F68" w:rsidP="00552F68">
      <w:pPr>
        <w:pStyle w:val="Textodenotaderodap"/>
        <w:jc w:val="both"/>
        <w:rPr>
          <w:rFonts w:asciiTheme="minorHAnsi" w:hAnsiTheme="minorHAnsi"/>
          <w:lang w:val="pt-BR"/>
        </w:rPr>
      </w:pPr>
      <w:r w:rsidRPr="00552F68">
        <w:rPr>
          <w:rStyle w:val="Refdenotaderodap"/>
          <w:rFonts w:asciiTheme="minorHAnsi" w:hAnsiTheme="minorHAnsi"/>
        </w:rPr>
        <w:footnoteRef/>
      </w:r>
      <w:r w:rsidRPr="00552F68">
        <w:rPr>
          <w:rFonts w:asciiTheme="minorHAnsi" w:hAnsiTheme="minorHAnsi"/>
        </w:rPr>
        <w:t xml:space="preserve"> </w:t>
      </w:r>
      <w:r w:rsidRPr="00552F68">
        <w:rPr>
          <w:rFonts w:asciiTheme="minorHAnsi" w:hAnsiTheme="minorHAnsi"/>
        </w:rPr>
        <w:t>Universidade Federal Rural de Pernambuco - UFRPE, Docente do Programa de Pós-Graduação em Ciências Sociais-PPGCS. Coordenadora do Núcleo Jurema Feminismos, Agroecologia e Ruralidades - UFRPE. laeticia.jalil@ufrpe.br.</w:t>
      </w:r>
    </w:p>
  </w:footnote>
  <w:footnote w:id="5">
    <w:p w14:paraId="6511CA99" w14:textId="77777777" w:rsidR="000D403E" w:rsidRPr="000D403E" w:rsidRDefault="000D403E" w:rsidP="000D403E">
      <w:pPr>
        <w:pStyle w:val="Textodenotaderodap"/>
        <w:jc w:val="both"/>
        <w:rPr>
          <w:rFonts w:asciiTheme="minorHAnsi" w:hAnsiTheme="minorHAnsi"/>
          <w:lang w:val="pt-BR"/>
        </w:rPr>
      </w:pPr>
      <w:r w:rsidRPr="000D403E">
        <w:rPr>
          <w:rStyle w:val="Refdenotaderodap"/>
          <w:rFonts w:asciiTheme="minorHAnsi" w:hAnsiTheme="minorHAnsi"/>
        </w:rPr>
        <w:footnoteRef/>
      </w:r>
      <w:r w:rsidRPr="000D403E">
        <w:rPr>
          <w:rFonts w:asciiTheme="minorHAnsi" w:hAnsiTheme="minorHAnsi"/>
        </w:rPr>
        <w:t xml:space="preserve"> </w:t>
      </w:r>
      <w:r w:rsidRPr="000D403E">
        <w:rPr>
          <w:rFonts w:asciiTheme="minorHAnsi" w:hAnsiTheme="minorHAnsi"/>
          <w:lang w:val="pt-BR"/>
        </w:rPr>
        <w:t xml:space="preserve"> São grupos culturalmente diferenciados e que se reconhecem como tais, que possuem formas próprias de organização social, que ocupam e usam territórios e recursos naturais como condição para sua reprodução cultural, social, religiosa, ancestral e econômica, utilizando conhecimentos, inovações e práticas gerados e transmitidos pela tradição”. Decreto 6040/2007, instituiu a Política Nacional de Desenvolvimento Sustentável dos Povos e Comunidades Tradicionais. </w:t>
      </w:r>
      <w:hyperlink r:id="rId2" w:history="1">
        <w:r w:rsidRPr="000D403E">
          <w:rPr>
            <w:rStyle w:val="Hyperlink"/>
            <w:rFonts w:asciiTheme="minorHAnsi" w:hAnsiTheme="minorHAnsi"/>
            <w:lang w:val="pt-BR"/>
          </w:rPr>
          <w:t>Decreto nº 6040</w:t>
        </w:r>
      </w:hyperlink>
    </w:p>
    <w:p w14:paraId="6CF0625C" w14:textId="76963D20" w:rsidR="000D403E" w:rsidRPr="000D403E" w:rsidRDefault="000D403E">
      <w:pPr>
        <w:pStyle w:val="Textodenotaderodap"/>
        <w:rPr>
          <w:lang w:val="pt-BR"/>
        </w:rPr>
      </w:pPr>
    </w:p>
  </w:footnote>
  <w:footnote w:id="6">
    <w:p w14:paraId="69DF5787" w14:textId="77777777" w:rsidR="009E1293" w:rsidRPr="009E1293" w:rsidRDefault="009E1293" w:rsidP="009E1293">
      <w:pPr>
        <w:pStyle w:val="Textodenotaderodap"/>
        <w:jc w:val="both"/>
        <w:rPr>
          <w:rFonts w:asciiTheme="minorHAnsi" w:hAnsiTheme="minorHAnsi"/>
          <w:lang w:val="pt-BR"/>
        </w:rPr>
      </w:pPr>
      <w:r w:rsidRPr="009E1293">
        <w:rPr>
          <w:rStyle w:val="Refdenotaderodap"/>
          <w:rFonts w:asciiTheme="minorHAnsi" w:hAnsiTheme="minorHAnsi"/>
        </w:rPr>
        <w:footnoteRef/>
      </w:r>
      <w:r w:rsidRPr="009E1293">
        <w:rPr>
          <w:rFonts w:asciiTheme="minorHAnsi" w:hAnsiTheme="minorHAnsi"/>
        </w:rPr>
        <w:t xml:space="preserve"> </w:t>
      </w:r>
      <w:r w:rsidRPr="009E1293">
        <w:rPr>
          <w:rFonts w:asciiTheme="minorHAnsi" w:hAnsiTheme="minorHAnsi"/>
          <w:lang w:val="pt-BR"/>
        </w:rPr>
        <w:t xml:space="preserve"> Território de Identidades (TI) têm o objetivo de identificar prioridades temáticas definidas a partir da realidade local, possibilitando o desenvolvimento equilibrado e sustentável entre as regiões, o Governo da Bahia passou a reconhecer a existência de 27 Territórios de Identidade, constituídos a partir da especificidade de cada região. Sua metodologia foi desenvolvida com base no sentimento de pertencimento, onde as comunidades, através de suas representações, foram convidadas a opinar. Disponível em </w:t>
      </w:r>
      <w:hyperlink r:id="rId3" w:history="1">
        <w:r w:rsidRPr="009E1293">
          <w:rPr>
            <w:rStyle w:val="Hyperlink"/>
            <w:rFonts w:asciiTheme="minorHAnsi" w:hAnsiTheme="minorHAnsi"/>
            <w:lang w:val="pt-BR"/>
          </w:rPr>
          <w:t xml:space="preserve">Territórios de Identidade | Superintendência Baiana de Assistência Técnica e Extensão Rural - </w:t>
        </w:r>
        <w:proofErr w:type="spellStart"/>
        <w:r w:rsidRPr="009E1293">
          <w:rPr>
            <w:rStyle w:val="Hyperlink"/>
            <w:rFonts w:asciiTheme="minorHAnsi" w:hAnsiTheme="minorHAnsi"/>
            <w:lang w:val="pt-BR"/>
          </w:rPr>
          <w:t>Bahiater</w:t>
        </w:r>
        <w:proofErr w:type="spellEnd"/>
      </w:hyperlink>
    </w:p>
    <w:p w14:paraId="0317BDB5" w14:textId="382DC3BD" w:rsidR="009E1293" w:rsidRPr="009E1293" w:rsidRDefault="009E1293">
      <w:pPr>
        <w:pStyle w:val="Textodenotaderodap"/>
        <w:rPr>
          <w:lang w:val="pt-BR"/>
        </w:rPr>
      </w:pPr>
    </w:p>
  </w:footnote>
  <w:footnote w:id="7">
    <w:p w14:paraId="23E88B78" w14:textId="36CFCB35" w:rsidR="009E1293" w:rsidRPr="009E1293" w:rsidRDefault="009E1293" w:rsidP="009E1293">
      <w:pPr>
        <w:pStyle w:val="Textodenotaderodap"/>
        <w:jc w:val="both"/>
        <w:rPr>
          <w:rFonts w:asciiTheme="minorHAnsi" w:hAnsiTheme="minorHAnsi"/>
          <w:lang w:val="pt-BR"/>
        </w:rPr>
      </w:pPr>
      <w:r w:rsidRPr="009E1293">
        <w:rPr>
          <w:rStyle w:val="Refdenotaderodap"/>
          <w:rFonts w:asciiTheme="minorHAnsi" w:hAnsiTheme="minorHAnsi"/>
        </w:rPr>
        <w:footnoteRef/>
      </w:r>
      <w:r w:rsidRPr="009E1293">
        <w:rPr>
          <w:rFonts w:asciiTheme="minorHAnsi" w:hAnsiTheme="minorHAnsi"/>
        </w:rPr>
        <w:t xml:space="preserve"> </w:t>
      </w:r>
      <w:r w:rsidRPr="009E1293">
        <w:rPr>
          <w:rFonts w:asciiTheme="minorHAnsi" w:hAnsiTheme="minorHAnsi"/>
          <w:lang w:val="pt-BR"/>
        </w:rPr>
        <w:t xml:space="preserve">O Território Velho Chico engloba 16 municípios numa área de 46.328,38 Km². Limita-se com os Territórios Oeste Baiano, Bacia do Rio Corrente, Sertão Produtivo, Bacia do Paramirim, Chapada Diamantina, Irecê, Sertão do São Francisco e o Estado de Minas Gerais. O Território é banhado pelo Rio São Francisco e seus afluentes, beneficiando quase todos os municípios. </w:t>
      </w:r>
      <w:hyperlink r:id="rId4" w:history="1">
        <w:r w:rsidRPr="009E1293">
          <w:rPr>
            <w:rStyle w:val="Hyperlink"/>
            <w:rFonts w:asciiTheme="minorHAnsi" w:hAnsiTheme="minorHAnsi"/>
            <w:lang w:val="pt-BR"/>
          </w:rPr>
          <w:t>http://patrimonio.ipac.ba.gov.br/territorio/velho-chico/</w:t>
        </w:r>
      </w:hyperlink>
    </w:p>
  </w:footnote>
  <w:footnote w:id="8">
    <w:p w14:paraId="3A147826" w14:textId="16E907C0" w:rsidR="009E1293" w:rsidRPr="009E1293" w:rsidRDefault="009E1293" w:rsidP="009E1293">
      <w:pPr>
        <w:pStyle w:val="Textodenotaderodap"/>
        <w:jc w:val="both"/>
        <w:rPr>
          <w:rFonts w:asciiTheme="minorHAnsi" w:hAnsiTheme="minorHAnsi"/>
          <w:lang w:val="pt-BR"/>
        </w:rPr>
      </w:pPr>
      <w:r w:rsidRPr="009E1293">
        <w:rPr>
          <w:rStyle w:val="Refdenotaderodap"/>
          <w:rFonts w:asciiTheme="minorHAnsi" w:hAnsiTheme="minorHAnsi"/>
        </w:rPr>
        <w:footnoteRef/>
      </w:r>
      <w:r w:rsidRPr="009E1293">
        <w:rPr>
          <w:rFonts w:asciiTheme="minorHAnsi" w:hAnsiTheme="minorHAnsi"/>
        </w:rPr>
        <w:t xml:space="preserve"> </w:t>
      </w:r>
      <w:r w:rsidRPr="009E1293">
        <w:rPr>
          <w:rFonts w:asciiTheme="minorHAnsi" w:hAnsiTheme="minorHAnsi"/>
        </w:rPr>
        <w:t>A Caatinga ocupa uma área de cerca de 862.818 km², o equivalente a 10,1% do território nacional (IBGE, 2019). Engloba os estados Alagoas, Bahia, Ceará, Maranhão, Pernambuco, Paraíba, Rio Grande do Norte, Piauí, Sergipe e o norte de Minas Gerais, onde vivem cerca de 27 milhões de pessoas.https://www.gov.br/mma/pt-br/assuntos/biodiversidade-e-biomas/biomas-e-ecossistemas/biomas/caatinga</w:t>
      </w:r>
      <w:r>
        <w:rPr>
          <w:rFonts w:asciiTheme="minorHAnsi" w:hAnsiTheme="minorHAnsi"/>
        </w:rPr>
        <w:t xml:space="preserve"> </w:t>
      </w:r>
    </w:p>
  </w:footnote>
  <w:footnote w:id="9">
    <w:p w14:paraId="63B37A6B" w14:textId="1FD3848C" w:rsidR="009E1293" w:rsidRPr="009E1293" w:rsidRDefault="009E1293" w:rsidP="009E1293">
      <w:pPr>
        <w:pStyle w:val="Textodenotaderodap"/>
        <w:jc w:val="both"/>
        <w:rPr>
          <w:lang w:val="pt-BR"/>
        </w:rPr>
      </w:pPr>
      <w:r w:rsidRPr="009E1293">
        <w:rPr>
          <w:rStyle w:val="Refdenotaderodap"/>
          <w:rFonts w:asciiTheme="minorHAnsi" w:hAnsiTheme="minorHAnsi"/>
        </w:rPr>
        <w:footnoteRef/>
      </w:r>
      <w:r w:rsidRPr="009E1293">
        <w:rPr>
          <w:rFonts w:asciiTheme="minorHAnsi" w:hAnsiTheme="minorHAnsi"/>
        </w:rPr>
        <w:t xml:space="preserve"> </w:t>
      </w:r>
      <w:r w:rsidRPr="009E1293">
        <w:rPr>
          <w:rFonts w:asciiTheme="minorHAnsi" w:hAnsiTheme="minorHAnsi"/>
        </w:rPr>
        <w:t>O Território de Identidade Litoral Sul abrange 26 municípios e é conhecido como Costa do Cacau e se destaca no estado do Ceará pelo perfil turístico associado ao extenso litoral, composto de Mata Atlântica, reservas da lavoura cacaueira e praias de água morna. https://www.sei.ba.gov.br/images/informacoes_por/territorio/indicadores/pdf/litoralsul.pdf</w:t>
      </w:r>
    </w:p>
  </w:footnote>
  <w:footnote w:id="10">
    <w:p w14:paraId="4F6DFF7B" w14:textId="579E4075" w:rsidR="009E1293" w:rsidRPr="009E1293" w:rsidRDefault="009E1293" w:rsidP="009E1293">
      <w:pPr>
        <w:pStyle w:val="Textodenotaderodap"/>
        <w:jc w:val="both"/>
        <w:rPr>
          <w:rFonts w:asciiTheme="minorHAnsi" w:hAnsiTheme="minorHAnsi"/>
          <w:lang w:val="pt-BR"/>
        </w:rPr>
      </w:pPr>
      <w:r w:rsidRPr="009E1293">
        <w:rPr>
          <w:rStyle w:val="Refdenotaderodap"/>
          <w:rFonts w:asciiTheme="minorHAnsi" w:hAnsiTheme="minorHAnsi"/>
        </w:rPr>
        <w:footnoteRef/>
      </w:r>
      <w:r w:rsidRPr="009E1293">
        <w:rPr>
          <w:rFonts w:asciiTheme="minorHAnsi" w:hAnsiTheme="minorHAnsi"/>
        </w:rPr>
        <w:t xml:space="preserve"> </w:t>
      </w:r>
      <w:r w:rsidRPr="009E1293">
        <w:rPr>
          <w:rFonts w:asciiTheme="minorHAnsi" w:hAnsiTheme="minorHAnsi"/>
        </w:rPr>
        <w:t>Constituição do Estado da Bahia, 5 de outubro de 1989. Portal de Legislação do Estado da Bahia | Casa Civil</w:t>
      </w:r>
      <w:r>
        <w:rPr>
          <w:rFonts w:asciiTheme="minorHAnsi" w:hAnsiTheme="minorHAnsi"/>
        </w:rPr>
        <w:t>:</w:t>
      </w:r>
      <w:r w:rsidRPr="009E1293">
        <w:rPr>
          <w:rFonts w:asciiTheme="minorHAnsi" w:eastAsiaTheme="minorHAnsi" w:hAnsiTheme="minorHAnsi" w:cstheme="minorBidi"/>
          <w:color w:val="000000"/>
          <w:kern w:val="2"/>
          <w:sz w:val="27"/>
          <w:szCs w:val="27"/>
          <w:lang w:val="pt-BR" w:eastAsia="en-US"/>
          <w14:ligatures w14:val="standardContextual"/>
        </w:rPr>
        <w:t xml:space="preserve"> </w:t>
      </w:r>
      <w:hyperlink r:id="rId5" w:history="1">
        <w:r w:rsidRPr="004D3FD4">
          <w:rPr>
            <w:rStyle w:val="Hyperlink"/>
            <w:rFonts w:asciiTheme="minorHAnsi" w:hAnsiTheme="minorHAnsi"/>
            <w:lang w:val="pt-BR"/>
          </w:rPr>
          <w:t>https://www.legislabahia.ba.gov.br/documentos/constituicao-do-estado-da-bahia-de-05-de-outubro-de-1989</w:t>
        </w:r>
      </w:hyperlink>
      <w:r>
        <w:rPr>
          <w:rFonts w:asciiTheme="minorHAnsi" w:hAnsiTheme="minorHAnsi"/>
          <w:lang w:val="pt-BR"/>
        </w:rPr>
        <w:t xml:space="preserve"> </w:t>
      </w:r>
    </w:p>
  </w:footnote>
  <w:footnote w:id="11">
    <w:p w14:paraId="772ED40C" w14:textId="2E6BA589" w:rsidR="009E1293" w:rsidRPr="009E1293" w:rsidRDefault="009E1293">
      <w:pPr>
        <w:pStyle w:val="Textodenotaderodap"/>
        <w:rPr>
          <w:rFonts w:asciiTheme="minorHAnsi" w:hAnsiTheme="minorHAnsi"/>
          <w:lang w:val="pt-BR"/>
        </w:rPr>
      </w:pPr>
      <w:r w:rsidRPr="009E1293">
        <w:rPr>
          <w:rStyle w:val="Refdenotaderodap"/>
          <w:rFonts w:asciiTheme="minorHAnsi" w:hAnsiTheme="minorHAnsi"/>
        </w:rPr>
        <w:footnoteRef/>
      </w:r>
      <w:r w:rsidRPr="009E1293">
        <w:rPr>
          <w:rFonts w:asciiTheme="minorHAnsi" w:hAnsiTheme="minorHAnsi"/>
        </w:rPr>
        <w:t xml:space="preserve"> </w:t>
      </w:r>
      <w:r w:rsidRPr="009E1293">
        <w:rPr>
          <w:rFonts w:asciiTheme="minorHAnsi" w:hAnsiTheme="minorHAnsi"/>
          <w:lang w:val="pt-BR"/>
        </w:rPr>
        <w:t>Agência Brasil</w:t>
      </w:r>
      <w:r>
        <w:rPr>
          <w:rFonts w:asciiTheme="minorHAnsi" w:hAnsiTheme="minorHAnsi"/>
          <w:lang w:val="pt-BR"/>
        </w:rPr>
        <w:t>.</w:t>
      </w:r>
      <w:r w:rsidRPr="009E1293">
        <w:rPr>
          <w:rFonts w:asciiTheme="minorHAnsi" w:hAnsiTheme="minorHAnsi"/>
          <w:lang w:val="pt-BR"/>
        </w:rPr>
        <w:t xml:space="preserve"> </w:t>
      </w:r>
      <w:hyperlink r:id="rId6" w:history="1">
        <w:r w:rsidRPr="009E1293">
          <w:rPr>
            <w:rStyle w:val="Hyperlink"/>
            <w:rFonts w:asciiTheme="minorHAnsi" w:hAnsiTheme="minorHAnsi"/>
            <w:lang w:val="pt-BR"/>
          </w:rPr>
          <w:t>https://agenciabrasil.ebc.com.br/justica/noticia/2023-09/stf-julga-marco-temporal-para-territorios-de-fundo-e-fecho-de-pasto</w:t>
        </w:r>
      </w:hyperlink>
      <w:r>
        <w:rPr>
          <w:rFonts w:asciiTheme="minorHAnsi" w:hAnsiTheme="minorHAnsi"/>
        </w:rPr>
        <w:t xml:space="preserve"> </w:t>
      </w:r>
      <w:r w:rsidRPr="009E1293">
        <w:rPr>
          <w:rFonts w:asciiTheme="minorHAnsi" w:hAnsiTheme="minorHAnsi"/>
          <w:lang w:val="pt-BR"/>
        </w:rPr>
        <w:t>6 de setembro de 2023.</w:t>
      </w:r>
    </w:p>
  </w:footnote>
  <w:footnote w:id="12">
    <w:p w14:paraId="1F638B36" w14:textId="2A8112AE" w:rsidR="000E3E10" w:rsidRPr="000E3E10" w:rsidRDefault="000E3E10" w:rsidP="000E3E10">
      <w:pPr>
        <w:pStyle w:val="Textodenotaderodap"/>
        <w:jc w:val="both"/>
        <w:rPr>
          <w:rFonts w:asciiTheme="minorHAnsi" w:hAnsiTheme="minorHAnsi"/>
          <w:lang w:val="pt-BR"/>
        </w:rPr>
      </w:pPr>
      <w:r w:rsidRPr="000E3E10">
        <w:rPr>
          <w:rStyle w:val="Refdenotaderodap"/>
          <w:rFonts w:asciiTheme="minorHAnsi" w:hAnsiTheme="minorHAnsi"/>
        </w:rPr>
        <w:footnoteRef/>
      </w:r>
      <w:r w:rsidRPr="000E3E10">
        <w:rPr>
          <w:rFonts w:asciiTheme="minorHAnsi" w:hAnsiTheme="minorHAnsi"/>
        </w:rPr>
        <w:t xml:space="preserve"> </w:t>
      </w:r>
      <w:r w:rsidRPr="000E3E10">
        <w:rPr>
          <w:rFonts w:asciiTheme="minorHAnsi" w:hAnsiTheme="minorHAnsi"/>
          <w:lang w:val="pt-BR"/>
        </w:rPr>
        <w:t>Extinção do Tatu-bola Presente na Caatinga e em algumas áreas do Cerrado, o tatu-bola-do-nordeste (</w:t>
      </w:r>
      <w:proofErr w:type="spellStart"/>
      <w:r w:rsidRPr="000E3E10">
        <w:rPr>
          <w:rFonts w:asciiTheme="minorHAnsi" w:hAnsiTheme="minorHAnsi"/>
          <w:lang w:val="pt-BR"/>
        </w:rPr>
        <w:t>Tolypeutes</w:t>
      </w:r>
      <w:proofErr w:type="spellEnd"/>
      <w:r w:rsidRPr="000E3E10">
        <w:rPr>
          <w:rFonts w:asciiTheme="minorHAnsi" w:hAnsiTheme="minorHAnsi"/>
          <w:lang w:val="pt-BR"/>
        </w:rPr>
        <w:t xml:space="preserve"> tricinctus) é vítima de atropelamentos, perda de habitat e caça ilegal e, por isso, é classificado como "Em Perigo" na Lista Nacional de Espécies Ameaçadas de Extinção. </w:t>
      </w:r>
      <w:hyperlink r:id="rId7" w:history="1">
        <w:r w:rsidRPr="000E3E10">
          <w:rPr>
            <w:rStyle w:val="Hyperlink"/>
            <w:rFonts w:asciiTheme="minorHAnsi" w:hAnsiTheme="minorHAnsi"/>
            <w:lang w:val="pt-BR"/>
          </w:rPr>
          <w:t>https://g1.globo.com/sp/campinas-regiao/terra-da-gente/noticia/2020/09/08/exclusivo-do-brasil-e-ameacado-de-extincao-conheca-o-menor-tatu-do-pais.ghtml</w:t>
        </w:r>
      </w:hyperlink>
    </w:p>
  </w:footnote>
  <w:footnote w:id="13">
    <w:p w14:paraId="6A40E54D" w14:textId="1CF60B6D" w:rsidR="000E3E10" w:rsidRPr="000E3E10" w:rsidRDefault="000E3E10">
      <w:pPr>
        <w:pStyle w:val="Textodenotaderodap"/>
        <w:rPr>
          <w:lang w:val="pt-BR"/>
        </w:rPr>
      </w:pPr>
      <w:r w:rsidRPr="000E3E10">
        <w:rPr>
          <w:rStyle w:val="Refdenotaderodap"/>
          <w:rFonts w:asciiTheme="minorHAnsi" w:hAnsiTheme="minorHAnsi"/>
        </w:rPr>
        <w:footnoteRef/>
      </w:r>
      <w:r>
        <w:rPr>
          <w:rFonts w:asciiTheme="minorHAnsi" w:hAnsiTheme="minorHAnsi"/>
        </w:rPr>
        <w:t xml:space="preserve">MDA. </w:t>
      </w:r>
      <w:hyperlink r:id="rId8" w:history="1">
        <w:r w:rsidRPr="004D3FD4">
          <w:rPr>
            <w:rStyle w:val="Hyperlink"/>
            <w:rFonts w:asciiTheme="minorHAnsi" w:hAnsiTheme="minorHAnsi"/>
            <w:lang w:val="pt-BR"/>
          </w:rPr>
          <w:t>https://www.gov.br/mda/pt-br/noticias/2024/10/alimentos-de-origem-quilombola-refletem-sabores-e-saberes-ancestrais</w:t>
        </w:r>
      </w:hyperlink>
      <w:r>
        <w:rPr>
          <w:rFonts w:asciiTheme="minorHAnsi" w:hAnsiTheme="minorHAnsi"/>
          <w:lang w:val="pt-BR"/>
        </w:rPr>
        <w:t xml:space="preserve"> </w:t>
      </w:r>
    </w:p>
  </w:footnote>
  <w:footnote w:id="14">
    <w:p w14:paraId="3C7AC485" w14:textId="5639DEB8" w:rsidR="000E3E10" w:rsidRPr="000E3E10" w:rsidRDefault="000E3E10" w:rsidP="000E3E10">
      <w:pPr>
        <w:pStyle w:val="Textodenotaderodap"/>
        <w:jc w:val="both"/>
        <w:rPr>
          <w:lang w:val="pt-BR"/>
        </w:rPr>
      </w:pPr>
      <w:r w:rsidRPr="000E3E10">
        <w:rPr>
          <w:rStyle w:val="Refdenotaderodap"/>
          <w:rFonts w:asciiTheme="minorHAnsi" w:hAnsiTheme="minorHAnsi"/>
        </w:rPr>
        <w:footnoteRef/>
      </w:r>
      <w:r w:rsidRPr="000E3E10">
        <w:rPr>
          <w:rFonts w:asciiTheme="minorHAnsi" w:hAnsiTheme="minorHAnsi"/>
        </w:rPr>
        <w:t xml:space="preserve"> </w:t>
      </w:r>
      <w:r w:rsidRPr="000E3E10">
        <w:rPr>
          <w:rFonts w:asciiTheme="minorHAnsi" w:hAnsiTheme="minorHAnsi"/>
        </w:rPr>
        <w:t>O Programa Nacional de Alimentação Escolar (PNAE) tem o objetivo de contribuir para o crescimento e o desenvolvimento biopsicossocial, a aprendizagem, o rendimento escolar e a formação de hábitos alimentares saudáveis dos alunos, por meio de ações de educação alimentar e nutricional e da oferta de refeições que cubram as suas necessidades nutricionais durante o período letivo.</w:t>
      </w:r>
    </w:p>
  </w:footnote>
  <w:footnote w:id="15">
    <w:p w14:paraId="75C49047" w14:textId="7A3187BB" w:rsidR="000E3E10" w:rsidRPr="00A6111A" w:rsidRDefault="000E3E10" w:rsidP="00A6111A">
      <w:pPr>
        <w:pStyle w:val="Textodenotaderodap"/>
        <w:jc w:val="both"/>
        <w:rPr>
          <w:rFonts w:asciiTheme="minorHAnsi" w:hAnsiTheme="minorHAnsi"/>
          <w:lang w:val="pt-BR"/>
        </w:rPr>
      </w:pPr>
      <w:r w:rsidRPr="000E3E10">
        <w:rPr>
          <w:rStyle w:val="Refdenotaderodap"/>
          <w:rFonts w:asciiTheme="minorHAnsi" w:hAnsiTheme="minorHAnsi"/>
        </w:rPr>
        <w:footnoteRef/>
      </w:r>
      <w:r w:rsidRPr="000E3E10">
        <w:rPr>
          <w:rFonts w:asciiTheme="minorHAnsi" w:hAnsiTheme="minorHAnsi"/>
        </w:rPr>
        <w:t xml:space="preserve"> </w:t>
      </w:r>
      <w:r w:rsidRPr="000E3E10">
        <w:rPr>
          <w:rFonts w:asciiTheme="minorHAnsi" w:hAnsiTheme="minorHAnsi"/>
          <w:lang w:val="pt-BR"/>
        </w:rPr>
        <w:t xml:space="preserve">Roça agroecológica das mulheres, </w:t>
      </w:r>
      <w:hyperlink r:id="rId9" w:history="1">
        <w:r w:rsidRPr="000E3E10">
          <w:rPr>
            <w:rStyle w:val="Hyperlink"/>
            <w:rFonts w:asciiTheme="minorHAnsi" w:hAnsiTheme="minorHAnsi"/>
            <w:lang w:val="pt-BR"/>
          </w:rPr>
          <w:t>https://aspta.org.br/article/roca-agroecologica-das-mulheres-do-assentamento-dandara-dos-palmares-camamu-ba/</w:t>
        </w:r>
      </w:hyperlink>
    </w:p>
  </w:footnote>
  <w:footnote w:id="16">
    <w:p w14:paraId="082ACA21" w14:textId="50864C3E" w:rsidR="000E3E10" w:rsidRPr="000E3E10" w:rsidRDefault="000E3E10">
      <w:pPr>
        <w:pStyle w:val="Textodenotaderodap"/>
        <w:rPr>
          <w:rFonts w:ascii="Trebuchet MS" w:hAnsi="Trebuchet MS"/>
          <w:lang w:val="pt-BR"/>
        </w:rPr>
      </w:pPr>
      <w:r w:rsidRPr="000E3E10">
        <w:rPr>
          <w:rStyle w:val="Refdenotaderodap"/>
          <w:rFonts w:ascii="Trebuchet MS" w:hAnsi="Trebuchet MS"/>
        </w:rPr>
        <w:footnoteRef/>
      </w:r>
      <w:r w:rsidRPr="000E3E10">
        <w:rPr>
          <w:rFonts w:ascii="Trebuchet MS" w:hAnsi="Trebuchet MS"/>
        </w:rPr>
        <w:t xml:space="preserve"> </w:t>
      </w:r>
      <w:r w:rsidRPr="000E3E10">
        <w:rPr>
          <w:rFonts w:ascii="Trebuchet MS" w:hAnsi="Trebuchet MS"/>
        </w:rPr>
        <w:t xml:space="preserve">CPT. </w:t>
      </w:r>
      <w:hyperlink r:id="rId10" w:history="1">
        <w:r w:rsidRPr="004D3FD4">
          <w:rPr>
            <w:rStyle w:val="Hyperlink"/>
            <w:rFonts w:ascii="Trebuchet MS" w:hAnsi="Trebuchet MS"/>
            <w:lang w:val="pt-BR"/>
          </w:rPr>
          <w:t>https://cptba.org.br/bahia-no-alto-do-ranking-de-conflitos-por-terra-e-por-agua/</w:t>
        </w:r>
      </w:hyperlink>
      <w:r>
        <w:rPr>
          <w:rFonts w:ascii="Trebuchet MS" w:hAnsi="Trebuchet MS"/>
          <w:lang w:val="pt-BR"/>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AFB"/>
    <w:rsid w:val="0004433C"/>
    <w:rsid w:val="000D403E"/>
    <w:rsid w:val="000E3E10"/>
    <w:rsid w:val="00216EFF"/>
    <w:rsid w:val="0027518C"/>
    <w:rsid w:val="00295FBE"/>
    <w:rsid w:val="002B2423"/>
    <w:rsid w:val="0032757F"/>
    <w:rsid w:val="004906DE"/>
    <w:rsid w:val="00507B98"/>
    <w:rsid w:val="0053021A"/>
    <w:rsid w:val="00552F68"/>
    <w:rsid w:val="005531A8"/>
    <w:rsid w:val="00634370"/>
    <w:rsid w:val="00642D5A"/>
    <w:rsid w:val="00680A10"/>
    <w:rsid w:val="00692EEB"/>
    <w:rsid w:val="00733AFB"/>
    <w:rsid w:val="00757F24"/>
    <w:rsid w:val="008B5E81"/>
    <w:rsid w:val="008E7A76"/>
    <w:rsid w:val="009E1293"/>
    <w:rsid w:val="00A6111A"/>
    <w:rsid w:val="00B61734"/>
    <w:rsid w:val="00B76C98"/>
    <w:rsid w:val="00C96B75"/>
    <w:rsid w:val="00D31A9F"/>
    <w:rsid w:val="00D46408"/>
    <w:rsid w:val="00FD6C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paragraph" w:styleId="NormalWeb">
    <w:name w:val="Normal (Web)"/>
    <w:basedOn w:val="Normal"/>
    <w:uiPriority w:val="99"/>
    <w:semiHidden/>
    <w:unhideWhenUsed/>
    <w:rsid w:val="00552F68"/>
    <w:rPr>
      <w:rFonts w:ascii="Times New Roman" w:hAnsi="Times New Roman" w:cs="Times New Roman"/>
    </w:rPr>
  </w:style>
  <w:style w:type="character" w:styleId="Hyperlink">
    <w:name w:val="Hyperlink"/>
    <w:basedOn w:val="Fontepargpadro"/>
    <w:uiPriority w:val="99"/>
    <w:unhideWhenUsed/>
    <w:rsid w:val="00552F68"/>
    <w:rPr>
      <w:color w:val="467886" w:themeColor="hyperlink"/>
      <w:u w:val="single"/>
    </w:rPr>
  </w:style>
  <w:style w:type="character" w:styleId="MenoPendente">
    <w:name w:val="Unresolved Mention"/>
    <w:basedOn w:val="Fontepargpadro"/>
    <w:uiPriority w:val="99"/>
    <w:semiHidden/>
    <w:unhideWhenUsed/>
    <w:rsid w:val="00552F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02006">
      <w:bodyDiv w:val="1"/>
      <w:marLeft w:val="0"/>
      <w:marRight w:val="0"/>
      <w:marTop w:val="0"/>
      <w:marBottom w:val="0"/>
      <w:divBdr>
        <w:top w:val="none" w:sz="0" w:space="0" w:color="auto"/>
        <w:left w:val="none" w:sz="0" w:space="0" w:color="auto"/>
        <w:bottom w:val="none" w:sz="0" w:space="0" w:color="auto"/>
        <w:right w:val="none" w:sz="0" w:space="0" w:color="auto"/>
      </w:divBdr>
    </w:div>
    <w:div w:id="223150778">
      <w:bodyDiv w:val="1"/>
      <w:marLeft w:val="0"/>
      <w:marRight w:val="0"/>
      <w:marTop w:val="0"/>
      <w:marBottom w:val="0"/>
      <w:divBdr>
        <w:top w:val="none" w:sz="0" w:space="0" w:color="auto"/>
        <w:left w:val="none" w:sz="0" w:space="0" w:color="auto"/>
        <w:bottom w:val="none" w:sz="0" w:space="0" w:color="auto"/>
        <w:right w:val="none" w:sz="0" w:space="0" w:color="auto"/>
      </w:divBdr>
    </w:div>
    <w:div w:id="358821526">
      <w:bodyDiv w:val="1"/>
      <w:marLeft w:val="0"/>
      <w:marRight w:val="0"/>
      <w:marTop w:val="0"/>
      <w:marBottom w:val="0"/>
      <w:divBdr>
        <w:top w:val="none" w:sz="0" w:space="0" w:color="auto"/>
        <w:left w:val="none" w:sz="0" w:space="0" w:color="auto"/>
        <w:bottom w:val="none" w:sz="0" w:space="0" w:color="auto"/>
        <w:right w:val="none" w:sz="0" w:space="0" w:color="auto"/>
      </w:divBdr>
    </w:div>
    <w:div w:id="425229327">
      <w:bodyDiv w:val="1"/>
      <w:marLeft w:val="0"/>
      <w:marRight w:val="0"/>
      <w:marTop w:val="0"/>
      <w:marBottom w:val="0"/>
      <w:divBdr>
        <w:top w:val="none" w:sz="0" w:space="0" w:color="auto"/>
        <w:left w:val="none" w:sz="0" w:space="0" w:color="auto"/>
        <w:bottom w:val="none" w:sz="0" w:space="0" w:color="auto"/>
        <w:right w:val="none" w:sz="0" w:space="0" w:color="auto"/>
      </w:divBdr>
    </w:div>
    <w:div w:id="476722600">
      <w:bodyDiv w:val="1"/>
      <w:marLeft w:val="0"/>
      <w:marRight w:val="0"/>
      <w:marTop w:val="0"/>
      <w:marBottom w:val="0"/>
      <w:divBdr>
        <w:top w:val="none" w:sz="0" w:space="0" w:color="auto"/>
        <w:left w:val="none" w:sz="0" w:space="0" w:color="auto"/>
        <w:bottom w:val="none" w:sz="0" w:space="0" w:color="auto"/>
        <w:right w:val="none" w:sz="0" w:space="0" w:color="auto"/>
      </w:divBdr>
    </w:div>
    <w:div w:id="503976704">
      <w:bodyDiv w:val="1"/>
      <w:marLeft w:val="0"/>
      <w:marRight w:val="0"/>
      <w:marTop w:val="0"/>
      <w:marBottom w:val="0"/>
      <w:divBdr>
        <w:top w:val="none" w:sz="0" w:space="0" w:color="auto"/>
        <w:left w:val="none" w:sz="0" w:space="0" w:color="auto"/>
        <w:bottom w:val="none" w:sz="0" w:space="0" w:color="auto"/>
        <w:right w:val="none" w:sz="0" w:space="0" w:color="auto"/>
      </w:divBdr>
    </w:div>
    <w:div w:id="548223306">
      <w:bodyDiv w:val="1"/>
      <w:marLeft w:val="0"/>
      <w:marRight w:val="0"/>
      <w:marTop w:val="0"/>
      <w:marBottom w:val="0"/>
      <w:divBdr>
        <w:top w:val="none" w:sz="0" w:space="0" w:color="auto"/>
        <w:left w:val="none" w:sz="0" w:space="0" w:color="auto"/>
        <w:bottom w:val="none" w:sz="0" w:space="0" w:color="auto"/>
        <w:right w:val="none" w:sz="0" w:space="0" w:color="auto"/>
      </w:divBdr>
    </w:div>
    <w:div w:id="590552527">
      <w:bodyDiv w:val="1"/>
      <w:marLeft w:val="0"/>
      <w:marRight w:val="0"/>
      <w:marTop w:val="0"/>
      <w:marBottom w:val="0"/>
      <w:divBdr>
        <w:top w:val="none" w:sz="0" w:space="0" w:color="auto"/>
        <w:left w:val="none" w:sz="0" w:space="0" w:color="auto"/>
        <w:bottom w:val="none" w:sz="0" w:space="0" w:color="auto"/>
        <w:right w:val="none" w:sz="0" w:space="0" w:color="auto"/>
      </w:divBdr>
    </w:div>
    <w:div w:id="592400813">
      <w:bodyDiv w:val="1"/>
      <w:marLeft w:val="0"/>
      <w:marRight w:val="0"/>
      <w:marTop w:val="0"/>
      <w:marBottom w:val="0"/>
      <w:divBdr>
        <w:top w:val="none" w:sz="0" w:space="0" w:color="auto"/>
        <w:left w:val="none" w:sz="0" w:space="0" w:color="auto"/>
        <w:bottom w:val="none" w:sz="0" w:space="0" w:color="auto"/>
        <w:right w:val="none" w:sz="0" w:space="0" w:color="auto"/>
      </w:divBdr>
    </w:div>
    <w:div w:id="607738305">
      <w:bodyDiv w:val="1"/>
      <w:marLeft w:val="0"/>
      <w:marRight w:val="0"/>
      <w:marTop w:val="0"/>
      <w:marBottom w:val="0"/>
      <w:divBdr>
        <w:top w:val="none" w:sz="0" w:space="0" w:color="auto"/>
        <w:left w:val="none" w:sz="0" w:space="0" w:color="auto"/>
        <w:bottom w:val="none" w:sz="0" w:space="0" w:color="auto"/>
        <w:right w:val="none" w:sz="0" w:space="0" w:color="auto"/>
      </w:divBdr>
    </w:div>
    <w:div w:id="639455150">
      <w:bodyDiv w:val="1"/>
      <w:marLeft w:val="0"/>
      <w:marRight w:val="0"/>
      <w:marTop w:val="0"/>
      <w:marBottom w:val="0"/>
      <w:divBdr>
        <w:top w:val="none" w:sz="0" w:space="0" w:color="auto"/>
        <w:left w:val="none" w:sz="0" w:space="0" w:color="auto"/>
        <w:bottom w:val="none" w:sz="0" w:space="0" w:color="auto"/>
        <w:right w:val="none" w:sz="0" w:space="0" w:color="auto"/>
      </w:divBdr>
    </w:div>
    <w:div w:id="935595824">
      <w:bodyDiv w:val="1"/>
      <w:marLeft w:val="0"/>
      <w:marRight w:val="0"/>
      <w:marTop w:val="0"/>
      <w:marBottom w:val="0"/>
      <w:divBdr>
        <w:top w:val="none" w:sz="0" w:space="0" w:color="auto"/>
        <w:left w:val="none" w:sz="0" w:space="0" w:color="auto"/>
        <w:bottom w:val="none" w:sz="0" w:space="0" w:color="auto"/>
        <w:right w:val="none" w:sz="0" w:space="0" w:color="auto"/>
      </w:divBdr>
    </w:div>
    <w:div w:id="1015960886">
      <w:bodyDiv w:val="1"/>
      <w:marLeft w:val="0"/>
      <w:marRight w:val="0"/>
      <w:marTop w:val="0"/>
      <w:marBottom w:val="0"/>
      <w:divBdr>
        <w:top w:val="none" w:sz="0" w:space="0" w:color="auto"/>
        <w:left w:val="none" w:sz="0" w:space="0" w:color="auto"/>
        <w:bottom w:val="none" w:sz="0" w:space="0" w:color="auto"/>
        <w:right w:val="none" w:sz="0" w:space="0" w:color="auto"/>
      </w:divBdr>
    </w:div>
    <w:div w:id="1125005093">
      <w:bodyDiv w:val="1"/>
      <w:marLeft w:val="0"/>
      <w:marRight w:val="0"/>
      <w:marTop w:val="0"/>
      <w:marBottom w:val="0"/>
      <w:divBdr>
        <w:top w:val="none" w:sz="0" w:space="0" w:color="auto"/>
        <w:left w:val="none" w:sz="0" w:space="0" w:color="auto"/>
        <w:bottom w:val="none" w:sz="0" w:space="0" w:color="auto"/>
        <w:right w:val="none" w:sz="0" w:space="0" w:color="auto"/>
      </w:divBdr>
    </w:div>
    <w:div w:id="1188836544">
      <w:bodyDiv w:val="1"/>
      <w:marLeft w:val="0"/>
      <w:marRight w:val="0"/>
      <w:marTop w:val="0"/>
      <w:marBottom w:val="0"/>
      <w:divBdr>
        <w:top w:val="none" w:sz="0" w:space="0" w:color="auto"/>
        <w:left w:val="none" w:sz="0" w:space="0" w:color="auto"/>
        <w:bottom w:val="none" w:sz="0" w:space="0" w:color="auto"/>
        <w:right w:val="none" w:sz="0" w:space="0" w:color="auto"/>
      </w:divBdr>
    </w:div>
    <w:div w:id="1212112193">
      <w:bodyDiv w:val="1"/>
      <w:marLeft w:val="0"/>
      <w:marRight w:val="0"/>
      <w:marTop w:val="0"/>
      <w:marBottom w:val="0"/>
      <w:divBdr>
        <w:top w:val="none" w:sz="0" w:space="0" w:color="auto"/>
        <w:left w:val="none" w:sz="0" w:space="0" w:color="auto"/>
        <w:bottom w:val="none" w:sz="0" w:space="0" w:color="auto"/>
        <w:right w:val="none" w:sz="0" w:space="0" w:color="auto"/>
      </w:divBdr>
    </w:div>
    <w:div w:id="1220899744">
      <w:bodyDiv w:val="1"/>
      <w:marLeft w:val="0"/>
      <w:marRight w:val="0"/>
      <w:marTop w:val="0"/>
      <w:marBottom w:val="0"/>
      <w:divBdr>
        <w:top w:val="none" w:sz="0" w:space="0" w:color="auto"/>
        <w:left w:val="none" w:sz="0" w:space="0" w:color="auto"/>
        <w:bottom w:val="none" w:sz="0" w:space="0" w:color="auto"/>
        <w:right w:val="none" w:sz="0" w:space="0" w:color="auto"/>
      </w:divBdr>
    </w:div>
    <w:div w:id="1377241438">
      <w:bodyDiv w:val="1"/>
      <w:marLeft w:val="0"/>
      <w:marRight w:val="0"/>
      <w:marTop w:val="0"/>
      <w:marBottom w:val="0"/>
      <w:divBdr>
        <w:top w:val="none" w:sz="0" w:space="0" w:color="auto"/>
        <w:left w:val="none" w:sz="0" w:space="0" w:color="auto"/>
        <w:bottom w:val="none" w:sz="0" w:space="0" w:color="auto"/>
        <w:right w:val="none" w:sz="0" w:space="0" w:color="auto"/>
      </w:divBdr>
    </w:div>
    <w:div w:id="1404257596">
      <w:bodyDiv w:val="1"/>
      <w:marLeft w:val="0"/>
      <w:marRight w:val="0"/>
      <w:marTop w:val="0"/>
      <w:marBottom w:val="0"/>
      <w:divBdr>
        <w:top w:val="none" w:sz="0" w:space="0" w:color="auto"/>
        <w:left w:val="none" w:sz="0" w:space="0" w:color="auto"/>
        <w:bottom w:val="none" w:sz="0" w:space="0" w:color="auto"/>
        <w:right w:val="none" w:sz="0" w:space="0" w:color="auto"/>
      </w:divBdr>
    </w:div>
    <w:div w:id="1417097649">
      <w:bodyDiv w:val="1"/>
      <w:marLeft w:val="0"/>
      <w:marRight w:val="0"/>
      <w:marTop w:val="0"/>
      <w:marBottom w:val="0"/>
      <w:divBdr>
        <w:top w:val="none" w:sz="0" w:space="0" w:color="auto"/>
        <w:left w:val="none" w:sz="0" w:space="0" w:color="auto"/>
        <w:bottom w:val="none" w:sz="0" w:space="0" w:color="auto"/>
        <w:right w:val="none" w:sz="0" w:space="0" w:color="auto"/>
      </w:divBdr>
    </w:div>
    <w:div w:id="1446584589">
      <w:bodyDiv w:val="1"/>
      <w:marLeft w:val="0"/>
      <w:marRight w:val="0"/>
      <w:marTop w:val="0"/>
      <w:marBottom w:val="0"/>
      <w:divBdr>
        <w:top w:val="none" w:sz="0" w:space="0" w:color="auto"/>
        <w:left w:val="none" w:sz="0" w:space="0" w:color="auto"/>
        <w:bottom w:val="none" w:sz="0" w:space="0" w:color="auto"/>
        <w:right w:val="none" w:sz="0" w:space="0" w:color="auto"/>
      </w:divBdr>
    </w:div>
    <w:div w:id="1551960758">
      <w:bodyDiv w:val="1"/>
      <w:marLeft w:val="0"/>
      <w:marRight w:val="0"/>
      <w:marTop w:val="0"/>
      <w:marBottom w:val="0"/>
      <w:divBdr>
        <w:top w:val="none" w:sz="0" w:space="0" w:color="auto"/>
        <w:left w:val="none" w:sz="0" w:space="0" w:color="auto"/>
        <w:bottom w:val="none" w:sz="0" w:space="0" w:color="auto"/>
        <w:right w:val="none" w:sz="0" w:space="0" w:color="auto"/>
      </w:divBdr>
    </w:div>
    <w:div w:id="1592933426">
      <w:bodyDiv w:val="1"/>
      <w:marLeft w:val="0"/>
      <w:marRight w:val="0"/>
      <w:marTop w:val="0"/>
      <w:marBottom w:val="0"/>
      <w:divBdr>
        <w:top w:val="none" w:sz="0" w:space="0" w:color="auto"/>
        <w:left w:val="none" w:sz="0" w:space="0" w:color="auto"/>
        <w:bottom w:val="none" w:sz="0" w:space="0" w:color="auto"/>
        <w:right w:val="none" w:sz="0" w:space="0" w:color="auto"/>
      </w:divBdr>
    </w:div>
    <w:div w:id="1723560038">
      <w:bodyDiv w:val="1"/>
      <w:marLeft w:val="0"/>
      <w:marRight w:val="0"/>
      <w:marTop w:val="0"/>
      <w:marBottom w:val="0"/>
      <w:divBdr>
        <w:top w:val="none" w:sz="0" w:space="0" w:color="auto"/>
        <w:left w:val="none" w:sz="0" w:space="0" w:color="auto"/>
        <w:bottom w:val="none" w:sz="0" w:space="0" w:color="auto"/>
        <w:right w:val="none" w:sz="0" w:space="0" w:color="auto"/>
      </w:divBdr>
    </w:div>
    <w:div w:id="1832863623">
      <w:bodyDiv w:val="1"/>
      <w:marLeft w:val="0"/>
      <w:marRight w:val="0"/>
      <w:marTop w:val="0"/>
      <w:marBottom w:val="0"/>
      <w:divBdr>
        <w:top w:val="none" w:sz="0" w:space="0" w:color="auto"/>
        <w:left w:val="none" w:sz="0" w:space="0" w:color="auto"/>
        <w:bottom w:val="none" w:sz="0" w:space="0" w:color="auto"/>
        <w:right w:val="none" w:sz="0" w:space="0" w:color="auto"/>
      </w:divBdr>
    </w:div>
    <w:div w:id="1855729252">
      <w:bodyDiv w:val="1"/>
      <w:marLeft w:val="0"/>
      <w:marRight w:val="0"/>
      <w:marTop w:val="0"/>
      <w:marBottom w:val="0"/>
      <w:divBdr>
        <w:top w:val="none" w:sz="0" w:space="0" w:color="auto"/>
        <w:left w:val="none" w:sz="0" w:space="0" w:color="auto"/>
        <w:bottom w:val="none" w:sz="0" w:space="0" w:color="auto"/>
        <w:right w:val="none" w:sz="0" w:space="0" w:color="auto"/>
      </w:divBdr>
    </w:div>
    <w:div w:id="1856577606">
      <w:bodyDiv w:val="1"/>
      <w:marLeft w:val="0"/>
      <w:marRight w:val="0"/>
      <w:marTop w:val="0"/>
      <w:marBottom w:val="0"/>
      <w:divBdr>
        <w:top w:val="none" w:sz="0" w:space="0" w:color="auto"/>
        <w:left w:val="none" w:sz="0" w:space="0" w:color="auto"/>
        <w:bottom w:val="none" w:sz="0" w:space="0" w:color="auto"/>
        <w:right w:val="none" w:sz="0" w:space="0" w:color="auto"/>
      </w:divBdr>
    </w:div>
    <w:div w:id="1864397455">
      <w:bodyDiv w:val="1"/>
      <w:marLeft w:val="0"/>
      <w:marRight w:val="0"/>
      <w:marTop w:val="0"/>
      <w:marBottom w:val="0"/>
      <w:divBdr>
        <w:top w:val="none" w:sz="0" w:space="0" w:color="auto"/>
        <w:left w:val="none" w:sz="0" w:space="0" w:color="auto"/>
        <w:bottom w:val="none" w:sz="0" w:space="0" w:color="auto"/>
        <w:right w:val="none" w:sz="0" w:space="0" w:color="auto"/>
      </w:divBdr>
    </w:div>
    <w:div w:id="1924800193">
      <w:bodyDiv w:val="1"/>
      <w:marLeft w:val="0"/>
      <w:marRight w:val="0"/>
      <w:marTop w:val="0"/>
      <w:marBottom w:val="0"/>
      <w:divBdr>
        <w:top w:val="none" w:sz="0" w:space="0" w:color="auto"/>
        <w:left w:val="none" w:sz="0" w:space="0" w:color="auto"/>
        <w:bottom w:val="none" w:sz="0" w:space="0" w:color="auto"/>
        <w:right w:val="none" w:sz="0" w:space="0" w:color="auto"/>
      </w:divBdr>
    </w:div>
    <w:div w:id="194584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roecologia.org.br/2018/07/16/informativo-agro-socio-biodiversidade-direitos-democracia-e-agroecologia-no-campo-e-na-cidade/" TargetMode="External"/><Relationship Id="rId13" Type="http://schemas.openxmlformats.org/officeDocument/2006/relationships/hyperlink" Target="https://geografar.ufba.br/sites/geografar.ufba.br/files/relatoriofinal_mapeamentoffp_vf.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geografar.ufba.br/sites/geografar.ufba.br/files/apoio_a_comunidade_tradicional_de_fundo_de_pasto_de_caboclo_juazeiro_ba.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ptnacional.org.br/comunidad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gov.br/mma/pt-br/assuntos/povos-e-comunidades-tradicionais" TargetMode="External"/><Relationship Id="rId4" Type="http://schemas.openxmlformats.org/officeDocument/2006/relationships/webSettings" Target="webSettings.xml"/><Relationship Id="rId9" Type="http://schemas.openxmlformats.org/officeDocument/2006/relationships/hyperlink" Target="https://www.planalto.gov.br/ccivil_03/_ato2007-2010/2007/Decreto/D6040.htm" TargetMode="External"/><Relationship Id="rId14" Type="http://schemas.openxmlformats.org/officeDocument/2006/relationships/hyperlink" Target="http://cadernos.aba-agroecologia.org.br/index.php/cadernos/article/view/662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gov.br/mda/pt-br/noticias/2024/10/alimentos-de-origem-quilombola-refletem-sabores-e-saberes-ancestrais" TargetMode="External"/><Relationship Id="rId3" Type="http://schemas.openxmlformats.org/officeDocument/2006/relationships/hyperlink" Target="https://www.bahiater.sdr.ba.gov.br/servicos/territorios-de-identidade" TargetMode="External"/><Relationship Id="rId7" Type="http://schemas.openxmlformats.org/officeDocument/2006/relationships/hyperlink" Target="https://g1.globo.com/sp/campinas-regiao/terra-da-gente/noticia/2020/09/08/exclusivo-do-brasil-e-ameacado-de-extincao-conheca-o-menor-tatu-do-pais.ghtml" TargetMode="External"/><Relationship Id="rId2" Type="http://schemas.openxmlformats.org/officeDocument/2006/relationships/hyperlink" Target="https://www.planalto.gov.br/ccivil_03/_ato2007-2010/2007/Decreto/D6040.htm" TargetMode="External"/><Relationship Id="rId1" Type="http://schemas.openxmlformats.org/officeDocument/2006/relationships/hyperlink" Target="mailto:aryella.leite@ufrpe.br" TargetMode="External"/><Relationship Id="rId6" Type="http://schemas.openxmlformats.org/officeDocument/2006/relationships/hyperlink" Target="https://agenciabrasil.ebc.com.br/justica/noticia/2023-09/stf-julga-marco-temporal-para-territorios-de-fundo-e-fecho-de-pasto" TargetMode="External"/><Relationship Id="rId5" Type="http://schemas.openxmlformats.org/officeDocument/2006/relationships/hyperlink" Target="https://www.legislabahia.ba.gov.br/documentos/constituicao-do-estado-da-bahia-de-05-de-outubro-de-1989" TargetMode="External"/><Relationship Id="rId10" Type="http://schemas.openxmlformats.org/officeDocument/2006/relationships/hyperlink" Target="https://cptba.org.br/bahia-no-alto-do-ranking-de-conflitos-por-terra-e-por-agua/" TargetMode="External"/><Relationship Id="rId4" Type="http://schemas.openxmlformats.org/officeDocument/2006/relationships/hyperlink" Target="http://patrimonio.ipac.ba.gov.br/territorio/velho-chico/" TargetMode="External"/><Relationship Id="rId9" Type="http://schemas.openxmlformats.org/officeDocument/2006/relationships/hyperlink" Target="https://aspta.org.br/article/roca-agroecologica-das-mulheres-do-assentamento-dandara-dos-palmares-camamu-ba/"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ABEA5E-5DB0-C544-9A6C-8315214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4232</Words>
  <Characters>22855</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Aryella</cp:lastModifiedBy>
  <cp:revision>3</cp:revision>
  <dcterms:created xsi:type="dcterms:W3CDTF">2025-05-12T23:47:00Z</dcterms:created>
  <dcterms:modified xsi:type="dcterms:W3CDTF">2025-05-12T23:54:00Z</dcterms:modified>
</cp:coreProperties>
</file>