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BAB5" w14:textId="77132C41" w:rsidR="00635ABF" w:rsidRDefault="00635ABF" w:rsidP="00A460F6">
      <w:pPr>
        <w:spacing w:afterLines="0" w:after="0" w:line="240" w:lineRule="auto"/>
        <w:ind w:firstLine="0"/>
        <w:jc w:val="center"/>
        <w:rPr>
          <w:b/>
          <w:bCs/>
          <w:lang w:eastAsia="ar-SA"/>
        </w:rPr>
      </w:pPr>
      <w:r w:rsidRPr="00635ABF">
        <w:rPr>
          <w:b/>
          <w:bCs/>
          <w:lang w:eastAsia="ar-SA"/>
        </w:rPr>
        <w:t>Área Temática</w:t>
      </w:r>
    </w:p>
    <w:p w14:paraId="42D4CD8E" w14:textId="77777777" w:rsidR="00A460F6" w:rsidRPr="00635ABF" w:rsidRDefault="00A460F6" w:rsidP="00A460F6">
      <w:pPr>
        <w:spacing w:afterLines="0" w:after="0" w:line="240" w:lineRule="auto"/>
        <w:ind w:firstLine="0"/>
        <w:jc w:val="center"/>
        <w:rPr>
          <w:b/>
          <w:bCs/>
          <w:lang w:eastAsia="ar-SA"/>
        </w:rPr>
      </w:pPr>
    </w:p>
    <w:p w14:paraId="3C8C14C1" w14:textId="3EF9DE73" w:rsidR="00635ABF" w:rsidRPr="00635ABF" w:rsidRDefault="00635ABF" w:rsidP="00A460F6">
      <w:pPr>
        <w:spacing w:afterLines="0" w:after="0" w:line="240" w:lineRule="auto"/>
        <w:ind w:firstLine="0"/>
        <w:jc w:val="center"/>
        <w:rPr>
          <w:b/>
          <w:bCs/>
          <w:lang w:eastAsia="ar-SA"/>
        </w:rPr>
      </w:pPr>
      <w:r w:rsidRPr="00635ABF">
        <w:rPr>
          <w:b/>
          <w:bCs/>
          <w:lang w:eastAsia="ar-SA"/>
        </w:rPr>
        <w:t>6 - Finanças</w:t>
      </w:r>
    </w:p>
    <w:p w14:paraId="1FBF9A56" w14:textId="77777777" w:rsidR="00635ABF" w:rsidRDefault="00635ABF" w:rsidP="00635ABF">
      <w:pPr>
        <w:pStyle w:val="SemEspaamento"/>
        <w:spacing w:line="240" w:lineRule="auto"/>
        <w:rPr>
          <w:rFonts w:cs="Arial"/>
          <w:szCs w:val="24"/>
        </w:rPr>
      </w:pPr>
    </w:p>
    <w:p w14:paraId="0B690386" w14:textId="77777777" w:rsidR="00635ABF" w:rsidRDefault="00635ABF" w:rsidP="00635ABF">
      <w:pPr>
        <w:pStyle w:val="SemEspaamento"/>
        <w:spacing w:line="240" w:lineRule="auto"/>
        <w:rPr>
          <w:rFonts w:cs="Arial"/>
          <w:szCs w:val="24"/>
        </w:rPr>
      </w:pPr>
    </w:p>
    <w:p w14:paraId="5D51C37C" w14:textId="77777777" w:rsidR="00635ABF" w:rsidRDefault="00635ABF" w:rsidP="00635ABF">
      <w:pPr>
        <w:spacing w:after="168"/>
        <w:rPr>
          <w:lang w:eastAsia="ar-SA"/>
        </w:rPr>
      </w:pPr>
    </w:p>
    <w:p w14:paraId="402ADAB9" w14:textId="77777777" w:rsidR="00635ABF" w:rsidRDefault="00635ABF" w:rsidP="00635ABF">
      <w:pPr>
        <w:spacing w:after="168"/>
        <w:rPr>
          <w:lang w:eastAsia="ar-SA"/>
        </w:rPr>
      </w:pPr>
    </w:p>
    <w:p w14:paraId="1FFE5C92" w14:textId="1490A079" w:rsidR="00635ABF" w:rsidRPr="00635ABF" w:rsidRDefault="00635ABF" w:rsidP="00635ABF">
      <w:pPr>
        <w:pStyle w:val="SemEspaamento"/>
        <w:spacing w:line="240" w:lineRule="auto"/>
        <w:rPr>
          <w:rFonts w:cs="Arial"/>
          <w:szCs w:val="24"/>
        </w:rPr>
      </w:pPr>
      <w:r w:rsidRPr="00635ABF">
        <w:rPr>
          <w:rFonts w:cs="Arial"/>
          <w:szCs w:val="24"/>
        </w:rPr>
        <w:t>O EFEITO DA DIVULGAÇÃO DAS METAS da TAXA SELIC SOBRE O COMPORTAMENTO DO IBOVESPA</w:t>
      </w:r>
    </w:p>
    <w:p w14:paraId="7C320BAD" w14:textId="77777777" w:rsidR="00635ABF" w:rsidRPr="00635ABF" w:rsidRDefault="00635ABF" w:rsidP="00635ABF">
      <w:pPr>
        <w:pStyle w:val="SemEspaamento"/>
        <w:spacing w:line="240" w:lineRule="auto"/>
        <w:ind w:firstLine="709"/>
        <w:jc w:val="both"/>
        <w:rPr>
          <w:rFonts w:cs="Arial"/>
          <w:szCs w:val="24"/>
        </w:rPr>
      </w:pPr>
    </w:p>
    <w:p w14:paraId="71E89C6C" w14:textId="77777777" w:rsidR="00635ABF" w:rsidRDefault="00635ABF" w:rsidP="00FE6BB8">
      <w:pPr>
        <w:pStyle w:val="SemEspaamento"/>
        <w:spacing w:line="240" w:lineRule="auto"/>
        <w:rPr>
          <w:rFonts w:cs="Arial"/>
          <w:szCs w:val="24"/>
        </w:rPr>
      </w:pPr>
    </w:p>
    <w:p w14:paraId="55330F75" w14:textId="77777777" w:rsidR="00635ABF" w:rsidRDefault="00635ABF">
      <w:pPr>
        <w:spacing w:afterLines="0" w:line="276" w:lineRule="auto"/>
        <w:ind w:firstLine="0"/>
        <w:jc w:val="left"/>
        <w:rPr>
          <w:rFonts w:eastAsia="Times New Roman" w:cs="Arial"/>
          <w:b/>
          <w:caps/>
          <w:szCs w:val="24"/>
          <w:lang w:eastAsia="ar-SA"/>
        </w:rPr>
      </w:pPr>
      <w:r>
        <w:rPr>
          <w:rFonts w:cs="Arial"/>
          <w:szCs w:val="24"/>
        </w:rPr>
        <w:br w:type="page"/>
      </w:r>
    </w:p>
    <w:p w14:paraId="10F3732E" w14:textId="77777777" w:rsidR="00635ABF" w:rsidRDefault="00635ABF" w:rsidP="00FE6BB8">
      <w:pPr>
        <w:spacing w:after="168" w:line="240" w:lineRule="auto"/>
        <w:rPr>
          <w:rFonts w:cs="Arial"/>
          <w:b/>
          <w:bCs/>
          <w:szCs w:val="24"/>
        </w:rPr>
      </w:pPr>
    </w:p>
    <w:p w14:paraId="422C30B0" w14:textId="77777777" w:rsidR="00635ABF" w:rsidRDefault="00635ABF">
      <w:pPr>
        <w:spacing w:afterLines="0" w:line="276" w:lineRule="auto"/>
        <w:ind w:firstLine="0"/>
        <w:jc w:val="left"/>
        <w:rPr>
          <w:rFonts w:cs="Arial"/>
          <w:b/>
          <w:bCs/>
          <w:szCs w:val="24"/>
        </w:rPr>
      </w:pPr>
      <w:r>
        <w:rPr>
          <w:rFonts w:cs="Arial"/>
          <w:b/>
          <w:bCs/>
          <w:szCs w:val="24"/>
        </w:rPr>
        <w:t>Resumo</w:t>
      </w:r>
    </w:p>
    <w:p w14:paraId="408551FD" w14:textId="77777777" w:rsidR="00635ABF" w:rsidRDefault="00635ABF" w:rsidP="00635ABF">
      <w:pPr>
        <w:spacing w:afterLines="0" w:line="276" w:lineRule="auto"/>
        <w:ind w:firstLine="0"/>
        <w:rPr>
          <w:rFonts w:cs="Arial"/>
          <w:szCs w:val="24"/>
        </w:rPr>
      </w:pPr>
      <w:r w:rsidRPr="00635ABF">
        <w:rPr>
          <w:rFonts w:cs="Arial"/>
          <w:szCs w:val="24"/>
        </w:rPr>
        <w:t>As variáveis macroeconômicas desempenham um papel fundamental na determinação dos movimentos no mercado de ações. Fatores como taxa de juros, inflação, Produto Interno Bruto (PIB), taxa de câmbio e indicadores de desemprego influenciam diretamente o comportamento dos investidores e, consequentemente, o desempenho dos índices acionários. O objetivo do estudo</w:t>
      </w:r>
      <w:r>
        <w:rPr>
          <w:rFonts w:cs="Arial"/>
          <w:szCs w:val="24"/>
        </w:rPr>
        <w:t xml:space="preserve"> foi</w:t>
      </w:r>
      <w:r w:rsidRPr="00635ABF">
        <w:rPr>
          <w:rFonts w:cs="Arial"/>
          <w:szCs w:val="24"/>
        </w:rPr>
        <w:t xml:space="preserve"> verificar o impacto que as variações na meta da </w:t>
      </w:r>
      <w:r>
        <w:rPr>
          <w:rFonts w:cs="Arial"/>
          <w:szCs w:val="24"/>
        </w:rPr>
        <w:t xml:space="preserve">principal </w:t>
      </w:r>
      <w:r w:rsidRPr="00635ABF">
        <w:rPr>
          <w:rFonts w:cs="Arial"/>
          <w:szCs w:val="24"/>
        </w:rPr>
        <w:t>taxa de juros</w:t>
      </w:r>
      <w:r>
        <w:rPr>
          <w:rFonts w:cs="Arial"/>
          <w:szCs w:val="24"/>
        </w:rPr>
        <w:t xml:space="preserve"> da economia brasileira</w:t>
      </w:r>
      <w:r w:rsidRPr="00635ABF">
        <w:rPr>
          <w:rFonts w:cs="Arial"/>
          <w:szCs w:val="24"/>
        </w:rPr>
        <w:t>, a Selic, provoca no comportamento do Ibovespa.</w:t>
      </w:r>
      <w:r>
        <w:rPr>
          <w:rFonts w:cs="Arial"/>
          <w:szCs w:val="24"/>
        </w:rPr>
        <w:t xml:space="preserve"> F</w:t>
      </w:r>
      <w:r w:rsidRPr="00635ABF">
        <w:rPr>
          <w:rFonts w:cs="Arial"/>
          <w:szCs w:val="24"/>
        </w:rPr>
        <w:t>oi empregado o método do estudo de eventos para fins de detecção de possíveis retornos anormais e de sua significância estatística</w:t>
      </w:r>
      <w:r>
        <w:rPr>
          <w:rFonts w:cs="Arial"/>
          <w:szCs w:val="24"/>
        </w:rPr>
        <w:t xml:space="preserve">, sobre </w:t>
      </w:r>
      <w:r w:rsidRPr="00635ABF">
        <w:rPr>
          <w:rFonts w:cs="Arial"/>
          <w:szCs w:val="24"/>
        </w:rPr>
        <w:t>dados refere</w:t>
      </w:r>
      <w:r>
        <w:rPr>
          <w:rFonts w:cs="Arial"/>
          <w:szCs w:val="24"/>
        </w:rPr>
        <w:t>ntes</w:t>
      </w:r>
      <w:r w:rsidRPr="00635ABF">
        <w:rPr>
          <w:rFonts w:cs="Arial"/>
          <w:szCs w:val="24"/>
        </w:rPr>
        <w:t xml:space="preserve"> ao período compreendido entre janeiro de 2012 e junho de 2022</w:t>
      </w:r>
      <w:r>
        <w:rPr>
          <w:rFonts w:cs="Arial"/>
          <w:szCs w:val="24"/>
        </w:rPr>
        <w:t xml:space="preserve">. Os resultados mostraram </w:t>
      </w:r>
      <w:r w:rsidRPr="00635ABF">
        <w:rPr>
          <w:rFonts w:cs="Arial"/>
          <w:szCs w:val="24"/>
        </w:rPr>
        <w:t>a complexidade das interações entre as decisões de política monetária, o contexto econômico e as reações do mercado de capitais no Brasil.</w:t>
      </w:r>
      <w:r>
        <w:rPr>
          <w:rFonts w:cs="Arial"/>
          <w:szCs w:val="24"/>
        </w:rPr>
        <w:t xml:space="preserve"> E</w:t>
      </w:r>
      <w:r w:rsidRPr="00635ABF">
        <w:rPr>
          <w:rFonts w:cs="Arial"/>
          <w:szCs w:val="24"/>
        </w:rPr>
        <w:t>m tempos de estabilidade econômica, as variações na taxa Selic tendem a ter um impacto limitado ou não significativo sobre os retornos do mercado de ações brasileiro.</w:t>
      </w:r>
      <w:r>
        <w:rPr>
          <w:rFonts w:cs="Arial"/>
          <w:szCs w:val="24"/>
        </w:rPr>
        <w:t xml:space="preserve"> Em tempos de</w:t>
      </w:r>
      <w:r w:rsidRPr="00635ABF">
        <w:rPr>
          <w:rFonts w:cs="Arial"/>
          <w:szCs w:val="24"/>
        </w:rPr>
        <w:t xml:space="preserve"> crises econômicas amplifica</w:t>
      </w:r>
      <w:r>
        <w:rPr>
          <w:rFonts w:cs="Arial"/>
          <w:szCs w:val="24"/>
        </w:rPr>
        <w:t>-se</w:t>
      </w:r>
      <w:r w:rsidRPr="00635ABF">
        <w:rPr>
          <w:rFonts w:cs="Arial"/>
          <w:szCs w:val="24"/>
        </w:rPr>
        <w:t xml:space="preserve"> a sensibilidade do mercado às decisões de política monetária, com algum impacto significativo nos retornos acumulados</w:t>
      </w:r>
      <w:r>
        <w:rPr>
          <w:rFonts w:cs="Arial"/>
          <w:szCs w:val="24"/>
        </w:rPr>
        <w:t xml:space="preserve"> do Ibovespa</w:t>
      </w:r>
      <w:r w:rsidRPr="00635ABF">
        <w:rPr>
          <w:rFonts w:cs="Arial"/>
          <w:szCs w:val="24"/>
        </w:rPr>
        <w:t>.</w:t>
      </w:r>
    </w:p>
    <w:p w14:paraId="31168E63" w14:textId="63748A79" w:rsidR="00635ABF" w:rsidRDefault="00635ABF" w:rsidP="00635ABF">
      <w:pPr>
        <w:spacing w:afterLines="0" w:line="276" w:lineRule="auto"/>
        <w:ind w:firstLine="0"/>
        <w:rPr>
          <w:rFonts w:cs="Arial"/>
          <w:b/>
          <w:bCs/>
          <w:szCs w:val="24"/>
        </w:rPr>
      </w:pPr>
      <w:r w:rsidRPr="00A460F6">
        <w:rPr>
          <w:rFonts w:cs="Arial"/>
          <w:b/>
          <w:bCs/>
          <w:szCs w:val="24"/>
        </w:rPr>
        <w:t>Palavras-Chave:</w:t>
      </w:r>
      <w:r>
        <w:rPr>
          <w:rFonts w:cs="Arial"/>
          <w:szCs w:val="24"/>
        </w:rPr>
        <w:t xml:space="preserve"> Ibovespa; Variáveis Macroeconômicas; Selic; Estudo de Eventos.</w:t>
      </w:r>
    </w:p>
    <w:p w14:paraId="284427ED" w14:textId="77777777" w:rsidR="00A460F6" w:rsidRDefault="00A460F6" w:rsidP="00635ABF">
      <w:pPr>
        <w:spacing w:afterLines="0" w:line="276" w:lineRule="auto"/>
        <w:ind w:firstLine="0"/>
        <w:rPr>
          <w:rFonts w:cs="Arial"/>
          <w:szCs w:val="24"/>
        </w:rPr>
      </w:pPr>
    </w:p>
    <w:p w14:paraId="2D437A60" w14:textId="00304D43" w:rsidR="00A460F6" w:rsidRPr="00A460F6" w:rsidRDefault="00A460F6" w:rsidP="00635ABF">
      <w:pPr>
        <w:spacing w:afterLines="0" w:line="276" w:lineRule="auto"/>
        <w:ind w:firstLine="0"/>
        <w:rPr>
          <w:rFonts w:cs="Arial"/>
          <w:b/>
          <w:bCs/>
          <w:szCs w:val="24"/>
        </w:rPr>
      </w:pPr>
      <w:r w:rsidRPr="00A460F6">
        <w:rPr>
          <w:rFonts w:cs="Arial"/>
          <w:b/>
          <w:bCs/>
          <w:szCs w:val="24"/>
        </w:rPr>
        <w:t>Abstract</w:t>
      </w:r>
    </w:p>
    <w:p w14:paraId="184D7754" w14:textId="08F13328" w:rsidR="00A460F6" w:rsidRDefault="00A460F6" w:rsidP="00635ABF">
      <w:pPr>
        <w:spacing w:afterLines="0" w:line="276" w:lineRule="auto"/>
        <w:ind w:firstLine="0"/>
        <w:rPr>
          <w:rFonts w:cs="Arial"/>
          <w:szCs w:val="24"/>
        </w:rPr>
      </w:pPr>
      <w:proofErr w:type="spellStart"/>
      <w:r w:rsidRPr="00A460F6">
        <w:rPr>
          <w:rFonts w:cs="Arial"/>
          <w:szCs w:val="24"/>
        </w:rPr>
        <w:t>Macroeconomic</w:t>
      </w:r>
      <w:proofErr w:type="spellEnd"/>
      <w:r w:rsidRPr="00A460F6">
        <w:rPr>
          <w:rFonts w:cs="Arial"/>
          <w:szCs w:val="24"/>
        </w:rPr>
        <w:t xml:space="preserve"> </w:t>
      </w:r>
      <w:proofErr w:type="spellStart"/>
      <w:r w:rsidRPr="00A460F6">
        <w:rPr>
          <w:rFonts w:cs="Arial"/>
          <w:szCs w:val="24"/>
        </w:rPr>
        <w:t>variables</w:t>
      </w:r>
      <w:proofErr w:type="spellEnd"/>
      <w:r w:rsidRPr="00A460F6">
        <w:rPr>
          <w:rFonts w:cs="Arial"/>
          <w:szCs w:val="24"/>
        </w:rPr>
        <w:t xml:space="preserve"> play a fundamental role in </w:t>
      </w:r>
      <w:proofErr w:type="spellStart"/>
      <w:r w:rsidRPr="00A460F6">
        <w:rPr>
          <w:rFonts w:cs="Arial"/>
          <w:szCs w:val="24"/>
        </w:rPr>
        <w:t>determining</w:t>
      </w:r>
      <w:proofErr w:type="spellEnd"/>
      <w:r w:rsidRPr="00A460F6">
        <w:rPr>
          <w:rFonts w:cs="Arial"/>
          <w:szCs w:val="24"/>
        </w:rPr>
        <w:t xml:space="preserve"> </w:t>
      </w:r>
      <w:proofErr w:type="spellStart"/>
      <w:r w:rsidRPr="00A460F6">
        <w:rPr>
          <w:rFonts w:cs="Arial"/>
          <w:szCs w:val="24"/>
        </w:rPr>
        <w:t>movements</w:t>
      </w:r>
      <w:proofErr w:type="spellEnd"/>
      <w:r w:rsidRPr="00A460F6">
        <w:rPr>
          <w:rFonts w:cs="Arial"/>
          <w:szCs w:val="24"/>
        </w:rPr>
        <w:t xml:space="preserve"> in </w:t>
      </w:r>
      <w:proofErr w:type="spellStart"/>
      <w:r w:rsidRPr="00A460F6">
        <w:rPr>
          <w:rFonts w:cs="Arial"/>
          <w:szCs w:val="24"/>
        </w:rPr>
        <w:t>the</w:t>
      </w:r>
      <w:proofErr w:type="spellEnd"/>
      <w:r w:rsidRPr="00A460F6">
        <w:rPr>
          <w:rFonts w:cs="Arial"/>
          <w:szCs w:val="24"/>
        </w:rPr>
        <w:t xml:space="preserve"> stock </w:t>
      </w:r>
      <w:proofErr w:type="spellStart"/>
      <w:r w:rsidRPr="00A460F6">
        <w:rPr>
          <w:rFonts w:cs="Arial"/>
          <w:szCs w:val="24"/>
        </w:rPr>
        <w:t>market</w:t>
      </w:r>
      <w:proofErr w:type="spellEnd"/>
      <w:r w:rsidRPr="00A460F6">
        <w:rPr>
          <w:rFonts w:cs="Arial"/>
          <w:szCs w:val="24"/>
        </w:rPr>
        <w:t xml:space="preserve">. </w:t>
      </w:r>
      <w:proofErr w:type="spellStart"/>
      <w:r w:rsidRPr="00A460F6">
        <w:rPr>
          <w:rFonts w:cs="Arial"/>
          <w:szCs w:val="24"/>
        </w:rPr>
        <w:t>Factors</w:t>
      </w:r>
      <w:proofErr w:type="spellEnd"/>
      <w:r w:rsidRPr="00A460F6">
        <w:rPr>
          <w:rFonts w:cs="Arial"/>
          <w:szCs w:val="24"/>
        </w:rPr>
        <w:t xml:space="preserve"> </w:t>
      </w:r>
      <w:proofErr w:type="spellStart"/>
      <w:r w:rsidRPr="00A460F6">
        <w:rPr>
          <w:rFonts w:cs="Arial"/>
          <w:szCs w:val="24"/>
        </w:rPr>
        <w:t>such</w:t>
      </w:r>
      <w:proofErr w:type="spellEnd"/>
      <w:r w:rsidRPr="00A460F6">
        <w:rPr>
          <w:rFonts w:cs="Arial"/>
          <w:szCs w:val="24"/>
        </w:rPr>
        <w:t xml:space="preserve"> as </w:t>
      </w:r>
      <w:proofErr w:type="spellStart"/>
      <w:r w:rsidRPr="00A460F6">
        <w:rPr>
          <w:rFonts w:cs="Arial"/>
          <w:szCs w:val="24"/>
        </w:rPr>
        <w:t>interest</w:t>
      </w:r>
      <w:proofErr w:type="spellEnd"/>
      <w:r w:rsidRPr="00A460F6">
        <w:rPr>
          <w:rFonts w:cs="Arial"/>
          <w:szCs w:val="24"/>
        </w:rPr>
        <w:t xml:space="preserve"> rates, </w:t>
      </w:r>
      <w:proofErr w:type="spellStart"/>
      <w:r w:rsidRPr="00A460F6">
        <w:rPr>
          <w:rFonts w:cs="Arial"/>
          <w:szCs w:val="24"/>
        </w:rPr>
        <w:t>inflation</w:t>
      </w:r>
      <w:proofErr w:type="spellEnd"/>
      <w:r w:rsidRPr="00A460F6">
        <w:rPr>
          <w:rFonts w:cs="Arial"/>
          <w:szCs w:val="24"/>
        </w:rPr>
        <w:t xml:space="preserve">, Gross </w:t>
      </w:r>
      <w:proofErr w:type="spellStart"/>
      <w:r w:rsidRPr="00A460F6">
        <w:rPr>
          <w:rFonts w:cs="Arial"/>
          <w:szCs w:val="24"/>
        </w:rPr>
        <w:t>Domestic</w:t>
      </w:r>
      <w:proofErr w:type="spellEnd"/>
      <w:r w:rsidRPr="00A460F6">
        <w:rPr>
          <w:rFonts w:cs="Arial"/>
          <w:szCs w:val="24"/>
        </w:rPr>
        <w:t xml:space="preserve"> </w:t>
      </w:r>
      <w:proofErr w:type="spellStart"/>
      <w:r w:rsidRPr="00A460F6">
        <w:rPr>
          <w:rFonts w:cs="Arial"/>
          <w:szCs w:val="24"/>
        </w:rPr>
        <w:t>Product</w:t>
      </w:r>
      <w:proofErr w:type="spellEnd"/>
      <w:r w:rsidRPr="00A460F6">
        <w:rPr>
          <w:rFonts w:cs="Arial"/>
          <w:szCs w:val="24"/>
        </w:rPr>
        <w:t xml:space="preserve"> (GDP), </w:t>
      </w:r>
      <w:proofErr w:type="spellStart"/>
      <w:r w:rsidRPr="00A460F6">
        <w:rPr>
          <w:rFonts w:cs="Arial"/>
          <w:szCs w:val="24"/>
        </w:rPr>
        <w:t>exchange</w:t>
      </w:r>
      <w:proofErr w:type="spellEnd"/>
      <w:r w:rsidRPr="00A460F6">
        <w:rPr>
          <w:rFonts w:cs="Arial"/>
          <w:szCs w:val="24"/>
        </w:rPr>
        <w:t xml:space="preserve"> rate </w:t>
      </w:r>
      <w:proofErr w:type="spellStart"/>
      <w:r w:rsidRPr="00A460F6">
        <w:rPr>
          <w:rFonts w:cs="Arial"/>
          <w:szCs w:val="24"/>
        </w:rPr>
        <w:t>and</w:t>
      </w:r>
      <w:proofErr w:type="spellEnd"/>
      <w:r w:rsidRPr="00A460F6">
        <w:rPr>
          <w:rFonts w:cs="Arial"/>
          <w:szCs w:val="24"/>
        </w:rPr>
        <w:t xml:space="preserve"> </w:t>
      </w:r>
      <w:proofErr w:type="spellStart"/>
      <w:r w:rsidRPr="00A460F6">
        <w:rPr>
          <w:rFonts w:cs="Arial"/>
          <w:szCs w:val="24"/>
        </w:rPr>
        <w:t>unemployment</w:t>
      </w:r>
      <w:proofErr w:type="spellEnd"/>
      <w:r w:rsidRPr="00A460F6">
        <w:rPr>
          <w:rFonts w:cs="Arial"/>
          <w:szCs w:val="24"/>
        </w:rPr>
        <w:t xml:space="preserve"> </w:t>
      </w:r>
      <w:proofErr w:type="spellStart"/>
      <w:r w:rsidRPr="00A460F6">
        <w:rPr>
          <w:rFonts w:cs="Arial"/>
          <w:szCs w:val="24"/>
        </w:rPr>
        <w:t>indicators</w:t>
      </w:r>
      <w:proofErr w:type="spellEnd"/>
      <w:r w:rsidRPr="00A460F6">
        <w:rPr>
          <w:rFonts w:cs="Arial"/>
          <w:szCs w:val="24"/>
        </w:rPr>
        <w:t xml:space="preserve"> </w:t>
      </w:r>
      <w:proofErr w:type="spellStart"/>
      <w:r w:rsidRPr="00A460F6">
        <w:rPr>
          <w:rFonts w:cs="Arial"/>
          <w:szCs w:val="24"/>
        </w:rPr>
        <w:t>directly</w:t>
      </w:r>
      <w:proofErr w:type="spellEnd"/>
      <w:r w:rsidRPr="00A460F6">
        <w:rPr>
          <w:rFonts w:cs="Arial"/>
          <w:szCs w:val="24"/>
        </w:rPr>
        <w:t xml:space="preserve"> </w:t>
      </w:r>
      <w:proofErr w:type="spellStart"/>
      <w:r w:rsidRPr="00A460F6">
        <w:rPr>
          <w:rFonts w:cs="Arial"/>
          <w:szCs w:val="24"/>
        </w:rPr>
        <w:t>influence</w:t>
      </w:r>
      <w:proofErr w:type="spellEnd"/>
      <w:r w:rsidRPr="00A460F6">
        <w:rPr>
          <w:rFonts w:cs="Arial"/>
          <w:szCs w:val="24"/>
        </w:rPr>
        <w:t xml:space="preserve"> </w:t>
      </w:r>
      <w:proofErr w:type="spellStart"/>
      <w:r w:rsidRPr="00A460F6">
        <w:rPr>
          <w:rFonts w:cs="Arial"/>
          <w:szCs w:val="24"/>
        </w:rPr>
        <w:t>investor</w:t>
      </w:r>
      <w:proofErr w:type="spellEnd"/>
      <w:r w:rsidRPr="00A460F6">
        <w:rPr>
          <w:rFonts w:cs="Arial"/>
          <w:szCs w:val="24"/>
        </w:rPr>
        <w:t xml:space="preserve"> </w:t>
      </w:r>
      <w:proofErr w:type="spellStart"/>
      <w:r w:rsidRPr="00A460F6">
        <w:rPr>
          <w:rFonts w:cs="Arial"/>
          <w:szCs w:val="24"/>
        </w:rPr>
        <w:t>behavior</w:t>
      </w:r>
      <w:proofErr w:type="spellEnd"/>
      <w:r w:rsidRPr="00A460F6">
        <w:rPr>
          <w:rFonts w:cs="Arial"/>
          <w:szCs w:val="24"/>
        </w:rPr>
        <w:t xml:space="preserve"> </w:t>
      </w:r>
      <w:proofErr w:type="spellStart"/>
      <w:r w:rsidRPr="00A460F6">
        <w:rPr>
          <w:rFonts w:cs="Arial"/>
          <w:szCs w:val="24"/>
        </w:rPr>
        <w:t>and</w:t>
      </w:r>
      <w:proofErr w:type="spellEnd"/>
      <w:r w:rsidRPr="00A460F6">
        <w:rPr>
          <w:rFonts w:cs="Arial"/>
          <w:szCs w:val="24"/>
        </w:rPr>
        <w:t xml:space="preserve">, </w:t>
      </w:r>
      <w:proofErr w:type="spellStart"/>
      <w:r w:rsidRPr="00A460F6">
        <w:rPr>
          <w:rFonts w:cs="Arial"/>
          <w:szCs w:val="24"/>
        </w:rPr>
        <w:t>consequently</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performance </w:t>
      </w:r>
      <w:proofErr w:type="spellStart"/>
      <w:r w:rsidRPr="00A460F6">
        <w:rPr>
          <w:rFonts w:cs="Arial"/>
          <w:szCs w:val="24"/>
        </w:rPr>
        <w:t>of</w:t>
      </w:r>
      <w:proofErr w:type="spellEnd"/>
      <w:r w:rsidRPr="00A460F6">
        <w:rPr>
          <w:rFonts w:cs="Arial"/>
          <w:szCs w:val="24"/>
        </w:rPr>
        <w:t xml:space="preserve"> stock </w:t>
      </w:r>
      <w:proofErr w:type="spellStart"/>
      <w:r w:rsidRPr="00A460F6">
        <w:rPr>
          <w:rFonts w:cs="Arial"/>
          <w:szCs w:val="24"/>
        </w:rPr>
        <w:t>indices</w:t>
      </w:r>
      <w:proofErr w:type="spellEnd"/>
      <w:r w:rsidRPr="00A460F6">
        <w:rPr>
          <w:rFonts w:cs="Arial"/>
          <w:szCs w:val="24"/>
        </w:rPr>
        <w:t xml:space="preserve">. The </w:t>
      </w:r>
      <w:proofErr w:type="spellStart"/>
      <w:r w:rsidRPr="00A460F6">
        <w:rPr>
          <w:rFonts w:cs="Arial"/>
          <w:szCs w:val="24"/>
        </w:rPr>
        <w:t>objective</w:t>
      </w:r>
      <w:proofErr w:type="spellEnd"/>
      <w:r w:rsidRPr="00A460F6">
        <w:rPr>
          <w:rFonts w:cs="Arial"/>
          <w:szCs w:val="24"/>
        </w:rPr>
        <w:t xml:space="preserve">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study</w:t>
      </w:r>
      <w:proofErr w:type="spellEnd"/>
      <w:r w:rsidRPr="00A460F6">
        <w:rPr>
          <w:rFonts w:cs="Arial"/>
          <w:szCs w:val="24"/>
        </w:rPr>
        <w:t xml:space="preserve"> </w:t>
      </w:r>
      <w:proofErr w:type="spellStart"/>
      <w:r w:rsidRPr="00A460F6">
        <w:rPr>
          <w:rFonts w:cs="Arial"/>
          <w:szCs w:val="24"/>
        </w:rPr>
        <w:t>was</w:t>
      </w:r>
      <w:proofErr w:type="spellEnd"/>
      <w:r w:rsidRPr="00A460F6">
        <w:rPr>
          <w:rFonts w:cs="Arial"/>
          <w:szCs w:val="24"/>
        </w:rPr>
        <w:t xml:space="preserve"> </w:t>
      </w:r>
      <w:proofErr w:type="spellStart"/>
      <w:r w:rsidRPr="00A460F6">
        <w:rPr>
          <w:rFonts w:cs="Arial"/>
          <w:szCs w:val="24"/>
        </w:rPr>
        <w:t>to</w:t>
      </w:r>
      <w:proofErr w:type="spellEnd"/>
      <w:r w:rsidRPr="00A460F6">
        <w:rPr>
          <w:rFonts w:cs="Arial"/>
          <w:szCs w:val="24"/>
        </w:rPr>
        <w:t xml:space="preserve"> </w:t>
      </w:r>
      <w:proofErr w:type="spellStart"/>
      <w:r w:rsidRPr="00A460F6">
        <w:rPr>
          <w:rFonts w:cs="Arial"/>
          <w:szCs w:val="24"/>
        </w:rPr>
        <w:t>verify</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impact</w:t>
      </w:r>
      <w:proofErr w:type="spellEnd"/>
      <w:r w:rsidRPr="00A460F6">
        <w:rPr>
          <w:rFonts w:cs="Arial"/>
          <w:szCs w:val="24"/>
        </w:rPr>
        <w:t xml:space="preserve"> </w:t>
      </w:r>
      <w:proofErr w:type="spellStart"/>
      <w:r w:rsidRPr="00A460F6">
        <w:rPr>
          <w:rFonts w:cs="Arial"/>
          <w:szCs w:val="24"/>
        </w:rPr>
        <w:t>that</w:t>
      </w:r>
      <w:proofErr w:type="spellEnd"/>
      <w:r w:rsidRPr="00A460F6">
        <w:rPr>
          <w:rFonts w:cs="Arial"/>
          <w:szCs w:val="24"/>
        </w:rPr>
        <w:t xml:space="preserve"> </w:t>
      </w:r>
      <w:proofErr w:type="spellStart"/>
      <w:r w:rsidRPr="00A460F6">
        <w:rPr>
          <w:rFonts w:cs="Arial"/>
          <w:szCs w:val="24"/>
        </w:rPr>
        <w:t>variations</w:t>
      </w:r>
      <w:proofErr w:type="spellEnd"/>
      <w:r w:rsidRPr="00A460F6">
        <w:rPr>
          <w:rFonts w:cs="Arial"/>
          <w:szCs w:val="24"/>
        </w:rPr>
        <w:t xml:space="preserve"> in </w:t>
      </w:r>
      <w:proofErr w:type="spellStart"/>
      <w:r w:rsidRPr="00A460F6">
        <w:rPr>
          <w:rFonts w:cs="Arial"/>
          <w:szCs w:val="24"/>
        </w:rPr>
        <w:t>the</w:t>
      </w:r>
      <w:proofErr w:type="spellEnd"/>
      <w:r w:rsidRPr="00A460F6">
        <w:rPr>
          <w:rFonts w:cs="Arial"/>
          <w:szCs w:val="24"/>
        </w:rPr>
        <w:t xml:space="preserve"> target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main</w:t>
      </w:r>
      <w:proofErr w:type="spellEnd"/>
      <w:r w:rsidRPr="00A460F6">
        <w:rPr>
          <w:rFonts w:cs="Arial"/>
          <w:szCs w:val="24"/>
        </w:rPr>
        <w:t xml:space="preserve"> </w:t>
      </w:r>
      <w:proofErr w:type="spellStart"/>
      <w:r w:rsidRPr="00A460F6">
        <w:rPr>
          <w:rFonts w:cs="Arial"/>
          <w:szCs w:val="24"/>
        </w:rPr>
        <w:t>interest</w:t>
      </w:r>
      <w:proofErr w:type="spellEnd"/>
      <w:r w:rsidRPr="00A460F6">
        <w:rPr>
          <w:rFonts w:cs="Arial"/>
          <w:szCs w:val="24"/>
        </w:rPr>
        <w:t xml:space="preserve"> rate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Brazilian</w:t>
      </w:r>
      <w:proofErr w:type="spellEnd"/>
      <w:r w:rsidRPr="00A460F6">
        <w:rPr>
          <w:rFonts w:cs="Arial"/>
          <w:szCs w:val="24"/>
        </w:rPr>
        <w:t xml:space="preserve"> </w:t>
      </w:r>
      <w:proofErr w:type="spellStart"/>
      <w:r w:rsidRPr="00A460F6">
        <w:rPr>
          <w:rFonts w:cs="Arial"/>
          <w:szCs w:val="24"/>
        </w:rPr>
        <w:t>economy</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Selic, </w:t>
      </w:r>
      <w:proofErr w:type="spellStart"/>
      <w:r w:rsidRPr="00A460F6">
        <w:rPr>
          <w:rFonts w:cs="Arial"/>
          <w:szCs w:val="24"/>
        </w:rPr>
        <w:t>have</w:t>
      </w:r>
      <w:proofErr w:type="spellEnd"/>
      <w:r w:rsidRPr="00A460F6">
        <w:rPr>
          <w:rFonts w:cs="Arial"/>
          <w:szCs w:val="24"/>
        </w:rPr>
        <w:t xml:space="preserve"> </w:t>
      </w:r>
      <w:proofErr w:type="spellStart"/>
      <w:r w:rsidRPr="00A460F6">
        <w:rPr>
          <w:rFonts w:cs="Arial"/>
          <w:szCs w:val="24"/>
        </w:rPr>
        <w:t>on</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behavior</w:t>
      </w:r>
      <w:proofErr w:type="spellEnd"/>
      <w:r w:rsidRPr="00A460F6">
        <w:rPr>
          <w:rFonts w:cs="Arial"/>
          <w:szCs w:val="24"/>
        </w:rPr>
        <w:t xml:space="preserve"> </w:t>
      </w:r>
      <w:proofErr w:type="spellStart"/>
      <w:r w:rsidRPr="00A460F6">
        <w:rPr>
          <w:rFonts w:cs="Arial"/>
          <w:szCs w:val="24"/>
        </w:rPr>
        <w:t>of</w:t>
      </w:r>
      <w:proofErr w:type="spellEnd"/>
      <w:r w:rsidRPr="00A460F6">
        <w:rPr>
          <w:rFonts w:cs="Arial"/>
          <w:szCs w:val="24"/>
        </w:rPr>
        <w:t xml:space="preserve"> Ibovespa. The </w:t>
      </w:r>
      <w:proofErr w:type="spellStart"/>
      <w:r w:rsidRPr="00A460F6">
        <w:rPr>
          <w:rFonts w:cs="Arial"/>
          <w:szCs w:val="24"/>
        </w:rPr>
        <w:t>event</w:t>
      </w:r>
      <w:proofErr w:type="spellEnd"/>
      <w:r w:rsidRPr="00A460F6">
        <w:rPr>
          <w:rFonts w:cs="Arial"/>
          <w:szCs w:val="24"/>
        </w:rPr>
        <w:t xml:space="preserve"> </w:t>
      </w:r>
      <w:proofErr w:type="spellStart"/>
      <w:r w:rsidRPr="00A460F6">
        <w:rPr>
          <w:rFonts w:cs="Arial"/>
          <w:szCs w:val="24"/>
        </w:rPr>
        <w:t>study</w:t>
      </w:r>
      <w:proofErr w:type="spellEnd"/>
      <w:r w:rsidRPr="00A460F6">
        <w:rPr>
          <w:rFonts w:cs="Arial"/>
          <w:szCs w:val="24"/>
        </w:rPr>
        <w:t xml:space="preserve"> </w:t>
      </w:r>
      <w:proofErr w:type="spellStart"/>
      <w:r w:rsidRPr="00A460F6">
        <w:rPr>
          <w:rFonts w:cs="Arial"/>
          <w:szCs w:val="24"/>
        </w:rPr>
        <w:t>method</w:t>
      </w:r>
      <w:proofErr w:type="spellEnd"/>
      <w:r w:rsidRPr="00A460F6">
        <w:rPr>
          <w:rFonts w:cs="Arial"/>
          <w:szCs w:val="24"/>
        </w:rPr>
        <w:t xml:space="preserve"> </w:t>
      </w:r>
      <w:proofErr w:type="spellStart"/>
      <w:r w:rsidRPr="00A460F6">
        <w:rPr>
          <w:rFonts w:cs="Arial"/>
          <w:szCs w:val="24"/>
        </w:rPr>
        <w:t>was</w:t>
      </w:r>
      <w:proofErr w:type="spellEnd"/>
      <w:r w:rsidRPr="00A460F6">
        <w:rPr>
          <w:rFonts w:cs="Arial"/>
          <w:szCs w:val="24"/>
        </w:rPr>
        <w:t xml:space="preserve"> </w:t>
      </w:r>
      <w:proofErr w:type="spellStart"/>
      <w:r w:rsidRPr="00A460F6">
        <w:rPr>
          <w:rFonts w:cs="Arial"/>
          <w:szCs w:val="24"/>
        </w:rPr>
        <w:t>used</w:t>
      </w:r>
      <w:proofErr w:type="spellEnd"/>
      <w:r w:rsidRPr="00A460F6">
        <w:rPr>
          <w:rFonts w:cs="Arial"/>
          <w:szCs w:val="24"/>
        </w:rPr>
        <w:t xml:space="preserve"> for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purpose</w:t>
      </w:r>
      <w:proofErr w:type="spellEnd"/>
      <w:r w:rsidRPr="00A460F6">
        <w:rPr>
          <w:rFonts w:cs="Arial"/>
          <w:szCs w:val="24"/>
        </w:rPr>
        <w:t xml:space="preserve">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detecting</w:t>
      </w:r>
      <w:proofErr w:type="spellEnd"/>
      <w:r w:rsidRPr="00A460F6">
        <w:rPr>
          <w:rFonts w:cs="Arial"/>
          <w:szCs w:val="24"/>
        </w:rPr>
        <w:t xml:space="preserve"> </w:t>
      </w:r>
      <w:proofErr w:type="spellStart"/>
      <w:r w:rsidRPr="00A460F6">
        <w:rPr>
          <w:rFonts w:cs="Arial"/>
          <w:szCs w:val="24"/>
        </w:rPr>
        <w:t>possible</w:t>
      </w:r>
      <w:proofErr w:type="spellEnd"/>
      <w:r w:rsidRPr="00A460F6">
        <w:rPr>
          <w:rFonts w:cs="Arial"/>
          <w:szCs w:val="24"/>
        </w:rPr>
        <w:t xml:space="preserve"> abnormal </w:t>
      </w:r>
      <w:proofErr w:type="spellStart"/>
      <w:r w:rsidRPr="00A460F6">
        <w:rPr>
          <w:rFonts w:cs="Arial"/>
          <w:szCs w:val="24"/>
        </w:rPr>
        <w:t>returns</w:t>
      </w:r>
      <w:proofErr w:type="spellEnd"/>
      <w:r w:rsidRPr="00A460F6">
        <w:rPr>
          <w:rFonts w:cs="Arial"/>
          <w:szCs w:val="24"/>
        </w:rPr>
        <w:t xml:space="preserve"> </w:t>
      </w:r>
      <w:proofErr w:type="spellStart"/>
      <w:r w:rsidRPr="00A460F6">
        <w:rPr>
          <w:rFonts w:cs="Arial"/>
          <w:szCs w:val="24"/>
        </w:rPr>
        <w:t>and</w:t>
      </w:r>
      <w:proofErr w:type="spellEnd"/>
      <w:r w:rsidRPr="00A460F6">
        <w:rPr>
          <w:rFonts w:cs="Arial"/>
          <w:szCs w:val="24"/>
        </w:rPr>
        <w:t xml:space="preserve"> </w:t>
      </w:r>
      <w:proofErr w:type="spellStart"/>
      <w:r w:rsidRPr="00A460F6">
        <w:rPr>
          <w:rFonts w:cs="Arial"/>
          <w:szCs w:val="24"/>
        </w:rPr>
        <w:t>their</w:t>
      </w:r>
      <w:proofErr w:type="spellEnd"/>
      <w:r w:rsidRPr="00A460F6">
        <w:rPr>
          <w:rFonts w:cs="Arial"/>
          <w:szCs w:val="24"/>
        </w:rPr>
        <w:t xml:space="preserve"> </w:t>
      </w:r>
      <w:proofErr w:type="spellStart"/>
      <w:r w:rsidRPr="00A460F6">
        <w:rPr>
          <w:rFonts w:cs="Arial"/>
          <w:szCs w:val="24"/>
        </w:rPr>
        <w:t>statistical</w:t>
      </w:r>
      <w:proofErr w:type="spellEnd"/>
      <w:r w:rsidRPr="00A460F6">
        <w:rPr>
          <w:rFonts w:cs="Arial"/>
          <w:szCs w:val="24"/>
        </w:rPr>
        <w:t xml:space="preserve"> </w:t>
      </w:r>
      <w:proofErr w:type="spellStart"/>
      <w:r w:rsidRPr="00A460F6">
        <w:rPr>
          <w:rFonts w:cs="Arial"/>
          <w:szCs w:val="24"/>
        </w:rPr>
        <w:t>significance</w:t>
      </w:r>
      <w:proofErr w:type="spellEnd"/>
      <w:r w:rsidRPr="00A460F6">
        <w:rPr>
          <w:rFonts w:cs="Arial"/>
          <w:szCs w:val="24"/>
        </w:rPr>
        <w:t xml:space="preserve">, </w:t>
      </w:r>
      <w:proofErr w:type="spellStart"/>
      <w:r w:rsidRPr="00A460F6">
        <w:rPr>
          <w:rFonts w:cs="Arial"/>
          <w:szCs w:val="24"/>
        </w:rPr>
        <w:t>on</w:t>
      </w:r>
      <w:proofErr w:type="spellEnd"/>
      <w:r w:rsidRPr="00A460F6">
        <w:rPr>
          <w:rFonts w:cs="Arial"/>
          <w:szCs w:val="24"/>
        </w:rPr>
        <w:t xml:space="preserve"> data </w:t>
      </w:r>
      <w:proofErr w:type="spellStart"/>
      <w:r w:rsidRPr="00A460F6">
        <w:rPr>
          <w:rFonts w:cs="Arial"/>
          <w:szCs w:val="24"/>
        </w:rPr>
        <w:t>referring</w:t>
      </w:r>
      <w:proofErr w:type="spellEnd"/>
      <w:r w:rsidRPr="00A460F6">
        <w:rPr>
          <w:rFonts w:cs="Arial"/>
          <w:szCs w:val="24"/>
        </w:rPr>
        <w:t xml:space="preserve"> </w:t>
      </w:r>
      <w:proofErr w:type="spellStart"/>
      <w:r w:rsidRPr="00A460F6">
        <w:rPr>
          <w:rFonts w:cs="Arial"/>
          <w:szCs w:val="24"/>
        </w:rPr>
        <w:t>to</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period</w:t>
      </w:r>
      <w:proofErr w:type="spellEnd"/>
      <w:r w:rsidRPr="00A460F6">
        <w:rPr>
          <w:rFonts w:cs="Arial"/>
          <w:szCs w:val="24"/>
        </w:rPr>
        <w:t xml:space="preserve"> </w:t>
      </w:r>
      <w:proofErr w:type="spellStart"/>
      <w:r w:rsidRPr="00A460F6">
        <w:rPr>
          <w:rFonts w:cs="Arial"/>
          <w:szCs w:val="24"/>
        </w:rPr>
        <w:t>between</w:t>
      </w:r>
      <w:proofErr w:type="spellEnd"/>
      <w:r w:rsidRPr="00A460F6">
        <w:rPr>
          <w:rFonts w:cs="Arial"/>
          <w:szCs w:val="24"/>
        </w:rPr>
        <w:t xml:space="preserve"> </w:t>
      </w:r>
      <w:proofErr w:type="spellStart"/>
      <w:r w:rsidRPr="00A460F6">
        <w:rPr>
          <w:rFonts w:cs="Arial"/>
          <w:szCs w:val="24"/>
        </w:rPr>
        <w:t>January</w:t>
      </w:r>
      <w:proofErr w:type="spellEnd"/>
      <w:r w:rsidRPr="00A460F6">
        <w:rPr>
          <w:rFonts w:cs="Arial"/>
          <w:szCs w:val="24"/>
        </w:rPr>
        <w:t xml:space="preserve"> 2012 </w:t>
      </w:r>
      <w:proofErr w:type="spellStart"/>
      <w:r w:rsidRPr="00A460F6">
        <w:rPr>
          <w:rFonts w:cs="Arial"/>
          <w:szCs w:val="24"/>
        </w:rPr>
        <w:t>and</w:t>
      </w:r>
      <w:proofErr w:type="spellEnd"/>
      <w:r w:rsidRPr="00A460F6">
        <w:rPr>
          <w:rFonts w:cs="Arial"/>
          <w:szCs w:val="24"/>
        </w:rPr>
        <w:t xml:space="preserve"> </w:t>
      </w:r>
      <w:proofErr w:type="spellStart"/>
      <w:r w:rsidRPr="00A460F6">
        <w:rPr>
          <w:rFonts w:cs="Arial"/>
          <w:szCs w:val="24"/>
        </w:rPr>
        <w:t>June</w:t>
      </w:r>
      <w:proofErr w:type="spellEnd"/>
      <w:r w:rsidRPr="00A460F6">
        <w:rPr>
          <w:rFonts w:cs="Arial"/>
          <w:szCs w:val="24"/>
        </w:rPr>
        <w:t xml:space="preserve"> 2022. The </w:t>
      </w:r>
      <w:proofErr w:type="spellStart"/>
      <w:r w:rsidRPr="00A460F6">
        <w:rPr>
          <w:rFonts w:cs="Arial"/>
          <w:szCs w:val="24"/>
        </w:rPr>
        <w:t>results</w:t>
      </w:r>
      <w:proofErr w:type="spellEnd"/>
      <w:r w:rsidRPr="00A460F6">
        <w:rPr>
          <w:rFonts w:cs="Arial"/>
          <w:szCs w:val="24"/>
        </w:rPr>
        <w:t xml:space="preserve"> </w:t>
      </w:r>
      <w:proofErr w:type="spellStart"/>
      <w:r w:rsidRPr="00A460F6">
        <w:rPr>
          <w:rFonts w:cs="Arial"/>
          <w:szCs w:val="24"/>
        </w:rPr>
        <w:t>showed</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complexity</w:t>
      </w:r>
      <w:proofErr w:type="spellEnd"/>
      <w:r w:rsidRPr="00A460F6">
        <w:rPr>
          <w:rFonts w:cs="Arial"/>
          <w:szCs w:val="24"/>
        </w:rPr>
        <w:t xml:space="preserve">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interactions</w:t>
      </w:r>
      <w:proofErr w:type="spellEnd"/>
      <w:r w:rsidRPr="00A460F6">
        <w:rPr>
          <w:rFonts w:cs="Arial"/>
          <w:szCs w:val="24"/>
        </w:rPr>
        <w:t xml:space="preserve"> </w:t>
      </w:r>
      <w:proofErr w:type="spellStart"/>
      <w:r w:rsidRPr="00A460F6">
        <w:rPr>
          <w:rFonts w:cs="Arial"/>
          <w:szCs w:val="24"/>
        </w:rPr>
        <w:t>between</w:t>
      </w:r>
      <w:proofErr w:type="spellEnd"/>
      <w:r w:rsidRPr="00A460F6">
        <w:rPr>
          <w:rFonts w:cs="Arial"/>
          <w:szCs w:val="24"/>
        </w:rPr>
        <w:t xml:space="preserve"> </w:t>
      </w:r>
      <w:proofErr w:type="spellStart"/>
      <w:r w:rsidRPr="00A460F6">
        <w:rPr>
          <w:rFonts w:cs="Arial"/>
          <w:szCs w:val="24"/>
        </w:rPr>
        <w:t>monetary</w:t>
      </w:r>
      <w:proofErr w:type="spellEnd"/>
      <w:r w:rsidRPr="00A460F6">
        <w:rPr>
          <w:rFonts w:cs="Arial"/>
          <w:szCs w:val="24"/>
        </w:rPr>
        <w:t xml:space="preserve"> </w:t>
      </w:r>
      <w:proofErr w:type="spellStart"/>
      <w:r w:rsidRPr="00A460F6">
        <w:rPr>
          <w:rFonts w:cs="Arial"/>
          <w:szCs w:val="24"/>
        </w:rPr>
        <w:t>policy</w:t>
      </w:r>
      <w:proofErr w:type="spellEnd"/>
      <w:r w:rsidRPr="00A460F6">
        <w:rPr>
          <w:rFonts w:cs="Arial"/>
          <w:szCs w:val="24"/>
        </w:rPr>
        <w:t xml:space="preserve"> </w:t>
      </w:r>
      <w:proofErr w:type="spellStart"/>
      <w:r w:rsidRPr="00A460F6">
        <w:rPr>
          <w:rFonts w:cs="Arial"/>
          <w:szCs w:val="24"/>
        </w:rPr>
        <w:t>decisions</w:t>
      </w:r>
      <w:proofErr w:type="spellEnd"/>
      <w:r w:rsidRPr="00A460F6">
        <w:rPr>
          <w:rFonts w:cs="Arial"/>
          <w:szCs w:val="24"/>
        </w:rPr>
        <w:t xml:space="preserve"> ,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economic</w:t>
      </w:r>
      <w:proofErr w:type="spellEnd"/>
      <w:r w:rsidRPr="00A460F6">
        <w:rPr>
          <w:rFonts w:cs="Arial"/>
          <w:szCs w:val="24"/>
        </w:rPr>
        <w:t xml:space="preserve"> </w:t>
      </w:r>
      <w:proofErr w:type="spellStart"/>
      <w:r w:rsidRPr="00A460F6">
        <w:rPr>
          <w:rFonts w:cs="Arial"/>
          <w:szCs w:val="24"/>
        </w:rPr>
        <w:t>context</w:t>
      </w:r>
      <w:proofErr w:type="spellEnd"/>
      <w:r w:rsidRPr="00A460F6">
        <w:rPr>
          <w:rFonts w:cs="Arial"/>
          <w:szCs w:val="24"/>
        </w:rPr>
        <w:t xml:space="preserve"> </w:t>
      </w:r>
      <w:proofErr w:type="spellStart"/>
      <w:r w:rsidRPr="00A460F6">
        <w:rPr>
          <w:rFonts w:cs="Arial"/>
          <w:szCs w:val="24"/>
        </w:rPr>
        <w:t>and</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reactions</w:t>
      </w:r>
      <w:proofErr w:type="spellEnd"/>
      <w:r w:rsidRPr="00A460F6">
        <w:rPr>
          <w:rFonts w:cs="Arial"/>
          <w:szCs w:val="24"/>
        </w:rPr>
        <w:t xml:space="preserve">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capital </w:t>
      </w:r>
      <w:proofErr w:type="spellStart"/>
      <w:r w:rsidRPr="00A460F6">
        <w:rPr>
          <w:rFonts w:cs="Arial"/>
          <w:szCs w:val="24"/>
        </w:rPr>
        <w:t>market</w:t>
      </w:r>
      <w:proofErr w:type="spellEnd"/>
      <w:r w:rsidRPr="00A460F6">
        <w:rPr>
          <w:rFonts w:cs="Arial"/>
          <w:szCs w:val="24"/>
        </w:rPr>
        <w:t xml:space="preserve"> in </w:t>
      </w:r>
      <w:proofErr w:type="spellStart"/>
      <w:r w:rsidRPr="00A460F6">
        <w:rPr>
          <w:rFonts w:cs="Arial"/>
          <w:szCs w:val="24"/>
        </w:rPr>
        <w:t>Brazil</w:t>
      </w:r>
      <w:proofErr w:type="spellEnd"/>
      <w:r w:rsidRPr="00A460F6">
        <w:rPr>
          <w:rFonts w:cs="Arial"/>
          <w:szCs w:val="24"/>
        </w:rPr>
        <w:t xml:space="preserve">. In times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economic</w:t>
      </w:r>
      <w:proofErr w:type="spellEnd"/>
      <w:r w:rsidRPr="00A460F6">
        <w:rPr>
          <w:rFonts w:cs="Arial"/>
          <w:szCs w:val="24"/>
        </w:rPr>
        <w:t xml:space="preserve"> </w:t>
      </w:r>
      <w:proofErr w:type="spellStart"/>
      <w:r w:rsidRPr="00A460F6">
        <w:rPr>
          <w:rFonts w:cs="Arial"/>
          <w:szCs w:val="24"/>
        </w:rPr>
        <w:t>stability</w:t>
      </w:r>
      <w:proofErr w:type="spellEnd"/>
      <w:r w:rsidRPr="00A460F6">
        <w:rPr>
          <w:rFonts w:cs="Arial"/>
          <w:szCs w:val="24"/>
        </w:rPr>
        <w:t xml:space="preserve">, </w:t>
      </w:r>
      <w:proofErr w:type="spellStart"/>
      <w:r w:rsidRPr="00A460F6">
        <w:rPr>
          <w:rFonts w:cs="Arial"/>
          <w:szCs w:val="24"/>
        </w:rPr>
        <w:t>variations</w:t>
      </w:r>
      <w:proofErr w:type="spellEnd"/>
      <w:r w:rsidRPr="00A460F6">
        <w:rPr>
          <w:rFonts w:cs="Arial"/>
          <w:szCs w:val="24"/>
        </w:rPr>
        <w:t xml:space="preserve"> in </w:t>
      </w:r>
      <w:proofErr w:type="spellStart"/>
      <w:r w:rsidRPr="00A460F6">
        <w:rPr>
          <w:rFonts w:cs="Arial"/>
          <w:szCs w:val="24"/>
        </w:rPr>
        <w:t>the</w:t>
      </w:r>
      <w:proofErr w:type="spellEnd"/>
      <w:r w:rsidRPr="00A460F6">
        <w:rPr>
          <w:rFonts w:cs="Arial"/>
          <w:szCs w:val="24"/>
        </w:rPr>
        <w:t xml:space="preserve"> Selic rate </w:t>
      </w:r>
      <w:proofErr w:type="spellStart"/>
      <w:r w:rsidRPr="00A460F6">
        <w:rPr>
          <w:rFonts w:cs="Arial"/>
          <w:szCs w:val="24"/>
        </w:rPr>
        <w:t>tend</w:t>
      </w:r>
      <w:proofErr w:type="spellEnd"/>
      <w:r w:rsidRPr="00A460F6">
        <w:rPr>
          <w:rFonts w:cs="Arial"/>
          <w:szCs w:val="24"/>
        </w:rPr>
        <w:t xml:space="preserve"> </w:t>
      </w:r>
      <w:proofErr w:type="spellStart"/>
      <w:r w:rsidRPr="00A460F6">
        <w:rPr>
          <w:rFonts w:cs="Arial"/>
          <w:szCs w:val="24"/>
        </w:rPr>
        <w:t>to</w:t>
      </w:r>
      <w:proofErr w:type="spellEnd"/>
      <w:r w:rsidRPr="00A460F6">
        <w:rPr>
          <w:rFonts w:cs="Arial"/>
          <w:szCs w:val="24"/>
        </w:rPr>
        <w:t xml:space="preserve"> </w:t>
      </w:r>
      <w:proofErr w:type="spellStart"/>
      <w:r w:rsidRPr="00A460F6">
        <w:rPr>
          <w:rFonts w:cs="Arial"/>
          <w:szCs w:val="24"/>
        </w:rPr>
        <w:t>have</w:t>
      </w:r>
      <w:proofErr w:type="spellEnd"/>
      <w:r w:rsidRPr="00A460F6">
        <w:rPr>
          <w:rFonts w:cs="Arial"/>
          <w:szCs w:val="24"/>
        </w:rPr>
        <w:t xml:space="preserve"> a </w:t>
      </w:r>
      <w:proofErr w:type="spellStart"/>
      <w:r w:rsidRPr="00A460F6">
        <w:rPr>
          <w:rFonts w:cs="Arial"/>
          <w:szCs w:val="24"/>
        </w:rPr>
        <w:t>limited</w:t>
      </w:r>
      <w:proofErr w:type="spellEnd"/>
      <w:r w:rsidRPr="00A460F6">
        <w:rPr>
          <w:rFonts w:cs="Arial"/>
          <w:szCs w:val="24"/>
        </w:rPr>
        <w:t xml:space="preserve"> </w:t>
      </w:r>
      <w:proofErr w:type="spellStart"/>
      <w:r w:rsidRPr="00A460F6">
        <w:rPr>
          <w:rFonts w:cs="Arial"/>
          <w:szCs w:val="24"/>
        </w:rPr>
        <w:t>or</w:t>
      </w:r>
      <w:proofErr w:type="spellEnd"/>
      <w:r w:rsidRPr="00A460F6">
        <w:rPr>
          <w:rFonts w:cs="Arial"/>
          <w:szCs w:val="24"/>
        </w:rPr>
        <w:t xml:space="preserve"> non-</w:t>
      </w:r>
      <w:proofErr w:type="spellStart"/>
      <w:r w:rsidRPr="00A460F6">
        <w:rPr>
          <w:rFonts w:cs="Arial"/>
          <w:szCs w:val="24"/>
        </w:rPr>
        <w:t>significant</w:t>
      </w:r>
      <w:proofErr w:type="spellEnd"/>
      <w:r w:rsidRPr="00A460F6">
        <w:rPr>
          <w:rFonts w:cs="Arial"/>
          <w:szCs w:val="24"/>
        </w:rPr>
        <w:t xml:space="preserve"> </w:t>
      </w:r>
      <w:proofErr w:type="spellStart"/>
      <w:r w:rsidRPr="00A460F6">
        <w:rPr>
          <w:rFonts w:cs="Arial"/>
          <w:szCs w:val="24"/>
        </w:rPr>
        <w:t>impact</w:t>
      </w:r>
      <w:proofErr w:type="spellEnd"/>
      <w:r w:rsidRPr="00A460F6">
        <w:rPr>
          <w:rFonts w:cs="Arial"/>
          <w:szCs w:val="24"/>
        </w:rPr>
        <w:t xml:space="preserve"> </w:t>
      </w:r>
      <w:proofErr w:type="spellStart"/>
      <w:r w:rsidRPr="00A460F6">
        <w:rPr>
          <w:rFonts w:cs="Arial"/>
          <w:szCs w:val="24"/>
        </w:rPr>
        <w:t>on</w:t>
      </w:r>
      <w:proofErr w:type="spellEnd"/>
      <w:r w:rsidRPr="00A460F6">
        <w:rPr>
          <w:rFonts w:cs="Arial"/>
          <w:szCs w:val="24"/>
        </w:rPr>
        <w:t xml:space="preserve"> </w:t>
      </w:r>
      <w:proofErr w:type="spellStart"/>
      <w:r w:rsidRPr="00A460F6">
        <w:rPr>
          <w:rFonts w:cs="Arial"/>
          <w:szCs w:val="24"/>
        </w:rPr>
        <w:t>Brazilian</w:t>
      </w:r>
      <w:proofErr w:type="spellEnd"/>
      <w:r w:rsidRPr="00A460F6">
        <w:rPr>
          <w:rFonts w:cs="Arial"/>
          <w:szCs w:val="24"/>
        </w:rPr>
        <w:t xml:space="preserve"> stock </w:t>
      </w:r>
      <w:proofErr w:type="spellStart"/>
      <w:r w:rsidRPr="00A460F6">
        <w:rPr>
          <w:rFonts w:cs="Arial"/>
          <w:szCs w:val="24"/>
        </w:rPr>
        <w:t>market</w:t>
      </w:r>
      <w:proofErr w:type="spellEnd"/>
      <w:r w:rsidRPr="00A460F6">
        <w:rPr>
          <w:rFonts w:cs="Arial"/>
          <w:szCs w:val="24"/>
        </w:rPr>
        <w:t xml:space="preserve"> </w:t>
      </w:r>
      <w:proofErr w:type="spellStart"/>
      <w:r w:rsidRPr="00A460F6">
        <w:rPr>
          <w:rFonts w:cs="Arial"/>
          <w:szCs w:val="24"/>
        </w:rPr>
        <w:t>returns</w:t>
      </w:r>
      <w:proofErr w:type="spellEnd"/>
      <w:r w:rsidRPr="00A460F6">
        <w:rPr>
          <w:rFonts w:cs="Arial"/>
          <w:szCs w:val="24"/>
        </w:rPr>
        <w:t xml:space="preserve">. In times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economic</w:t>
      </w:r>
      <w:proofErr w:type="spellEnd"/>
      <w:r w:rsidRPr="00A460F6">
        <w:rPr>
          <w:rFonts w:cs="Arial"/>
          <w:szCs w:val="24"/>
        </w:rPr>
        <w:t xml:space="preserve"> crises,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market's</w:t>
      </w:r>
      <w:proofErr w:type="spellEnd"/>
      <w:r w:rsidRPr="00A460F6">
        <w:rPr>
          <w:rFonts w:cs="Arial"/>
          <w:szCs w:val="24"/>
        </w:rPr>
        <w:t xml:space="preserve"> </w:t>
      </w:r>
      <w:proofErr w:type="spellStart"/>
      <w:r w:rsidRPr="00A460F6">
        <w:rPr>
          <w:rFonts w:cs="Arial"/>
          <w:szCs w:val="24"/>
        </w:rPr>
        <w:t>sensitivity</w:t>
      </w:r>
      <w:proofErr w:type="spellEnd"/>
      <w:r w:rsidRPr="00A460F6">
        <w:rPr>
          <w:rFonts w:cs="Arial"/>
          <w:szCs w:val="24"/>
        </w:rPr>
        <w:t xml:space="preserve"> </w:t>
      </w:r>
      <w:proofErr w:type="spellStart"/>
      <w:r w:rsidRPr="00A460F6">
        <w:rPr>
          <w:rFonts w:cs="Arial"/>
          <w:szCs w:val="24"/>
        </w:rPr>
        <w:t>to</w:t>
      </w:r>
      <w:proofErr w:type="spellEnd"/>
      <w:r w:rsidRPr="00A460F6">
        <w:rPr>
          <w:rFonts w:cs="Arial"/>
          <w:szCs w:val="24"/>
        </w:rPr>
        <w:t xml:space="preserve"> </w:t>
      </w:r>
      <w:proofErr w:type="spellStart"/>
      <w:r w:rsidRPr="00A460F6">
        <w:rPr>
          <w:rFonts w:cs="Arial"/>
          <w:szCs w:val="24"/>
        </w:rPr>
        <w:t>monetary</w:t>
      </w:r>
      <w:proofErr w:type="spellEnd"/>
      <w:r w:rsidRPr="00A460F6">
        <w:rPr>
          <w:rFonts w:cs="Arial"/>
          <w:szCs w:val="24"/>
        </w:rPr>
        <w:t xml:space="preserve"> </w:t>
      </w:r>
      <w:proofErr w:type="spellStart"/>
      <w:r w:rsidRPr="00A460F6">
        <w:rPr>
          <w:rFonts w:cs="Arial"/>
          <w:szCs w:val="24"/>
        </w:rPr>
        <w:t>policy</w:t>
      </w:r>
      <w:proofErr w:type="spellEnd"/>
      <w:r w:rsidRPr="00A460F6">
        <w:rPr>
          <w:rFonts w:cs="Arial"/>
          <w:szCs w:val="24"/>
        </w:rPr>
        <w:t xml:space="preserve"> </w:t>
      </w:r>
      <w:proofErr w:type="spellStart"/>
      <w:r w:rsidRPr="00A460F6">
        <w:rPr>
          <w:rFonts w:cs="Arial"/>
          <w:szCs w:val="24"/>
        </w:rPr>
        <w:t>decisions</w:t>
      </w:r>
      <w:proofErr w:type="spellEnd"/>
      <w:r w:rsidRPr="00A460F6">
        <w:rPr>
          <w:rFonts w:cs="Arial"/>
          <w:szCs w:val="24"/>
        </w:rPr>
        <w:t xml:space="preserve"> </w:t>
      </w:r>
      <w:proofErr w:type="spellStart"/>
      <w:r w:rsidRPr="00A460F6">
        <w:rPr>
          <w:rFonts w:cs="Arial"/>
          <w:szCs w:val="24"/>
        </w:rPr>
        <w:t>increases</w:t>
      </w:r>
      <w:proofErr w:type="spellEnd"/>
      <w:r w:rsidRPr="00A460F6">
        <w:rPr>
          <w:rFonts w:cs="Arial"/>
          <w:szCs w:val="24"/>
        </w:rPr>
        <w:t xml:space="preserve">, </w:t>
      </w:r>
      <w:proofErr w:type="spellStart"/>
      <w:r w:rsidRPr="00A460F6">
        <w:rPr>
          <w:rFonts w:cs="Arial"/>
          <w:szCs w:val="24"/>
        </w:rPr>
        <w:t>with</w:t>
      </w:r>
      <w:proofErr w:type="spellEnd"/>
      <w:r w:rsidRPr="00A460F6">
        <w:rPr>
          <w:rFonts w:cs="Arial"/>
          <w:szCs w:val="24"/>
        </w:rPr>
        <w:t xml:space="preserve"> some </w:t>
      </w:r>
      <w:proofErr w:type="spellStart"/>
      <w:r w:rsidRPr="00A460F6">
        <w:rPr>
          <w:rFonts w:cs="Arial"/>
          <w:szCs w:val="24"/>
        </w:rPr>
        <w:t>significant</w:t>
      </w:r>
      <w:proofErr w:type="spellEnd"/>
      <w:r w:rsidRPr="00A460F6">
        <w:rPr>
          <w:rFonts w:cs="Arial"/>
          <w:szCs w:val="24"/>
        </w:rPr>
        <w:t xml:space="preserve"> </w:t>
      </w:r>
      <w:proofErr w:type="spellStart"/>
      <w:r w:rsidRPr="00A460F6">
        <w:rPr>
          <w:rFonts w:cs="Arial"/>
          <w:szCs w:val="24"/>
        </w:rPr>
        <w:t>impact</w:t>
      </w:r>
      <w:proofErr w:type="spellEnd"/>
      <w:r w:rsidRPr="00A460F6">
        <w:rPr>
          <w:rFonts w:cs="Arial"/>
          <w:szCs w:val="24"/>
        </w:rPr>
        <w:t xml:space="preserve"> </w:t>
      </w:r>
      <w:proofErr w:type="spellStart"/>
      <w:r w:rsidRPr="00A460F6">
        <w:rPr>
          <w:rFonts w:cs="Arial"/>
          <w:szCs w:val="24"/>
        </w:rPr>
        <w:t>on</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w:t>
      </w:r>
      <w:proofErr w:type="spellStart"/>
      <w:r w:rsidRPr="00A460F6">
        <w:rPr>
          <w:rFonts w:cs="Arial"/>
          <w:szCs w:val="24"/>
        </w:rPr>
        <w:t>accumulated</w:t>
      </w:r>
      <w:proofErr w:type="spellEnd"/>
      <w:r w:rsidRPr="00A460F6">
        <w:rPr>
          <w:rFonts w:cs="Arial"/>
          <w:szCs w:val="24"/>
        </w:rPr>
        <w:t xml:space="preserve"> </w:t>
      </w:r>
      <w:proofErr w:type="spellStart"/>
      <w:r w:rsidRPr="00A460F6">
        <w:rPr>
          <w:rFonts w:cs="Arial"/>
          <w:szCs w:val="24"/>
        </w:rPr>
        <w:t>returns</w:t>
      </w:r>
      <w:proofErr w:type="spellEnd"/>
      <w:r w:rsidRPr="00A460F6">
        <w:rPr>
          <w:rFonts w:cs="Arial"/>
          <w:szCs w:val="24"/>
        </w:rPr>
        <w:t xml:space="preserve"> </w:t>
      </w:r>
      <w:proofErr w:type="spellStart"/>
      <w:r w:rsidRPr="00A460F6">
        <w:rPr>
          <w:rFonts w:cs="Arial"/>
          <w:szCs w:val="24"/>
        </w:rPr>
        <w:t>of</w:t>
      </w:r>
      <w:proofErr w:type="spellEnd"/>
      <w:r w:rsidRPr="00A460F6">
        <w:rPr>
          <w:rFonts w:cs="Arial"/>
          <w:szCs w:val="24"/>
        </w:rPr>
        <w:t xml:space="preserve"> </w:t>
      </w:r>
      <w:proofErr w:type="spellStart"/>
      <w:r w:rsidRPr="00A460F6">
        <w:rPr>
          <w:rFonts w:cs="Arial"/>
          <w:szCs w:val="24"/>
        </w:rPr>
        <w:t>the</w:t>
      </w:r>
      <w:proofErr w:type="spellEnd"/>
      <w:r w:rsidRPr="00A460F6">
        <w:rPr>
          <w:rFonts w:cs="Arial"/>
          <w:szCs w:val="24"/>
        </w:rPr>
        <w:t xml:space="preserve"> Ibovespa.</w:t>
      </w:r>
    </w:p>
    <w:p w14:paraId="7C0A92B5" w14:textId="43997BA9" w:rsidR="00A460F6" w:rsidRPr="00A460F6" w:rsidRDefault="00A460F6" w:rsidP="00635ABF">
      <w:pPr>
        <w:spacing w:afterLines="0" w:line="276" w:lineRule="auto"/>
        <w:ind w:firstLine="0"/>
        <w:rPr>
          <w:rFonts w:cs="Arial"/>
          <w:szCs w:val="24"/>
        </w:rPr>
      </w:pPr>
      <w:proofErr w:type="spellStart"/>
      <w:r w:rsidRPr="00A460F6">
        <w:rPr>
          <w:rFonts w:cs="Arial"/>
          <w:b/>
          <w:bCs/>
          <w:szCs w:val="24"/>
        </w:rPr>
        <w:t>Key-Words</w:t>
      </w:r>
      <w:proofErr w:type="spellEnd"/>
      <w:r w:rsidRPr="00A460F6">
        <w:rPr>
          <w:rFonts w:cs="Arial"/>
          <w:b/>
          <w:bCs/>
          <w:szCs w:val="24"/>
        </w:rPr>
        <w:t>:</w:t>
      </w:r>
      <w:r>
        <w:rPr>
          <w:rFonts w:cs="Arial"/>
          <w:szCs w:val="24"/>
        </w:rPr>
        <w:t xml:space="preserve"> </w:t>
      </w:r>
      <w:r w:rsidRPr="00A460F6">
        <w:rPr>
          <w:rFonts w:cs="Arial"/>
          <w:szCs w:val="24"/>
        </w:rPr>
        <w:t xml:space="preserve">Ibovespa; </w:t>
      </w:r>
      <w:proofErr w:type="spellStart"/>
      <w:r w:rsidRPr="00A460F6">
        <w:rPr>
          <w:rFonts w:cs="Arial"/>
          <w:szCs w:val="24"/>
        </w:rPr>
        <w:t>Macroeconomic</w:t>
      </w:r>
      <w:proofErr w:type="spellEnd"/>
      <w:r w:rsidRPr="00A460F6">
        <w:rPr>
          <w:rFonts w:cs="Arial"/>
          <w:szCs w:val="24"/>
        </w:rPr>
        <w:t xml:space="preserve"> </w:t>
      </w:r>
      <w:proofErr w:type="spellStart"/>
      <w:r w:rsidRPr="00A460F6">
        <w:rPr>
          <w:rFonts w:cs="Arial"/>
          <w:szCs w:val="24"/>
        </w:rPr>
        <w:t>Variables</w:t>
      </w:r>
      <w:proofErr w:type="spellEnd"/>
      <w:r w:rsidRPr="00A460F6">
        <w:rPr>
          <w:rFonts w:cs="Arial"/>
          <w:szCs w:val="24"/>
        </w:rPr>
        <w:t xml:space="preserve">; Selic; Event </w:t>
      </w:r>
      <w:proofErr w:type="spellStart"/>
      <w:r w:rsidRPr="00A460F6">
        <w:rPr>
          <w:rFonts w:cs="Arial"/>
          <w:szCs w:val="24"/>
        </w:rPr>
        <w:t>Study</w:t>
      </w:r>
      <w:proofErr w:type="spellEnd"/>
      <w:r w:rsidRPr="00A460F6">
        <w:rPr>
          <w:rFonts w:cs="Arial"/>
          <w:szCs w:val="24"/>
        </w:rPr>
        <w:t>.</w:t>
      </w:r>
    </w:p>
    <w:p w14:paraId="07A0C3FA" w14:textId="77777777" w:rsidR="00A460F6" w:rsidRDefault="00A460F6" w:rsidP="00635ABF">
      <w:pPr>
        <w:spacing w:afterLines="0" w:line="276" w:lineRule="auto"/>
        <w:ind w:firstLine="0"/>
        <w:rPr>
          <w:rFonts w:cs="Arial"/>
          <w:b/>
          <w:bCs/>
          <w:szCs w:val="24"/>
        </w:rPr>
      </w:pPr>
    </w:p>
    <w:p w14:paraId="4C994875" w14:textId="77777777" w:rsidR="00A460F6" w:rsidRDefault="00A460F6">
      <w:pPr>
        <w:spacing w:afterLines="0" w:line="276" w:lineRule="auto"/>
        <w:ind w:firstLine="0"/>
        <w:jc w:val="left"/>
        <w:rPr>
          <w:rFonts w:cs="Arial"/>
          <w:b/>
          <w:bCs/>
          <w:szCs w:val="24"/>
        </w:rPr>
      </w:pPr>
      <w:r>
        <w:rPr>
          <w:rFonts w:cs="Arial"/>
          <w:b/>
          <w:bCs/>
          <w:szCs w:val="24"/>
        </w:rPr>
        <w:br w:type="page"/>
      </w:r>
    </w:p>
    <w:p w14:paraId="6C06B8FA" w14:textId="7229E73F" w:rsidR="007C2062" w:rsidRPr="00635ABF" w:rsidRDefault="007C2062" w:rsidP="00FE6BB8">
      <w:pPr>
        <w:spacing w:after="168" w:line="240" w:lineRule="auto"/>
        <w:rPr>
          <w:rFonts w:cs="Arial"/>
          <w:b/>
          <w:bCs/>
          <w:szCs w:val="24"/>
        </w:rPr>
      </w:pPr>
      <w:r w:rsidRPr="00635ABF">
        <w:rPr>
          <w:rFonts w:cs="Arial"/>
          <w:b/>
          <w:bCs/>
          <w:szCs w:val="24"/>
        </w:rPr>
        <w:lastRenderedPageBreak/>
        <w:t>Introdução</w:t>
      </w:r>
    </w:p>
    <w:p w14:paraId="03AA5AD3" w14:textId="77777777" w:rsidR="00010E4A" w:rsidRPr="00635ABF" w:rsidRDefault="00010E4A" w:rsidP="00FE6BB8">
      <w:pPr>
        <w:spacing w:afterLines="0" w:after="0" w:line="240" w:lineRule="auto"/>
        <w:rPr>
          <w:rFonts w:cs="Arial"/>
          <w:szCs w:val="24"/>
        </w:rPr>
      </w:pPr>
      <w:r w:rsidRPr="00635ABF">
        <w:rPr>
          <w:rFonts w:cs="Arial"/>
          <w:szCs w:val="24"/>
        </w:rPr>
        <w:t>As variáveis macroeconômicas desempenham um papel fundamental na determinação dos movimentos no mercado de ações. Fatores como taxa de juros, inflação, Produto Interno Bruto (PIB), taxa de câmbio e indicadores de desemprego influenciam diretamente o comportamento dos investidores e, consequentemente, o desempenho dos índices acionários. No Brasil, o Ibovespa, principal índice da Bolsa de Valores, reflete a performance das ações mais negociadas e é sensível a mudanças nessas variáveis. Por isso, entender a relação entre variáveis macroeconômicas e o Ibovespa é crucial para investidores que buscam otimizar suas estratégias de investimento.</w:t>
      </w:r>
    </w:p>
    <w:p w14:paraId="56E3D62E" w14:textId="77777777" w:rsidR="00010E4A" w:rsidRPr="00635ABF" w:rsidRDefault="00010E4A" w:rsidP="00FE6BB8">
      <w:pPr>
        <w:spacing w:afterLines="0" w:after="0" w:line="240" w:lineRule="auto"/>
        <w:rPr>
          <w:rFonts w:cs="Arial"/>
          <w:szCs w:val="24"/>
        </w:rPr>
      </w:pPr>
      <w:r w:rsidRPr="00635ABF">
        <w:rPr>
          <w:rFonts w:cs="Arial"/>
          <w:szCs w:val="24"/>
        </w:rPr>
        <w:t>A taxa de juros, por exemplo, é uma das variáveis mais influentes. Quando o Banco Central decide aumentar a taxa Selic, os custos de empréstimos se elevam, o que pode reduzir o consumo e o investimento por parte das empresas e dos consumidores. Esse aumento tende a desvalorizar ações, pois os investidores podem optar por investimentos em renda fixa, que se tornam mais atrativos. Por outro lado, a redução da taxa de juros pode incentivar o consumo e o investimento, elevando o valor das ações e, consequentemente, do Ibovespa.</w:t>
      </w:r>
    </w:p>
    <w:p w14:paraId="79572863" w14:textId="2E1B84D5" w:rsidR="00010E4A" w:rsidRPr="00635ABF" w:rsidRDefault="00010E4A" w:rsidP="00FE6BB8">
      <w:pPr>
        <w:spacing w:afterLines="0" w:after="0" w:line="240" w:lineRule="auto"/>
        <w:rPr>
          <w:rFonts w:cs="Arial"/>
          <w:szCs w:val="24"/>
        </w:rPr>
      </w:pPr>
      <w:r w:rsidRPr="00635ABF">
        <w:rPr>
          <w:rFonts w:cs="Arial"/>
          <w:szCs w:val="24"/>
        </w:rPr>
        <w:t>A inflação também exerce uma influência significativa no mercado acionário. Taxas elevadas de inflação podem corroer o poder de compra dos consumidores e aumentar os custos das empresas, o que afeta negativamente os lucros corporativos e a confiança dos investidores. Além disso, altas taxas de inflação podem levar a um aumento das taxas de juros, criando um efeito cascata no mercado de ações. Monitorar a inflação e prever seus movimentos pode ajudar os gestores de fundos a ajustarem suas carteiras de forma a minimizar riscos e maximizar retornos.</w:t>
      </w:r>
    </w:p>
    <w:p w14:paraId="0D9F55B7" w14:textId="77777777" w:rsidR="00010E4A" w:rsidRPr="00635ABF" w:rsidRDefault="00010E4A" w:rsidP="00FE6BB8">
      <w:pPr>
        <w:spacing w:afterLines="0" w:after="0" w:line="240" w:lineRule="auto"/>
        <w:rPr>
          <w:rFonts w:cs="Arial"/>
          <w:szCs w:val="24"/>
        </w:rPr>
      </w:pPr>
      <w:r w:rsidRPr="00635ABF">
        <w:rPr>
          <w:rFonts w:cs="Arial"/>
          <w:szCs w:val="24"/>
        </w:rPr>
        <w:t>Outro fator crucial é o PIB, que indica a saúde econômica geral de um país. Um PIB em crescimento geralmente sinaliza uma economia forte, com aumento da produção, emprego e rendas, o que tende a beneficiar o mercado de ações. Por outro lado, um PIB em declínio pode indicar uma recessão, o que geralmente resulta em uma queda no valor das ações. Investidores que acompanham de perto o PIB e suas tendências podem detectar sinais antecipados de mudanças econômicas que afetarão o Ibovespa.</w:t>
      </w:r>
    </w:p>
    <w:p w14:paraId="2B50B327" w14:textId="77777777" w:rsidR="00010E4A" w:rsidRPr="00635ABF" w:rsidRDefault="00010E4A" w:rsidP="00FE6BB8">
      <w:pPr>
        <w:spacing w:afterLines="0" w:after="0" w:line="240" w:lineRule="auto"/>
        <w:rPr>
          <w:rFonts w:cs="Arial"/>
          <w:szCs w:val="24"/>
        </w:rPr>
      </w:pPr>
      <w:r w:rsidRPr="00635ABF">
        <w:rPr>
          <w:rFonts w:cs="Arial"/>
          <w:szCs w:val="24"/>
        </w:rPr>
        <w:t>Finalmente, a taxa de câmbio influencia as empresas que dependem de exportações ou importações. Uma valorização do real pode prejudicar exportadoras, ao passo que uma desvalorização pode beneficiá-las. Empresas com dívidas em moeda estrangeira também são afetadas pelas flutuações cambiais. Portanto, a análise das taxas de câmbio é essencial para prever movimentos no Ibovespa. Em suma, ao estabelecer uma relação entre variáveis macroeconômicas e o comportamento do Ibovespa, investidores e gestores de fundos podem identificar oportunidades de ganhos e formular estratégias mais robustas para a gestão de investimentos.</w:t>
      </w:r>
    </w:p>
    <w:p w14:paraId="6B852224" w14:textId="1BA2D779" w:rsidR="00010E4A" w:rsidRPr="00635ABF" w:rsidRDefault="00BB1C6C" w:rsidP="00FE6BB8">
      <w:pPr>
        <w:spacing w:afterLines="0" w:after="0" w:line="240" w:lineRule="auto"/>
        <w:rPr>
          <w:rFonts w:cs="Arial"/>
          <w:szCs w:val="24"/>
        </w:rPr>
      </w:pPr>
      <w:r w:rsidRPr="00635ABF">
        <w:rPr>
          <w:rFonts w:cs="Arial"/>
          <w:szCs w:val="24"/>
        </w:rPr>
        <w:t xml:space="preserve">Assim, esse estudo </w:t>
      </w:r>
      <w:r w:rsidR="00010E4A" w:rsidRPr="00635ABF">
        <w:rPr>
          <w:rFonts w:cs="Arial"/>
          <w:szCs w:val="24"/>
        </w:rPr>
        <w:t xml:space="preserve">explora </w:t>
      </w:r>
      <w:r w:rsidR="005674CE" w:rsidRPr="00635ABF">
        <w:rPr>
          <w:rFonts w:cs="Arial"/>
          <w:szCs w:val="24"/>
        </w:rPr>
        <w:t xml:space="preserve">o seguinte questionamento: </w:t>
      </w:r>
      <w:r w:rsidR="00010E4A" w:rsidRPr="00635ABF">
        <w:rPr>
          <w:rFonts w:cs="Arial"/>
          <w:szCs w:val="24"/>
        </w:rPr>
        <w:t>É certo que o comportamento do Ibovespa é afetado pelo comportamento das variáveis econômicas, uma vez que isso é um reflexo das alterações na economia do país. Mas considerada cada uma das variáveis econômicas relevantes de forma isolada, c</w:t>
      </w:r>
      <w:r w:rsidR="005674CE" w:rsidRPr="00635ABF">
        <w:rPr>
          <w:rFonts w:cs="Arial"/>
          <w:szCs w:val="24"/>
        </w:rPr>
        <w:t xml:space="preserve">omo se comporta o Ibovespa com </w:t>
      </w:r>
      <w:r w:rsidR="00010E4A" w:rsidRPr="00635ABF">
        <w:rPr>
          <w:rFonts w:cs="Arial"/>
          <w:szCs w:val="24"/>
        </w:rPr>
        <w:t>a</w:t>
      </w:r>
      <w:r w:rsidR="005674CE" w:rsidRPr="00635ABF">
        <w:rPr>
          <w:rFonts w:cs="Arial"/>
          <w:szCs w:val="24"/>
        </w:rPr>
        <w:t xml:space="preserve">s mudanças </w:t>
      </w:r>
      <w:r w:rsidR="00010E4A" w:rsidRPr="00635ABF">
        <w:rPr>
          <w:rFonts w:cs="Arial"/>
          <w:szCs w:val="24"/>
        </w:rPr>
        <w:t>que ocorrem especificamente em uma delas</w:t>
      </w:r>
      <w:r w:rsidR="005674CE" w:rsidRPr="00635ABF">
        <w:rPr>
          <w:rFonts w:cs="Arial"/>
          <w:szCs w:val="24"/>
        </w:rPr>
        <w:t xml:space="preserve">? </w:t>
      </w:r>
    </w:p>
    <w:p w14:paraId="4413E3BC" w14:textId="353E5CC5" w:rsidR="009A6304" w:rsidRPr="00635ABF" w:rsidRDefault="005674CE" w:rsidP="00FE6BB8">
      <w:pPr>
        <w:spacing w:afterLines="0" w:after="0" w:line="240" w:lineRule="auto"/>
        <w:rPr>
          <w:rFonts w:cs="Arial"/>
          <w:szCs w:val="24"/>
        </w:rPr>
      </w:pPr>
      <w:r w:rsidRPr="00635ABF">
        <w:rPr>
          <w:rFonts w:cs="Arial"/>
          <w:szCs w:val="24"/>
        </w:rPr>
        <w:t>O objetivo do estudo</w:t>
      </w:r>
      <w:r w:rsidR="00010E4A" w:rsidRPr="00635ABF">
        <w:rPr>
          <w:rFonts w:cs="Arial"/>
          <w:szCs w:val="24"/>
        </w:rPr>
        <w:t>, então,</w:t>
      </w:r>
      <w:r w:rsidRPr="00635ABF">
        <w:rPr>
          <w:rFonts w:cs="Arial"/>
          <w:szCs w:val="24"/>
        </w:rPr>
        <w:t xml:space="preserve"> é verificar o impacto </w:t>
      </w:r>
      <w:r w:rsidR="004F55B2" w:rsidRPr="00635ABF">
        <w:rPr>
          <w:rFonts w:cs="Arial"/>
          <w:szCs w:val="24"/>
        </w:rPr>
        <w:t>que a</w:t>
      </w:r>
      <w:r w:rsidR="00010E4A" w:rsidRPr="00635ABF">
        <w:rPr>
          <w:rFonts w:cs="Arial"/>
          <w:szCs w:val="24"/>
        </w:rPr>
        <w:t>s</w:t>
      </w:r>
      <w:r w:rsidR="004F55B2" w:rsidRPr="00635ABF">
        <w:rPr>
          <w:rFonts w:cs="Arial"/>
          <w:szCs w:val="24"/>
        </w:rPr>
        <w:t xml:space="preserve"> </w:t>
      </w:r>
      <w:r w:rsidRPr="00635ABF">
        <w:rPr>
          <w:rFonts w:cs="Arial"/>
          <w:szCs w:val="24"/>
        </w:rPr>
        <w:t>variaç</w:t>
      </w:r>
      <w:r w:rsidR="00010E4A" w:rsidRPr="00635ABF">
        <w:rPr>
          <w:rFonts w:cs="Arial"/>
          <w:szCs w:val="24"/>
        </w:rPr>
        <w:t>ões</w:t>
      </w:r>
      <w:r w:rsidRPr="00635ABF">
        <w:rPr>
          <w:rFonts w:cs="Arial"/>
          <w:szCs w:val="24"/>
        </w:rPr>
        <w:t xml:space="preserve"> </w:t>
      </w:r>
      <w:r w:rsidR="00E06DB6" w:rsidRPr="00635ABF">
        <w:rPr>
          <w:rFonts w:cs="Arial"/>
          <w:szCs w:val="24"/>
        </w:rPr>
        <w:t xml:space="preserve">na meta da </w:t>
      </w:r>
      <w:r w:rsidR="00010E4A" w:rsidRPr="00635ABF">
        <w:rPr>
          <w:rFonts w:cs="Arial"/>
          <w:szCs w:val="24"/>
        </w:rPr>
        <w:t>t</w:t>
      </w:r>
      <w:r w:rsidRPr="00635ABF">
        <w:rPr>
          <w:rFonts w:cs="Arial"/>
          <w:szCs w:val="24"/>
        </w:rPr>
        <w:t>axa</w:t>
      </w:r>
      <w:r w:rsidR="00010E4A" w:rsidRPr="00635ABF">
        <w:rPr>
          <w:rFonts w:cs="Arial"/>
          <w:szCs w:val="24"/>
        </w:rPr>
        <w:t xml:space="preserve"> de juros, a</w:t>
      </w:r>
      <w:r w:rsidRPr="00635ABF">
        <w:rPr>
          <w:rFonts w:cs="Arial"/>
          <w:szCs w:val="24"/>
        </w:rPr>
        <w:t xml:space="preserve"> Selic</w:t>
      </w:r>
      <w:r w:rsidR="00010E4A" w:rsidRPr="00635ABF">
        <w:rPr>
          <w:rFonts w:cs="Arial"/>
          <w:szCs w:val="24"/>
        </w:rPr>
        <w:t>,</w:t>
      </w:r>
      <w:r w:rsidRPr="00635ABF">
        <w:rPr>
          <w:rFonts w:cs="Arial"/>
          <w:szCs w:val="24"/>
        </w:rPr>
        <w:t xml:space="preserve"> </w:t>
      </w:r>
      <w:r w:rsidR="00010E4A" w:rsidRPr="00635ABF">
        <w:rPr>
          <w:rFonts w:cs="Arial"/>
          <w:szCs w:val="24"/>
        </w:rPr>
        <w:t>provoca no comportamento do</w:t>
      </w:r>
      <w:r w:rsidRPr="00635ABF">
        <w:rPr>
          <w:rFonts w:cs="Arial"/>
          <w:szCs w:val="24"/>
        </w:rPr>
        <w:t xml:space="preserve"> Ibovespa. </w:t>
      </w:r>
    </w:p>
    <w:p w14:paraId="4E5443D4" w14:textId="55D9966D" w:rsidR="009A6304" w:rsidRPr="00635ABF" w:rsidRDefault="00094BBD" w:rsidP="00FE6BB8">
      <w:pPr>
        <w:spacing w:afterLines="0" w:after="0" w:line="240" w:lineRule="auto"/>
        <w:rPr>
          <w:rFonts w:cs="Arial"/>
          <w:szCs w:val="24"/>
        </w:rPr>
      </w:pPr>
      <w:r w:rsidRPr="00635ABF">
        <w:rPr>
          <w:rFonts w:cs="Arial"/>
          <w:szCs w:val="24"/>
        </w:rPr>
        <w:t>Esta análise</w:t>
      </w:r>
      <w:r w:rsidR="005674CE" w:rsidRPr="00635ABF">
        <w:rPr>
          <w:rFonts w:cs="Arial"/>
          <w:szCs w:val="24"/>
        </w:rPr>
        <w:t xml:space="preserve"> busca </w:t>
      </w:r>
      <w:r w:rsidRPr="00635ABF">
        <w:rPr>
          <w:rFonts w:cs="Arial"/>
          <w:szCs w:val="24"/>
        </w:rPr>
        <w:t>agregar</w:t>
      </w:r>
      <w:r w:rsidR="005674CE" w:rsidRPr="00635ABF">
        <w:rPr>
          <w:rFonts w:cs="Arial"/>
          <w:szCs w:val="24"/>
        </w:rPr>
        <w:t xml:space="preserve"> com o tema ao avaliar o impacto das mudanças da meta da Taxa Selic no Ibovespa</w:t>
      </w:r>
      <w:r w:rsidR="00312C4E" w:rsidRPr="00635ABF">
        <w:rPr>
          <w:rFonts w:cs="Arial"/>
          <w:szCs w:val="24"/>
        </w:rPr>
        <w:t xml:space="preserve"> e contribuir com a </w:t>
      </w:r>
      <w:r w:rsidR="005674CE" w:rsidRPr="00635ABF">
        <w:rPr>
          <w:rFonts w:cs="Arial"/>
          <w:szCs w:val="24"/>
        </w:rPr>
        <w:t xml:space="preserve">comparação deste impacto </w:t>
      </w:r>
      <w:r w:rsidR="007E066B" w:rsidRPr="00635ABF">
        <w:rPr>
          <w:rFonts w:cs="Arial"/>
          <w:szCs w:val="24"/>
        </w:rPr>
        <w:t>entre</w:t>
      </w:r>
      <w:r w:rsidR="005674CE" w:rsidRPr="00635ABF">
        <w:rPr>
          <w:rFonts w:cs="Arial"/>
          <w:szCs w:val="24"/>
        </w:rPr>
        <w:t xml:space="preserve"> </w:t>
      </w:r>
      <w:r w:rsidR="005674CE" w:rsidRPr="00635ABF">
        <w:rPr>
          <w:rFonts w:cs="Arial"/>
          <w:szCs w:val="24"/>
        </w:rPr>
        <w:lastRenderedPageBreak/>
        <w:t>período</w:t>
      </w:r>
      <w:r w:rsidR="007E066B" w:rsidRPr="00635ABF">
        <w:rPr>
          <w:rFonts w:cs="Arial"/>
          <w:szCs w:val="24"/>
        </w:rPr>
        <w:t>s</w:t>
      </w:r>
      <w:r w:rsidR="005674CE" w:rsidRPr="00635ABF">
        <w:rPr>
          <w:rFonts w:cs="Arial"/>
          <w:szCs w:val="24"/>
        </w:rPr>
        <w:t xml:space="preserve"> </w:t>
      </w:r>
      <w:r w:rsidR="007E066B" w:rsidRPr="00635ABF">
        <w:rPr>
          <w:rFonts w:cs="Arial"/>
          <w:szCs w:val="24"/>
        </w:rPr>
        <w:t>de</w:t>
      </w:r>
      <w:r w:rsidR="005674CE" w:rsidRPr="00635ABF">
        <w:rPr>
          <w:rFonts w:cs="Arial"/>
          <w:szCs w:val="24"/>
        </w:rPr>
        <w:t xml:space="preserve"> economia estável </w:t>
      </w:r>
      <w:r w:rsidR="007E066B" w:rsidRPr="00635ABF">
        <w:rPr>
          <w:rFonts w:cs="Arial"/>
          <w:szCs w:val="24"/>
        </w:rPr>
        <w:t>com períodos sob</w:t>
      </w:r>
      <w:r w:rsidR="005674CE" w:rsidRPr="00635ABF">
        <w:rPr>
          <w:rFonts w:cs="Arial"/>
          <w:szCs w:val="24"/>
        </w:rPr>
        <w:t xml:space="preserve"> </w:t>
      </w:r>
      <w:r w:rsidRPr="00635ABF">
        <w:rPr>
          <w:rFonts w:cs="Arial"/>
          <w:szCs w:val="24"/>
        </w:rPr>
        <w:t>cenário</w:t>
      </w:r>
      <w:r w:rsidR="005674CE" w:rsidRPr="00635ABF">
        <w:rPr>
          <w:rFonts w:cs="Arial"/>
          <w:szCs w:val="24"/>
        </w:rPr>
        <w:t xml:space="preserve"> de crise econômica. </w:t>
      </w:r>
      <w:r w:rsidR="007E066B" w:rsidRPr="00635ABF">
        <w:rPr>
          <w:rFonts w:cs="Arial"/>
          <w:szCs w:val="24"/>
        </w:rPr>
        <w:t>As análises contemplam</w:t>
      </w:r>
      <w:r w:rsidR="005674CE" w:rsidRPr="00635ABF">
        <w:rPr>
          <w:rFonts w:cs="Arial"/>
          <w:szCs w:val="24"/>
        </w:rPr>
        <w:t xml:space="preserve"> o período de janeiro de 2012 até </w:t>
      </w:r>
      <w:r w:rsidR="008B67DA" w:rsidRPr="00635ABF">
        <w:rPr>
          <w:rFonts w:cs="Arial"/>
          <w:szCs w:val="24"/>
        </w:rPr>
        <w:t>junh</w:t>
      </w:r>
      <w:r w:rsidR="007E066B" w:rsidRPr="00635ABF">
        <w:rPr>
          <w:rFonts w:cs="Arial"/>
          <w:szCs w:val="24"/>
        </w:rPr>
        <w:t>o</w:t>
      </w:r>
      <w:r w:rsidR="005674CE" w:rsidRPr="00635ABF">
        <w:rPr>
          <w:rFonts w:cs="Arial"/>
          <w:szCs w:val="24"/>
        </w:rPr>
        <w:t xml:space="preserve"> de 202</w:t>
      </w:r>
      <w:r w:rsidR="008B67DA" w:rsidRPr="00635ABF">
        <w:rPr>
          <w:rFonts w:cs="Arial"/>
          <w:szCs w:val="24"/>
        </w:rPr>
        <w:t>2</w:t>
      </w:r>
      <w:r w:rsidR="007E066B" w:rsidRPr="00635ABF">
        <w:rPr>
          <w:rFonts w:cs="Arial"/>
          <w:szCs w:val="24"/>
        </w:rPr>
        <w:t>. Neste intervalo temporal</w:t>
      </w:r>
      <w:r w:rsidR="005674CE" w:rsidRPr="00635ABF">
        <w:rPr>
          <w:rFonts w:cs="Arial"/>
          <w:szCs w:val="24"/>
        </w:rPr>
        <w:t xml:space="preserve">, os </w:t>
      </w:r>
      <w:r w:rsidR="007E066B" w:rsidRPr="00635ABF">
        <w:rPr>
          <w:rFonts w:cs="Arial"/>
          <w:szCs w:val="24"/>
        </w:rPr>
        <w:t>períodos de</w:t>
      </w:r>
      <w:r w:rsidR="005674CE" w:rsidRPr="00635ABF">
        <w:rPr>
          <w:rFonts w:cs="Arial"/>
          <w:szCs w:val="24"/>
        </w:rPr>
        <w:t> </w:t>
      </w:r>
      <w:r w:rsidRPr="00635ABF">
        <w:rPr>
          <w:rFonts w:cs="Arial"/>
          <w:szCs w:val="24"/>
        </w:rPr>
        <w:t>2015</w:t>
      </w:r>
      <w:r w:rsidR="007E066B" w:rsidRPr="00635ABF">
        <w:rPr>
          <w:rFonts w:cs="Arial"/>
          <w:szCs w:val="24"/>
        </w:rPr>
        <w:t xml:space="preserve"> a</w:t>
      </w:r>
      <w:r w:rsidRPr="00635ABF">
        <w:rPr>
          <w:rFonts w:cs="Arial"/>
          <w:szCs w:val="24"/>
        </w:rPr>
        <w:t xml:space="preserve"> 2016</w:t>
      </w:r>
      <w:r w:rsidR="007E066B" w:rsidRPr="00635ABF">
        <w:rPr>
          <w:rFonts w:cs="Arial"/>
          <w:szCs w:val="24"/>
        </w:rPr>
        <w:t>,</w:t>
      </w:r>
      <w:r w:rsidR="005674CE" w:rsidRPr="00635ABF">
        <w:rPr>
          <w:rFonts w:cs="Arial"/>
          <w:szCs w:val="24"/>
        </w:rPr>
        <w:t xml:space="preserve"> e 2020 </w:t>
      </w:r>
      <w:r w:rsidR="007E066B" w:rsidRPr="00635ABF">
        <w:rPr>
          <w:rFonts w:cs="Arial"/>
          <w:szCs w:val="24"/>
        </w:rPr>
        <w:t>a</w:t>
      </w:r>
      <w:r w:rsidR="003F6E0B" w:rsidRPr="00635ABF">
        <w:rPr>
          <w:rFonts w:cs="Arial"/>
          <w:szCs w:val="24"/>
        </w:rPr>
        <w:t xml:space="preserve"> 2022</w:t>
      </w:r>
      <w:r w:rsidR="007E066B" w:rsidRPr="00635ABF">
        <w:rPr>
          <w:rFonts w:cs="Arial"/>
          <w:szCs w:val="24"/>
        </w:rPr>
        <w:t xml:space="preserve">, são períodos de crise econômica, o primeiro por causa da crise político-econômica gerada pelo processo de impeachment </w:t>
      </w:r>
      <w:proofErr w:type="spellStart"/>
      <w:r w:rsidR="007E066B" w:rsidRPr="00635ABF">
        <w:rPr>
          <w:rFonts w:cs="Arial"/>
          <w:szCs w:val="24"/>
        </w:rPr>
        <w:t>da</w:t>
      </w:r>
      <w:proofErr w:type="spellEnd"/>
      <w:r w:rsidR="007E066B" w:rsidRPr="00635ABF">
        <w:rPr>
          <w:rFonts w:cs="Arial"/>
          <w:szCs w:val="24"/>
        </w:rPr>
        <w:t xml:space="preserve"> Presidente do país, Dilma Roussef, e o segundo por causa da crise gerada pela pandemia de Covid19</w:t>
      </w:r>
      <w:r w:rsidR="001D5A26" w:rsidRPr="00635ABF">
        <w:rPr>
          <w:rFonts w:cs="Arial"/>
          <w:szCs w:val="24"/>
        </w:rPr>
        <w:t>.</w:t>
      </w:r>
      <w:r w:rsidR="005674CE" w:rsidRPr="00635ABF">
        <w:rPr>
          <w:rFonts w:cs="Arial"/>
          <w:szCs w:val="24"/>
        </w:rPr>
        <w:t xml:space="preserve"> </w:t>
      </w:r>
    </w:p>
    <w:p w14:paraId="458E7080" w14:textId="77777777" w:rsidR="00FE6BB8" w:rsidRPr="00635ABF" w:rsidRDefault="00FE6BB8" w:rsidP="00FE6BB8">
      <w:pPr>
        <w:spacing w:afterLines="0" w:after="0" w:line="240" w:lineRule="auto"/>
        <w:rPr>
          <w:rFonts w:cs="Arial"/>
          <w:szCs w:val="24"/>
        </w:rPr>
      </w:pPr>
    </w:p>
    <w:p w14:paraId="28FF886A" w14:textId="4D18E56D" w:rsidR="007E066B" w:rsidRPr="00635ABF" w:rsidRDefault="007C20A6" w:rsidP="00FE6BB8">
      <w:pPr>
        <w:spacing w:afterLines="0" w:after="0" w:line="240" w:lineRule="auto"/>
        <w:rPr>
          <w:rFonts w:cs="Arial"/>
          <w:b/>
          <w:bCs/>
          <w:szCs w:val="24"/>
        </w:rPr>
      </w:pPr>
      <w:r w:rsidRPr="00635ABF">
        <w:rPr>
          <w:rFonts w:cs="Arial"/>
          <w:b/>
          <w:bCs/>
          <w:szCs w:val="24"/>
        </w:rPr>
        <w:t>Fundamentação Teórica</w:t>
      </w:r>
    </w:p>
    <w:p w14:paraId="0E725C43" w14:textId="77777777" w:rsidR="00FE6BB8" w:rsidRPr="00635ABF" w:rsidRDefault="00FE6BB8" w:rsidP="00FE6BB8">
      <w:pPr>
        <w:spacing w:afterLines="0" w:after="0" w:line="240" w:lineRule="auto"/>
        <w:rPr>
          <w:rFonts w:cs="Arial"/>
          <w:szCs w:val="24"/>
        </w:rPr>
      </w:pPr>
    </w:p>
    <w:p w14:paraId="5901A230" w14:textId="047EC5AE" w:rsidR="00B07B93" w:rsidRPr="00635ABF" w:rsidRDefault="00B07B93" w:rsidP="00FE6BB8">
      <w:pPr>
        <w:spacing w:afterLines="0" w:after="0" w:line="240" w:lineRule="auto"/>
        <w:rPr>
          <w:rFonts w:cs="Arial"/>
          <w:szCs w:val="24"/>
        </w:rPr>
      </w:pPr>
      <w:proofErr w:type="spellStart"/>
      <w:r w:rsidRPr="00635ABF">
        <w:rPr>
          <w:rFonts w:cs="Arial"/>
          <w:szCs w:val="24"/>
        </w:rPr>
        <w:t>Grôppo</w:t>
      </w:r>
      <w:proofErr w:type="spellEnd"/>
      <w:r w:rsidRPr="00635ABF">
        <w:rPr>
          <w:rFonts w:cs="Arial"/>
          <w:szCs w:val="24"/>
        </w:rPr>
        <w:t xml:space="preserve"> (2004) </w:t>
      </w:r>
      <w:r w:rsidR="00913486" w:rsidRPr="00635ABF">
        <w:rPr>
          <w:rFonts w:cs="Arial"/>
          <w:szCs w:val="24"/>
        </w:rPr>
        <w:t>identificou</w:t>
      </w:r>
      <w:r w:rsidR="002E6D8D" w:rsidRPr="00635ABF">
        <w:rPr>
          <w:rFonts w:cs="Arial"/>
          <w:szCs w:val="24"/>
        </w:rPr>
        <w:t xml:space="preserve"> uma relação causal entre um conjunto de variáveis macroeconômicas e </w:t>
      </w:r>
      <w:r w:rsidR="00C75C2E" w:rsidRPr="00635ABF">
        <w:rPr>
          <w:rFonts w:cs="Arial"/>
          <w:szCs w:val="24"/>
        </w:rPr>
        <w:t>os preços</w:t>
      </w:r>
      <w:r w:rsidR="002E6D8D" w:rsidRPr="00635ABF">
        <w:rPr>
          <w:rFonts w:cs="Arial"/>
          <w:szCs w:val="24"/>
        </w:rPr>
        <w:t xml:space="preserve"> dos ativos no mercado acionário brasileiro. </w:t>
      </w:r>
      <w:r w:rsidR="00913486" w:rsidRPr="00635ABF">
        <w:rPr>
          <w:rFonts w:cs="Arial"/>
          <w:szCs w:val="24"/>
        </w:rPr>
        <w:t xml:space="preserve">Analisou o período de janeiro 1995 a dezembro de 2003, utilizou o enfoque multivariado VAR. </w:t>
      </w:r>
      <w:r w:rsidR="00E2678E" w:rsidRPr="00635ABF">
        <w:rPr>
          <w:rFonts w:cs="Arial"/>
          <w:szCs w:val="24"/>
        </w:rPr>
        <w:t>Dentre as variáveis estuda</w:t>
      </w:r>
      <w:r w:rsidR="0078141B" w:rsidRPr="00635ABF">
        <w:rPr>
          <w:rFonts w:cs="Arial"/>
          <w:szCs w:val="24"/>
        </w:rPr>
        <w:t>da</w:t>
      </w:r>
      <w:r w:rsidR="00E2678E" w:rsidRPr="00635ABF">
        <w:rPr>
          <w:rFonts w:cs="Arial"/>
          <w:szCs w:val="24"/>
        </w:rPr>
        <w:t>s</w:t>
      </w:r>
      <w:r w:rsidR="008B4118" w:rsidRPr="00635ABF">
        <w:rPr>
          <w:rFonts w:cs="Arial"/>
          <w:szCs w:val="24"/>
        </w:rPr>
        <w:t xml:space="preserve"> </w:t>
      </w:r>
      <w:r w:rsidR="00E2678E" w:rsidRPr="00635ABF">
        <w:rPr>
          <w:rFonts w:cs="Arial"/>
          <w:szCs w:val="24"/>
        </w:rPr>
        <w:t xml:space="preserve">identificou </w:t>
      </w:r>
      <w:r w:rsidR="008B4118" w:rsidRPr="00635ABF">
        <w:rPr>
          <w:rFonts w:cs="Arial"/>
          <w:szCs w:val="24"/>
        </w:rPr>
        <w:t xml:space="preserve">uma maior sensibilidade do Ibovespa com a Selic sendo assim a que mais impacta o índice. Mostrando que </w:t>
      </w:r>
      <w:r w:rsidR="00C75C2E" w:rsidRPr="00635ABF">
        <w:rPr>
          <w:rFonts w:cs="Arial"/>
          <w:szCs w:val="24"/>
        </w:rPr>
        <w:t>o investidor no mercado brasileiro enxerga</w:t>
      </w:r>
      <w:r w:rsidR="008B4118" w:rsidRPr="00635ABF">
        <w:rPr>
          <w:rFonts w:cs="Arial"/>
          <w:szCs w:val="24"/>
        </w:rPr>
        <w:t xml:space="preserve"> a renda fixa como um substituto para as aplicações em ações.</w:t>
      </w:r>
    </w:p>
    <w:p w14:paraId="316B700A" w14:textId="6842E9DA" w:rsidR="00530F0E" w:rsidRPr="00635ABF" w:rsidRDefault="003D1F4C" w:rsidP="00FE6BB8">
      <w:pPr>
        <w:spacing w:afterLines="0" w:after="0" w:line="240" w:lineRule="auto"/>
        <w:rPr>
          <w:rFonts w:cs="Arial"/>
          <w:szCs w:val="24"/>
        </w:rPr>
      </w:pPr>
      <w:r w:rsidRPr="00635ABF">
        <w:rPr>
          <w:rFonts w:cs="Arial"/>
          <w:szCs w:val="24"/>
        </w:rPr>
        <w:t xml:space="preserve">Pimenta </w:t>
      </w:r>
      <w:r w:rsidR="00530F0E" w:rsidRPr="00635ABF">
        <w:rPr>
          <w:rFonts w:cs="Arial"/>
          <w:szCs w:val="24"/>
        </w:rPr>
        <w:t>Junior e Higuchi (2008) analis</w:t>
      </w:r>
      <w:r w:rsidR="008F1F38" w:rsidRPr="00635ABF">
        <w:rPr>
          <w:rFonts w:cs="Arial"/>
          <w:szCs w:val="24"/>
        </w:rPr>
        <w:t>aram</w:t>
      </w:r>
      <w:r w:rsidR="00530F0E" w:rsidRPr="00635ABF">
        <w:rPr>
          <w:rFonts w:cs="Arial"/>
          <w:szCs w:val="24"/>
        </w:rPr>
        <w:t xml:space="preserve"> as variáveis taxa de juros, taxa de câmbio, inflação e o índice </w:t>
      </w:r>
      <w:r w:rsidR="008F2AB3" w:rsidRPr="00635ABF">
        <w:rPr>
          <w:rFonts w:cs="Arial"/>
          <w:szCs w:val="24"/>
        </w:rPr>
        <w:t xml:space="preserve">Ibovespa </w:t>
      </w:r>
      <w:r w:rsidR="00530F0E" w:rsidRPr="00635ABF">
        <w:rPr>
          <w:rFonts w:cs="Arial"/>
          <w:szCs w:val="24"/>
        </w:rPr>
        <w:t>no período de julho 1994 a junho de 2005</w:t>
      </w:r>
      <w:r w:rsidR="008F2AB3" w:rsidRPr="00635ABF">
        <w:rPr>
          <w:rFonts w:cs="Arial"/>
          <w:szCs w:val="24"/>
        </w:rPr>
        <w:t>. U</w:t>
      </w:r>
      <w:r w:rsidR="00530F0E" w:rsidRPr="00635ABF">
        <w:rPr>
          <w:rFonts w:cs="Arial"/>
          <w:szCs w:val="24"/>
        </w:rPr>
        <w:t>tilizando o enfoque multivariado VAR</w:t>
      </w:r>
      <w:r w:rsidR="008F2AB3" w:rsidRPr="00635ABF">
        <w:rPr>
          <w:rFonts w:cs="Arial"/>
          <w:szCs w:val="24"/>
        </w:rPr>
        <w:t xml:space="preserve">, através de testes econométricos: Teste de Raiz Unitária (Teste de </w:t>
      </w:r>
      <w:proofErr w:type="spellStart"/>
      <w:r w:rsidR="008F2AB3" w:rsidRPr="00635ABF">
        <w:rPr>
          <w:rFonts w:cs="Arial"/>
          <w:szCs w:val="24"/>
        </w:rPr>
        <w:t>Dickey</w:t>
      </w:r>
      <w:proofErr w:type="spellEnd"/>
      <w:r w:rsidR="008F2AB3" w:rsidRPr="00635ABF">
        <w:rPr>
          <w:rFonts w:cs="Arial"/>
          <w:szCs w:val="24"/>
        </w:rPr>
        <w:t xml:space="preserve"> e Fuller Aumentado – ADF), Teste de Causalidade de Granger, Análise das Decomposições das Variâncias (VDC) e Análise das Funções de Resposta a Impulso (IRF), mostraram que a taxa de câmbio</w:t>
      </w:r>
      <w:r w:rsidR="008F1F38" w:rsidRPr="00635ABF">
        <w:rPr>
          <w:rFonts w:cs="Arial"/>
          <w:szCs w:val="24"/>
        </w:rPr>
        <w:t xml:space="preserve"> foi a que apresentou maior nível de causalidade em relação ao Ibovespa e as demais não apresentaram relação estatística significativa com o índice da bolsa brasileira.</w:t>
      </w:r>
    </w:p>
    <w:p w14:paraId="76AFB326" w14:textId="3A06CBC8" w:rsidR="00DD02DA" w:rsidRPr="00635ABF" w:rsidRDefault="00DD02DA" w:rsidP="00FE6BB8">
      <w:pPr>
        <w:spacing w:afterLines="0" w:after="0" w:line="240" w:lineRule="auto"/>
        <w:rPr>
          <w:rFonts w:cs="Arial"/>
          <w:szCs w:val="24"/>
        </w:rPr>
      </w:pPr>
      <w:r w:rsidRPr="00635ABF">
        <w:rPr>
          <w:rFonts w:cs="Arial"/>
          <w:szCs w:val="24"/>
        </w:rPr>
        <w:t xml:space="preserve">Silva Junior, Menezes e Fernandez (2012) utilizaram o VAR e realizaram testes de Granger para identificar relações de causalidade entre as variáveis macroeconômicas taxa de câmbio, Selic, PIB e IGP-M, e o Ibovespa como indicador </w:t>
      </w:r>
      <w:r w:rsidR="009A40FC" w:rsidRPr="00635ABF">
        <w:rPr>
          <w:rFonts w:cs="Arial"/>
          <w:szCs w:val="24"/>
        </w:rPr>
        <w:t>do mercado de ações brasileiro. O estudo trouxe resultados que sugerem uma relação significativa entre o Ibovespa e taxa de câmbio, porém uma relação de menor intensidade deste índice com a Selic. Não identificou relação significativa com o PIB e o nível de preços (IGP-M). Teve como período analisado os índices do Ibovespa entre janeiro 2000 a dezembro de 2010.</w:t>
      </w:r>
    </w:p>
    <w:p w14:paraId="31C488E1" w14:textId="7F494380" w:rsidR="00423096" w:rsidRPr="00635ABF" w:rsidRDefault="00423096" w:rsidP="00FE6BB8">
      <w:pPr>
        <w:spacing w:afterLines="0" w:after="0" w:line="240" w:lineRule="auto"/>
        <w:rPr>
          <w:rFonts w:cs="Arial"/>
          <w:szCs w:val="24"/>
        </w:rPr>
      </w:pPr>
      <w:r w:rsidRPr="00635ABF">
        <w:rPr>
          <w:rFonts w:cs="Arial"/>
          <w:szCs w:val="24"/>
        </w:rPr>
        <w:t xml:space="preserve">Oliveira e </w:t>
      </w:r>
      <w:proofErr w:type="spellStart"/>
      <w:r w:rsidRPr="00635ABF">
        <w:rPr>
          <w:rFonts w:cs="Arial"/>
          <w:szCs w:val="24"/>
        </w:rPr>
        <w:t>Franscaroli</w:t>
      </w:r>
      <w:proofErr w:type="spellEnd"/>
      <w:r w:rsidRPr="00635ABF">
        <w:rPr>
          <w:rFonts w:cs="Arial"/>
          <w:szCs w:val="24"/>
        </w:rPr>
        <w:t xml:space="preserve"> (2014) </w:t>
      </w:r>
      <w:r w:rsidR="0063169A" w:rsidRPr="00635ABF">
        <w:rPr>
          <w:rFonts w:cs="Arial"/>
          <w:szCs w:val="24"/>
        </w:rPr>
        <w:t>recorreu a técnicas de decomposição da variância e funções de impulso e resposta, com isso foi capaz de verificar a significância dessas em IPO e constatou que os desvios causados na variância em maior parte foram explicados por variações sofridas por ela mesmo</w:t>
      </w:r>
      <w:r w:rsidR="001812E7" w:rsidRPr="00635ABF">
        <w:rPr>
          <w:rFonts w:cs="Arial"/>
          <w:szCs w:val="24"/>
        </w:rPr>
        <w:t>, s</w:t>
      </w:r>
      <w:r w:rsidR="0063169A" w:rsidRPr="00635ABF">
        <w:rPr>
          <w:rFonts w:cs="Arial"/>
          <w:szCs w:val="24"/>
        </w:rPr>
        <w:t xml:space="preserve">eguida </w:t>
      </w:r>
      <w:r w:rsidR="001812E7" w:rsidRPr="00635ABF">
        <w:rPr>
          <w:rFonts w:cs="Arial"/>
          <w:szCs w:val="24"/>
        </w:rPr>
        <w:t>pelas</w:t>
      </w:r>
      <w:r w:rsidR="0063169A" w:rsidRPr="00635ABF">
        <w:rPr>
          <w:rFonts w:cs="Arial"/>
          <w:szCs w:val="24"/>
        </w:rPr>
        <w:t xml:space="preserve"> variáveis Selic e IPCA. </w:t>
      </w:r>
      <w:r w:rsidR="001812E7" w:rsidRPr="00635ABF">
        <w:rPr>
          <w:rFonts w:cs="Arial"/>
          <w:szCs w:val="24"/>
        </w:rPr>
        <w:t>F</w:t>
      </w:r>
      <w:r w:rsidR="0063169A" w:rsidRPr="00635ABF">
        <w:rPr>
          <w:rFonts w:cs="Arial"/>
          <w:szCs w:val="24"/>
        </w:rPr>
        <w:t xml:space="preserve">oi </w:t>
      </w:r>
      <w:r w:rsidR="001812E7" w:rsidRPr="00635ABF">
        <w:rPr>
          <w:rFonts w:cs="Arial"/>
          <w:szCs w:val="24"/>
        </w:rPr>
        <w:t xml:space="preserve">também aplicado </w:t>
      </w:r>
      <w:r w:rsidR="0063169A" w:rsidRPr="00635ABF">
        <w:rPr>
          <w:rFonts w:cs="Arial"/>
          <w:szCs w:val="24"/>
        </w:rPr>
        <w:t xml:space="preserve">o teste de causalidade de Granger, que indicou que todas as variáveis afetam a emissão de </w:t>
      </w:r>
      <w:r w:rsidR="001812E7" w:rsidRPr="00635ABF">
        <w:rPr>
          <w:rFonts w:cs="Arial"/>
          <w:szCs w:val="24"/>
        </w:rPr>
        <w:t>IPO</w:t>
      </w:r>
      <w:r w:rsidR="0063169A" w:rsidRPr="00635ABF">
        <w:rPr>
          <w:rFonts w:cs="Arial"/>
          <w:szCs w:val="24"/>
        </w:rPr>
        <w:t>, exceto a Ibovespa.</w:t>
      </w:r>
    </w:p>
    <w:p w14:paraId="38AF7D16" w14:textId="73D0E9ED" w:rsidR="00E5500C" w:rsidRPr="00635ABF" w:rsidRDefault="002659EF" w:rsidP="00FE6BB8">
      <w:pPr>
        <w:spacing w:afterLines="0" w:after="0" w:line="240" w:lineRule="auto"/>
        <w:rPr>
          <w:rFonts w:cs="Arial"/>
          <w:szCs w:val="24"/>
        </w:rPr>
      </w:pPr>
      <w:r w:rsidRPr="00635ABF">
        <w:rPr>
          <w:rFonts w:cs="Arial"/>
          <w:szCs w:val="24"/>
        </w:rPr>
        <w:t xml:space="preserve">Rodrigues </w:t>
      </w:r>
      <w:r w:rsidR="00E5500C" w:rsidRPr="00635ABF">
        <w:rPr>
          <w:rFonts w:cs="Arial"/>
          <w:szCs w:val="24"/>
        </w:rPr>
        <w:t xml:space="preserve">Machado, Gartner e </w:t>
      </w:r>
      <w:r w:rsidRPr="00635ABF">
        <w:rPr>
          <w:rFonts w:cs="Arial"/>
          <w:szCs w:val="24"/>
        </w:rPr>
        <w:t xml:space="preserve">Souza </w:t>
      </w:r>
      <w:r w:rsidR="00E5500C" w:rsidRPr="00635ABF">
        <w:rPr>
          <w:rFonts w:cs="Arial"/>
          <w:szCs w:val="24"/>
        </w:rPr>
        <w:t>Machado (2017) aplicou o modelo Markov-</w:t>
      </w:r>
      <w:proofErr w:type="spellStart"/>
      <w:r w:rsidR="00E5500C" w:rsidRPr="00635ABF">
        <w:rPr>
          <w:rFonts w:cs="Arial"/>
          <w:szCs w:val="24"/>
        </w:rPr>
        <w:t>switching</w:t>
      </w:r>
      <w:proofErr w:type="spellEnd"/>
      <w:r w:rsidR="00E5500C" w:rsidRPr="00635ABF">
        <w:rPr>
          <w:rFonts w:cs="Arial"/>
          <w:szCs w:val="24"/>
        </w:rPr>
        <w:t xml:space="preserve"> </w:t>
      </w:r>
      <w:r w:rsidR="00B46884" w:rsidRPr="00635ABF">
        <w:rPr>
          <w:rFonts w:cs="Arial"/>
          <w:szCs w:val="24"/>
        </w:rPr>
        <w:t xml:space="preserve">dinâmico com mudança de variância para examinar se </w:t>
      </w:r>
      <w:r w:rsidR="00670221" w:rsidRPr="00635ABF">
        <w:rPr>
          <w:rFonts w:cs="Arial"/>
          <w:szCs w:val="24"/>
        </w:rPr>
        <w:t>cada variável macroeconômica possui</w:t>
      </w:r>
      <w:r w:rsidR="00B46884" w:rsidRPr="00635ABF">
        <w:rPr>
          <w:rFonts w:cs="Arial"/>
          <w:szCs w:val="24"/>
        </w:rPr>
        <w:t xml:space="preserve"> individualmente relação no longo prazo com o Ibovespa</w:t>
      </w:r>
      <w:r w:rsidR="00595811" w:rsidRPr="00635ABF">
        <w:rPr>
          <w:rFonts w:cs="Arial"/>
          <w:szCs w:val="24"/>
        </w:rPr>
        <w:t xml:space="preserve"> no período de janeiro 1999 a junho de 2017</w:t>
      </w:r>
      <w:r w:rsidR="00B46884" w:rsidRPr="00635ABF">
        <w:rPr>
          <w:rFonts w:cs="Arial"/>
          <w:szCs w:val="24"/>
        </w:rPr>
        <w:t xml:space="preserve">. Identificou tal relacionamento com as variáveis Selic, PIB, oferta de moeda, </w:t>
      </w:r>
      <w:r w:rsidR="00670221" w:rsidRPr="00635ABF">
        <w:rPr>
          <w:rFonts w:cs="Arial"/>
          <w:szCs w:val="24"/>
        </w:rPr>
        <w:t>i</w:t>
      </w:r>
      <w:r w:rsidR="00B46884" w:rsidRPr="00635ABF">
        <w:rPr>
          <w:rFonts w:cs="Arial"/>
          <w:szCs w:val="24"/>
        </w:rPr>
        <w:t xml:space="preserve">mportações, </w:t>
      </w:r>
      <w:r w:rsidR="00670221" w:rsidRPr="00635ABF">
        <w:rPr>
          <w:rFonts w:cs="Arial"/>
          <w:szCs w:val="24"/>
        </w:rPr>
        <w:t>e</w:t>
      </w:r>
      <w:r w:rsidR="00B46884" w:rsidRPr="00635ABF">
        <w:rPr>
          <w:rFonts w:cs="Arial"/>
          <w:szCs w:val="24"/>
        </w:rPr>
        <w:t xml:space="preserve">xportações e </w:t>
      </w:r>
      <w:r w:rsidR="00670221" w:rsidRPr="00635ABF">
        <w:rPr>
          <w:rFonts w:cs="Arial"/>
          <w:szCs w:val="24"/>
        </w:rPr>
        <w:t>t</w:t>
      </w:r>
      <w:r w:rsidR="00B46884" w:rsidRPr="00635ABF">
        <w:rPr>
          <w:rFonts w:cs="Arial"/>
          <w:szCs w:val="24"/>
        </w:rPr>
        <w:t xml:space="preserve">axa de câmbio, porém não encontrou uma relação </w:t>
      </w:r>
      <w:r w:rsidR="00670221" w:rsidRPr="00635ABF">
        <w:rPr>
          <w:rFonts w:cs="Arial"/>
          <w:szCs w:val="24"/>
        </w:rPr>
        <w:t>para a inflação. As variáveis PIB, oferta de moeda, importações e exportações impactaram negativamente e a taxa de juros e de câmbio tiveram um comportamento positivo</w:t>
      </w:r>
      <w:r w:rsidR="00F3028D" w:rsidRPr="00635ABF">
        <w:rPr>
          <w:rFonts w:cs="Arial"/>
          <w:szCs w:val="24"/>
        </w:rPr>
        <w:t>.</w:t>
      </w:r>
    </w:p>
    <w:p w14:paraId="45D27B0D" w14:textId="77777777" w:rsidR="00EA724F" w:rsidRPr="00635ABF" w:rsidRDefault="00595811" w:rsidP="00FE6BB8">
      <w:pPr>
        <w:spacing w:afterLines="0" w:after="0" w:line="240" w:lineRule="auto"/>
        <w:rPr>
          <w:rFonts w:cs="Arial"/>
          <w:szCs w:val="24"/>
        </w:rPr>
      </w:pPr>
      <w:r w:rsidRPr="00635ABF">
        <w:rPr>
          <w:rFonts w:cs="Arial"/>
          <w:szCs w:val="24"/>
        </w:rPr>
        <w:t xml:space="preserve">Dentre os trabalhos mais recentes Bernardelli e Castro (2020) </w:t>
      </w:r>
      <w:r w:rsidR="004C53F4" w:rsidRPr="00635ABF">
        <w:rPr>
          <w:rFonts w:cs="Arial"/>
          <w:szCs w:val="24"/>
        </w:rPr>
        <w:t xml:space="preserve">efetuaram 195 observações no período que compreende de janeiro 2003 a março de 2019 para analisar a influência das variáveis macroeconômicas sobre o mercado de ações. Utilizou no estudo </w:t>
      </w:r>
      <w:r w:rsidR="00557240" w:rsidRPr="00635ABF">
        <w:rPr>
          <w:rFonts w:cs="Arial"/>
          <w:szCs w:val="24"/>
        </w:rPr>
        <w:t>os métodos</w:t>
      </w:r>
      <w:r w:rsidR="004C53F4" w:rsidRPr="00635ABF">
        <w:rPr>
          <w:rFonts w:cs="Arial"/>
          <w:szCs w:val="24"/>
        </w:rPr>
        <w:t xml:space="preserve"> dos mínimos quadrados generalizados com correção, </w:t>
      </w:r>
      <w:r w:rsidR="004C53F4" w:rsidRPr="00635ABF">
        <w:rPr>
          <w:rFonts w:cs="Arial"/>
          <w:szCs w:val="24"/>
        </w:rPr>
        <w:lastRenderedPageBreak/>
        <w:t>para corrigir o problema autorregressivo de primeira ordem</w:t>
      </w:r>
      <w:r w:rsidR="00557240" w:rsidRPr="00635ABF">
        <w:rPr>
          <w:rFonts w:cs="Arial"/>
          <w:szCs w:val="24"/>
        </w:rPr>
        <w:t xml:space="preserve"> e encontrou que as variáveis macroeconômicas continuam trazendo influência para o mercado acionário.</w:t>
      </w:r>
    </w:p>
    <w:p w14:paraId="599C2857" w14:textId="156C9B68" w:rsidR="00595811" w:rsidRPr="00635ABF" w:rsidRDefault="00EA724F" w:rsidP="00FE6BB8">
      <w:pPr>
        <w:spacing w:afterLines="0" w:after="0" w:line="240" w:lineRule="auto"/>
        <w:rPr>
          <w:rFonts w:cs="Arial"/>
          <w:szCs w:val="24"/>
        </w:rPr>
      </w:pPr>
      <w:r w:rsidRPr="00635ABF">
        <w:rPr>
          <w:rFonts w:cs="Arial"/>
          <w:szCs w:val="24"/>
        </w:rPr>
        <w:t xml:space="preserve">Val </w:t>
      </w:r>
      <w:r w:rsidRPr="00635ABF">
        <w:rPr>
          <w:rFonts w:cs="Arial"/>
          <w:i/>
          <w:iCs/>
          <w:szCs w:val="24"/>
        </w:rPr>
        <w:t>et al.</w:t>
      </w:r>
      <w:r w:rsidRPr="00635ABF">
        <w:rPr>
          <w:rFonts w:cs="Arial"/>
          <w:szCs w:val="24"/>
        </w:rPr>
        <w:t xml:space="preserve"> (2018) analisaram como a política monetária do Banco Central do Brasil – BACEN afeta o mercado de ações. Se utilizaram de uma análise com base na técnica de estudo de eventos para avaliar o efeito das decisões de política monetária antecipadas e não antecipadas nos retornos do índice Ibovespa e de 53 ações individuais. Os resultados mostraram que a política monetária tem um impacto significativo no mercado de ações, mas representa apenas uma pequena parte das variações observadas. Mostraram ainda que diferentes ativos respondem de maneira variada à política monetária. No entanto, quando o foco recaiu sobre os retornos em excesso, se percebeu uma redução na intensidade e no número de empresas afetadas pela política monetária. </w:t>
      </w:r>
    </w:p>
    <w:p w14:paraId="21BB9961" w14:textId="4F1612AA" w:rsidR="00F410FE" w:rsidRPr="00635ABF" w:rsidRDefault="00F410FE" w:rsidP="00FE6BB8">
      <w:pPr>
        <w:spacing w:afterLines="0" w:after="0" w:line="240" w:lineRule="auto"/>
        <w:rPr>
          <w:rFonts w:cs="Arial"/>
          <w:szCs w:val="24"/>
        </w:rPr>
      </w:pPr>
      <w:r w:rsidRPr="00635ABF">
        <w:rPr>
          <w:rFonts w:cs="Arial"/>
          <w:szCs w:val="24"/>
        </w:rPr>
        <w:t>Soares, Firme e Lima Junior (2018) usaram modelos ARDL, que consideram variáveis macroeconômicas, para analisar como a política monetária afeta o mercado de ações brasileiro. Exploraram dados referentes ao período de janeiro de 2003 a junho de 2018. Os resultados mostraram que as taxas de juros reais no Brasil e no exterior não têm um impacto direto significativo sobre o Ibovespa. Observou-se que o Ibovespa cai (ou sobe) quando as pessoas são surpreendidas por uma taxa de juros nominal muito acima (ou abaixo) do esperado.</w:t>
      </w:r>
    </w:p>
    <w:p w14:paraId="563F2645" w14:textId="7E452641" w:rsidR="0072228C" w:rsidRPr="00635ABF" w:rsidRDefault="0072228C" w:rsidP="00FE6BB8">
      <w:pPr>
        <w:spacing w:afterLines="0" w:after="0" w:line="240" w:lineRule="auto"/>
        <w:rPr>
          <w:rFonts w:cs="Arial"/>
          <w:szCs w:val="24"/>
        </w:rPr>
      </w:pPr>
      <w:r w:rsidRPr="00635ABF">
        <w:rPr>
          <w:rFonts w:cs="Arial"/>
          <w:szCs w:val="24"/>
        </w:rPr>
        <w:t>Nunes, Ferrarini e Santos (2023) desenvolveram um estudo com o objetivo de investigar como certas variáveis econômicas afetam o comportamento do índice Ibovespa, especialmente após a implementação do Sistema de Metas Inflacionárias. Eles se utilizaram da metodologia do Vetor de Correção de Erros (VEC), e analisaram as relações de curto e longo prazo através das funções Impulso-Resposta e da Decomposição da Variância. Resumidamente, os resultados mostraram que variações na taxa Selic exerceram influência significativa sobre o comportamento do Ibovespa.</w:t>
      </w:r>
    </w:p>
    <w:p w14:paraId="7A536480" w14:textId="1C53CF29" w:rsidR="00143105" w:rsidRPr="00635ABF" w:rsidRDefault="00143105" w:rsidP="00FE6BB8">
      <w:pPr>
        <w:spacing w:afterLines="0" w:after="0" w:line="240" w:lineRule="auto"/>
        <w:rPr>
          <w:rFonts w:cs="Arial"/>
          <w:szCs w:val="24"/>
        </w:rPr>
      </w:pPr>
      <w:r w:rsidRPr="00635ABF">
        <w:rPr>
          <w:rFonts w:cs="Arial"/>
          <w:szCs w:val="24"/>
        </w:rPr>
        <w:t xml:space="preserve">Melo e Gomes (2023) se utilizaram da metodologia VAR/VEC para explorar principalmente como a política monetária afeta o mercado de ações do Brasil. Os pesquisadores argumentaram que, por causa de uma inflação persistente, o Banco Central do Brasil – BACEN manteve taxas de juros reais altas por um longo tempo. Recentemente, antes da crise do Covid19, o BACEN reduziu drasticamente a taxa de juros, o que resultou em um desempenho excepcional do mercado de ações brasileiro. O estudo explorou dados mensais de janeiro de 2010 a dezembro de 2022. Os resultados indicaram que os juros estão entre as variáveis macroeconômicas mais influentes para o mercado de ações brasileiro. Houve fortes evidências de que a política monetária não só afeta o mercado de ações através da taxa de juros, mas também por meio de mudanças inesperadas nos níveis de agregados monetários. </w:t>
      </w:r>
    </w:p>
    <w:p w14:paraId="31F449E1" w14:textId="77777777" w:rsidR="00143105" w:rsidRPr="00635ABF" w:rsidRDefault="00143105" w:rsidP="00FE6BB8">
      <w:pPr>
        <w:spacing w:afterLines="0" w:after="0" w:line="240" w:lineRule="auto"/>
        <w:rPr>
          <w:rFonts w:cs="Arial"/>
          <w:szCs w:val="24"/>
        </w:rPr>
      </w:pPr>
    </w:p>
    <w:p w14:paraId="460B0163" w14:textId="544A24B8" w:rsidR="00595ED5" w:rsidRPr="00635ABF" w:rsidRDefault="00595ED5" w:rsidP="00FE6BB8">
      <w:pPr>
        <w:spacing w:afterLines="0" w:after="0" w:line="240" w:lineRule="auto"/>
        <w:rPr>
          <w:rFonts w:cs="Arial"/>
          <w:szCs w:val="24"/>
        </w:rPr>
      </w:pPr>
    </w:p>
    <w:p w14:paraId="145C0E96" w14:textId="3DC4FB04" w:rsidR="007E066B" w:rsidRPr="00635ABF" w:rsidRDefault="007E066B" w:rsidP="00FE6BB8">
      <w:pPr>
        <w:spacing w:afterLines="0" w:after="0" w:line="240" w:lineRule="auto"/>
        <w:rPr>
          <w:rFonts w:cs="Arial"/>
          <w:b/>
          <w:bCs/>
          <w:szCs w:val="24"/>
        </w:rPr>
      </w:pPr>
      <w:r w:rsidRPr="00635ABF">
        <w:rPr>
          <w:rFonts w:cs="Arial"/>
          <w:b/>
          <w:bCs/>
          <w:szCs w:val="24"/>
        </w:rPr>
        <w:t>Metodologia</w:t>
      </w:r>
    </w:p>
    <w:p w14:paraId="42298E68" w14:textId="77777777" w:rsidR="00FE6BB8" w:rsidRPr="00635ABF" w:rsidRDefault="00FE6BB8" w:rsidP="00FE6BB8">
      <w:pPr>
        <w:spacing w:afterLines="0" w:after="0" w:line="240" w:lineRule="auto"/>
        <w:rPr>
          <w:rFonts w:cs="Arial"/>
          <w:szCs w:val="24"/>
        </w:rPr>
      </w:pPr>
    </w:p>
    <w:p w14:paraId="07FE189A" w14:textId="35C6A77B" w:rsidR="008A5D04" w:rsidRPr="00635ABF" w:rsidRDefault="00E34F98" w:rsidP="00FE6BB8">
      <w:pPr>
        <w:spacing w:afterLines="0" w:after="0" w:line="240" w:lineRule="auto"/>
        <w:rPr>
          <w:rFonts w:cs="Arial"/>
          <w:szCs w:val="24"/>
        </w:rPr>
      </w:pPr>
      <w:r w:rsidRPr="00635ABF">
        <w:rPr>
          <w:rFonts w:cs="Arial"/>
          <w:szCs w:val="24"/>
        </w:rPr>
        <w:t xml:space="preserve">Esta pesquisa se classifica como de natureza aplicada, com abordagem quantitativa, com um objetivo típico de pesquisa descritiva, e longitudinal. </w:t>
      </w:r>
      <w:r w:rsidR="005234AA" w:rsidRPr="00635ABF">
        <w:rPr>
          <w:rFonts w:cs="Arial"/>
          <w:szCs w:val="24"/>
        </w:rPr>
        <w:t>O</w:t>
      </w:r>
      <w:r w:rsidRPr="00635ABF">
        <w:rPr>
          <w:rFonts w:cs="Arial"/>
          <w:szCs w:val="24"/>
        </w:rPr>
        <w:t>s dados referem-se ao período compreendido entre janeiro de 2012 e j</w:t>
      </w:r>
      <w:r w:rsidR="008B67DA" w:rsidRPr="00635ABF">
        <w:rPr>
          <w:rFonts w:cs="Arial"/>
          <w:szCs w:val="24"/>
        </w:rPr>
        <w:t>unh</w:t>
      </w:r>
      <w:r w:rsidRPr="00635ABF">
        <w:rPr>
          <w:rFonts w:cs="Arial"/>
          <w:szCs w:val="24"/>
        </w:rPr>
        <w:t>o de 202</w:t>
      </w:r>
      <w:r w:rsidR="008B67DA" w:rsidRPr="00635ABF">
        <w:rPr>
          <w:rFonts w:cs="Arial"/>
          <w:szCs w:val="24"/>
        </w:rPr>
        <w:t>2</w:t>
      </w:r>
      <w:r w:rsidRPr="00635ABF">
        <w:rPr>
          <w:rFonts w:cs="Arial"/>
          <w:szCs w:val="24"/>
        </w:rPr>
        <w:t>, e são informações sobre reuniões do Copom (Comitê de Política Monetária) a respeito das metas da taxa de juros Selic, e constituem-se ainda de séries temporais de cotações diárias de fechamento do índice Ibovespa.</w:t>
      </w:r>
      <w:r w:rsidR="008A5D04" w:rsidRPr="00635ABF">
        <w:rPr>
          <w:rFonts w:cs="Arial"/>
          <w:szCs w:val="24"/>
        </w:rPr>
        <w:t xml:space="preserve"> </w:t>
      </w:r>
      <w:r w:rsidRPr="00635ABF">
        <w:rPr>
          <w:rFonts w:cs="Arial"/>
          <w:szCs w:val="24"/>
        </w:rPr>
        <w:t xml:space="preserve">As informações sobre as metas da taxa Selic, estabelecidas nas reuniões do Copom, foram obtidas nos relatórios divulgados </w:t>
      </w:r>
      <w:r w:rsidRPr="00635ABF">
        <w:rPr>
          <w:rFonts w:cs="Arial"/>
          <w:szCs w:val="24"/>
        </w:rPr>
        <w:lastRenderedPageBreak/>
        <w:t>e disponibilizados no site do Banco Central (BACEN). As séries históricas de cotação do Ibovespa foram obtidas no site da B3 – Brasil, Bolsa, Balcão.</w:t>
      </w:r>
    </w:p>
    <w:p w14:paraId="474F9B07" w14:textId="77777777" w:rsidR="008B67DA" w:rsidRPr="00635ABF" w:rsidRDefault="008B67DA" w:rsidP="008B67DA">
      <w:pPr>
        <w:spacing w:afterLines="0" w:after="0" w:line="240" w:lineRule="auto"/>
        <w:rPr>
          <w:rFonts w:cs="Arial"/>
          <w:szCs w:val="24"/>
        </w:rPr>
      </w:pPr>
      <w:r w:rsidRPr="00635ABF">
        <w:rPr>
          <w:rFonts w:cs="Arial"/>
          <w:szCs w:val="24"/>
        </w:rPr>
        <w:t xml:space="preserve">Neste trabalho foi empregado o método do estudo de eventos para fins de detecção de possíveis retornos anormais e de sua significância estatística, tendo em vista a posição consolidada desta prática na literatura para aferição da eficiência informacional de mercado em sua forma </w:t>
      </w:r>
      <w:proofErr w:type="spellStart"/>
      <w:proofErr w:type="gramStart"/>
      <w:r w:rsidRPr="00635ABF">
        <w:rPr>
          <w:rFonts w:cs="Arial"/>
          <w:szCs w:val="24"/>
        </w:rPr>
        <w:t>semi-forte</w:t>
      </w:r>
      <w:proofErr w:type="spellEnd"/>
      <w:proofErr w:type="gramEnd"/>
      <w:r w:rsidRPr="00635ABF">
        <w:rPr>
          <w:rFonts w:cs="Arial"/>
          <w:szCs w:val="24"/>
        </w:rPr>
        <w:t>.</w:t>
      </w:r>
    </w:p>
    <w:p w14:paraId="53FB2C04" w14:textId="35520A07" w:rsidR="008B67DA" w:rsidRPr="00635ABF" w:rsidRDefault="008B67DA" w:rsidP="008B67DA">
      <w:pPr>
        <w:spacing w:afterLines="0" w:after="0" w:line="240" w:lineRule="auto"/>
        <w:rPr>
          <w:rFonts w:cs="Arial"/>
          <w:szCs w:val="24"/>
        </w:rPr>
      </w:pPr>
      <w:r w:rsidRPr="00635ABF">
        <w:rPr>
          <w:rFonts w:cs="Arial"/>
          <w:szCs w:val="24"/>
        </w:rPr>
        <w:t>Um estudo de eventos consiste na análise do efeito da divulgação de informações específicas sobre as cotações de determinado ativo financeiro, visando avaliar a ocorrência e extensão de retornos anormais em dias próximos ao evento. Este processo exige, naturalmente, que se adote um modelo de geração de retornos normais ou esperados, como referência.</w:t>
      </w:r>
    </w:p>
    <w:p w14:paraId="65D47270" w14:textId="6AF311AD" w:rsidR="008B67DA" w:rsidRPr="00635ABF" w:rsidRDefault="008B67DA" w:rsidP="008B67DA">
      <w:pPr>
        <w:spacing w:afterLines="0" w:after="0" w:line="240" w:lineRule="auto"/>
        <w:rPr>
          <w:rFonts w:cs="Arial"/>
          <w:szCs w:val="24"/>
        </w:rPr>
      </w:pPr>
      <w:r w:rsidRPr="00635ABF">
        <w:rPr>
          <w:rFonts w:cs="Arial"/>
          <w:szCs w:val="24"/>
        </w:rPr>
        <w:t xml:space="preserve">De fundamental importância para estudos de evento é a mensuração do retorno anormal, ou em excesso do retorno esperado em condições de equilíbrio. Para este fim, é calculada a diferença entre o retorno esperado sob um modelo de precificação de ativos, ou sob um ativo de referência, e o retorno observado. Neste caso, o valor encontrado é considerado um desvio dos títulos </w:t>
      </w:r>
      <w:proofErr w:type="spellStart"/>
      <w:r w:rsidRPr="00635ABF">
        <w:rPr>
          <w:rFonts w:cs="Arial"/>
          <w:szCs w:val="24"/>
        </w:rPr>
        <w:t>ex-ante</w:t>
      </w:r>
      <w:proofErr w:type="spellEnd"/>
      <w:r w:rsidRPr="00635ABF">
        <w:rPr>
          <w:rFonts w:cs="Arial"/>
          <w:szCs w:val="24"/>
        </w:rPr>
        <w:t xml:space="preserve"> não condicionados ao evento.</w:t>
      </w:r>
    </w:p>
    <w:p w14:paraId="2542F2DD" w14:textId="247819AE" w:rsidR="00E34F98" w:rsidRPr="00635ABF" w:rsidRDefault="008B67DA" w:rsidP="008B67DA">
      <w:pPr>
        <w:spacing w:afterLines="0" w:after="0" w:line="240" w:lineRule="auto"/>
        <w:rPr>
          <w:rFonts w:cs="Arial"/>
          <w:szCs w:val="24"/>
        </w:rPr>
      </w:pPr>
      <w:r w:rsidRPr="00635ABF">
        <w:rPr>
          <w:rFonts w:cs="Arial"/>
          <w:szCs w:val="24"/>
        </w:rPr>
        <w:t>Considerou-se como evento de interesse a manifestação de alteração da taxa Selic, feita após reunião do Copom. Neste sentido, a data “zero” foi adotada como sendo a data da reunião do Copom. Para a análise, considerou-se uma janela de 11 dias: cinco dias antes do evento; o dia do evento; e cinco dias depois do evento.</w:t>
      </w:r>
    </w:p>
    <w:p w14:paraId="49D3A53A" w14:textId="67E8CD1E" w:rsidR="008A5D04" w:rsidRPr="00635ABF" w:rsidRDefault="008B67DA" w:rsidP="008B67DA">
      <w:pPr>
        <w:spacing w:afterLines="0" w:after="0" w:line="240" w:lineRule="auto"/>
        <w:rPr>
          <w:rFonts w:cs="Arial"/>
          <w:szCs w:val="24"/>
        </w:rPr>
      </w:pPr>
      <w:r w:rsidRPr="00635ABF">
        <w:rPr>
          <w:rFonts w:cs="Arial"/>
          <w:szCs w:val="24"/>
        </w:rPr>
        <w:t>Os procedimentos de cálculo envolveram os passos seguintes. Primeiro foi feito o c</w:t>
      </w:r>
      <w:r w:rsidR="008A5D04" w:rsidRPr="00635ABF">
        <w:rPr>
          <w:rFonts w:cs="Arial"/>
          <w:szCs w:val="24"/>
        </w:rPr>
        <w:t>álculo dos retornos nominais do Ibovespa</w:t>
      </w:r>
      <w:r w:rsidRPr="00635ABF">
        <w:rPr>
          <w:rFonts w:cs="Arial"/>
          <w:szCs w:val="24"/>
        </w:rPr>
        <w:t>, seguindo a Equação 1</w:t>
      </w:r>
      <w:r w:rsidR="008A5D04" w:rsidRPr="00635ABF">
        <w:rPr>
          <w:rFonts w:cs="Arial"/>
          <w:szCs w:val="24"/>
        </w:rPr>
        <w:t>:</w:t>
      </w:r>
    </w:p>
    <w:p w14:paraId="4455BFDF" w14:textId="28AE9E90" w:rsidR="002B4F0B" w:rsidRPr="00635ABF" w:rsidRDefault="002B4F0B" w:rsidP="00FE6BB8">
      <w:pPr>
        <w:spacing w:afterLines="0" w:after="0" w:line="240" w:lineRule="auto"/>
        <w:rPr>
          <w:rFonts w:cs="Arial"/>
          <w:szCs w:val="24"/>
        </w:rPr>
      </w:pPr>
    </w:p>
    <w:p w14:paraId="4E05B7E7" w14:textId="57C31047" w:rsidR="002B4F0B" w:rsidRPr="00635ABF" w:rsidRDefault="00000000" w:rsidP="00FE6BB8">
      <w:pPr>
        <w:spacing w:afterLines="0" w:after="0" w:line="240" w:lineRule="auto"/>
        <w:rPr>
          <w:rFonts w:cs="Arial"/>
          <w:szCs w:val="24"/>
        </w:rPr>
      </w:pPr>
      <m:oMathPara>
        <m:oMathParaPr>
          <m:jc m:val="center"/>
        </m:oMathParaPr>
        <m:oMath>
          <m:sSub>
            <m:sSubPr>
              <m:ctrlPr>
                <w:rPr>
                  <w:rFonts w:ascii="Cambria Math" w:hAnsi="Cambria Math" w:cs="Arial"/>
                  <w:szCs w:val="24"/>
                </w:rPr>
              </m:ctrlPr>
            </m:sSubPr>
            <m:e>
              <m:r>
                <w:rPr>
                  <w:rFonts w:ascii="Cambria Math" w:hAnsi="Cambria Math" w:cs="Arial"/>
                  <w:szCs w:val="24"/>
                </w:rPr>
                <m:t>R</m:t>
              </m:r>
            </m:e>
            <m:sub>
              <m:r>
                <w:rPr>
                  <w:rFonts w:ascii="Cambria Math" w:hAnsi="Cambria Math" w:cs="Arial"/>
                  <w:szCs w:val="24"/>
                </w:rPr>
                <m:t>t</m:t>
              </m:r>
            </m:sub>
          </m:sSub>
          <m:r>
            <m:rPr>
              <m:sty m:val="p"/>
            </m:rPr>
            <w:rPr>
              <w:rFonts w:ascii="Cambria Math" w:hAnsi="Cambria Math" w:cs="Arial"/>
              <w:szCs w:val="24"/>
            </w:rPr>
            <m:t>=</m:t>
          </m:r>
          <m:r>
            <w:rPr>
              <w:rFonts w:ascii="Cambria Math" w:hAnsi="Cambria Math" w:cs="Arial"/>
              <w:szCs w:val="24"/>
            </w:rPr>
            <m:t>Ln</m:t>
          </m:r>
          <m:r>
            <m:rPr>
              <m:sty m:val="p"/>
            </m:rPr>
            <w:rPr>
              <w:rFonts w:ascii="Cambria Math" w:hAnsi="Cambria Math" w:cs="Arial"/>
              <w:szCs w:val="24"/>
            </w:rPr>
            <m:t xml:space="preserve"> </m:t>
          </m:r>
          <m:d>
            <m:dPr>
              <m:ctrlPr>
                <w:rPr>
                  <w:rFonts w:ascii="Cambria Math" w:hAnsi="Cambria Math" w:cs="Arial"/>
                  <w:szCs w:val="24"/>
                </w:rPr>
              </m:ctrlPr>
            </m:dPr>
            <m:e>
              <m:f>
                <m:fPr>
                  <m:ctrlPr>
                    <w:rPr>
                      <w:rFonts w:ascii="Cambria Math" w:hAnsi="Cambria Math" w:cs="Arial"/>
                      <w:szCs w:val="24"/>
                    </w:rPr>
                  </m:ctrlPr>
                </m:fPr>
                <m:num>
                  <m:sSub>
                    <m:sSubPr>
                      <m:ctrlPr>
                        <w:rPr>
                          <w:rFonts w:ascii="Cambria Math" w:hAnsi="Cambria Math" w:cs="Arial"/>
                          <w:szCs w:val="24"/>
                        </w:rPr>
                      </m:ctrlPr>
                    </m:sSubPr>
                    <m:e>
                      <m:r>
                        <w:rPr>
                          <w:rFonts w:ascii="Cambria Math" w:hAnsi="Cambria Math" w:cs="Arial"/>
                          <w:szCs w:val="24"/>
                        </w:rPr>
                        <m:t>I</m:t>
                      </m:r>
                    </m:e>
                    <m:sub>
                      <m:r>
                        <w:rPr>
                          <w:rFonts w:ascii="Cambria Math" w:hAnsi="Cambria Math" w:cs="Arial"/>
                          <w:szCs w:val="24"/>
                        </w:rPr>
                        <m:t>t</m:t>
                      </m:r>
                    </m:sub>
                  </m:sSub>
                </m:num>
                <m:den>
                  <m:sSub>
                    <m:sSubPr>
                      <m:ctrlPr>
                        <w:rPr>
                          <w:rFonts w:ascii="Cambria Math" w:hAnsi="Cambria Math" w:cs="Arial"/>
                          <w:szCs w:val="24"/>
                        </w:rPr>
                      </m:ctrlPr>
                    </m:sSubPr>
                    <m:e>
                      <m:r>
                        <w:rPr>
                          <w:rFonts w:ascii="Cambria Math" w:hAnsi="Cambria Math" w:cs="Arial"/>
                          <w:szCs w:val="24"/>
                        </w:rPr>
                        <m:t>I</m:t>
                      </m:r>
                    </m:e>
                    <m:sub>
                      <m:r>
                        <w:rPr>
                          <w:rFonts w:ascii="Cambria Math" w:hAnsi="Cambria Math" w:cs="Arial"/>
                          <w:szCs w:val="24"/>
                        </w:rPr>
                        <m:t>t</m:t>
                      </m:r>
                      <m:r>
                        <m:rPr>
                          <m:sty m:val="p"/>
                        </m:rPr>
                        <w:rPr>
                          <w:rFonts w:ascii="Cambria Math" w:hAnsi="Cambria Math" w:cs="Arial"/>
                          <w:szCs w:val="24"/>
                        </w:rPr>
                        <m:t>-1</m:t>
                      </m:r>
                    </m:sub>
                  </m:sSub>
                </m:den>
              </m:f>
            </m:e>
          </m:d>
          <m:r>
            <w:rPr>
              <w:rFonts w:ascii="Cambria Math" w:hAnsi="Cambria Math" w:cs="Arial"/>
              <w:szCs w:val="24"/>
            </w:rPr>
            <m:t xml:space="preserve">             Equação 1</m:t>
          </m:r>
        </m:oMath>
      </m:oMathPara>
    </w:p>
    <w:p w14:paraId="30984B48" w14:textId="31A50026" w:rsidR="002B4F0B" w:rsidRPr="00635ABF" w:rsidRDefault="008B67DA" w:rsidP="00FE6BB8">
      <w:pPr>
        <w:spacing w:afterLines="0" w:after="0" w:line="240" w:lineRule="auto"/>
        <w:rPr>
          <w:rFonts w:cs="Arial"/>
          <w:szCs w:val="24"/>
        </w:rPr>
      </w:pPr>
      <w:r w:rsidRPr="00635ABF">
        <w:rPr>
          <w:rFonts w:cs="Arial"/>
          <w:szCs w:val="24"/>
        </w:rPr>
        <w:t>Onde</w:t>
      </w:r>
      <w:r w:rsidR="002B4F0B" w:rsidRPr="00635ABF">
        <w:rPr>
          <w:rFonts w:cs="Arial"/>
          <w:szCs w:val="24"/>
        </w:rPr>
        <w:t>:</w:t>
      </w:r>
    </w:p>
    <w:p w14:paraId="6D71DCB8" w14:textId="3A5A612C" w:rsidR="002B4F0B" w:rsidRPr="00635ABF" w:rsidRDefault="008B67DA" w:rsidP="00FE6BB8">
      <w:pPr>
        <w:spacing w:afterLines="0" w:after="0" w:line="240" w:lineRule="auto"/>
        <w:rPr>
          <w:rFonts w:cs="Arial"/>
          <w:szCs w:val="24"/>
        </w:rPr>
      </w:pPr>
      <w:proofErr w:type="spellStart"/>
      <w:r w:rsidRPr="00635ABF">
        <w:rPr>
          <w:rFonts w:cs="Arial"/>
          <w:szCs w:val="24"/>
        </w:rPr>
        <w:t>R</w:t>
      </w:r>
      <w:r w:rsidRPr="00635ABF">
        <w:rPr>
          <w:rFonts w:cs="Arial"/>
          <w:szCs w:val="24"/>
          <w:vertAlign w:val="subscript"/>
        </w:rPr>
        <w:t>t</w:t>
      </w:r>
      <w:proofErr w:type="spellEnd"/>
      <w:r w:rsidRPr="00635ABF">
        <w:rPr>
          <w:rFonts w:cs="Arial"/>
          <w:szCs w:val="24"/>
        </w:rPr>
        <w:t xml:space="preserve"> é o retorno logarítmico do Ibovespa no dia t;</w:t>
      </w:r>
    </w:p>
    <w:p w14:paraId="3B793EA3" w14:textId="2165C2AA" w:rsidR="008B67DA" w:rsidRPr="00635ABF" w:rsidRDefault="008B67DA" w:rsidP="00FE6BB8">
      <w:pPr>
        <w:spacing w:afterLines="0" w:after="0" w:line="240" w:lineRule="auto"/>
        <w:rPr>
          <w:rFonts w:cs="Arial"/>
          <w:szCs w:val="24"/>
        </w:rPr>
      </w:pPr>
      <w:r w:rsidRPr="00635ABF">
        <w:rPr>
          <w:rFonts w:cs="Arial"/>
          <w:szCs w:val="24"/>
        </w:rPr>
        <w:t>I</w:t>
      </w:r>
      <w:r w:rsidRPr="00635ABF">
        <w:rPr>
          <w:rFonts w:cs="Arial"/>
          <w:szCs w:val="24"/>
          <w:vertAlign w:val="subscript"/>
        </w:rPr>
        <w:t>t</w:t>
      </w:r>
      <w:r w:rsidRPr="00635ABF">
        <w:rPr>
          <w:rFonts w:cs="Arial"/>
          <w:szCs w:val="24"/>
        </w:rPr>
        <w:t xml:space="preserve"> é a cotação do Ibovespa no dia t;</w:t>
      </w:r>
    </w:p>
    <w:p w14:paraId="39D2B9B2" w14:textId="61EB7518" w:rsidR="008B67DA" w:rsidRPr="00635ABF" w:rsidRDefault="008B67DA" w:rsidP="00FE6BB8">
      <w:pPr>
        <w:spacing w:afterLines="0" w:after="0" w:line="240" w:lineRule="auto"/>
        <w:rPr>
          <w:rFonts w:cs="Arial"/>
          <w:szCs w:val="24"/>
        </w:rPr>
      </w:pPr>
      <w:r w:rsidRPr="00635ABF">
        <w:rPr>
          <w:rFonts w:cs="Arial"/>
          <w:szCs w:val="24"/>
        </w:rPr>
        <w:t>I</w:t>
      </w:r>
      <w:r w:rsidRPr="00635ABF">
        <w:rPr>
          <w:rFonts w:cs="Arial"/>
          <w:szCs w:val="24"/>
          <w:vertAlign w:val="subscript"/>
        </w:rPr>
        <w:t>t-1</w:t>
      </w:r>
      <w:r w:rsidRPr="00635ABF">
        <w:rPr>
          <w:rFonts w:cs="Arial"/>
          <w:szCs w:val="24"/>
        </w:rPr>
        <w:t xml:space="preserve"> é a cotação do Ibovespa no dia t-1.</w:t>
      </w:r>
    </w:p>
    <w:p w14:paraId="0E3C0908" w14:textId="77777777" w:rsidR="00C507B9" w:rsidRPr="00635ABF" w:rsidRDefault="00C507B9" w:rsidP="00FE6BB8">
      <w:pPr>
        <w:spacing w:afterLines="0" w:after="0" w:line="240" w:lineRule="auto"/>
        <w:rPr>
          <w:rFonts w:cs="Arial"/>
          <w:szCs w:val="24"/>
        </w:rPr>
      </w:pPr>
    </w:p>
    <w:p w14:paraId="0971EAA9" w14:textId="4AC1E232" w:rsidR="008A5D04" w:rsidRPr="00635ABF" w:rsidRDefault="008B67DA" w:rsidP="00FE6BB8">
      <w:pPr>
        <w:spacing w:afterLines="0" w:after="0" w:line="240" w:lineRule="auto"/>
        <w:rPr>
          <w:rFonts w:cs="Arial"/>
          <w:szCs w:val="24"/>
        </w:rPr>
      </w:pPr>
      <w:r w:rsidRPr="00635ABF">
        <w:rPr>
          <w:rFonts w:cs="Arial"/>
          <w:szCs w:val="24"/>
        </w:rPr>
        <w:t xml:space="preserve">Em seguida foi realizado o cálculo dos </w:t>
      </w:r>
      <w:r w:rsidR="008A5D04" w:rsidRPr="00635ABF">
        <w:rPr>
          <w:rFonts w:cs="Arial"/>
          <w:szCs w:val="24"/>
        </w:rPr>
        <w:t>retornos anormais</w:t>
      </w:r>
      <w:r w:rsidRPr="00635ABF">
        <w:rPr>
          <w:rFonts w:cs="Arial"/>
          <w:szCs w:val="24"/>
        </w:rPr>
        <w:t xml:space="preserve"> do Ibovespa, seguindo a Equação 2</w:t>
      </w:r>
      <w:r w:rsidR="008A5D04" w:rsidRPr="00635ABF">
        <w:rPr>
          <w:rFonts w:cs="Arial"/>
          <w:szCs w:val="24"/>
        </w:rPr>
        <w:t>:</w:t>
      </w:r>
    </w:p>
    <w:p w14:paraId="51E6A3A1" w14:textId="77777777" w:rsidR="006C1813" w:rsidRPr="00635ABF" w:rsidRDefault="006C1813" w:rsidP="00FE6BB8">
      <w:pPr>
        <w:spacing w:afterLines="0" w:after="0" w:line="240" w:lineRule="auto"/>
        <w:rPr>
          <w:rFonts w:cs="Arial"/>
          <w:szCs w:val="24"/>
        </w:rPr>
      </w:pPr>
    </w:p>
    <w:p w14:paraId="6E0E631C" w14:textId="1DEBA3A9" w:rsidR="006C1813" w:rsidRPr="00635ABF" w:rsidRDefault="00000000" w:rsidP="00FE6BB8">
      <w:pPr>
        <w:spacing w:afterLines="0" w:after="0" w:line="240" w:lineRule="auto"/>
        <w:rPr>
          <w:rFonts w:cs="Arial"/>
          <w:szCs w:val="24"/>
        </w:rPr>
      </w:pPr>
      <m:oMathPara>
        <m:oMath>
          <m:sSub>
            <m:sSubPr>
              <m:ctrlPr>
                <w:rPr>
                  <w:rFonts w:ascii="Cambria Math" w:hAnsi="Cambria Math" w:cs="Arial"/>
                  <w:szCs w:val="24"/>
                </w:rPr>
              </m:ctrlPr>
            </m:sSubPr>
            <m:e>
              <m:r>
                <w:rPr>
                  <w:rFonts w:ascii="Cambria Math" w:hAnsi="Cambria Math" w:cs="Arial"/>
                  <w:szCs w:val="24"/>
                </w:rPr>
                <m:t>AR</m:t>
              </m:r>
            </m:e>
            <m:sub>
              <m:r>
                <w:rPr>
                  <w:rFonts w:ascii="Cambria Math" w:hAnsi="Cambria Math" w:cs="Arial"/>
                  <w:szCs w:val="24"/>
                </w:rPr>
                <m:t>t</m:t>
              </m:r>
            </m:sub>
          </m:sSub>
          <m:r>
            <m:rPr>
              <m:sty m:val="p"/>
            </m:rPr>
            <w:rPr>
              <w:rFonts w:ascii="Cambria Math" w:hAnsi="Cambria Math" w:cs="Arial"/>
              <w:szCs w:val="24"/>
            </w:rPr>
            <m:t>=</m:t>
          </m:r>
          <m:d>
            <m:dPr>
              <m:ctrlPr>
                <w:rPr>
                  <w:rFonts w:ascii="Cambria Math" w:hAnsi="Cambria Math" w:cs="Arial"/>
                  <w:szCs w:val="24"/>
                </w:rPr>
              </m:ctrlPr>
            </m:dPr>
            <m:e>
              <m:sSub>
                <m:sSubPr>
                  <m:ctrlPr>
                    <w:rPr>
                      <w:rFonts w:ascii="Cambria Math" w:hAnsi="Cambria Math" w:cs="Arial"/>
                      <w:szCs w:val="24"/>
                    </w:rPr>
                  </m:ctrlPr>
                </m:sSubPr>
                <m:e>
                  <m:r>
                    <w:rPr>
                      <w:rFonts w:ascii="Cambria Math" w:hAnsi="Cambria Math" w:cs="Arial"/>
                      <w:szCs w:val="24"/>
                    </w:rPr>
                    <m:t>R</m:t>
                  </m:r>
                </m:e>
                <m:sub>
                  <m:r>
                    <w:rPr>
                      <w:rFonts w:ascii="Cambria Math" w:hAnsi="Cambria Math" w:cs="Arial"/>
                      <w:szCs w:val="24"/>
                    </w:rPr>
                    <m:t>t</m:t>
                  </m:r>
                </m:sub>
              </m:sSub>
              <m:r>
                <m:rPr>
                  <m:sty m:val="p"/>
                </m:rP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t</m:t>
                  </m:r>
                </m:sub>
              </m:sSub>
            </m:e>
          </m:d>
          <m:r>
            <w:rPr>
              <w:rFonts w:ascii="Cambria Math" w:hAnsi="Cambria Math" w:cs="Arial"/>
              <w:szCs w:val="24"/>
            </w:rPr>
            <m:t xml:space="preserve">             Equação 2</m:t>
          </m:r>
        </m:oMath>
      </m:oMathPara>
    </w:p>
    <w:p w14:paraId="24E082E6" w14:textId="3F93F0A9" w:rsidR="006C1813" w:rsidRPr="00635ABF" w:rsidRDefault="008B67DA" w:rsidP="00FE6BB8">
      <w:pPr>
        <w:spacing w:afterLines="0" w:after="0" w:line="240" w:lineRule="auto"/>
        <w:rPr>
          <w:rFonts w:cs="Arial"/>
          <w:szCs w:val="24"/>
        </w:rPr>
      </w:pPr>
      <w:r w:rsidRPr="00635ABF">
        <w:rPr>
          <w:rFonts w:cs="Arial"/>
          <w:szCs w:val="24"/>
        </w:rPr>
        <w:t>Onde</w:t>
      </w:r>
      <w:r w:rsidR="006C1813" w:rsidRPr="00635ABF">
        <w:rPr>
          <w:rFonts w:cs="Arial"/>
          <w:szCs w:val="24"/>
        </w:rPr>
        <w:t>:</w:t>
      </w:r>
    </w:p>
    <w:p w14:paraId="61C25E3E" w14:textId="570926F4" w:rsidR="006C1813" w:rsidRPr="00635ABF" w:rsidRDefault="008B67DA" w:rsidP="00FE6BB8">
      <w:pPr>
        <w:spacing w:afterLines="0" w:after="0" w:line="240" w:lineRule="auto"/>
        <w:rPr>
          <w:rFonts w:cs="Arial"/>
          <w:szCs w:val="24"/>
        </w:rPr>
      </w:pPr>
      <w:proofErr w:type="spellStart"/>
      <w:r w:rsidRPr="00635ABF">
        <w:rPr>
          <w:rFonts w:cs="Arial"/>
          <w:szCs w:val="24"/>
        </w:rPr>
        <w:t>AR</w:t>
      </w:r>
      <w:r w:rsidRPr="00635ABF">
        <w:rPr>
          <w:rFonts w:cs="Arial"/>
          <w:szCs w:val="24"/>
          <w:vertAlign w:val="subscript"/>
        </w:rPr>
        <w:t>t</w:t>
      </w:r>
      <w:proofErr w:type="spellEnd"/>
      <w:r w:rsidRPr="00635ABF">
        <w:rPr>
          <w:rFonts w:cs="Arial"/>
          <w:szCs w:val="24"/>
        </w:rPr>
        <w:t xml:space="preserve"> é o retorno anormal do Ibovespa no dia t;</w:t>
      </w:r>
    </w:p>
    <w:p w14:paraId="4572BCAE" w14:textId="25D57C16" w:rsidR="008B67DA" w:rsidRPr="00635ABF" w:rsidRDefault="008B67DA" w:rsidP="00FE6BB8">
      <w:pPr>
        <w:spacing w:afterLines="0" w:after="0" w:line="240" w:lineRule="auto"/>
        <w:rPr>
          <w:rFonts w:cs="Arial"/>
          <w:szCs w:val="24"/>
        </w:rPr>
      </w:pPr>
      <w:proofErr w:type="spellStart"/>
      <w:r w:rsidRPr="00635ABF">
        <w:rPr>
          <w:rFonts w:cs="Arial"/>
          <w:szCs w:val="24"/>
        </w:rPr>
        <w:t>R</w:t>
      </w:r>
      <w:r w:rsidRPr="00635ABF">
        <w:rPr>
          <w:rFonts w:cs="Arial"/>
          <w:szCs w:val="24"/>
          <w:vertAlign w:val="subscript"/>
        </w:rPr>
        <w:t>t</w:t>
      </w:r>
      <w:proofErr w:type="spellEnd"/>
      <w:r w:rsidRPr="00635ABF">
        <w:rPr>
          <w:rFonts w:cs="Arial"/>
          <w:szCs w:val="24"/>
        </w:rPr>
        <w:t xml:space="preserve"> é o retorno do Ibovespa no dia t, dado pela Equação 1;</w:t>
      </w:r>
    </w:p>
    <w:p w14:paraId="2896225E" w14:textId="656AE69C" w:rsidR="008B67DA" w:rsidRPr="00635ABF" w:rsidRDefault="008B67DA" w:rsidP="00FE6BB8">
      <w:pPr>
        <w:spacing w:afterLines="0" w:after="0" w:line="240" w:lineRule="auto"/>
        <w:rPr>
          <w:rFonts w:cs="Arial"/>
          <w:szCs w:val="24"/>
        </w:rPr>
      </w:pPr>
      <w:proofErr w:type="spellStart"/>
      <w:r w:rsidRPr="00635ABF">
        <w:rPr>
          <w:rFonts w:cs="Arial"/>
          <w:szCs w:val="24"/>
        </w:rPr>
        <w:t>M</w:t>
      </w:r>
      <w:r w:rsidRPr="00635ABF">
        <w:rPr>
          <w:rFonts w:cs="Arial"/>
          <w:szCs w:val="24"/>
          <w:vertAlign w:val="subscript"/>
        </w:rPr>
        <w:t>t</w:t>
      </w:r>
      <w:proofErr w:type="spellEnd"/>
      <w:r w:rsidRPr="00635ABF">
        <w:rPr>
          <w:rFonts w:cs="Arial"/>
          <w:szCs w:val="24"/>
        </w:rPr>
        <w:t xml:space="preserve"> é o retorno médio do índice Dow Jones (EUA) no dia t.</w:t>
      </w:r>
    </w:p>
    <w:p w14:paraId="2FEA98B7" w14:textId="77777777" w:rsidR="008B4C57" w:rsidRPr="00635ABF" w:rsidRDefault="008B4C57" w:rsidP="00FE6BB8">
      <w:pPr>
        <w:spacing w:afterLines="0" w:after="0" w:line="240" w:lineRule="auto"/>
        <w:rPr>
          <w:rFonts w:cs="Arial"/>
          <w:szCs w:val="24"/>
        </w:rPr>
      </w:pPr>
    </w:p>
    <w:p w14:paraId="3CE9865C" w14:textId="1C8B6FC3" w:rsidR="008A5D04" w:rsidRPr="00635ABF" w:rsidRDefault="008A5D04" w:rsidP="00FE6BB8">
      <w:pPr>
        <w:spacing w:afterLines="0" w:after="0" w:line="240" w:lineRule="auto"/>
        <w:rPr>
          <w:rFonts w:cs="Arial"/>
          <w:szCs w:val="24"/>
        </w:rPr>
      </w:pPr>
      <w:r w:rsidRPr="00635ABF">
        <w:rPr>
          <w:rFonts w:cs="Arial"/>
          <w:szCs w:val="24"/>
        </w:rPr>
        <w:t xml:space="preserve">Devido à diferença dos calendários comerciais entre Brasil e EUA, em alguns dias não houve a abertura da Bolsa de Valores dos EUA e </w:t>
      </w:r>
      <w:r w:rsidR="008B67DA" w:rsidRPr="00635ABF">
        <w:rPr>
          <w:rFonts w:cs="Arial"/>
          <w:szCs w:val="24"/>
        </w:rPr>
        <w:t>a consequente divulgação do</w:t>
      </w:r>
      <w:r w:rsidRPr="00635ABF">
        <w:rPr>
          <w:rFonts w:cs="Arial"/>
          <w:szCs w:val="24"/>
        </w:rPr>
        <w:t xml:space="preserve"> índice Dow Jones. Nestes casos foi considerado o último índice de fechamento do mercado.</w:t>
      </w:r>
    </w:p>
    <w:p w14:paraId="65D44379" w14:textId="227B1BDE" w:rsidR="008A5D04" w:rsidRPr="00635ABF" w:rsidRDefault="008B67DA" w:rsidP="00FE6BB8">
      <w:pPr>
        <w:spacing w:afterLines="0" w:after="0" w:line="240" w:lineRule="auto"/>
        <w:rPr>
          <w:rFonts w:cs="Arial"/>
          <w:szCs w:val="24"/>
        </w:rPr>
      </w:pPr>
      <w:r w:rsidRPr="00635ABF">
        <w:rPr>
          <w:rFonts w:cs="Arial"/>
          <w:szCs w:val="24"/>
        </w:rPr>
        <w:t>O passo seguinte foi o c</w:t>
      </w:r>
      <w:r w:rsidR="008A5D04" w:rsidRPr="00635ABF">
        <w:rPr>
          <w:rFonts w:cs="Arial"/>
          <w:szCs w:val="24"/>
        </w:rPr>
        <w:t>álculo dos retornos anormais cumulativos</w:t>
      </w:r>
      <w:r w:rsidRPr="00635ABF">
        <w:rPr>
          <w:rFonts w:cs="Arial"/>
          <w:szCs w:val="24"/>
        </w:rPr>
        <w:t xml:space="preserve"> do Ibovespa, seguindo a Equação 3</w:t>
      </w:r>
      <w:r w:rsidR="008A5D04" w:rsidRPr="00635ABF">
        <w:rPr>
          <w:rFonts w:cs="Arial"/>
          <w:szCs w:val="24"/>
        </w:rPr>
        <w:t>:</w:t>
      </w:r>
    </w:p>
    <w:p w14:paraId="1B8889BF" w14:textId="601921AD" w:rsidR="00CF5EF2" w:rsidRPr="00635ABF" w:rsidRDefault="00CF5EF2" w:rsidP="00FE6BB8">
      <w:pPr>
        <w:spacing w:afterLines="0" w:after="0" w:line="240" w:lineRule="auto"/>
        <w:rPr>
          <w:rFonts w:cs="Arial"/>
          <w:szCs w:val="24"/>
        </w:rPr>
      </w:pPr>
    </w:p>
    <w:p w14:paraId="3F2DDA04" w14:textId="5A389FDE" w:rsidR="00CF5EF2" w:rsidRPr="00635ABF" w:rsidRDefault="00CF5EF2" w:rsidP="00FE6BB8">
      <w:pPr>
        <w:spacing w:afterLines="0" w:after="0" w:line="240" w:lineRule="auto"/>
        <w:rPr>
          <w:rFonts w:cs="Arial"/>
          <w:szCs w:val="24"/>
        </w:rPr>
      </w:pPr>
      <m:oMathPara>
        <m:oMath>
          <m:r>
            <w:rPr>
              <w:rFonts w:ascii="Cambria Math" w:hAnsi="Cambria Math" w:cs="Arial"/>
              <w:szCs w:val="24"/>
            </w:rPr>
            <m:t>CAR</m:t>
          </m:r>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1</m:t>
              </m:r>
            </m:sub>
          </m:sSub>
          <m:r>
            <m:rPr>
              <m:sty m:val="p"/>
            </m:rP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2</m:t>
              </m:r>
            </m:sub>
          </m:sSub>
          <m:r>
            <m:rPr>
              <m:sty m:val="p"/>
            </m:rPr>
            <w:rPr>
              <w:rFonts w:ascii="Cambria Math" w:hAnsi="Cambria Math" w:cs="Arial"/>
              <w:szCs w:val="24"/>
            </w:rPr>
            <m:t xml:space="preserve">= </m:t>
          </m:r>
          <m:nary>
            <m:naryPr>
              <m:chr m:val="∑"/>
              <m:limLoc m:val="undOvr"/>
              <m:ctrlPr>
                <w:rPr>
                  <w:rFonts w:ascii="Cambria Math" w:eastAsiaTheme="minorEastAsia" w:hAnsi="Cambria Math" w:cs="Arial"/>
                  <w:i/>
                  <w:szCs w:val="24"/>
                </w:rPr>
              </m:ctrlPr>
            </m:naryPr>
            <m:sub>
              <m:r>
                <w:rPr>
                  <w:rFonts w:ascii="Cambria Math" w:eastAsiaTheme="minorEastAsia" w:hAnsi="Cambria Math" w:cs="Arial"/>
                  <w:szCs w:val="24"/>
                </w:rPr>
                <m:t>t=</m:t>
              </m:r>
              <m:sSub>
                <m:sSubPr>
                  <m:ctrlPr>
                    <w:rPr>
                      <w:rFonts w:ascii="Cambria Math" w:eastAsiaTheme="minorEastAsia" w:hAnsi="Cambria Math" w:cs="Arial"/>
                      <w:i/>
                      <w:szCs w:val="24"/>
                    </w:rPr>
                  </m:ctrlPr>
                </m:sSubPr>
                <m:e>
                  <m:r>
                    <w:rPr>
                      <w:rFonts w:ascii="Cambria Math" w:eastAsiaTheme="minorEastAsia" w:hAnsi="Cambria Math" w:cs="Arial"/>
                      <w:szCs w:val="24"/>
                    </w:rPr>
                    <m:t>t</m:t>
                  </m:r>
                </m:e>
                <m:sub>
                  <m:r>
                    <w:rPr>
                      <w:rFonts w:ascii="Cambria Math" w:eastAsiaTheme="minorEastAsia" w:hAnsi="Cambria Math" w:cs="Arial"/>
                      <w:szCs w:val="24"/>
                    </w:rPr>
                    <m:t>1</m:t>
                  </m:r>
                </m:sub>
              </m:sSub>
            </m:sub>
            <m:sup>
              <m:sSub>
                <m:sSubPr>
                  <m:ctrlPr>
                    <w:rPr>
                      <w:rFonts w:ascii="Cambria Math" w:eastAsiaTheme="minorEastAsia" w:hAnsi="Cambria Math" w:cs="Arial"/>
                      <w:i/>
                      <w:szCs w:val="24"/>
                    </w:rPr>
                  </m:ctrlPr>
                </m:sSubPr>
                <m:e>
                  <m:r>
                    <w:rPr>
                      <w:rFonts w:ascii="Cambria Math" w:eastAsiaTheme="minorEastAsia" w:hAnsi="Cambria Math" w:cs="Arial"/>
                      <w:szCs w:val="24"/>
                    </w:rPr>
                    <m:t>t</m:t>
                  </m:r>
                </m:e>
                <m:sub>
                  <m:r>
                    <w:rPr>
                      <w:rFonts w:ascii="Cambria Math" w:eastAsiaTheme="minorEastAsia" w:hAnsi="Cambria Math" w:cs="Arial"/>
                      <w:szCs w:val="24"/>
                    </w:rPr>
                    <m:t>2</m:t>
                  </m:r>
                </m:sub>
              </m:sSub>
            </m:sup>
            <m:e>
              <m:sSub>
                <m:sSubPr>
                  <m:ctrlPr>
                    <w:rPr>
                      <w:rFonts w:ascii="Cambria Math" w:eastAsiaTheme="minorEastAsia" w:hAnsi="Cambria Math" w:cs="Arial"/>
                      <w:i/>
                      <w:szCs w:val="24"/>
                    </w:rPr>
                  </m:ctrlPr>
                </m:sSubPr>
                <m:e>
                  <m:r>
                    <w:rPr>
                      <w:rFonts w:ascii="Cambria Math" w:eastAsiaTheme="minorEastAsia" w:hAnsi="Cambria Math" w:cs="Arial"/>
                      <w:szCs w:val="24"/>
                    </w:rPr>
                    <m:t>AR</m:t>
                  </m:r>
                </m:e>
                <m:sub>
                  <m:r>
                    <w:rPr>
                      <w:rFonts w:ascii="Cambria Math" w:eastAsiaTheme="minorEastAsia" w:hAnsi="Cambria Math" w:cs="Arial"/>
                      <w:szCs w:val="24"/>
                    </w:rPr>
                    <m:t>t</m:t>
                  </m:r>
                </m:sub>
              </m:sSub>
              <m:r>
                <w:rPr>
                  <w:rFonts w:ascii="Cambria Math" w:eastAsiaTheme="minorEastAsia" w:hAnsi="Cambria Math" w:cs="Arial"/>
                  <w:szCs w:val="24"/>
                </w:rPr>
                <m:t xml:space="preserve"> </m:t>
              </m:r>
            </m:e>
          </m:nary>
          <m:r>
            <w:rPr>
              <w:rFonts w:ascii="Cambria Math" w:eastAsiaTheme="minorEastAsia" w:hAnsi="Cambria Math" w:cs="Arial"/>
              <w:szCs w:val="24"/>
            </w:rPr>
            <m:t xml:space="preserve">            Equação 3</m:t>
          </m:r>
        </m:oMath>
      </m:oMathPara>
    </w:p>
    <w:p w14:paraId="68F3B58E" w14:textId="2B921213" w:rsidR="002055AA" w:rsidRPr="00635ABF" w:rsidRDefault="002055AA" w:rsidP="00FE6BB8">
      <w:pPr>
        <w:spacing w:afterLines="0" w:after="0" w:line="240" w:lineRule="auto"/>
        <w:rPr>
          <w:rFonts w:cs="Arial"/>
          <w:szCs w:val="24"/>
        </w:rPr>
      </w:pPr>
      <w:r w:rsidRPr="00635ABF">
        <w:rPr>
          <w:rFonts w:cs="Arial"/>
          <w:szCs w:val="24"/>
        </w:rPr>
        <w:t>Onde:</w:t>
      </w:r>
    </w:p>
    <w:p w14:paraId="4184DD29" w14:textId="0F2F064E" w:rsidR="008B67DA" w:rsidRPr="00635ABF" w:rsidRDefault="008B67DA" w:rsidP="00FE6BB8">
      <w:pPr>
        <w:spacing w:afterLines="0" w:after="0" w:line="240" w:lineRule="auto"/>
        <w:rPr>
          <w:rFonts w:cs="Arial"/>
          <w:szCs w:val="24"/>
        </w:rPr>
      </w:pPr>
      <w:r w:rsidRPr="00635ABF">
        <w:rPr>
          <w:rFonts w:cs="Arial"/>
          <w:szCs w:val="24"/>
        </w:rPr>
        <w:lastRenderedPageBreak/>
        <w:t>CARt</w:t>
      </w:r>
      <w:r w:rsidRPr="00635ABF">
        <w:rPr>
          <w:rFonts w:cs="Arial"/>
          <w:szCs w:val="24"/>
          <w:vertAlign w:val="subscript"/>
        </w:rPr>
        <w:t>1</w:t>
      </w:r>
      <w:r w:rsidRPr="00635ABF">
        <w:rPr>
          <w:rFonts w:cs="Arial"/>
          <w:szCs w:val="24"/>
        </w:rPr>
        <w:t>, t</w:t>
      </w:r>
      <w:r w:rsidRPr="00635ABF">
        <w:rPr>
          <w:rFonts w:cs="Arial"/>
          <w:szCs w:val="24"/>
          <w:vertAlign w:val="subscript"/>
        </w:rPr>
        <w:t>2</w:t>
      </w:r>
      <w:r w:rsidRPr="00635ABF">
        <w:rPr>
          <w:rFonts w:cs="Arial"/>
          <w:szCs w:val="24"/>
        </w:rPr>
        <w:t xml:space="preserve"> é o retorno anormal cumulativo do Ibovespa entre os dias t</w:t>
      </w:r>
      <w:r w:rsidRPr="00635ABF">
        <w:rPr>
          <w:rFonts w:cs="Arial"/>
          <w:szCs w:val="24"/>
          <w:vertAlign w:val="subscript"/>
        </w:rPr>
        <w:t>1</w:t>
      </w:r>
      <w:r w:rsidRPr="00635ABF">
        <w:rPr>
          <w:rFonts w:cs="Arial"/>
          <w:szCs w:val="24"/>
        </w:rPr>
        <w:t xml:space="preserve"> e t</w:t>
      </w:r>
      <w:r w:rsidRPr="00635ABF">
        <w:rPr>
          <w:rFonts w:cs="Arial"/>
          <w:szCs w:val="24"/>
          <w:vertAlign w:val="subscript"/>
        </w:rPr>
        <w:t>2</w:t>
      </w:r>
      <w:r w:rsidRPr="00635ABF">
        <w:rPr>
          <w:rFonts w:cs="Arial"/>
          <w:szCs w:val="24"/>
        </w:rPr>
        <w:t>;</w:t>
      </w:r>
    </w:p>
    <w:p w14:paraId="05A4D631" w14:textId="7A99A95B" w:rsidR="008B67DA" w:rsidRPr="00635ABF" w:rsidRDefault="008B67DA" w:rsidP="00FE6BB8">
      <w:pPr>
        <w:spacing w:afterLines="0" w:after="0" w:line="240" w:lineRule="auto"/>
        <w:rPr>
          <w:rFonts w:cs="Arial"/>
          <w:szCs w:val="24"/>
        </w:rPr>
      </w:pPr>
      <w:proofErr w:type="spellStart"/>
      <w:r w:rsidRPr="00635ABF">
        <w:rPr>
          <w:rFonts w:cs="Arial"/>
          <w:szCs w:val="24"/>
        </w:rPr>
        <w:t>AR</w:t>
      </w:r>
      <w:r w:rsidRPr="00635ABF">
        <w:rPr>
          <w:rFonts w:cs="Arial"/>
          <w:szCs w:val="24"/>
          <w:vertAlign w:val="subscript"/>
        </w:rPr>
        <w:t>t</w:t>
      </w:r>
      <w:proofErr w:type="spellEnd"/>
      <w:r w:rsidRPr="00635ABF">
        <w:rPr>
          <w:rFonts w:cs="Arial"/>
          <w:szCs w:val="24"/>
        </w:rPr>
        <w:t xml:space="preserve"> é o retorno anormal do Ibovespa no dia t.</w:t>
      </w:r>
    </w:p>
    <w:p w14:paraId="1DCC3062" w14:textId="77777777" w:rsidR="00446BC3" w:rsidRPr="00635ABF" w:rsidRDefault="00446BC3" w:rsidP="00FE6BB8">
      <w:pPr>
        <w:spacing w:afterLines="0" w:after="0" w:line="240" w:lineRule="auto"/>
        <w:rPr>
          <w:rFonts w:cs="Arial"/>
          <w:szCs w:val="24"/>
        </w:rPr>
      </w:pPr>
    </w:p>
    <w:p w14:paraId="447D2B50" w14:textId="2B815C23" w:rsidR="008A5D04" w:rsidRPr="00635ABF" w:rsidRDefault="008B67DA" w:rsidP="00FE6BB8">
      <w:pPr>
        <w:spacing w:afterLines="0" w:after="0" w:line="240" w:lineRule="auto"/>
        <w:rPr>
          <w:rFonts w:cs="Arial"/>
          <w:szCs w:val="24"/>
        </w:rPr>
      </w:pPr>
      <w:r w:rsidRPr="00635ABF">
        <w:rPr>
          <w:rFonts w:cs="Arial"/>
          <w:szCs w:val="24"/>
        </w:rPr>
        <w:t>Em seguido foi realizado o c</w:t>
      </w:r>
      <w:r w:rsidR="008A5D04" w:rsidRPr="00635ABF">
        <w:rPr>
          <w:rFonts w:cs="Arial"/>
          <w:szCs w:val="24"/>
        </w:rPr>
        <w:t>álculo dos retornos anormais médios cumulativos</w:t>
      </w:r>
      <w:r w:rsidRPr="00635ABF">
        <w:rPr>
          <w:rFonts w:cs="Arial"/>
          <w:szCs w:val="24"/>
        </w:rPr>
        <w:t>, seguindo a Equação 4</w:t>
      </w:r>
      <w:r w:rsidR="008A5D04" w:rsidRPr="00635ABF">
        <w:rPr>
          <w:rFonts w:cs="Arial"/>
          <w:szCs w:val="24"/>
        </w:rPr>
        <w:t>:</w:t>
      </w:r>
    </w:p>
    <w:p w14:paraId="05569DB6" w14:textId="1989006C" w:rsidR="00542EED" w:rsidRPr="00635ABF" w:rsidRDefault="00542EED" w:rsidP="00FE6BB8">
      <w:pPr>
        <w:spacing w:afterLines="0" w:after="0" w:line="240" w:lineRule="auto"/>
        <w:rPr>
          <w:rFonts w:cs="Arial"/>
          <w:szCs w:val="24"/>
        </w:rPr>
      </w:pPr>
    </w:p>
    <w:p w14:paraId="37E1E8DB" w14:textId="0EF4021C" w:rsidR="00165A7C" w:rsidRPr="00635ABF" w:rsidRDefault="00000000" w:rsidP="00FE6BB8">
      <w:pPr>
        <w:spacing w:afterLines="0" w:after="0" w:line="240" w:lineRule="auto"/>
        <w:rPr>
          <w:rFonts w:cs="Arial"/>
          <w:szCs w:val="24"/>
        </w:rPr>
      </w:pPr>
      <m:oMathPara>
        <m:oMath>
          <m:sSub>
            <m:sSubPr>
              <m:ctrlPr>
                <w:rPr>
                  <w:rFonts w:ascii="Cambria Math" w:hAnsi="Cambria Math" w:cs="Arial"/>
                  <w:szCs w:val="24"/>
                </w:rPr>
              </m:ctrlPr>
            </m:sSubPr>
            <m:e>
              <m:acc>
                <m:accPr>
                  <m:chr m:val="̅"/>
                  <m:ctrlPr>
                    <w:rPr>
                      <w:rFonts w:ascii="Cambria Math" w:hAnsi="Cambria Math" w:cs="Arial"/>
                      <w:szCs w:val="24"/>
                    </w:rPr>
                  </m:ctrlPr>
                </m:accPr>
                <m:e>
                  <m:r>
                    <w:rPr>
                      <w:rFonts w:ascii="Cambria Math" w:hAnsi="Cambria Math" w:cs="Arial"/>
                      <w:szCs w:val="24"/>
                    </w:rPr>
                    <m:t>CAR</m:t>
                  </m:r>
                </m:e>
              </m:acc>
            </m:e>
            <m:sub>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1</m:t>
                  </m:r>
                </m:sub>
              </m:sSub>
              <m:r>
                <m:rPr>
                  <m:sty m:val="p"/>
                </m:rPr>
                <w:rPr>
                  <w:rFonts w:ascii="Cambria Math" w:hAnsi="Cambria Math" w:cs="Arial"/>
                  <w:szCs w:val="24"/>
                </w:rPr>
                <m:t xml:space="preserve">,  </m:t>
              </m:r>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2</m:t>
                  </m:r>
                </m:sub>
              </m:sSub>
              <m:r>
                <m:rPr>
                  <m:sty m:val="p"/>
                </m:rPr>
                <w:rPr>
                  <w:rFonts w:ascii="Cambria Math" w:hAnsi="Cambria Math" w:cs="Arial"/>
                  <w:szCs w:val="24"/>
                </w:rPr>
                <m:t xml:space="preserve"> </m:t>
              </m:r>
            </m:sub>
          </m:sSub>
          <m:r>
            <m:rPr>
              <m:sty m:val="p"/>
            </m:rPr>
            <w:rPr>
              <w:rFonts w:ascii="Cambria Math" w:hAnsi="Cambria Math" w:cs="Arial"/>
              <w:szCs w:val="24"/>
            </w:rPr>
            <m:t>=</m:t>
          </m:r>
          <m:f>
            <m:fPr>
              <m:ctrlPr>
                <w:rPr>
                  <w:rFonts w:ascii="Cambria Math" w:hAnsi="Cambria Math" w:cs="Arial"/>
                  <w:szCs w:val="24"/>
                </w:rPr>
              </m:ctrlPr>
            </m:fPr>
            <m:num>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AR</m:t>
                      </m:r>
                    </m:e>
                    <m:sub>
                      <m:r>
                        <w:rPr>
                          <w:rFonts w:ascii="Cambria Math" w:hAnsi="Cambria Math" w:cs="Arial"/>
                          <w:szCs w:val="24"/>
                        </w:rPr>
                        <m:t>t</m:t>
                      </m:r>
                    </m:sub>
                  </m:sSub>
                </m:e>
              </m:nary>
              <m:ctrlPr>
                <w:rPr>
                  <w:rFonts w:ascii="Cambria Math" w:hAnsi="Cambria Math" w:cs="Arial"/>
                  <w:i/>
                  <w:szCs w:val="24"/>
                </w:rPr>
              </m:ctrlPr>
            </m:num>
            <m:den>
              <m:sSub>
                <m:sSubPr>
                  <m:ctrlPr>
                    <w:rPr>
                      <w:rFonts w:ascii="Cambria Math" w:hAnsi="Cambria Math" w:cs="Arial"/>
                      <w:szCs w:val="24"/>
                    </w:rPr>
                  </m:ctrlPr>
                </m:sSubPr>
                <m:e>
                  <m:r>
                    <w:rPr>
                      <w:rFonts w:ascii="Cambria Math" w:hAnsi="Cambria Math" w:cs="Arial"/>
                      <w:szCs w:val="24"/>
                    </w:rPr>
                    <m:t>N</m:t>
                  </m:r>
                </m:e>
                <m:sub>
                  <m:r>
                    <w:rPr>
                      <w:rFonts w:ascii="Cambria Math" w:hAnsi="Cambria Math" w:cs="Arial"/>
                      <w:szCs w:val="24"/>
                    </w:rPr>
                    <m:t>t</m:t>
                  </m:r>
                </m:sub>
              </m:sSub>
            </m:den>
          </m:f>
          <m:r>
            <w:rPr>
              <w:rFonts w:ascii="Cambria Math" w:hAnsi="Cambria Math" w:cs="Arial"/>
              <w:szCs w:val="24"/>
            </w:rPr>
            <m:t xml:space="preserve">              Equação 4</m:t>
          </m:r>
        </m:oMath>
      </m:oMathPara>
    </w:p>
    <w:p w14:paraId="7213243E" w14:textId="7FE2263A" w:rsidR="00165A7C" w:rsidRPr="00635ABF" w:rsidRDefault="00165A7C" w:rsidP="00FE6BB8">
      <w:pPr>
        <w:spacing w:afterLines="0" w:after="0" w:line="240" w:lineRule="auto"/>
        <w:rPr>
          <w:rFonts w:cs="Arial"/>
          <w:szCs w:val="24"/>
        </w:rPr>
      </w:pPr>
      <w:r w:rsidRPr="00635ABF">
        <w:rPr>
          <w:rFonts w:cs="Arial"/>
          <w:szCs w:val="24"/>
        </w:rPr>
        <w:t>Onde:</w:t>
      </w:r>
    </w:p>
    <w:p w14:paraId="6FC13D45" w14:textId="77777777" w:rsidR="008B67DA" w:rsidRPr="00635ABF" w:rsidRDefault="008B67DA" w:rsidP="00FE6BB8">
      <w:pPr>
        <w:spacing w:afterLines="0" w:after="0" w:line="240" w:lineRule="auto"/>
        <w:rPr>
          <w:rFonts w:cs="Arial"/>
          <w:szCs w:val="24"/>
        </w:rPr>
      </w:pPr>
    </w:p>
    <w:p w14:paraId="3C33E1D5" w14:textId="160EFC92" w:rsidR="008B67DA" w:rsidRPr="00635ABF" w:rsidRDefault="00000000" w:rsidP="00FE6BB8">
      <w:pPr>
        <w:spacing w:afterLines="0" w:after="0" w:line="240" w:lineRule="auto"/>
        <w:rPr>
          <w:rFonts w:cs="Arial"/>
          <w:szCs w:val="24"/>
        </w:rPr>
      </w:pPr>
      <m:oMath>
        <m:sSub>
          <m:sSubPr>
            <m:ctrlPr>
              <w:rPr>
                <w:rFonts w:ascii="Cambria Math" w:hAnsi="Cambria Math" w:cs="Arial"/>
                <w:szCs w:val="24"/>
              </w:rPr>
            </m:ctrlPr>
          </m:sSubPr>
          <m:e>
            <m:acc>
              <m:accPr>
                <m:chr m:val="̅"/>
                <m:ctrlPr>
                  <w:rPr>
                    <w:rFonts w:ascii="Cambria Math" w:hAnsi="Cambria Math" w:cs="Arial"/>
                    <w:szCs w:val="24"/>
                  </w:rPr>
                </m:ctrlPr>
              </m:accPr>
              <m:e>
                <m:r>
                  <w:rPr>
                    <w:rFonts w:ascii="Cambria Math" w:hAnsi="Cambria Math" w:cs="Arial"/>
                    <w:szCs w:val="24"/>
                  </w:rPr>
                  <m:t>CAR</m:t>
                </m:r>
              </m:e>
            </m:acc>
          </m:e>
          <m:sub>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1</m:t>
                </m:r>
              </m:sub>
            </m:sSub>
            <m:r>
              <m:rPr>
                <m:sty m:val="p"/>
              </m:rP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2</m:t>
                </m:r>
              </m:sub>
            </m:sSub>
          </m:sub>
        </m:sSub>
      </m:oMath>
      <w:r w:rsidR="008B67DA" w:rsidRPr="00635ABF">
        <w:rPr>
          <w:rFonts w:eastAsiaTheme="minorEastAsia" w:cs="Arial"/>
          <w:szCs w:val="24"/>
        </w:rPr>
        <w:t xml:space="preserve"> é o retorno anormal médio cumulativo do Ibovespa entre os dias t</w:t>
      </w:r>
      <w:r w:rsidR="008B67DA" w:rsidRPr="00635ABF">
        <w:rPr>
          <w:rFonts w:eastAsiaTheme="minorEastAsia" w:cs="Arial"/>
          <w:szCs w:val="24"/>
          <w:vertAlign w:val="subscript"/>
        </w:rPr>
        <w:t>1</w:t>
      </w:r>
      <w:r w:rsidR="008B67DA" w:rsidRPr="00635ABF">
        <w:rPr>
          <w:rFonts w:eastAsiaTheme="minorEastAsia" w:cs="Arial"/>
          <w:szCs w:val="24"/>
        </w:rPr>
        <w:t xml:space="preserve"> e t</w:t>
      </w:r>
      <w:r w:rsidR="008B67DA" w:rsidRPr="00635ABF">
        <w:rPr>
          <w:rFonts w:eastAsiaTheme="minorEastAsia" w:cs="Arial"/>
          <w:szCs w:val="24"/>
          <w:vertAlign w:val="subscript"/>
        </w:rPr>
        <w:t>2</w:t>
      </w:r>
      <w:r w:rsidR="008B67DA" w:rsidRPr="00635ABF">
        <w:rPr>
          <w:rFonts w:eastAsiaTheme="minorEastAsia" w:cs="Arial"/>
          <w:szCs w:val="24"/>
        </w:rPr>
        <w:t>;</w:t>
      </w:r>
    </w:p>
    <w:p w14:paraId="00D2A3C0" w14:textId="73224990" w:rsidR="008B67DA" w:rsidRPr="00635ABF" w:rsidRDefault="008B67DA" w:rsidP="008B67DA">
      <w:pPr>
        <w:spacing w:afterLines="0" w:after="0" w:line="240" w:lineRule="auto"/>
        <w:rPr>
          <w:rFonts w:cs="Arial"/>
          <w:szCs w:val="24"/>
        </w:rPr>
      </w:pPr>
      <w:proofErr w:type="spellStart"/>
      <w:r w:rsidRPr="00635ABF">
        <w:rPr>
          <w:rFonts w:cs="Arial"/>
          <w:szCs w:val="24"/>
        </w:rPr>
        <w:t>AR</w:t>
      </w:r>
      <w:r w:rsidRPr="00635ABF">
        <w:rPr>
          <w:rFonts w:cs="Arial"/>
          <w:szCs w:val="24"/>
          <w:vertAlign w:val="subscript"/>
        </w:rPr>
        <w:t>t</w:t>
      </w:r>
      <w:proofErr w:type="spellEnd"/>
      <w:r w:rsidRPr="00635ABF">
        <w:rPr>
          <w:rFonts w:cs="Arial"/>
          <w:szCs w:val="24"/>
        </w:rPr>
        <w:t xml:space="preserve"> é o retorno anormal do Ibovespa no dia t;</w:t>
      </w:r>
    </w:p>
    <w:p w14:paraId="21E16E7E" w14:textId="0ACD7F2E" w:rsidR="00165A7C" w:rsidRPr="00635ABF" w:rsidRDefault="008B67DA" w:rsidP="00FE6BB8">
      <w:pPr>
        <w:spacing w:afterLines="0" w:after="0" w:line="240" w:lineRule="auto"/>
        <w:rPr>
          <w:rFonts w:cs="Arial"/>
          <w:szCs w:val="24"/>
        </w:rPr>
      </w:pPr>
      <w:proofErr w:type="spellStart"/>
      <w:r w:rsidRPr="00635ABF">
        <w:rPr>
          <w:rFonts w:cs="Arial"/>
          <w:szCs w:val="24"/>
        </w:rPr>
        <w:t>N</w:t>
      </w:r>
      <w:r w:rsidRPr="00635ABF">
        <w:rPr>
          <w:rFonts w:cs="Arial"/>
          <w:szCs w:val="24"/>
          <w:vertAlign w:val="subscript"/>
        </w:rPr>
        <w:t>t</w:t>
      </w:r>
      <w:proofErr w:type="spellEnd"/>
      <w:r w:rsidRPr="00635ABF">
        <w:rPr>
          <w:rFonts w:cs="Arial"/>
          <w:szCs w:val="24"/>
        </w:rPr>
        <w:t xml:space="preserve"> é o número de eventos.</w:t>
      </w:r>
    </w:p>
    <w:p w14:paraId="4C5F77CD" w14:textId="77777777" w:rsidR="008B67DA" w:rsidRPr="00635ABF" w:rsidRDefault="008B67DA" w:rsidP="00FE6BB8">
      <w:pPr>
        <w:spacing w:afterLines="0" w:after="0" w:line="240" w:lineRule="auto"/>
        <w:rPr>
          <w:rFonts w:cs="Arial"/>
          <w:szCs w:val="24"/>
        </w:rPr>
      </w:pPr>
    </w:p>
    <w:p w14:paraId="3A35796F" w14:textId="4F09C4E7" w:rsidR="00655B6E" w:rsidRPr="00635ABF" w:rsidRDefault="008B67DA" w:rsidP="00FE6BB8">
      <w:pPr>
        <w:spacing w:afterLines="0" w:after="0" w:line="240" w:lineRule="auto"/>
        <w:rPr>
          <w:rFonts w:cs="Arial"/>
          <w:szCs w:val="24"/>
        </w:rPr>
      </w:pPr>
      <w:r w:rsidRPr="00635ABF">
        <w:rPr>
          <w:rFonts w:cs="Arial"/>
          <w:szCs w:val="24"/>
        </w:rPr>
        <w:t>A partir</w:t>
      </w:r>
      <w:r w:rsidR="008A5D04" w:rsidRPr="00635ABF">
        <w:rPr>
          <w:rFonts w:cs="Arial"/>
          <w:szCs w:val="24"/>
        </w:rPr>
        <w:t xml:space="preserve"> </w:t>
      </w:r>
      <w:r w:rsidRPr="00635ABF">
        <w:rPr>
          <w:rFonts w:cs="Arial"/>
          <w:szCs w:val="24"/>
        </w:rPr>
        <w:t>d</w:t>
      </w:r>
      <w:r w:rsidR="008A5D04" w:rsidRPr="00635ABF">
        <w:rPr>
          <w:rFonts w:cs="Arial"/>
          <w:szCs w:val="24"/>
        </w:rPr>
        <w:t>o cálculo do</w:t>
      </w:r>
      <w:r w:rsidRPr="00635ABF">
        <w:rPr>
          <w:rFonts w:cs="Arial"/>
          <w:szCs w:val="24"/>
        </w:rPr>
        <w:t>s</w:t>
      </w:r>
      <w:r w:rsidR="008A5D04" w:rsidRPr="00635ABF">
        <w:rPr>
          <w:rFonts w:cs="Arial"/>
          <w:szCs w:val="24"/>
        </w:rPr>
        <w:t xml:space="preserve"> </w:t>
      </w:r>
      <w:r w:rsidRPr="00635ABF">
        <w:rPr>
          <w:rFonts w:cs="Arial"/>
          <w:szCs w:val="24"/>
        </w:rPr>
        <w:t>retornos anormais cumulativos do Ibovespa</w:t>
      </w:r>
      <w:r w:rsidR="008A5D04" w:rsidRPr="00635ABF">
        <w:rPr>
          <w:rFonts w:cs="Arial"/>
          <w:szCs w:val="24"/>
        </w:rPr>
        <w:t xml:space="preserve">, </w:t>
      </w:r>
      <w:r w:rsidRPr="00635ABF">
        <w:rPr>
          <w:rFonts w:cs="Arial"/>
          <w:szCs w:val="24"/>
        </w:rPr>
        <w:t xml:space="preserve">foram testadas as seguintes hipóteses: </w:t>
      </w:r>
    </w:p>
    <w:p w14:paraId="05DE9542" w14:textId="77777777" w:rsidR="008B67DA" w:rsidRPr="00635ABF" w:rsidRDefault="008B67DA" w:rsidP="00FE6BB8">
      <w:pPr>
        <w:spacing w:afterLines="0" w:after="0" w:line="240" w:lineRule="auto"/>
        <w:rPr>
          <w:rFonts w:cs="Arial"/>
          <w:szCs w:val="24"/>
        </w:rPr>
      </w:pPr>
    </w:p>
    <w:p w14:paraId="67A94A00" w14:textId="5F91682D" w:rsidR="008B67DA" w:rsidRPr="00635ABF" w:rsidRDefault="008B67DA" w:rsidP="00FE6BB8">
      <w:pPr>
        <w:spacing w:afterLines="0" w:after="0" w:line="240" w:lineRule="auto"/>
        <w:rPr>
          <w:rFonts w:cs="Arial"/>
          <w:szCs w:val="24"/>
        </w:rPr>
      </w:pPr>
      <w:r w:rsidRPr="00635ABF">
        <w:rPr>
          <w:rFonts w:cs="Arial"/>
          <w:szCs w:val="24"/>
        </w:rPr>
        <w:t>H</w:t>
      </w:r>
      <w:r w:rsidRPr="00635ABF">
        <w:rPr>
          <w:rFonts w:cs="Arial"/>
          <w:szCs w:val="24"/>
          <w:vertAlign w:val="subscript"/>
        </w:rPr>
        <w:t>0</w:t>
      </w:r>
      <w:r w:rsidRPr="00635ABF">
        <w:rPr>
          <w:rFonts w:cs="Arial"/>
          <w:szCs w:val="24"/>
        </w:rPr>
        <w:t xml:space="preserve"> – Não é possível constatar a presença de retornos anormais cumulativos;</w:t>
      </w:r>
    </w:p>
    <w:p w14:paraId="55B4B799" w14:textId="08227810" w:rsidR="008B67DA" w:rsidRPr="00635ABF" w:rsidRDefault="008B67DA" w:rsidP="00FE6BB8">
      <w:pPr>
        <w:spacing w:afterLines="0" w:after="0" w:line="240" w:lineRule="auto"/>
        <w:rPr>
          <w:rFonts w:cs="Arial"/>
          <w:szCs w:val="24"/>
        </w:rPr>
      </w:pPr>
      <w:r w:rsidRPr="00635ABF">
        <w:rPr>
          <w:rFonts w:cs="Arial"/>
          <w:szCs w:val="24"/>
        </w:rPr>
        <w:t>H</w:t>
      </w:r>
      <w:r w:rsidRPr="00635ABF">
        <w:rPr>
          <w:rFonts w:cs="Arial"/>
          <w:szCs w:val="24"/>
          <w:vertAlign w:val="subscript"/>
        </w:rPr>
        <w:t>1</w:t>
      </w:r>
      <w:r w:rsidRPr="00635ABF">
        <w:rPr>
          <w:rFonts w:cs="Arial"/>
          <w:szCs w:val="24"/>
        </w:rPr>
        <w:t xml:space="preserve"> – É possível constatar a presença de retornos anormais cumulativos.</w:t>
      </w:r>
    </w:p>
    <w:p w14:paraId="0C67E4BF" w14:textId="77777777" w:rsidR="008B67DA" w:rsidRPr="00635ABF" w:rsidRDefault="008B67DA" w:rsidP="00FE6BB8">
      <w:pPr>
        <w:spacing w:afterLines="0" w:after="0" w:line="240" w:lineRule="auto"/>
        <w:rPr>
          <w:rFonts w:cs="Arial"/>
          <w:szCs w:val="24"/>
        </w:rPr>
      </w:pPr>
    </w:p>
    <w:p w14:paraId="28653C68" w14:textId="1BE0DF68" w:rsidR="008B67DA" w:rsidRPr="00635ABF" w:rsidRDefault="008B67DA" w:rsidP="00FE6BB8">
      <w:pPr>
        <w:spacing w:afterLines="0" w:after="0" w:line="240" w:lineRule="auto"/>
        <w:rPr>
          <w:rFonts w:cs="Arial"/>
          <w:szCs w:val="24"/>
        </w:rPr>
      </w:pPr>
      <w:r w:rsidRPr="00635ABF">
        <w:rPr>
          <w:rFonts w:cs="Arial"/>
          <w:szCs w:val="24"/>
        </w:rPr>
        <w:t>As hipóteses foram testadas com base na estatística t dada pela Equação 5:</w:t>
      </w:r>
    </w:p>
    <w:p w14:paraId="0F7B47FE" w14:textId="77777777" w:rsidR="008B67DA" w:rsidRPr="00635ABF" w:rsidRDefault="008B67DA" w:rsidP="00FE6BB8">
      <w:pPr>
        <w:spacing w:afterLines="0" w:after="0" w:line="240" w:lineRule="auto"/>
        <w:rPr>
          <w:rFonts w:cs="Arial"/>
          <w:szCs w:val="24"/>
        </w:rPr>
      </w:pPr>
    </w:p>
    <w:p w14:paraId="4B3A21A7" w14:textId="0CD8AA10" w:rsidR="00655B6E" w:rsidRPr="00635ABF" w:rsidRDefault="00655B6E" w:rsidP="008B67DA">
      <w:pPr>
        <w:spacing w:afterLines="0" w:after="0" w:line="240" w:lineRule="auto"/>
        <w:jc w:val="center"/>
        <w:rPr>
          <w:rFonts w:cs="Arial"/>
          <w:szCs w:val="24"/>
        </w:rPr>
      </w:pPr>
      <m:oMath>
        <m:r>
          <w:rPr>
            <w:rFonts w:ascii="Cambria Math" w:hAnsi="Cambria Math" w:cs="Arial"/>
            <w:sz w:val="32"/>
            <w:szCs w:val="32"/>
          </w:rPr>
          <m:t>t</m:t>
        </m:r>
        <m:r>
          <m:rPr>
            <m:sty m:val="p"/>
          </m:rPr>
          <w:rPr>
            <w:rFonts w:ascii="Cambria Math" w:hAnsi="Cambria Math" w:cs="Arial"/>
            <w:sz w:val="32"/>
            <w:szCs w:val="32"/>
          </w:rPr>
          <m:t xml:space="preserve">= </m:t>
        </m:r>
        <m:f>
          <m:fPr>
            <m:ctrlPr>
              <w:rPr>
                <w:rFonts w:ascii="Cambria Math" w:hAnsi="Cambria Math" w:cs="Arial"/>
                <w:sz w:val="32"/>
                <w:szCs w:val="32"/>
              </w:rPr>
            </m:ctrlPr>
          </m:fPr>
          <m:num>
            <m:sSub>
              <m:sSubPr>
                <m:ctrlPr>
                  <w:rPr>
                    <w:rFonts w:ascii="Cambria Math" w:hAnsi="Cambria Math" w:cs="Arial"/>
                    <w:sz w:val="32"/>
                    <w:szCs w:val="32"/>
                  </w:rPr>
                </m:ctrlPr>
              </m:sSubPr>
              <m:e>
                <m:acc>
                  <m:accPr>
                    <m:chr m:val="̅"/>
                    <m:ctrlPr>
                      <w:rPr>
                        <w:rFonts w:ascii="Cambria Math" w:hAnsi="Cambria Math" w:cs="Arial"/>
                        <w:sz w:val="32"/>
                        <w:szCs w:val="32"/>
                      </w:rPr>
                    </m:ctrlPr>
                  </m:accPr>
                  <m:e>
                    <m:r>
                      <w:rPr>
                        <w:rFonts w:ascii="Cambria Math" w:hAnsi="Cambria Math" w:cs="Arial"/>
                        <w:sz w:val="32"/>
                        <w:szCs w:val="32"/>
                      </w:rPr>
                      <m:t>CAR</m:t>
                    </m:r>
                  </m:e>
                </m:acc>
              </m:e>
              <m:sub>
                <m:sSub>
                  <m:sSubPr>
                    <m:ctrlPr>
                      <w:rPr>
                        <w:rFonts w:ascii="Cambria Math" w:hAnsi="Cambria Math" w:cs="Arial"/>
                        <w:sz w:val="32"/>
                        <w:szCs w:val="32"/>
                      </w:rPr>
                    </m:ctrlPr>
                  </m:sSubPr>
                  <m:e>
                    <m:r>
                      <w:rPr>
                        <w:rFonts w:ascii="Cambria Math" w:hAnsi="Cambria Math" w:cs="Arial"/>
                        <w:sz w:val="32"/>
                        <w:szCs w:val="32"/>
                      </w:rPr>
                      <m:t>t</m:t>
                    </m:r>
                  </m:e>
                  <m:sub>
                    <m:r>
                      <m:rPr>
                        <m:sty m:val="p"/>
                      </m:rPr>
                      <w:rPr>
                        <w:rFonts w:ascii="Cambria Math" w:hAnsi="Cambria Math" w:cs="Arial"/>
                        <w:sz w:val="32"/>
                        <w:szCs w:val="32"/>
                      </w:rPr>
                      <m:t>1</m:t>
                    </m:r>
                  </m:sub>
                </m:sSub>
                <m:r>
                  <m:rPr>
                    <m:sty m:val="p"/>
                  </m:rPr>
                  <w:rPr>
                    <w:rFonts w:ascii="Cambria Math" w:hAnsi="Cambria Math" w:cs="Arial"/>
                    <w:sz w:val="32"/>
                    <w:szCs w:val="32"/>
                  </w:rPr>
                  <m:t>,</m:t>
                </m:r>
                <m:sSub>
                  <m:sSubPr>
                    <m:ctrlPr>
                      <w:rPr>
                        <w:rFonts w:ascii="Cambria Math" w:hAnsi="Cambria Math" w:cs="Arial"/>
                        <w:sz w:val="32"/>
                        <w:szCs w:val="32"/>
                      </w:rPr>
                    </m:ctrlPr>
                  </m:sSubPr>
                  <m:e>
                    <m:r>
                      <w:rPr>
                        <w:rFonts w:ascii="Cambria Math" w:hAnsi="Cambria Math" w:cs="Arial"/>
                        <w:sz w:val="32"/>
                        <w:szCs w:val="32"/>
                      </w:rPr>
                      <m:t>t</m:t>
                    </m:r>
                  </m:e>
                  <m:sub>
                    <m:r>
                      <m:rPr>
                        <m:sty m:val="p"/>
                      </m:rPr>
                      <w:rPr>
                        <w:rFonts w:ascii="Cambria Math" w:hAnsi="Cambria Math" w:cs="Arial"/>
                        <w:sz w:val="32"/>
                        <w:szCs w:val="32"/>
                      </w:rPr>
                      <m:t>2</m:t>
                    </m:r>
                  </m:sub>
                </m:sSub>
              </m:sub>
            </m:sSub>
          </m:num>
          <m:den>
            <m:f>
              <m:fPr>
                <m:type m:val="skw"/>
                <m:ctrlPr>
                  <w:rPr>
                    <w:rFonts w:ascii="Cambria Math" w:hAnsi="Cambria Math" w:cs="Arial"/>
                    <w:sz w:val="32"/>
                    <w:szCs w:val="32"/>
                  </w:rPr>
                </m:ctrlPr>
              </m:fPr>
              <m:num>
                <m:sSub>
                  <m:sSubPr>
                    <m:ctrlPr>
                      <w:rPr>
                        <w:rFonts w:ascii="Cambria Math" w:hAnsi="Cambria Math" w:cs="Arial"/>
                        <w:sz w:val="32"/>
                        <w:szCs w:val="32"/>
                      </w:rPr>
                    </m:ctrlPr>
                  </m:sSubPr>
                  <m:e>
                    <m:r>
                      <w:rPr>
                        <w:rFonts w:ascii="Cambria Math" w:hAnsi="Cambria Math" w:cs="Arial"/>
                        <w:sz w:val="32"/>
                        <w:szCs w:val="32"/>
                      </w:rPr>
                      <m:t>σ</m:t>
                    </m:r>
                  </m:e>
                  <m:sub>
                    <m:sSub>
                      <m:sSubPr>
                        <m:ctrlPr>
                          <w:rPr>
                            <w:rFonts w:ascii="Cambria Math" w:hAnsi="Cambria Math" w:cs="Arial"/>
                            <w:sz w:val="32"/>
                            <w:szCs w:val="32"/>
                          </w:rPr>
                        </m:ctrlPr>
                      </m:sSubPr>
                      <m:e>
                        <m:r>
                          <w:rPr>
                            <w:rFonts w:ascii="Cambria Math" w:hAnsi="Cambria Math" w:cs="Arial"/>
                            <w:sz w:val="32"/>
                            <w:szCs w:val="32"/>
                          </w:rPr>
                          <m:t>CAR</m:t>
                        </m:r>
                      </m:e>
                      <m:sub>
                        <m:sSub>
                          <m:sSubPr>
                            <m:ctrlPr>
                              <w:rPr>
                                <w:rFonts w:ascii="Cambria Math" w:hAnsi="Cambria Math" w:cs="Arial"/>
                                <w:sz w:val="32"/>
                                <w:szCs w:val="32"/>
                              </w:rPr>
                            </m:ctrlPr>
                          </m:sSubPr>
                          <m:e>
                            <m:r>
                              <w:rPr>
                                <w:rFonts w:ascii="Cambria Math" w:hAnsi="Cambria Math" w:cs="Arial"/>
                                <w:sz w:val="32"/>
                                <w:szCs w:val="32"/>
                              </w:rPr>
                              <m:t>t</m:t>
                            </m:r>
                          </m:e>
                          <m:sub>
                            <m:r>
                              <m:rPr>
                                <m:sty m:val="p"/>
                              </m:rPr>
                              <w:rPr>
                                <w:rFonts w:ascii="Cambria Math" w:hAnsi="Cambria Math" w:cs="Arial"/>
                                <w:sz w:val="32"/>
                                <w:szCs w:val="32"/>
                              </w:rPr>
                              <m:t>1</m:t>
                            </m:r>
                          </m:sub>
                        </m:sSub>
                        <m:r>
                          <m:rPr>
                            <m:sty m:val="p"/>
                          </m:rPr>
                          <w:rPr>
                            <w:rFonts w:ascii="Cambria Math" w:hAnsi="Cambria Math" w:cs="Arial"/>
                            <w:sz w:val="32"/>
                            <w:szCs w:val="32"/>
                          </w:rPr>
                          <m:t>,</m:t>
                        </m:r>
                        <m:sSub>
                          <m:sSubPr>
                            <m:ctrlPr>
                              <w:rPr>
                                <w:rFonts w:ascii="Cambria Math" w:hAnsi="Cambria Math" w:cs="Arial"/>
                                <w:sz w:val="32"/>
                                <w:szCs w:val="32"/>
                              </w:rPr>
                            </m:ctrlPr>
                          </m:sSubPr>
                          <m:e>
                            <m:r>
                              <w:rPr>
                                <w:rFonts w:ascii="Cambria Math" w:hAnsi="Cambria Math" w:cs="Arial"/>
                                <w:sz w:val="32"/>
                                <w:szCs w:val="32"/>
                              </w:rPr>
                              <m:t>t</m:t>
                            </m:r>
                          </m:e>
                          <m:sub>
                            <m:r>
                              <m:rPr>
                                <m:sty m:val="p"/>
                              </m:rPr>
                              <w:rPr>
                                <w:rFonts w:ascii="Cambria Math" w:hAnsi="Cambria Math" w:cs="Arial"/>
                                <w:sz w:val="32"/>
                                <w:szCs w:val="32"/>
                              </w:rPr>
                              <m:t>2</m:t>
                            </m:r>
                          </m:sub>
                        </m:sSub>
                      </m:sub>
                    </m:sSub>
                  </m:sub>
                </m:sSub>
              </m:num>
              <m:den>
                <m:rad>
                  <m:radPr>
                    <m:degHide m:val="1"/>
                    <m:ctrlPr>
                      <w:rPr>
                        <w:rFonts w:ascii="Cambria Math" w:hAnsi="Cambria Math" w:cs="Arial"/>
                        <w:sz w:val="32"/>
                        <w:szCs w:val="32"/>
                      </w:rPr>
                    </m:ctrlPr>
                  </m:radPr>
                  <m:deg/>
                  <m:e>
                    <m:r>
                      <w:rPr>
                        <w:rFonts w:ascii="Cambria Math" w:hAnsi="Cambria Math" w:cs="Arial"/>
                        <w:sz w:val="32"/>
                        <w:szCs w:val="32"/>
                      </w:rPr>
                      <m:t>n</m:t>
                    </m:r>
                  </m:e>
                </m:rad>
              </m:den>
            </m:f>
          </m:den>
        </m:f>
      </m:oMath>
      <w:r w:rsidR="008B67DA" w:rsidRPr="00635ABF">
        <w:rPr>
          <w:rFonts w:eastAsiaTheme="minorEastAsia" w:cs="Arial"/>
          <w:szCs w:val="24"/>
        </w:rPr>
        <w:t xml:space="preserve">          Equação 5</w:t>
      </w:r>
    </w:p>
    <w:p w14:paraId="05F321AB" w14:textId="77777777" w:rsidR="008B67DA" w:rsidRPr="00635ABF" w:rsidRDefault="008B67DA" w:rsidP="00FE6BB8">
      <w:pPr>
        <w:spacing w:afterLines="0" w:after="0" w:line="240" w:lineRule="auto"/>
        <w:rPr>
          <w:rFonts w:cs="Arial"/>
          <w:szCs w:val="24"/>
        </w:rPr>
      </w:pPr>
    </w:p>
    <w:p w14:paraId="001EC69E" w14:textId="7536BB83" w:rsidR="008B67DA" w:rsidRPr="00635ABF" w:rsidRDefault="008B67DA" w:rsidP="00FE6BB8">
      <w:pPr>
        <w:spacing w:afterLines="0" w:after="0" w:line="240" w:lineRule="auto"/>
        <w:rPr>
          <w:rFonts w:cs="Arial"/>
          <w:szCs w:val="24"/>
        </w:rPr>
      </w:pPr>
      <w:r w:rsidRPr="00635ABF">
        <w:rPr>
          <w:rFonts w:cs="Arial"/>
          <w:szCs w:val="24"/>
        </w:rPr>
        <w:t>Onde:</w:t>
      </w:r>
    </w:p>
    <w:p w14:paraId="41F698E0" w14:textId="10389186" w:rsidR="008B67DA" w:rsidRPr="00635ABF" w:rsidRDefault="008B67DA" w:rsidP="00FE6BB8">
      <w:pPr>
        <w:spacing w:afterLines="0" w:after="0" w:line="240" w:lineRule="auto"/>
        <w:rPr>
          <w:rFonts w:cs="Arial"/>
          <w:szCs w:val="24"/>
        </w:rPr>
      </w:pPr>
      <w:r w:rsidRPr="00635ABF">
        <w:rPr>
          <w:rFonts w:cs="Arial"/>
          <w:szCs w:val="24"/>
        </w:rPr>
        <w:t>t é a estatística do teste (parâmetro);</w:t>
      </w:r>
    </w:p>
    <w:p w14:paraId="54B0CF39" w14:textId="77777777" w:rsidR="008B67DA" w:rsidRPr="00635ABF" w:rsidRDefault="00000000" w:rsidP="008B67DA">
      <w:pPr>
        <w:spacing w:afterLines="0" w:after="0" w:line="240" w:lineRule="auto"/>
        <w:rPr>
          <w:rFonts w:cs="Arial"/>
          <w:szCs w:val="24"/>
        </w:rPr>
      </w:pPr>
      <m:oMath>
        <m:sSub>
          <m:sSubPr>
            <m:ctrlPr>
              <w:rPr>
                <w:rFonts w:ascii="Cambria Math" w:hAnsi="Cambria Math" w:cs="Arial"/>
                <w:szCs w:val="24"/>
              </w:rPr>
            </m:ctrlPr>
          </m:sSubPr>
          <m:e>
            <m:acc>
              <m:accPr>
                <m:chr m:val="̅"/>
                <m:ctrlPr>
                  <w:rPr>
                    <w:rFonts w:ascii="Cambria Math" w:hAnsi="Cambria Math" w:cs="Arial"/>
                    <w:szCs w:val="24"/>
                  </w:rPr>
                </m:ctrlPr>
              </m:accPr>
              <m:e>
                <m:r>
                  <w:rPr>
                    <w:rFonts w:ascii="Cambria Math" w:hAnsi="Cambria Math" w:cs="Arial"/>
                    <w:szCs w:val="24"/>
                  </w:rPr>
                  <m:t>CAR</m:t>
                </m:r>
              </m:e>
            </m:acc>
          </m:e>
          <m:sub>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1</m:t>
                </m:r>
              </m:sub>
            </m:sSub>
            <m:r>
              <m:rPr>
                <m:sty m:val="p"/>
              </m:rP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t</m:t>
                </m:r>
              </m:e>
              <m:sub>
                <m:r>
                  <m:rPr>
                    <m:sty m:val="p"/>
                  </m:rPr>
                  <w:rPr>
                    <w:rFonts w:ascii="Cambria Math" w:hAnsi="Cambria Math" w:cs="Arial"/>
                    <w:szCs w:val="24"/>
                  </w:rPr>
                  <m:t>2</m:t>
                </m:r>
              </m:sub>
            </m:sSub>
          </m:sub>
        </m:sSub>
      </m:oMath>
      <w:r w:rsidR="008B67DA" w:rsidRPr="00635ABF">
        <w:rPr>
          <w:rFonts w:eastAsiaTheme="minorEastAsia" w:cs="Arial"/>
          <w:szCs w:val="24"/>
        </w:rPr>
        <w:t xml:space="preserve"> é o retorno anormal médio cumulativo do Ibovespa entre os dias t</w:t>
      </w:r>
      <w:r w:rsidR="008B67DA" w:rsidRPr="00635ABF">
        <w:rPr>
          <w:rFonts w:eastAsiaTheme="minorEastAsia" w:cs="Arial"/>
          <w:szCs w:val="24"/>
          <w:vertAlign w:val="subscript"/>
        </w:rPr>
        <w:t>1</w:t>
      </w:r>
      <w:r w:rsidR="008B67DA" w:rsidRPr="00635ABF">
        <w:rPr>
          <w:rFonts w:eastAsiaTheme="minorEastAsia" w:cs="Arial"/>
          <w:szCs w:val="24"/>
        </w:rPr>
        <w:t xml:space="preserve"> e t</w:t>
      </w:r>
      <w:r w:rsidR="008B67DA" w:rsidRPr="00635ABF">
        <w:rPr>
          <w:rFonts w:eastAsiaTheme="minorEastAsia" w:cs="Arial"/>
          <w:szCs w:val="24"/>
          <w:vertAlign w:val="subscript"/>
        </w:rPr>
        <w:t>2</w:t>
      </w:r>
      <w:r w:rsidR="008B67DA" w:rsidRPr="00635ABF">
        <w:rPr>
          <w:rFonts w:eastAsiaTheme="minorEastAsia" w:cs="Arial"/>
          <w:szCs w:val="24"/>
        </w:rPr>
        <w:t>;</w:t>
      </w:r>
    </w:p>
    <w:p w14:paraId="1AEE1ECC" w14:textId="205315CC" w:rsidR="008B67DA" w:rsidRPr="00635ABF" w:rsidRDefault="008B67DA" w:rsidP="008B67DA">
      <w:pPr>
        <w:spacing w:afterLines="0" w:after="0" w:line="240" w:lineRule="auto"/>
        <w:rPr>
          <w:rFonts w:cs="Arial"/>
          <w:szCs w:val="24"/>
        </w:rPr>
      </w:pPr>
      <w:r w:rsidRPr="00635ABF">
        <w:rPr>
          <w:rFonts w:cs="Arial"/>
          <w:sz w:val="32"/>
          <w:szCs w:val="32"/>
        </w:rPr>
        <w:t>σ</w:t>
      </w:r>
      <w:r w:rsidRPr="00635ABF">
        <w:rPr>
          <w:rFonts w:cs="Arial"/>
          <w:szCs w:val="24"/>
        </w:rPr>
        <w:t>CARt</w:t>
      </w:r>
      <w:r w:rsidRPr="00635ABF">
        <w:rPr>
          <w:rFonts w:cs="Arial"/>
          <w:szCs w:val="24"/>
          <w:vertAlign w:val="subscript"/>
        </w:rPr>
        <w:t>1</w:t>
      </w:r>
      <w:r w:rsidRPr="00635ABF">
        <w:rPr>
          <w:rFonts w:cs="Arial"/>
          <w:szCs w:val="24"/>
        </w:rPr>
        <w:t>, t</w:t>
      </w:r>
      <w:r w:rsidRPr="00635ABF">
        <w:rPr>
          <w:rFonts w:cs="Arial"/>
          <w:szCs w:val="24"/>
          <w:vertAlign w:val="subscript"/>
        </w:rPr>
        <w:t>2</w:t>
      </w:r>
      <w:r w:rsidRPr="00635ABF">
        <w:rPr>
          <w:rFonts w:cs="Arial"/>
          <w:szCs w:val="24"/>
        </w:rPr>
        <w:t xml:space="preserve"> é o desvio-padrão dos retornos anormais cumulativos do Ibovespa;</w:t>
      </w:r>
    </w:p>
    <w:p w14:paraId="4A6B27EE" w14:textId="66E6550A" w:rsidR="008B67DA" w:rsidRPr="00635ABF" w:rsidRDefault="008B67DA" w:rsidP="008B67DA">
      <w:pPr>
        <w:spacing w:afterLines="0" w:after="0" w:line="240" w:lineRule="auto"/>
        <w:rPr>
          <w:rFonts w:cs="Arial"/>
          <w:szCs w:val="24"/>
        </w:rPr>
      </w:pPr>
      <w:r w:rsidRPr="00635ABF">
        <w:rPr>
          <w:rFonts w:cs="Arial"/>
          <w:szCs w:val="24"/>
        </w:rPr>
        <w:t>n é o número de retornos considerados.</w:t>
      </w:r>
    </w:p>
    <w:p w14:paraId="01AF5661" w14:textId="77777777" w:rsidR="008B67DA" w:rsidRPr="00635ABF" w:rsidRDefault="008B67DA" w:rsidP="00FE6BB8">
      <w:pPr>
        <w:spacing w:afterLines="0" w:after="0" w:line="240" w:lineRule="auto"/>
        <w:rPr>
          <w:rFonts w:cs="Arial"/>
          <w:szCs w:val="24"/>
        </w:rPr>
      </w:pPr>
    </w:p>
    <w:p w14:paraId="42712EF9" w14:textId="77777777" w:rsidR="008B67DA" w:rsidRPr="00635ABF" w:rsidRDefault="008B67DA" w:rsidP="008B67DA">
      <w:pPr>
        <w:spacing w:afterLines="0" w:after="0" w:line="240" w:lineRule="auto"/>
        <w:rPr>
          <w:rFonts w:cs="Arial"/>
          <w:b/>
          <w:bCs/>
          <w:szCs w:val="24"/>
        </w:rPr>
      </w:pPr>
    </w:p>
    <w:p w14:paraId="5A00DC84" w14:textId="6E18A4A5" w:rsidR="008B67DA" w:rsidRPr="00635ABF" w:rsidRDefault="008B67DA" w:rsidP="008B67DA">
      <w:pPr>
        <w:spacing w:afterLines="0" w:after="0" w:line="240" w:lineRule="auto"/>
        <w:rPr>
          <w:rFonts w:cs="Arial"/>
          <w:b/>
          <w:bCs/>
          <w:szCs w:val="24"/>
        </w:rPr>
      </w:pPr>
      <w:r w:rsidRPr="00635ABF">
        <w:rPr>
          <w:rFonts w:cs="Arial"/>
          <w:b/>
          <w:bCs/>
          <w:szCs w:val="24"/>
        </w:rPr>
        <w:t>Análise dos Resultados</w:t>
      </w:r>
    </w:p>
    <w:p w14:paraId="34B68B0A" w14:textId="77777777" w:rsidR="008B67DA" w:rsidRPr="00635ABF" w:rsidRDefault="008B67DA" w:rsidP="00FE6BB8">
      <w:pPr>
        <w:spacing w:afterLines="0" w:after="0" w:line="240" w:lineRule="auto"/>
        <w:rPr>
          <w:rFonts w:cs="Arial"/>
          <w:szCs w:val="24"/>
        </w:rPr>
      </w:pPr>
    </w:p>
    <w:p w14:paraId="47172375" w14:textId="37E704F9" w:rsidR="008A5D04" w:rsidRPr="00635ABF" w:rsidRDefault="008A5D04" w:rsidP="00FE6BB8">
      <w:pPr>
        <w:spacing w:afterLines="0" w:after="0" w:line="240" w:lineRule="auto"/>
        <w:rPr>
          <w:rFonts w:cs="Arial"/>
          <w:szCs w:val="24"/>
        </w:rPr>
      </w:pPr>
      <w:r w:rsidRPr="00635ABF">
        <w:rPr>
          <w:rFonts w:cs="Arial"/>
          <w:szCs w:val="24"/>
        </w:rPr>
        <w:t>Para verificar o impacto prévio e posterior do Ibovespa com as alterações da meta da Taxa Selic, foram calculados os retornos anormais médios cumulativos para as janelas de eventos:</w:t>
      </w:r>
    </w:p>
    <w:p w14:paraId="5DB8245B" w14:textId="21638623" w:rsidR="008A5D04" w:rsidRPr="00635ABF" w:rsidRDefault="008A5D04" w:rsidP="00FE6BB8">
      <w:pPr>
        <w:spacing w:afterLines="0" w:after="0" w:line="240" w:lineRule="auto"/>
        <w:rPr>
          <w:rFonts w:cs="Arial"/>
          <w:szCs w:val="24"/>
        </w:rPr>
      </w:pPr>
      <w:r w:rsidRPr="00635ABF">
        <w:rPr>
          <w:rFonts w:cs="Arial"/>
          <w:szCs w:val="24"/>
        </w:rPr>
        <w:t>Impacto prévio: (-5;0),</w:t>
      </w:r>
      <w:r w:rsidR="00E14569" w:rsidRPr="00635ABF">
        <w:rPr>
          <w:rFonts w:cs="Arial"/>
          <w:szCs w:val="24"/>
        </w:rPr>
        <w:t xml:space="preserve"> </w:t>
      </w:r>
      <w:r w:rsidRPr="00635ABF">
        <w:rPr>
          <w:rFonts w:cs="Arial"/>
          <w:szCs w:val="24"/>
        </w:rPr>
        <w:t>(-4;0), (-3;0), (-2;0), (-1;0) e (0;0)</w:t>
      </w:r>
    </w:p>
    <w:p w14:paraId="7C57A3A0" w14:textId="12815BE9" w:rsidR="008A5D04" w:rsidRPr="00635ABF" w:rsidRDefault="008A5D04" w:rsidP="00FE6BB8">
      <w:pPr>
        <w:spacing w:afterLines="0" w:after="0" w:line="240" w:lineRule="auto"/>
        <w:rPr>
          <w:rFonts w:cs="Arial"/>
          <w:szCs w:val="24"/>
        </w:rPr>
      </w:pPr>
      <w:r w:rsidRPr="00635ABF">
        <w:rPr>
          <w:rFonts w:cs="Arial"/>
          <w:szCs w:val="24"/>
        </w:rPr>
        <w:t>Impacto posterior: (+1;+1), (+2;+2), (+2;+3), (+2;+4) e (+2;+5).</w:t>
      </w:r>
    </w:p>
    <w:p w14:paraId="492D38E5" w14:textId="499EC088" w:rsidR="008A5D04" w:rsidRPr="00635ABF" w:rsidRDefault="008A5D04" w:rsidP="00FE6BB8">
      <w:pPr>
        <w:spacing w:afterLines="0" w:after="0" w:line="240" w:lineRule="auto"/>
        <w:rPr>
          <w:rFonts w:cs="Arial"/>
          <w:szCs w:val="24"/>
        </w:rPr>
      </w:pPr>
      <w:r w:rsidRPr="00635ABF">
        <w:rPr>
          <w:rFonts w:cs="Arial"/>
          <w:szCs w:val="24"/>
        </w:rPr>
        <w:t xml:space="preserve">Pelo fato das reuniões do Copom serem realizadas em dois dias e a divulgação da nova meta da Taxa Selic ser divulgada somente ao final do segundo dia, momento em que o mercado acionário está fechado, considerou-se o dia +1 como sendo o primeiro dia em que o mercado opera após a divulgação da mudança da meta da Taxa Selic. </w:t>
      </w:r>
    </w:p>
    <w:p w14:paraId="66EC8820" w14:textId="3393C43F" w:rsidR="008A5D04" w:rsidRPr="00635ABF" w:rsidRDefault="008A5D04" w:rsidP="00FE6BB8">
      <w:pPr>
        <w:spacing w:afterLines="0" w:after="0" w:line="240" w:lineRule="auto"/>
        <w:rPr>
          <w:rFonts w:cs="Arial"/>
          <w:szCs w:val="24"/>
        </w:rPr>
      </w:pPr>
      <w:r w:rsidRPr="00635ABF">
        <w:rPr>
          <w:rFonts w:cs="Arial"/>
          <w:szCs w:val="24"/>
        </w:rPr>
        <w:t xml:space="preserve">Apesar do dia zero pertencer à data do evento, o mercado atua neste dia sem a informação da nova meta da taxa, portanto todo retorno anormal neste dia refere-se ao impacto prévio. Considerando a teoria de eficiência de mercado, espera-se que no primeiro dia de operação após o anúncio do Copom o mercado reaja mais </w:t>
      </w:r>
      <w:r w:rsidRPr="00635ABF">
        <w:rPr>
          <w:rFonts w:cs="Arial"/>
          <w:szCs w:val="24"/>
        </w:rPr>
        <w:lastRenderedPageBreak/>
        <w:t xml:space="preserve">intensivamente, </w:t>
      </w:r>
      <w:r w:rsidR="00FB4076" w:rsidRPr="00635ABF">
        <w:rPr>
          <w:rFonts w:cs="Arial"/>
          <w:szCs w:val="24"/>
        </w:rPr>
        <w:t>sendo, portanto,</w:t>
      </w:r>
      <w:r w:rsidRPr="00635ABF">
        <w:rPr>
          <w:rFonts w:cs="Arial"/>
          <w:szCs w:val="24"/>
        </w:rPr>
        <w:t xml:space="preserve"> utilizado uma janela específica para a análise dos retornos anormais deste dia.</w:t>
      </w:r>
    </w:p>
    <w:p w14:paraId="74299830" w14:textId="33CF5513" w:rsidR="00597079" w:rsidRPr="00635ABF" w:rsidRDefault="008A5D04" w:rsidP="00FE6BB8">
      <w:pPr>
        <w:spacing w:afterLines="0" w:after="0" w:line="240" w:lineRule="auto"/>
        <w:rPr>
          <w:rFonts w:cs="Arial"/>
          <w:szCs w:val="24"/>
        </w:rPr>
      </w:pPr>
      <w:r w:rsidRPr="00635ABF">
        <w:rPr>
          <w:rFonts w:cs="Arial"/>
          <w:szCs w:val="24"/>
        </w:rPr>
        <w:t>Além da divisão e</w:t>
      </w:r>
      <w:r w:rsidR="00F86CD0" w:rsidRPr="00635ABF">
        <w:rPr>
          <w:rFonts w:cs="Arial"/>
          <w:szCs w:val="24"/>
        </w:rPr>
        <w:t>m</w:t>
      </w:r>
      <w:r w:rsidRPr="00635ABF">
        <w:rPr>
          <w:rFonts w:cs="Arial"/>
          <w:szCs w:val="24"/>
        </w:rPr>
        <w:t xml:space="preserve"> dois grupos de eventos, o estudo discriminou o período de análise com o objetivo de verificar retornos anormais acumulados em períodos de economia estável e em período de crise. Foram considerados o</w:t>
      </w:r>
      <w:r w:rsidR="00F86CD0" w:rsidRPr="00635ABF">
        <w:rPr>
          <w:rFonts w:cs="Arial"/>
          <w:szCs w:val="24"/>
        </w:rPr>
        <w:t>s</w:t>
      </w:r>
      <w:r w:rsidRPr="00635ABF">
        <w:rPr>
          <w:rFonts w:cs="Arial"/>
          <w:szCs w:val="24"/>
        </w:rPr>
        <w:t xml:space="preserve"> período</w:t>
      </w:r>
      <w:r w:rsidR="00F86CD0" w:rsidRPr="00635ABF">
        <w:rPr>
          <w:rFonts w:cs="Arial"/>
          <w:szCs w:val="24"/>
        </w:rPr>
        <w:t>s</w:t>
      </w:r>
      <w:r w:rsidRPr="00635ABF">
        <w:rPr>
          <w:rFonts w:cs="Arial"/>
          <w:szCs w:val="24"/>
        </w:rPr>
        <w:t xml:space="preserve"> de j</w:t>
      </w:r>
      <w:r w:rsidR="00A13EEC" w:rsidRPr="00635ABF">
        <w:rPr>
          <w:rFonts w:cs="Arial"/>
          <w:szCs w:val="24"/>
        </w:rPr>
        <w:t>aneiro</w:t>
      </w:r>
      <w:r w:rsidRPr="00635ABF">
        <w:rPr>
          <w:rFonts w:cs="Arial"/>
          <w:szCs w:val="24"/>
        </w:rPr>
        <w:t xml:space="preserve"> de 20</w:t>
      </w:r>
      <w:r w:rsidR="00A13EEC" w:rsidRPr="00635ABF">
        <w:rPr>
          <w:rFonts w:cs="Arial"/>
          <w:szCs w:val="24"/>
        </w:rPr>
        <w:t>15</w:t>
      </w:r>
      <w:r w:rsidRPr="00635ABF">
        <w:rPr>
          <w:rFonts w:cs="Arial"/>
          <w:szCs w:val="24"/>
        </w:rPr>
        <w:t xml:space="preserve"> até </w:t>
      </w:r>
      <w:r w:rsidR="00A13EEC" w:rsidRPr="00635ABF">
        <w:rPr>
          <w:rFonts w:cs="Arial"/>
          <w:szCs w:val="24"/>
        </w:rPr>
        <w:t>dezembro</w:t>
      </w:r>
      <w:r w:rsidRPr="00635ABF">
        <w:rPr>
          <w:rFonts w:cs="Arial"/>
          <w:szCs w:val="24"/>
        </w:rPr>
        <w:t xml:space="preserve"> de 201</w:t>
      </w:r>
      <w:r w:rsidR="00A13EEC" w:rsidRPr="00635ABF">
        <w:rPr>
          <w:rFonts w:cs="Arial"/>
          <w:szCs w:val="24"/>
        </w:rPr>
        <w:t xml:space="preserve">6 e de março 2020 </w:t>
      </w:r>
      <w:r w:rsidR="00E5220A" w:rsidRPr="00635ABF">
        <w:rPr>
          <w:rFonts w:cs="Arial"/>
          <w:szCs w:val="24"/>
        </w:rPr>
        <w:t>a</w:t>
      </w:r>
      <w:r w:rsidR="00FD029D" w:rsidRPr="00635ABF">
        <w:rPr>
          <w:rFonts w:cs="Arial"/>
          <w:szCs w:val="24"/>
        </w:rPr>
        <w:t xml:space="preserve"> junho de 2022</w:t>
      </w:r>
      <w:r w:rsidR="00E5220A" w:rsidRPr="00635ABF">
        <w:rPr>
          <w:rFonts w:cs="Arial"/>
          <w:szCs w:val="24"/>
        </w:rPr>
        <w:t xml:space="preserve"> </w:t>
      </w:r>
      <w:r w:rsidRPr="00635ABF">
        <w:rPr>
          <w:rFonts w:cs="Arial"/>
          <w:szCs w:val="24"/>
        </w:rPr>
        <w:t xml:space="preserve">como período de crise. O número de eventos em cada grupo amostral ficou definido conforme </w:t>
      </w:r>
      <w:r w:rsidR="008B67DA" w:rsidRPr="00635ABF">
        <w:rPr>
          <w:rFonts w:cs="Arial"/>
          <w:szCs w:val="24"/>
        </w:rPr>
        <w:t>mostra a T</w:t>
      </w:r>
      <w:r w:rsidRPr="00635ABF">
        <w:rPr>
          <w:rFonts w:cs="Arial"/>
          <w:szCs w:val="24"/>
        </w:rPr>
        <w:t xml:space="preserve">abela </w:t>
      </w:r>
      <w:r w:rsidR="008B67DA" w:rsidRPr="00635ABF">
        <w:rPr>
          <w:rFonts w:cs="Arial"/>
          <w:szCs w:val="24"/>
        </w:rPr>
        <w:t>1.</w:t>
      </w:r>
    </w:p>
    <w:p w14:paraId="02443993" w14:textId="77777777" w:rsidR="008B67DA" w:rsidRPr="00635ABF" w:rsidRDefault="008B67DA" w:rsidP="00FE6BB8">
      <w:pPr>
        <w:spacing w:afterLines="0" w:after="0" w:line="240" w:lineRule="auto"/>
        <w:rPr>
          <w:rFonts w:cs="Arial"/>
          <w:szCs w:val="24"/>
        </w:rPr>
      </w:pPr>
    </w:p>
    <w:p w14:paraId="342EB86D" w14:textId="6AE4CDAD" w:rsidR="008B67DA" w:rsidRPr="00635ABF" w:rsidRDefault="008B67DA" w:rsidP="008B67DA">
      <w:pPr>
        <w:spacing w:afterLines="0" w:after="0" w:line="240" w:lineRule="auto"/>
        <w:ind w:firstLine="0"/>
        <w:jc w:val="center"/>
        <w:rPr>
          <w:rFonts w:cs="Arial"/>
          <w:szCs w:val="24"/>
        </w:rPr>
      </w:pPr>
      <w:r w:rsidRPr="00635ABF">
        <w:rPr>
          <w:rFonts w:cs="Arial"/>
          <w:szCs w:val="24"/>
        </w:rPr>
        <w:t>Tabela 1 – Número de eventos em cada grupo amostral</w:t>
      </w:r>
    </w:p>
    <w:p w14:paraId="07754E61" w14:textId="77777777" w:rsidR="00C0097D" w:rsidRPr="00635ABF" w:rsidRDefault="00C0097D" w:rsidP="00FE6BB8">
      <w:pPr>
        <w:spacing w:afterLines="0" w:after="0" w:line="240" w:lineRule="auto"/>
        <w:rPr>
          <w:rFonts w:cs="Arial"/>
          <w:szCs w:val="24"/>
        </w:rPr>
      </w:pPr>
    </w:p>
    <w:tbl>
      <w:tblPr>
        <w:tblW w:w="9136" w:type="dxa"/>
        <w:tblInd w:w="75" w:type="dxa"/>
        <w:tblCellMar>
          <w:left w:w="70" w:type="dxa"/>
          <w:right w:w="70" w:type="dxa"/>
        </w:tblCellMar>
        <w:tblLook w:val="04A0" w:firstRow="1" w:lastRow="0" w:firstColumn="1" w:lastColumn="0" w:noHBand="0" w:noVBand="1"/>
      </w:tblPr>
      <w:tblGrid>
        <w:gridCol w:w="1796"/>
        <w:gridCol w:w="4248"/>
        <w:gridCol w:w="1559"/>
        <w:gridCol w:w="1533"/>
      </w:tblGrid>
      <w:tr w:rsidR="00C20064" w:rsidRPr="00635ABF" w14:paraId="18CB8A8B" w14:textId="77777777" w:rsidTr="008B67DA">
        <w:trPr>
          <w:trHeight w:val="397"/>
        </w:trPr>
        <w:tc>
          <w:tcPr>
            <w:tcW w:w="1796" w:type="dxa"/>
            <w:vMerge w:val="restart"/>
            <w:tcBorders>
              <w:top w:val="single" w:sz="12" w:space="0" w:color="auto"/>
              <w:bottom w:val="single" w:sz="12" w:space="0" w:color="auto"/>
            </w:tcBorders>
            <w:shd w:val="clear" w:color="000000" w:fill="FFFFFF"/>
            <w:vAlign w:val="center"/>
          </w:tcPr>
          <w:p w14:paraId="120D4E39" w14:textId="2918D42B" w:rsidR="00C20064" w:rsidRPr="00635ABF" w:rsidRDefault="009F41FB" w:rsidP="008B67DA">
            <w:pPr>
              <w:spacing w:afterLines="0" w:after="0" w:line="240" w:lineRule="auto"/>
              <w:ind w:firstLine="0"/>
              <w:jc w:val="center"/>
              <w:rPr>
                <w:rFonts w:cs="Arial"/>
                <w:sz w:val="20"/>
                <w:szCs w:val="20"/>
              </w:rPr>
            </w:pPr>
            <w:r w:rsidRPr="00635ABF">
              <w:rPr>
                <w:rFonts w:cs="Arial"/>
                <w:sz w:val="20"/>
                <w:szCs w:val="20"/>
              </w:rPr>
              <w:t xml:space="preserve">Período de </w:t>
            </w:r>
            <w:r w:rsidR="008B67DA" w:rsidRPr="00635ABF">
              <w:rPr>
                <w:rFonts w:cs="Arial"/>
                <w:sz w:val="20"/>
                <w:szCs w:val="20"/>
              </w:rPr>
              <w:t>C</w:t>
            </w:r>
            <w:r w:rsidRPr="00635ABF">
              <w:rPr>
                <w:rFonts w:cs="Arial"/>
                <w:sz w:val="20"/>
                <w:szCs w:val="20"/>
              </w:rPr>
              <w:t>rise</w:t>
            </w:r>
          </w:p>
        </w:tc>
        <w:tc>
          <w:tcPr>
            <w:tcW w:w="4248" w:type="dxa"/>
            <w:vMerge w:val="restart"/>
            <w:tcBorders>
              <w:top w:val="single" w:sz="12" w:space="0" w:color="auto"/>
              <w:left w:val="nil"/>
              <w:bottom w:val="single" w:sz="12" w:space="0" w:color="auto"/>
            </w:tcBorders>
            <w:shd w:val="clear" w:color="000000" w:fill="FFFFFF"/>
            <w:noWrap/>
            <w:vAlign w:val="center"/>
            <w:hideMark/>
          </w:tcPr>
          <w:p w14:paraId="3CCC00DB" w14:textId="2E636882"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 xml:space="preserve">Período de </w:t>
            </w:r>
            <w:r w:rsidR="008B67DA" w:rsidRPr="00635ABF">
              <w:rPr>
                <w:rFonts w:cs="Arial"/>
                <w:sz w:val="20"/>
                <w:szCs w:val="20"/>
              </w:rPr>
              <w:t>A</w:t>
            </w:r>
            <w:r w:rsidRPr="00635ABF">
              <w:rPr>
                <w:rFonts w:cs="Arial"/>
                <w:sz w:val="20"/>
                <w:szCs w:val="20"/>
              </w:rPr>
              <w:t>nálise</w:t>
            </w:r>
          </w:p>
        </w:tc>
        <w:tc>
          <w:tcPr>
            <w:tcW w:w="3092" w:type="dxa"/>
            <w:gridSpan w:val="2"/>
            <w:tcBorders>
              <w:top w:val="single" w:sz="12" w:space="0" w:color="auto"/>
              <w:left w:val="nil"/>
              <w:bottom w:val="single" w:sz="4" w:space="0" w:color="auto"/>
            </w:tcBorders>
            <w:shd w:val="clear" w:color="000000" w:fill="FFFFFF"/>
            <w:noWrap/>
            <w:vAlign w:val="center"/>
            <w:hideMark/>
          </w:tcPr>
          <w:p w14:paraId="7949A1A7" w14:textId="3EABE396"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 xml:space="preserve">Variação na </w:t>
            </w:r>
            <w:r w:rsidR="008B67DA" w:rsidRPr="00635ABF">
              <w:rPr>
                <w:rFonts w:cs="Arial"/>
                <w:sz w:val="20"/>
                <w:szCs w:val="20"/>
              </w:rPr>
              <w:t>T</w:t>
            </w:r>
            <w:r w:rsidRPr="00635ABF">
              <w:rPr>
                <w:rFonts w:cs="Arial"/>
                <w:sz w:val="20"/>
                <w:szCs w:val="20"/>
              </w:rPr>
              <w:t>axa Selic</w:t>
            </w:r>
          </w:p>
        </w:tc>
      </w:tr>
      <w:tr w:rsidR="00C20064" w:rsidRPr="00635ABF" w14:paraId="61D49098" w14:textId="77777777" w:rsidTr="008B67DA">
        <w:trPr>
          <w:trHeight w:val="397"/>
        </w:trPr>
        <w:tc>
          <w:tcPr>
            <w:tcW w:w="1796" w:type="dxa"/>
            <w:vMerge/>
            <w:tcBorders>
              <w:top w:val="single" w:sz="4" w:space="0" w:color="auto"/>
              <w:bottom w:val="single" w:sz="12" w:space="0" w:color="auto"/>
            </w:tcBorders>
            <w:vAlign w:val="center"/>
          </w:tcPr>
          <w:p w14:paraId="49EAE20A" w14:textId="77777777" w:rsidR="00C20064" w:rsidRPr="00635ABF" w:rsidRDefault="00C20064" w:rsidP="008B67DA">
            <w:pPr>
              <w:spacing w:afterLines="0" w:after="0" w:line="240" w:lineRule="auto"/>
              <w:ind w:firstLine="0"/>
              <w:jc w:val="center"/>
              <w:rPr>
                <w:rFonts w:cs="Arial"/>
                <w:sz w:val="20"/>
                <w:szCs w:val="20"/>
              </w:rPr>
            </w:pPr>
          </w:p>
        </w:tc>
        <w:tc>
          <w:tcPr>
            <w:tcW w:w="4248" w:type="dxa"/>
            <w:vMerge/>
            <w:tcBorders>
              <w:top w:val="single" w:sz="4" w:space="0" w:color="auto"/>
              <w:left w:val="nil"/>
              <w:bottom w:val="single" w:sz="12" w:space="0" w:color="auto"/>
            </w:tcBorders>
            <w:vAlign w:val="center"/>
            <w:hideMark/>
          </w:tcPr>
          <w:p w14:paraId="538EA82C" w14:textId="237E9370" w:rsidR="00C20064" w:rsidRPr="00635ABF" w:rsidRDefault="00C20064" w:rsidP="008B67DA">
            <w:pPr>
              <w:spacing w:afterLines="0" w:after="0" w:line="240" w:lineRule="auto"/>
              <w:ind w:firstLine="0"/>
              <w:jc w:val="center"/>
              <w:rPr>
                <w:rFonts w:cs="Arial"/>
                <w:sz w:val="20"/>
                <w:szCs w:val="20"/>
              </w:rPr>
            </w:pPr>
          </w:p>
        </w:tc>
        <w:tc>
          <w:tcPr>
            <w:tcW w:w="1559" w:type="dxa"/>
            <w:tcBorders>
              <w:top w:val="single" w:sz="4" w:space="0" w:color="auto"/>
              <w:left w:val="nil"/>
              <w:bottom w:val="single" w:sz="12" w:space="0" w:color="auto"/>
            </w:tcBorders>
            <w:shd w:val="clear" w:color="000000" w:fill="FFFFFF"/>
            <w:noWrap/>
            <w:vAlign w:val="center"/>
            <w:hideMark/>
          </w:tcPr>
          <w:p w14:paraId="22D68A3C"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Positiva</w:t>
            </w:r>
          </w:p>
        </w:tc>
        <w:tc>
          <w:tcPr>
            <w:tcW w:w="1533" w:type="dxa"/>
            <w:tcBorders>
              <w:top w:val="single" w:sz="4" w:space="0" w:color="auto"/>
              <w:left w:val="nil"/>
              <w:bottom w:val="single" w:sz="12" w:space="0" w:color="auto"/>
            </w:tcBorders>
            <w:shd w:val="clear" w:color="000000" w:fill="FFFFFF"/>
            <w:noWrap/>
            <w:vAlign w:val="center"/>
            <w:hideMark/>
          </w:tcPr>
          <w:p w14:paraId="1B81E901"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Negativa</w:t>
            </w:r>
          </w:p>
        </w:tc>
      </w:tr>
      <w:tr w:rsidR="00C20064" w:rsidRPr="00635ABF" w14:paraId="0F1FBFC1" w14:textId="77777777" w:rsidTr="008B67DA">
        <w:trPr>
          <w:trHeight w:val="397"/>
        </w:trPr>
        <w:tc>
          <w:tcPr>
            <w:tcW w:w="1796" w:type="dxa"/>
            <w:tcBorders>
              <w:top w:val="single" w:sz="12" w:space="0" w:color="auto"/>
              <w:bottom w:val="single" w:sz="4" w:space="0" w:color="auto"/>
            </w:tcBorders>
            <w:shd w:val="clear" w:color="000000" w:fill="FFFFFF"/>
            <w:vAlign w:val="center"/>
          </w:tcPr>
          <w:p w14:paraId="212CB67E" w14:textId="5C3A5EA6" w:rsidR="00C20064" w:rsidRPr="00635ABF" w:rsidRDefault="009F41FB" w:rsidP="008B67DA">
            <w:pPr>
              <w:spacing w:afterLines="0" w:after="0" w:line="240" w:lineRule="auto"/>
              <w:ind w:firstLine="0"/>
              <w:jc w:val="center"/>
              <w:rPr>
                <w:rFonts w:cs="Arial"/>
                <w:sz w:val="20"/>
                <w:szCs w:val="20"/>
              </w:rPr>
            </w:pPr>
            <w:r w:rsidRPr="00635ABF">
              <w:rPr>
                <w:rFonts w:cs="Arial"/>
                <w:sz w:val="20"/>
                <w:szCs w:val="20"/>
              </w:rPr>
              <w:t>NÃO</w:t>
            </w:r>
          </w:p>
        </w:tc>
        <w:tc>
          <w:tcPr>
            <w:tcW w:w="4248" w:type="dxa"/>
            <w:tcBorders>
              <w:top w:val="single" w:sz="12" w:space="0" w:color="auto"/>
              <w:left w:val="nil"/>
              <w:bottom w:val="single" w:sz="4" w:space="0" w:color="auto"/>
            </w:tcBorders>
            <w:shd w:val="clear" w:color="000000" w:fill="FFFFFF"/>
            <w:noWrap/>
            <w:vAlign w:val="center"/>
            <w:hideMark/>
          </w:tcPr>
          <w:p w14:paraId="32BC1121" w14:textId="07F12F95"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 xml:space="preserve">01/2012 </w:t>
            </w:r>
            <w:r w:rsidR="008B67DA" w:rsidRPr="00635ABF">
              <w:rPr>
                <w:rFonts w:cs="Arial"/>
                <w:sz w:val="20"/>
                <w:szCs w:val="20"/>
              </w:rPr>
              <w:t>a</w:t>
            </w:r>
            <w:r w:rsidRPr="00635ABF">
              <w:rPr>
                <w:rFonts w:cs="Arial"/>
                <w:sz w:val="20"/>
                <w:szCs w:val="20"/>
              </w:rPr>
              <w:t xml:space="preserve"> 12/2014</w:t>
            </w:r>
            <w:r w:rsidR="008B67DA" w:rsidRPr="00635ABF">
              <w:rPr>
                <w:rFonts w:cs="Arial"/>
                <w:sz w:val="20"/>
                <w:szCs w:val="20"/>
              </w:rPr>
              <w:t xml:space="preserve"> e</w:t>
            </w:r>
            <w:r w:rsidRPr="00635ABF">
              <w:rPr>
                <w:rFonts w:cs="Arial"/>
                <w:sz w:val="20"/>
                <w:szCs w:val="20"/>
              </w:rPr>
              <w:t xml:space="preserve"> 01/2017 </w:t>
            </w:r>
            <w:r w:rsidR="008B67DA" w:rsidRPr="00635ABF">
              <w:rPr>
                <w:rFonts w:cs="Arial"/>
                <w:sz w:val="20"/>
                <w:szCs w:val="20"/>
              </w:rPr>
              <w:t>a</w:t>
            </w:r>
            <w:r w:rsidRPr="00635ABF">
              <w:rPr>
                <w:rFonts w:cs="Arial"/>
                <w:sz w:val="20"/>
                <w:szCs w:val="20"/>
              </w:rPr>
              <w:t xml:space="preserve"> 02/2020</w:t>
            </w:r>
          </w:p>
        </w:tc>
        <w:tc>
          <w:tcPr>
            <w:tcW w:w="1559" w:type="dxa"/>
            <w:tcBorders>
              <w:top w:val="single" w:sz="12" w:space="0" w:color="auto"/>
              <w:left w:val="nil"/>
              <w:bottom w:val="single" w:sz="4" w:space="0" w:color="auto"/>
            </w:tcBorders>
            <w:shd w:val="clear" w:color="000000" w:fill="FFFFFF"/>
            <w:noWrap/>
            <w:vAlign w:val="center"/>
            <w:hideMark/>
          </w:tcPr>
          <w:p w14:paraId="73E9E6C4"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11</w:t>
            </w:r>
          </w:p>
        </w:tc>
        <w:tc>
          <w:tcPr>
            <w:tcW w:w="1533" w:type="dxa"/>
            <w:tcBorders>
              <w:top w:val="single" w:sz="12" w:space="0" w:color="auto"/>
              <w:left w:val="nil"/>
              <w:bottom w:val="single" w:sz="4" w:space="0" w:color="auto"/>
            </w:tcBorders>
            <w:shd w:val="clear" w:color="000000" w:fill="FFFFFF"/>
            <w:noWrap/>
            <w:vAlign w:val="center"/>
            <w:hideMark/>
          </w:tcPr>
          <w:p w14:paraId="6F46EDDA"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22</w:t>
            </w:r>
          </w:p>
        </w:tc>
      </w:tr>
      <w:tr w:rsidR="00C20064" w:rsidRPr="00635ABF" w14:paraId="7960D75E" w14:textId="77777777" w:rsidTr="008B67DA">
        <w:trPr>
          <w:trHeight w:val="397"/>
        </w:trPr>
        <w:tc>
          <w:tcPr>
            <w:tcW w:w="1796" w:type="dxa"/>
            <w:tcBorders>
              <w:top w:val="nil"/>
              <w:bottom w:val="single" w:sz="4" w:space="0" w:color="auto"/>
            </w:tcBorders>
            <w:shd w:val="clear" w:color="000000" w:fill="FFFFFF"/>
            <w:vAlign w:val="center"/>
          </w:tcPr>
          <w:p w14:paraId="01510B75" w14:textId="79AC826E" w:rsidR="00C20064" w:rsidRPr="00635ABF" w:rsidRDefault="009F41FB" w:rsidP="008B67DA">
            <w:pPr>
              <w:spacing w:afterLines="0" w:after="0" w:line="240" w:lineRule="auto"/>
              <w:ind w:firstLine="0"/>
              <w:jc w:val="center"/>
              <w:rPr>
                <w:rFonts w:cs="Arial"/>
                <w:sz w:val="20"/>
                <w:szCs w:val="20"/>
              </w:rPr>
            </w:pPr>
            <w:r w:rsidRPr="00635ABF">
              <w:rPr>
                <w:rFonts w:cs="Arial"/>
                <w:sz w:val="20"/>
                <w:szCs w:val="20"/>
              </w:rPr>
              <w:t>SIM</w:t>
            </w:r>
          </w:p>
        </w:tc>
        <w:tc>
          <w:tcPr>
            <w:tcW w:w="4248" w:type="dxa"/>
            <w:tcBorders>
              <w:top w:val="nil"/>
              <w:left w:val="nil"/>
              <w:bottom w:val="single" w:sz="4" w:space="0" w:color="auto"/>
            </w:tcBorders>
            <w:shd w:val="clear" w:color="000000" w:fill="FFFFFF"/>
            <w:noWrap/>
            <w:vAlign w:val="center"/>
            <w:hideMark/>
          </w:tcPr>
          <w:p w14:paraId="500C16D2" w14:textId="09E6BC3B"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 xml:space="preserve">01/2015 </w:t>
            </w:r>
            <w:r w:rsidR="008B67DA" w:rsidRPr="00635ABF">
              <w:rPr>
                <w:rFonts w:cs="Arial"/>
                <w:sz w:val="20"/>
                <w:szCs w:val="20"/>
              </w:rPr>
              <w:t>a</w:t>
            </w:r>
            <w:r w:rsidRPr="00635ABF">
              <w:rPr>
                <w:rFonts w:cs="Arial"/>
                <w:sz w:val="20"/>
                <w:szCs w:val="20"/>
              </w:rPr>
              <w:t xml:space="preserve"> 12/2016</w:t>
            </w:r>
          </w:p>
        </w:tc>
        <w:tc>
          <w:tcPr>
            <w:tcW w:w="1559" w:type="dxa"/>
            <w:tcBorders>
              <w:top w:val="nil"/>
              <w:left w:val="nil"/>
              <w:bottom w:val="single" w:sz="4" w:space="0" w:color="auto"/>
            </w:tcBorders>
            <w:shd w:val="clear" w:color="000000" w:fill="FFFFFF"/>
            <w:noWrap/>
            <w:vAlign w:val="center"/>
            <w:hideMark/>
          </w:tcPr>
          <w:p w14:paraId="7AD4499B" w14:textId="50BE7169" w:rsidR="00C20064" w:rsidRPr="00635ABF" w:rsidRDefault="001907B7" w:rsidP="008B67DA">
            <w:pPr>
              <w:spacing w:afterLines="0" w:after="0" w:line="240" w:lineRule="auto"/>
              <w:ind w:firstLine="0"/>
              <w:jc w:val="center"/>
              <w:rPr>
                <w:rFonts w:cs="Arial"/>
                <w:sz w:val="20"/>
                <w:szCs w:val="20"/>
              </w:rPr>
            </w:pPr>
            <w:r w:rsidRPr="00635ABF">
              <w:rPr>
                <w:rFonts w:cs="Arial"/>
                <w:sz w:val="20"/>
                <w:szCs w:val="20"/>
              </w:rPr>
              <w:t>5</w:t>
            </w:r>
          </w:p>
        </w:tc>
        <w:tc>
          <w:tcPr>
            <w:tcW w:w="1533" w:type="dxa"/>
            <w:tcBorders>
              <w:top w:val="nil"/>
              <w:left w:val="nil"/>
              <w:bottom w:val="single" w:sz="4" w:space="0" w:color="auto"/>
            </w:tcBorders>
            <w:shd w:val="clear" w:color="000000" w:fill="FFFFFF"/>
            <w:noWrap/>
            <w:vAlign w:val="center"/>
            <w:hideMark/>
          </w:tcPr>
          <w:p w14:paraId="3D18BEE9"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2</w:t>
            </w:r>
          </w:p>
        </w:tc>
      </w:tr>
      <w:tr w:rsidR="00C20064" w:rsidRPr="00635ABF" w14:paraId="27EF092F" w14:textId="77777777" w:rsidTr="008B67DA">
        <w:trPr>
          <w:trHeight w:val="397"/>
        </w:trPr>
        <w:tc>
          <w:tcPr>
            <w:tcW w:w="1796" w:type="dxa"/>
            <w:tcBorders>
              <w:top w:val="single" w:sz="4" w:space="0" w:color="auto"/>
              <w:bottom w:val="single" w:sz="12" w:space="0" w:color="auto"/>
            </w:tcBorders>
            <w:shd w:val="clear" w:color="000000" w:fill="FFFFFF"/>
            <w:vAlign w:val="center"/>
          </w:tcPr>
          <w:p w14:paraId="02F01509" w14:textId="3BB02E4D" w:rsidR="00C20064" w:rsidRPr="00635ABF" w:rsidRDefault="009F41FB" w:rsidP="008B67DA">
            <w:pPr>
              <w:spacing w:afterLines="0" w:after="0" w:line="240" w:lineRule="auto"/>
              <w:ind w:firstLine="0"/>
              <w:jc w:val="center"/>
              <w:rPr>
                <w:rFonts w:cs="Arial"/>
                <w:sz w:val="20"/>
                <w:szCs w:val="20"/>
              </w:rPr>
            </w:pPr>
            <w:r w:rsidRPr="00635ABF">
              <w:rPr>
                <w:rFonts w:cs="Arial"/>
                <w:sz w:val="20"/>
                <w:szCs w:val="20"/>
              </w:rPr>
              <w:t>SIM</w:t>
            </w:r>
          </w:p>
        </w:tc>
        <w:tc>
          <w:tcPr>
            <w:tcW w:w="4248" w:type="dxa"/>
            <w:tcBorders>
              <w:top w:val="single" w:sz="4" w:space="0" w:color="auto"/>
              <w:left w:val="nil"/>
              <w:bottom w:val="single" w:sz="12" w:space="0" w:color="auto"/>
            </w:tcBorders>
            <w:shd w:val="clear" w:color="000000" w:fill="FFFFFF"/>
            <w:noWrap/>
            <w:vAlign w:val="center"/>
            <w:hideMark/>
          </w:tcPr>
          <w:p w14:paraId="1333327A" w14:textId="072C9D8E"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 xml:space="preserve">03/2020 </w:t>
            </w:r>
            <w:r w:rsidR="008B67DA" w:rsidRPr="00635ABF">
              <w:rPr>
                <w:rFonts w:cs="Arial"/>
                <w:sz w:val="20"/>
                <w:szCs w:val="20"/>
              </w:rPr>
              <w:t>a</w:t>
            </w:r>
            <w:r w:rsidRPr="00635ABF">
              <w:rPr>
                <w:rFonts w:cs="Arial"/>
                <w:sz w:val="20"/>
                <w:szCs w:val="20"/>
              </w:rPr>
              <w:t xml:space="preserve"> 06/2022</w:t>
            </w:r>
          </w:p>
        </w:tc>
        <w:tc>
          <w:tcPr>
            <w:tcW w:w="1559" w:type="dxa"/>
            <w:tcBorders>
              <w:top w:val="single" w:sz="4" w:space="0" w:color="auto"/>
              <w:left w:val="nil"/>
              <w:bottom w:val="single" w:sz="12" w:space="0" w:color="auto"/>
            </w:tcBorders>
            <w:shd w:val="clear" w:color="000000" w:fill="FFFFFF"/>
            <w:noWrap/>
            <w:vAlign w:val="center"/>
            <w:hideMark/>
          </w:tcPr>
          <w:p w14:paraId="2E243994"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11</w:t>
            </w:r>
          </w:p>
        </w:tc>
        <w:tc>
          <w:tcPr>
            <w:tcW w:w="1533" w:type="dxa"/>
            <w:tcBorders>
              <w:top w:val="single" w:sz="4" w:space="0" w:color="auto"/>
              <w:left w:val="nil"/>
              <w:bottom w:val="single" w:sz="12" w:space="0" w:color="auto"/>
            </w:tcBorders>
            <w:shd w:val="clear" w:color="000000" w:fill="FFFFFF"/>
            <w:noWrap/>
            <w:vAlign w:val="center"/>
            <w:hideMark/>
          </w:tcPr>
          <w:p w14:paraId="3EC1B2A4" w14:textId="77777777" w:rsidR="00C20064" w:rsidRPr="00635ABF" w:rsidRDefault="00C20064" w:rsidP="008B67DA">
            <w:pPr>
              <w:spacing w:afterLines="0" w:after="0" w:line="240" w:lineRule="auto"/>
              <w:ind w:firstLine="0"/>
              <w:jc w:val="center"/>
              <w:rPr>
                <w:rFonts w:cs="Arial"/>
                <w:sz w:val="20"/>
                <w:szCs w:val="20"/>
              </w:rPr>
            </w:pPr>
            <w:r w:rsidRPr="00635ABF">
              <w:rPr>
                <w:rFonts w:cs="Arial"/>
                <w:sz w:val="20"/>
                <w:szCs w:val="20"/>
              </w:rPr>
              <w:t>4</w:t>
            </w:r>
          </w:p>
        </w:tc>
      </w:tr>
    </w:tbl>
    <w:p w14:paraId="536E91FB" w14:textId="77777777" w:rsidR="008B67DA" w:rsidRPr="00635ABF" w:rsidRDefault="008B67DA" w:rsidP="008B67DA">
      <w:pPr>
        <w:spacing w:afterLines="0" w:after="0" w:line="240" w:lineRule="auto"/>
        <w:rPr>
          <w:rFonts w:cs="Arial"/>
          <w:szCs w:val="24"/>
        </w:rPr>
      </w:pPr>
      <w:bookmarkStart w:id="0" w:name="_Toc488241704"/>
      <w:bookmarkStart w:id="1" w:name="_Toc97815897"/>
    </w:p>
    <w:p w14:paraId="4264753D" w14:textId="064D02BC" w:rsidR="008B67DA" w:rsidRPr="00635ABF" w:rsidRDefault="008B67DA" w:rsidP="008B67DA">
      <w:pPr>
        <w:spacing w:afterLines="0" w:after="0" w:line="240" w:lineRule="auto"/>
        <w:rPr>
          <w:rFonts w:cs="Arial"/>
          <w:szCs w:val="24"/>
        </w:rPr>
      </w:pPr>
      <w:r w:rsidRPr="00635ABF">
        <w:rPr>
          <w:rFonts w:cs="Arial"/>
          <w:szCs w:val="24"/>
        </w:rPr>
        <w:t>Para o estudo foram selecionados 55 eventos em que ocorreram variações positivas ou negativas na meta da taxa de juros dentre os 84 possíveis, que são as reuniões do Copom desde janeiro de 2012 até junho de 2022. Para definição dos eventos não foram selecionadas 29 reuniões, pois foram as quais mantiveram a meta da taxa Selic inalterada.</w:t>
      </w:r>
    </w:p>
    <w:p w14:paraId="73E8AA65" w14:textId="0C5E643C" w:rsidR="008B67DA" w:rsidRPr="00635ABF" w:rsidRDefault="008B67DA" w:rsidP="008B67DA">
      <w:pPr>
        <w:spacing w:afterLines="0" w:after="0" w:line="240" w:lineRule="auto"/>
        <w:rPr>
          <w:rFonts w:cs="Arial"/>
          <w:szCs w:val="24"/>
        </w:rPr>
      </w:pPr>
      <w:r w:rsidRPr="00635ABF">
        <w:rPr>
          <w:rFonts w:cs="Arial"/>
          <w:szCs w:val="24"/>
        </w:rPr>
        <w:t>O esperado era encontrar um impacto negativo das variações da taxa Selic sobre as variações das cotações do Ibovespa, assim como detectou a maioria dos estudos revisados na revisão bibliográfica. O pressuposto de uma relação negativa entre variações da taxa Selic e o Ibovespa, requer uma análise separada dos eventos em que ocorreram variações positivas e negativas, de modo a não calcular os retornos anormais acumulados em eventos com efeitos opostos.  Os eventos foram divididos em: eventos com variação positiva e eventos com variação negativa da meta da Taxa Selic.</w:t>
      </w:r>
    </w:p>
    <w:p w14:paraId="7256852C" w14:textId="64AD7805" w:rsidR="00D867C0" w:rsidRPr="00635ABF" w:rsidRDefault="00FD029D" w:rsidP="00FE6BB8">
      <w:pPr>
        <w:spacing w:afterLines="0" w:after="0" w:line="240" w:lineRule="auto"/>
        <w:rPr>
          <w:rFonts w:cs="Arial"/>
          <w:szCs w:val="24"/>
        </w:rPr>
      </w:pPr>
      <w:r w:rsidRPr="00635ABF">
        <w:rPr>
          <w:rFonts w:cs="Arial"/>
          <w:szCs w:val="24"/>
        </w:rPr>
        <w:t>Durante o período de análise do estudo, janeiro de 20</w:t>
      </w:r>
      <w:r w:rsidR="00CD3BF2" w:rsidRPr="00635ABF">
        <w:rPr>
          <w:rFonts w:cs="Arial"/>
          <w:szCs w:val="24"/>
        </w:rPr>
        <w:t>12</w:t>
      </w:r>
      <w:r w:rsidRPr="00635ABF">
        <w:rPr>
          <w:rFonts w:cs="Arial"/>
          <w:szCs w:val="24"/>
        </w:rPr>
        <w:t xml:space="preserve"> a junho de 20</w:t>
      </w:r>
      <w:r w:rsidR="00CD3BF2" w:rsidRPr="00635ABF">
        <w:rPr>
          <w:rFonts w:cs="Arial"/>
          <w:szCs w:val="24"/>
        </w:rPr>
        <w:t>2</w:t>
      </w:r>
      <w:r w:rsidRPr="00635ABF">
        <w:rPr>
          <w:rFonts w:cs="Arial"/>
          <w:szCs w:val="24"/>
        </w:rPr>
        <w:t xml:space="preserve">2, a meta da Taxa Selic reduziu de </w:t>
      </w:r>
      <w:r w:rsidR="00D867C0" w:rsidRPr="00635ABF">
        <w:rPr>
          <w:rFonts w:cs="Arial"/>
          <w:szCs w:val="24"/>
        </w:rPr>
        <w:t>14,25</w:t>
      </w:r>
      <w:r w:rsidRPr="00635ABF">
        <w:rPr>
          <w:rFonts w:cs="Arial"/>
          <w:szCs w:val="24"/>
        </w:rPr>
        <w:t xml:space="preserve">% para </w:t>
      </w:r>
      <w:r w:rsidR="00D867C0" w:rsidRPr="00635ABF">
        <w:rPr>
          <w:rFonts w:cs="Arial"/>
          <w:szCs w:val="24"/>
        </w:rPr>
        <w:t>2,00</w:t>
      </w:r>
      <w:r w:rsidRPr="00635ABF">
        <w:rPr>
          <w:rFonts w:cs="Arial"/>
          <w:szCs w:val="24"/>
        </w:rPr>
        <w:t>%</w:t>
      </w:r>
      <w:r w:rsidR="00D867C0" w:rsidRPr="00635ABF">
        <w:rPr>
          <w:rFonts w:cs="Arial"/>
          <w:szCs w:val="24"/>
        </w:rPr>
        <w:t>, variação absoluta de 12,25%</w:t>
      </w:r>
      <w:r w:rsidRPr="00635ABF">
        <w:rPr>
          <w:rFonts w:cs="Arial"/>
          <w:szCs w:val="24"/>
        </w:rPr>
        <w:t xml:space="preserve">. Este movimento ao longo do período ocasionou um maior número de eventos com variação negativa da taxa em </w:t>
      </w:r>
      <w:r w:rsidR="00D867C0" w:rsidRPr="00635ABF">
        <w:rPr>
          <w:rFonts w:cs="Arial"/>
          <w:szCs w:val="24"/>
        </w:rPr>
        <w:t>momentos de economia estável</w:t>
      </w:r>
      <w:r w:rsidRPr="00635ABF">
        <w:rPr>
          <w:rFonts w:cs="Arial"/>
          <w:szCs w:val="24"/>
        </w:rPr>
        <w:t xml:space="preserve">. </w:t>
      </w:r>
      <w:r w:rsidR="00D867C0" w:rsidRPr="00635ABF">
        <w:rPr>
          <w:rFonts w:cs="Arial"/>
          <w:szCs w:val="24"/>
        </w:rPr>
        <w:t>E</w:t>
      </w:r>
      <w:r w:rsidRPr="00635ABF">
        <w:rPr>
          <w:rFonts w:cs="Arial"/>
          <w:szCs w:val="24"/>
        </w:rPr>
        <w:t xml:space="preserve">nquanto no período de economia em crise a taxa </w:t>
      </w:r>
      <w:r w:rsidR="00D867C0" w:rsidRPr="00635ABF">
        <w:rPr>
          <w:rFonts w:cs="Arial"/>
          <w:szCs w:val="24"/>
        </w:rPr>
        <w:t>apresentou mais eventos de variações positivas.</w:t>
      </w:r>
    </w:p>
    <w:p w14:paraId="277D63ED" w14:textId="77777777" w:rsidR="00C70B02" w:rsidRPr="00635ABF" w:rsidRDefault="00C70B02" w:rsidP="00FE6BB8">
      <w:pPr>
        <w:spacing w:afterLines="0" w:after="0" w:line="240" w:lineRule="auto"/>
        <w:rPr>
          <w:rFonts w:cs="Arial"/>
          <w:szCs w:val="24"/>
        </w:rPr>
      </w:pPr>
    </w:p>
    <w:p w14:paraId="687AC644" w14:textId="7ED3DA4B" w:rsidR="00E40876" w:rsidRPr="00635ABF" w:rsidRDefault="00367883" w:rsidP="008B67DA">
      <w:pPr>
        <w:spacing w:afterLines="0" w:after="0" w:line="240" w:lineRule="auto"/>
        <w:ind w:firstLine="0"/>
        <w:jc w:val="center"/>
        <w:rPr>
          <w:rFonts w:cs="Arial"/>
          <w:szCs w:val="24"/>
        </w:rPr>
      </w:pPr>
      <w:r w:rsidRPr="00635ABF">
        <w:rPr>
          <w:rFonts w:cs="Arial"/>
          <w:noProof/>
          <w:szCs w:val="24"/>
        </w:rPr>
        <w:lastRenderedPageBreak/>
        <w:drawing>
          <wp:anchor distT="0" distB="0" distL="114300" distR="114300" simplePos="0" relativeHeight="251657216" behindDoc="1" locked="0" layoutInCell="1" allowOverlap="1" wp14:anchorId="2B67B35D" wp14:editId="17AE2719">
            <wp:simplePos x="0" y="0"/>
            <wp:positionH relativeFrom="column">
              <wp:posOffset>451485</wp:posOffset>
            </wp:positionH>
            <wp:positionV relativeFrom="paragraph">
              <wp:posOffset>489585</wp:posOffset>
            </wp:positionV>
            <wp:extent cx="5307965" cy="3126105"/>
            <wp:effectExtent l="0" t="0" r="6985" b="0"/>
            <wp:wrapTight wrapText="bothSides">
              <wp:wrapPolygon edited="0">
                <wp:start x="0" y="0"/>
                <wp:lineTo x="0" y="21455"/>
                <wp:lineTo x="21551" y="21455"/>
                <wp:lineTo x="2155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307965" cy="3126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B02" w:rsidRPr="00635ABF">
        <w:rPr>
          <w:rFonts w:cs="Arial"/>
          <w:szCs w:val="24"/>
        </w:rPr>
        <w:t>Gráfico 1: Evolução da Taxa Selic</w:t>
      </w:r>
    </w:p>
    <w:p w14:paraId="49CB41E7" w14:textId="19193395" w:rsidR="00E40876" w:rsidRPr="00635ABF" w:rsidRDefault="00E40876" w:rsidP="00FE6BB8">
      <w:pPr>
        <w:spacing w:afterLines="0" w:after="0" w:line="240" w:lineRule="auto"/>
        <w:rPr>
          <w:rFonts w:cs="Arial"/>
          <w:szCs w:val="24"/>
        </w:rPr>
      </w:pPr>
    </w:p>
    <w:p w14:paraId="206A70E0" w14:textId="77777777" w:rsidR="008B67DA" w:rsidRPr="00635ABF" w:rsidRDefault="008B67DA" w:rsidP="008B67DA">
      <w:pPr>
        <w:spacing w:afterLines="0" w:after="0" w:line="240" w:lineRule="auto"/>
        <w:rPr>
          <w:rFonts w:cs="Arial"/>
          <w:sz w:val="20"/>
          <w:szCs w:val="20"/>
        </w:rPr>
      </w:pPr>
      <w:r w:rsidRPr="00635ABF">
        <w:rPr>
          <w:rFonts w:cs="Arial"/>
          <w:sz w:val="20"/>
          <w:szCs w:val="20"/>
        </w:rPr>
        <w:t>Fonte: Bacen (2022)</w:t>
      </w:r>
    </w:p>
    <w:p w14:paraId="76DCA9A7" w14:textId="77777777" w:rsidR="00367883" w:rsidRPr="00635ABF" w:rsidRDefault="00367883" w:rsidP="00FE6BB8">
      <w:pPr>
        <w:spacing w:afterLines="0" w:after="0" w:line="240" w:lineRule="auto"/>
        <w:rPr>
          <w:rFonts w:cs="Arial"/>
          <w:szCs w:val="24"/>
        </w:rPr>
      </w:pPr>
    </w:p>
    <w:p w14:paraId="03E2D2B9" w14:textId="045A2E87" w:rsidR="00E1403B" w:rsidRPr="00635ABF" w:rsidRDefault="00E1403B" w:rsidP="00E1403B">
      <w:pPr>
        <w:spacing w:afterLines="0" w:after="0" w:line="240" w:lineRule="auto"/>
        <w:jc w:val="center"/>
        <w:rPr>
          <w:rFonts w:cs="Arial"/>
          <w:szCs w:val="24"/>
        </w:rPr>
      </w:pPr>
      <w:r w:rsidRPr="00635ABF">
        <w:rPr>
          <w:rFonts w:cs="Arial"/>
          <w:szCs w:val="24"/>
        </w:rPr>
        <w:t>Tabela 2 – Frequência da Variação da Taxa Selic</w:t>
      </w:r>
    </w:p>
    <w:p w14:paraId="053DACCF" w14:textId="77777777" w:rsidR="00E40876" w:rsidRPr="00635ABF" w:rsidRDefault="00E40876" w:rsidP="00FE6BB8">
      <w:pPr>
        <w:spacing w:afterLines="0" w:after="0" w:line="240" w:lineRule="auto"/>
        <w:rPr>
          <w:rFonts w:cs="Arial"/>
          <w:szCs w:val="24"/>
        </w:rPr>
      </w:pPr>
    </w:p>
    <w:tbl>
      <w:tblPr>
        <w:tblW w:w="6520" w:type="dxa"/>
        <w:tblInd w:w="1497" w:type="dxa"/>
        <w:tblCellMar>
          <w:left w:w="70" w:type="dxa"/>
          <w:right w:w="70" w:type="dxa"/>
        </w:tblCellMar>
        <w:tblLook w:val="04A0" w:firstRow="1" w:lastRow="0" w:firstColumn="1" w:lastColumn="0" w:noHBand="0" w:noVBand="1"/>
      </w:tblPr>
      <w:tblGrid>
        <w:gridCol w:w="1600"/>
        <w:gridCol w:w="2480"/>
        <w:gridCol w:w="2440"/>
      </w:tblGrid>
      <w:tr w:rsidR="00E40876" w:rsidRPr="00635ABF" w14:paraId="1354D4DC" w14:textId="77777777" w:rsidTr="00F52B6A">
        <w:trPr>
          <w:trHeight w:val="397"/>
        </w:trPr>
        <w:tc>
          <w:tcPr>
            <w:tcW w:w="1600" w:type="dxa"/>
            <w:tcBorders>
              <w:top w:val="single" w:sz="12" w:space="0" w:color="auto"/>
              <w:bottom w:val="single" w:sz="12" w:space="0" w:color="auto"/>
            </w:tcBorders>
            <w:shd w:val="clear" w:color="auto" w:fill="auto"/>
            <w:noWrap/>
            <w:vAlign w:val="center"/>
            <w:hideMark/>
          </w:tcPr>
          <w:p w14:paraId="5B25A0D2"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Variação (%)</w:t>
            </w:r>
          </w:p>
        </w:tc>
        <w:tc>
          <w:tcPr>
            <w:tcW w:w="2480" w:type="dxa"/>
            <w:tcBorders>
              <w:top w:val="single" w:sz="12" w:space="0" w:color="auto"/>
              <w:left w:val="nil"/>
              <w:bottom w:val="single" w:sz="12" w:space="0" w:color="auto"/>
            </w:tcBorders>
            <w:shd w:val="clear" w:color="auto" w:fill="auto"/>
            <w:noWrap/>
            <w:vAlign w:val="center"/>
            <w:hideMark/>
          </w:tcPr>
          <w:p w14:paraId="4D978336"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Frequência Nominal</w:t>
            </w:r>
          </w:p>
        </w:tc>
        <w:tc>
          <w:tcPr>
            <w:tcW w:w="2440" w:type="dxa"/>
            <w:tcBorders>
              <w:top w:val="single" w:sz="12" w:space="0" w:color="auto"/>
              <w:left w:val="nil"/>
              <w:bottom w:val="single" w:sz="12" w:space="0" w:color="auto"/>
            </w:tcBorders>
            <w:shd w:val="clear" w:color="auto" w:fill="auto"/>
            <w:noWrap/>
            <w:vAlign w:val="center"/>
            <w:hideMark/>
          </w:tcPr>
          <w:p w14:paraId="4891902C"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Frequência Relativa</w:t>
            </w:r>
          </w:p>
        </w:tc>
      </w:tr>
      <w:tr w:rsidR="00E40876" w:rsidRPr="00635ABF" w14:paraId="01F820B0" w14:textId="77777777" w:rsidTr="00C573D5">
        <w:trPr>
          <w:trHeight w:val="397"/>
        </w:trPr>
        <w:tc>
          <w:tcPr>
            <w:tcW w:w="1600" w:type="dxa"/>
            <w:tcBorders>
              <w:top w:val="single" w:sz="12" w:space="0" w:color="auto"/>
              <w:bottom w:val="single" w:sz="4" w:space="0" w:color="auto"/>
            </w:tcBorders>
            <w:shd w:val="clear" w:color="auto" w:fill="auto"/>
            <w:noWrap/>
            <w:vAlign w:val="center"/>
            <w:hideMark/>
          </w:tcPr>
          <w:p w14:paraId="3876AC7A"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1,50</w:t>
            </w:r>
          </w:p>
        </w:tc>
        <w:tc>
          <w:tcPr>
            <w:tcW w:w="2480" w:type="dxa"/>
            <w:tcBorders>
              <w:top w:val="single" w:sz="12" w:space="0" w:color="auto"/>
              <w:left w:val="nil"/>
              <w:bottom w:val="single" w:sz="4" w:space="0" w:color="auto"/>
            </w:tcBorders>
            <w:shd w:val="clear" w:color="auto" w:fill="auto"/>
            <w:noWrap/>
            <w:vAlign w:val="center"/>
            <w:hideMark/>
          </w:tcPr>
          <w:p w14:paraId="3BC392C5"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3</w:t>
            </w:r>
          </w:p>
        </w:tc>
        <w:tc>
          <w:tcPr>
            <w:tcW w:w="2440" w:type="dxa"/>
            <w:tcBorders>
              <w:top w:val="single" w:sz="12" w:space="0" w:color="auto"/>
              <w:left w:val="nil"/>
              <w:bottom w:val="single" w:sz="4" w:space="0" w:color="auto"/>
            </w:tcBorders>
            <w:shd w:val="clear" w:color="auto" w:fill="auto"/>
            <w:noWrap/>
            <w:vAlign w:val="center"/>
            <w:hideMark/>
          </w:tcPr>
          <w:p w14:paraId="58E27039"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5,45%</w:t>
            </w:r>
          </w:p>
        </w:tc>
      </w:tr>
      <w:tr w:rsidR="00E40876" w:rsidRPr="00635ABF" w14:paraId="38DC2B12" w14:textId="77777777" w:rsidTr="00C573D5">
        <w:trPr>
          <w:trHeight w:val="397"/>
        </w:trPr>
        <w:tc>
          <w:tcPr>
            <w:tcW w:w="1600" w:type="dxa"/>
            <w:tcBorders>
              <w:top w:val="nil"/>
              <w:bottom w:val="single" w:sz="4" w:space="0" w:color="auto"/>
            </w:tcBorders>
            <w:shd w:val="clear" w:color="auto" w:fill="auto"/>
            <w:noWrap/>
            <w:vAlign w:val="center"/>
            <w:hideMark/>
          </w:tcPr>
          <w:p w14:paraId="270ABB95"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1,00</w:t>
            </w:r>
          </w:p>
        </w:tc>
        <w:tc>
          <w:tcPr>
            <w:tcW w:w="2480" w:type="dxa"/>
            <w:tcBorders>
              <w:top w:val="nil"/>
              <w:left w:val="nil"/>
              <w:bottom w:val="single" w:sz="4" w:space="0" w:color="auto"/>
            </w:tcBorders>
            <w:shd w:val="clear" w:color="auto" w:fill="auto"/>
            <w:noWrap/>
            <w:vAlign w:val="center"/>
            <w:hideMark/>
          </w:tcPr>
          <w:p w14:paraId="61CB0D15"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4</w:t>
            </w:r>
          </w:p>
        </w:tc>
        <w:tc>
          <w:tcPr>
            <w:tcW w:w="2440" w:type="dxa"/>
            <w:tcBorders>
              <w:top w:val="nil"/>
              <w:left w:val="nil"/>
              <w:bottom w:val="single" w:sz="4" w:space="0" w:color="auto"/>
            </w:tcBorders>
            <w:shd w:val="clear" w:color="auto" w:fill="auto"/>
            <w:noWrap/>
            <w:vAlign w:val="center"/>
            <w:hideMark/>
          </w:tcPr>
          <w:p w14:paraId="45C1DA30"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7,27%</w:t>
            </w:r>
          </w:p>
        </w:tc>
      </w:tr>
      <w:tr w:rsidR="00E40876" w:rsidRPr="00635ABF" w14:paraId="528337BD" w14:textId="77777777" w:rsidTr="00C573D5">
        <w:trPr>
          <w:trHeight w:val="397"/>
        </w:trPr>
        <w:tc>
          <w:tcPr>
            <w:tcW w:w="1600" w:type="dxa"/>
            <w:tcBorders>
              <w:top w:val="nil"/>
              <w:bottom w:val="single" w:sz="4" w:space="0" w:color="auto"/>
            </w:tcBorders>
            <w:shd w:val="clear" w:color="auto" w:fill="auto"/>
            <w:noWrap/>
            <w:vAlign w:val="center"/>
            <w:hideMark/>
          </w:tcPr>
          <w:p w14:paraId="716D1DE3"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0,75</w:t>
            </w:r>
          </w:p>
        </w:tc>
        <w:tc>
          <w:tcPr>
            <w:tcW w:w="2480" w:type="dxa"/>
            <w:tcBorders>
              <w:top w:val="nil"/>
              <w:left w:val="nil"/>
              <w:bottom w:val="single" w:sz="4" w:space="0" w:color="auto"/>
            </w:tcBorders>
            <w:shd w:val="clear" w:color="auto" w:fill="auto"/>
            <w:noWrap/>
            <w:vAlign w:val="center"/>
            <w:hideMark/>
          </w:tcPr>
          <w:p w14:paraId="02209131"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3</w:t>
            </w:r>
          </w:p>
        </w:tc>
        <w:tc>
          <w:tcPr>
            <w:tcW w:w="2440" w:type="dxa"/>
            <w:tcBorders>
              <w:top w:val="nil"/>
              <w:left w:val="nil"/>
              <w:bottom w:val="single" w:sz="4" w:space="0" w:color="auto"/>
            </w:tcBorders>
            <w:shd w:val="clear" w:color="auto" w:fill="auto"/>
            <w:noWrap/>
            <w:vAlign w:val="center"/>
            <w:hideMark/>
          </w:tcPr>
          <w:p w14:paraId="366EC4DE"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5,45%</w:t>
            </w:r>
          </w:p>
        </w:tc>
      </w:tr>
      <w:tr w:rsidR="00E40876" w:rsidRPr="00635ABF" w14:paraId="5012C944" w14:textId="77777777" w:rsidTr="00C573D5">
        <w:trPr>
          <w:trHeight w:val="397"/>
        </w:trPr>
        <w:tc>
          <w:tcPr>
            <w:tcW w:w="1600" w:type="dxa"/>
            <w:tcBorders>
              <w:top w:val="nil"/>
              <w:bottom w:val="single" w:sz="4" w:space="0" w:color="auto"/>
            </w:tcBorders>
            <w:shd w:val="clear" w:color="auto" w:fill="auto"/>
            <w:noWrap/>
            <w:vAlign w:val="center"/>
            <w:hideMark/>
          </w:tcPr>
          <w:p w14:paraId="0EFE3C42"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0,50</w:t>
            </w:r>
          </w:p>
        </w:tc>
        <w:tc>
          <w:tcPr>
            <w:tcW w:w="2480" w:type="dxa"/>
            <w:tcBorders>
              <w:top w:val="nil"/>
              <w:left w:val="nil"/>
              <w:bottom w:val="single" w:sz="4" w:space="0" w:color="auto"/>
            </w:tcBorders>
            <w:shd w:val="clear" w:color="auto" w:fill="auto"/>
            <w:noWrap/>
            <w:vAlign w:val="center"/>
            <w:hideMark/>
          </w:tcPr>
          <w:p w14:paraId="4A5A6759"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13</w:t>
            </w:r>
          </w:p>
        </w:tc>
        <w:tc>
          <w:tcPr>
            <w:tcW w:w="2440" w:type="dxa"/>
            <w:tcBorders>
              <w:top w:val="nil"/>
              <w:left w:val="nil"/>
              <w:bottom w:val="single" w:sz="4" w:space="0" w:color="auto"/>
            </w:tcBorders>
            <w:shd w:val="clear" w:color="auto" w:fill="auto"/>
            <w:noWrap/>
            <w:vAlign w:val="center"/>
            <w:hideMark/>
          </w:tcPr>
          <w:p w14:paraId="093BA417"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23,64%</w:t>
            </w:r>
          </w:p>
        </w:tc>
      </w:tr>
      <w:tr w:rsidR="00E40876" w:rsidRPr="00635ABF" w14:paraId="7AF2E679" w14:textId="77777777" w:rsidTr="00C573D5">
        <w:trPr>
          <w:trHeight w:val="397"/>
        </w:trPr>
        <w:tc>
          <w:tcPr>
            <w:tcW w:w="1600" w:type="dxa"/>
            <w:tcBorders>
              <w:top w:val="nil"/>
              <w:bottom w:val="single" w:sz="4" w:space="0" w:color="auto"/>
            </w:tcBorders>
            <w:shd w:val="clear" w:color="auto" w:fill="auto"/>
            <w:noWrap/>
            <w:vAlign w:val="center"/>
            <w:hideMark/>
          </w:tcPr>
          <w:p w14:paraId="7BC01768"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0,25</w:t>
            </w:r>
          </w:p>
        </w:tc>
        <w:tc>
          <w:tcPr>
            <w:tcW w:w="2480" w:type="dxa"/>
            <w:tcBorders>
              <w:top w:val="nil"/>
              <w:left w:val="nil"/>
              <w:bottom w:val="single" w:sz="4" w:space="0" w:color="auto"/>
            </w:tcBorders>
            <w:shd w:val="clear" w:color="auto" w:fill="auto"/>
            <w:noWrap/>
            <w:vAlign w:val="center"/>
            <w:hideMark/>
          </w:tcPr>
          <w:p w14:paraId="134EEB97"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4</w:t>
            </w:r>
          </w:p>
        </w:tc>
        <w:tc>
          <w:tcPr>
            <w:tcW w:w="2440" w:type="dxa"/>
            <w:tcBorders>
              <w:top w:val="nil"/>
              <w:left w:val="nil"/>
              <w:bottom w:val="single" w:sz="4" w:space="0" w:color="auto"/>
            </w:tcBorders>
            <w:shd w:val="clear" w:color="auto" w:fill="auto"/>
            <w:noWrap/>
            <w:vAlign w:val="center"/>
            <w:hideMark/>
          </w:tcPr>
          <w:p w14:paraId="55B0CE9B"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7,27%</w:t>
            </w:r>
          </w:p>
        </w:tc>
      </w:tr>
      <w:tr w:rsidR="00E40876" w:rsidRPr="00635ABF" w14:paraId="4E17F288" w14:textId="77777777" w:rsidTr="00C573D5">
        <w:trPr>
          <w:trHeight w:val="397"/>
        </w:trPr>
        <w:tc>
          <w:tcPr>
            <w:tcW w:w="1600" w:type="dxa"/>
            <w:tcBorders>
              <w:top w:val="nil"/>
              <w:bottom w:val="single" w:sz="4" w:space="0" w:color="auto"/>
            </w:tcBorders>
            <w:shd w:val="clear" w:color="auto" w:fill="auto"/>
            <w:noWrap/>
            <w:vAlign w:val="center"/>
            <w:hideMark/>
          </w:tcPr>
          <w:p w14:paraId="5380ABD0"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-0,25</w:t>
            </w:r>
          </w:p>
        </w:tc>
        <w:tc>
          <w:tcPr>
            <w:tcW w:w="2480" w:type="dxa"/>
            <w:tcBorders>
              <w:top w:val="nil"/>
              <w:left w:val="nil"/>
              <w:bottom w:val="single" w:sz="4" w:space="0" w:color="auto"/>
            </w:tcBorders>
            <w:shd w:val="clear" w:color="auto" w:fill="auto"/>
            <w:noWrap/>
            <w:vAlign w:val="center"/>
            <w:hideMark/>
          </w:tcPr>
          <w:p w14:paraId="0A4C2E25"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7</w:t>
            </w:r>
          </w:p>
        </w:tc>
        <w:tc>
          <w:tcPr>
            <w:tcW w:w="2440" w:type="dxa"/>
            <w:tcBorders>
              <w:top w:val="nil"/>
              <w:left w:val="nil"/>
              <w:bottom w:val="single" w:sz="4" w:space="0" w:color="auto"/>
            </w:tcBorders>
            <w:shd w:val="clear" w:color="auto" w:fill="auto"/>
            <w:noWrap/>
            <w:vAlign w:val="center"/>
            <w:hideMark/>
          </w:tcPr>
          <w:p w14:paraId="27930447"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12,73%</w:t>
            </w:r>
          </w:p>
        </w:tc>
      </w:tr>
      <w:tr w:rsidR="00E40876" w:rsidRPr="00635ABF" w14:paraId="08E2DA63" w14:textId="77777777" w:rsidTr="00C573D5">
        <w:trPr>
          <w:trHeight w:val="397"/>
        </w:trPr>
        <w:tc>
          <w:tcPr>
            <w:tcW w:w="1600" w:type="dxa"/>
            <w:tcBorders>
              <w:top w:val="nil"/>
              <w:bottom w:val="single" w:sz="4" w:space="0" w:color="auto"/>
            </w:tcBorders>
            <w:shd w:val="clear" w:color="auto" w:fill="auto"/>
            <w:noWrap/>
            <w:vAlign w:val="center"/>
            <w:hideMark/>
          </w:tcPr>
          <w:p w14:paraId="07C023FA"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-0,50</w:t>
            </w:r>
          </w:p>
        </w:tc>
        <w:tc>
          <w:tcPr>
            <w:tcW w:w="2480" w:type="dxa"/>
            <w:tcBorders>
              <w:top w:val="nil"/>
              <w:left w:val="nil"/>
              <w:bottom w:val="single" w:sz="4" w:space="0" w:color="auto"/>
            </w:tcBorders>
            <w:shd w:val="clear" w:color="auto" w:fill="auto"/>
            <w:noWrap/>
            <w:vAlign w:val="center"/>
            <w:hideMark/>
          </w:tcPr>
          <w:p w14:paraId="7130D5C1"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10</w:t>
            </w:r>
          </w:p>
        </w:tc>
        <w:tc>
          <w:tcPr>
            <w:tcW w:w="2440" w:type="dxa"/>
            <w:tcBorders>
              <w:top w:val="nil"/>
              <w:left w:val="nil"/>
              <w:bottom w:val="single" w:sz="4" w:space="0" w:color="auto"/>
            </w:tcBorders>
            <w:shd w:val="clear" w:color="auto" w:fill="auto"/>
            <w:noWrap/>
            <w:vAlign w:val="center"/>
            <w:hideMark/>
          </w:tcPr>
          <w:p w14:paraId="79854632"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18,18%</w:t>
            </w:r>
          </w:p>
        </w:tc>
      </w:tr>
      <w:tr w:rsidR="00E40876" w:rsidRPr="00635ABF" w14:paraId="05F39817" w14:textId="77777777" w:rsidTr="00C573D5">
        <w:trPr>
          <w:trHeight w:val="397"/>
        </w:trPr>
        <w:tc>
          <w:tcPr>
            <w:tcW w:w="1600" w:type="dxa"/>
            <w:tcBorders>
              <w:top w:val="nil"/>
              <w:bottom w:val="single" w:sz="4" w:space="0" w:color="auto"/>
            </w:tcBorders>
            <w:shd w:val="clear" w:color="auto" w:fill="auto"/>
            <w:noWrap/>
            <w:vAlign w:val="center"/>
            <w:hideMark/>
          </w:tcPr>
          <w:p w14:paraId="01E0C2F0"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-0,75</w:t>
            </w:r>
          </w:p>
        </w:tc>
        <w:tc>
          <w:tcPr>
            <w:tcW w:w="2480" w:type="dxa"/>
            <w:tcBorders>
              <w:top w:val="nil"/>
              <w:left w:val="nil"/>
              <w:bottom w:val="single" w:sz="4" w:space="0" w:color="auto"/>
            </w:tcBorders>
            <w:shd w:val="clear" w:color="auto" w:fill="auto"/>
            <w:noWrap/>
            <w:vAlign w:val="center"/>
            <w:hideMark/>
          </w:tcPr>
          <w:p w14:paraId="26A322CB"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7</w:t>
            </w:r>
          </w:p>
        </w:tc>
        <w:tc>
          <w:tcPr>
            <w:tcW w:w="2440" w:type="dxa"/>
            <w:tcBorders>
              <w:top w:val="nil"/>
              <w:left w:val="nil"/>
              <w:bottom w:val="single" w:sz="4" w:space="0" w:color="auto"/>
            </w:tcBorders>
            <w:shd w:val="clear" w:color="auto" w:fill="auto"/>
            <w:noWrap/>
            <w:vAlign w:val="center"/>
            <w:hideMark/>
          </w:tcPr>
          <w:p w14:paraId="5B7A82AA"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12,73%</w:t>
            </w:r>
          </w:p>
        </w:tc>
      </w:tr>
      <w:tr w:rsidR="00E40876" w:rsidRPr="00635ABF" w14:paraId="71BC1F23" w14:textId="77777777" w:rsidTr="00C573D5">
        <w:trPr>
          <w:trHeight w:val="397"/>
        </w:trPr>
        <w:tc>
          <w:tcPr>
            <w:tcW w:w="1600" w:type="dxa"/>
            <w:tcBorders>
              <w:top w:val="single" w:sz="4" w:space="0" w:color="auto"/>
              <w:bottom w:val="single" w:sz="12" w:space="0" w:color="auto"/>
            </w:tcBorders>
            <w:shd w:val="clear" w:color="auto" w:fill="auto"/>
            <w:noWrap/>
            <w:vAlign w:val="center"/>
            <w:hideMark/>
          </w:tcPr>
          <w:p w14:paraId="6D1E6625"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-1,00</w:t>
            </w:r>
          </w:p>
        </w:tc>
        <w:tc>
          <w:tcPr>
            <w:tcW w:w="2480" w:type="dxa"/>
            <w:tcBorders>
              <w:top w:val="single" w:sz="4" w:space="0" w:color="auto"/>
              <w:left w:val="nil"/>
              <w:bottom w:val="single" w:sz="12" w:space="0" w:color="auto"/>
            </w:tcBorders>
            <w:shd w:val="clear" w:color="auto" w:fill="auto"/>
            <w:noWrap/>
            <w:vAlign w:val="center"/>
            <w:hideMark/>
          </w:tcPr>
          <w:p w14:paraId="424197B2"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4</w:t>
            </w:r>
          </w:p>
        </w:tc>
        <w:tc>
          <w:tcPr>
            <w:tcW w:w="2440" w:type="dxa"/>
            <w:tcBorders>
              <w:top w:val="single" w:sz="4" w:space="0" w:color="auto"/>
              <w:left w:val="nil"/>
              <w:bottom w:val="single" w:sz="12" w:space="0" w:color="auto"/>
            </w:tcBorders>
            <w:shd w:val="clear" w:color="auto" w:fill="auto"/>
            <w:noWrap/>
            <w:vAlign w:val="center"/>
            <w:hideMark/>
          </w:tcPr>
          <w:p w14:paraId="6965640C"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7,27%</w:t>
            </w:r>
          </w:p>
        </w:tc>
      </w:tr>
      <w:tr w:rsidR="00E40876" w:rsidRPr="00635ABF" w14:paraId="765B4249" w14:textId="77777777" w:rsidTr="00C573D5">
        <w:trPr>
          <w:trHeight w:val="397"/>
        </w:trPr>
        <w:tc>
          <w:tcPr>
            <w:tcW w:w="1600" w:type="dxa"/>
            <w:tcBorders>
              <w:top w:val="single" w:sz="12" w:space="0" w:color="auto"/>
              <w:bottom w:val="single" w:sz="12" w:space="0" w:color="auto"/>
            </w:tcBorders>
            <w:shd w:val="clear" w:color="auto" w:fill="auto"/>
            <w:vAlign w:val="center"/>
            <w:hideMark/>
          </w:tcPr>
          <w:p w14:paraId="59036871" w14:textId="77777777" w:rsidR="00E40876" w:rsidRPr="00635ABF" w:rsidRDefault="00E40876" w:rsidP="00F52B6A">
            <w:pPr>
              <w:spacing w:afterLines="0" w:after="0" w:line="240" w:lineRule="auto"/>
              <w:ind w:firstLine="0"/>
              <w:jc w:val="center"/>
              <w:rPr>
                <w:rFonts w:cs="Arial"/>
                <w:sz w:val="20"/>
                <w:szCs w:val="20"/>
              </w:rPr>
            </w:pPr>
            <w:r w:rsidRPr="00635ABF">
              <w:rPr>
                <w:rFonts w:cs="Arial"/>
                <w:sz w:val="20"/>
                <w:szCs w:val="20"/>
              </w:rPr>
              <w:t>Total</w:t>
            </w:r>
          </w:p>
        </w:tc>
        <w:tc>
          <w:tcPr>
            <w:tcW w:w="2480" w:type="dxa"/>
            <w:tcBorders>
              <w:top w:val="single" w:sz="12" w:space="0" w:color="auto"/>
              <w:left w:val="nil"/>
              <w:bottom w:val="single" w:sz="12" w:space="0" w:color="auto"/>
            </w:tcBorders>
            <w:shd w:val="clear" w:color="auto" w:fill="auto"/>
            <w:noWrap/>
            <w:vAlign w:val="center"/>
            <w:hideMark/>
          </w:tcPr>
          <w:p w14:paraId="72CA9216"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55</w:t>
            </w:r>
          </w:p>
        </w:tc>
        <w:tc>
          <w:tcPr>
            <w:tcW w:w="2440" w:type="dxa"/>
            <w:tcBorders>
              <w:top w:val="single" w:sz="12" w:space="0" w:color="auto"/>
              <w:left w:val="nil"/>
              <w:bottom w:val="single" w:sz="12" w:space="0" w:color="auto"/>
            </w:tcBorders>
            <w:shd w:val="clear" w:color="auto" w:fill="auto"/>
            <w:noWrap/>
            <w:vAlign w:val="center"/>
            <w:hideMark/>
          </w:tcPr>
          <w:p w14:paraId="60534A6E" w14:textId="77777777" w:rsidR="00E40876" w:rsidRPr="00635ABF" w:rsidRDefault="00E40876" w:rsidP="00E1403B">
            <w:pPr>
              <w:spacing w:afterLines="0" w:after="0" w:line="240" w:lineRule="auto"/>
              <w:ind w:firstLine="0"/>
              <w:jc w:val="center"/>
              <w:rPr>
                <w:rFonts w:cs="Arial"/>
                <w:sz w:val="20"/>
                <w:szCs w:val="20"/>
              </w:rPr>
            </w:pPr>
            <w:r w:rsidRPr="00635ABF">
              <w:rPr>
                <w:rFonts w:cs="Arial"/>
                <w:sz w:val="20"/>
                <w:szCs w:val="20"/>
              </w:rPr>
              <w:t>100,00%</w:t>
            </w:r>
          </w:p>
        </w:tc>
      </w:tr>
    </w:tbl>
    <w:p w14:paraId="48CD05CC" w14:textId="77777777" w:rsidR="00E40876" w:rsidRPr="00635ABF" w:rsidRDefault="00E40876" w:rsidP="00FE6BB8">
      <w:pPr>
        <w:spacing w:afterLines="0" w:after="0" w:line="240" w:lineRule="auto"/>
        <w:rPr>
          <w:rFonts w:cs="Arial"/>
          <w:szCs w:val="24"/>
        </w:rPr>
      </w:pPr>
    </w:p>
    <w:p w14:paraId="2CEFC757" w14:textId="12B7ADD0" w:rsidR="00FD029D" w:rsidRPr="00635ABF" w:rsidRDefault="00FD029D" w:rsidP="00FE6BB8">
      <w:pPr>
        <w:spacing w:afterLines="0" w:after="0" w:line="240" w:lineRule="auto"/>
        <w:rPr>
          <w:rFonts w:cs="Arial"/>
          <w:szCs w:val="24"/>
        </w:rPr>
      </w:pPr>
      <w:r w:rsidRPr="00635ABF">
        <w:rPr>
          <w:rFonts w:cs="Arial"/>
          <w:szCs w:val="24"/>
        </w:rPr>
        <w:t>Verifica-se um</w:t>
      </w:r>
      <w:r w:rsidR="00E40876" w:rsidRPr="00635ABF">
        <w:rPr>
          <w:rFonts w:cs="Arial"/>
          <w:szCs w:val="24"/>
        </w:rPr>
        <w:t>a</w:t>
      </w:r>
      <w:r w:rsidRPr="00635ABF">
        <w:rPr>
          <w:rFonts w:cs="Arial"/>
          <w:szCs w:val="24"/>
        </w:rPr>
        <w:t xml:space="preserve"> </w:t>
      </w:r>
      <w:r w:rsidR="00E40876" w:rsidRPr="00635ABF">
        <w:rPr>
          <w:rFonts w:cs="Arial"/>
          <w:szCs w:val="24"/>
        </w:rPr>
        <w:t>tendência</w:t>
      </w:r>
      <w:r w:rsidRPr="00635ABF">
        <w:rPr>
          <w:rFonts w:cs="Arial"/>
          <w:szCs w:val="24"/>
        </w:rPr>
        <w:t xml:space="preserve"> </w:t>
      </w:r>
      <w:r w:rsidR="00E40876" w:rsidRPr="00635ABF">
        <w:rPr>
          <w:rFonts w:cs="Arial"/>
          <w:szCs w:val="24"/>
        </w:rPr>
        <w:t xml:space="preserve">de </w:t>
      </w:r>
      <w:r w:rsidRPr="00635ABF">
        <w:rPr>
          <w:rFonts w:cs="Arial"/>
          <w:szCs w:val="24"/>
        </w:rPr>
        <w:t>variação</w:t>
      </w:r>
      <w:r w:rsidR="00E40876" w:rsidRPr="00635ABF">
        <w:rPr>
          <w:rFonts w:cs="Arial"/>
          <w:szCs w:val="24"/>
        </w:rPr>
        <w:t xml:space="preserve"> em 0,50%</w:t>
      </w:r>
      <w:r w:rsidRPr="00635ABF">
        <w:rPr>
          <w:rFonts w:cs="Arial"/>
          <w:szCs w:val="24"/>
        </w:rPr>
        <w:t xml:space="preserve"> </w:t>
      </w:r>
      <w:r w:rsidR="00E40876" w:rsidRPr="00635ABF">
        <w:rPr>
          <w:rFonts w:cs="Arial"/>
          <w:szCs w:val="24"/>
        </w:rPr>
        <w:t>na</w:t>
      </w:r>
      <w:r w:rsidRPr="00635ABF">
        <w:rPr>
          <w:rFonts w:cs="Arial"/>
          <w:szCs w:val="24"/>
        </w:rPr>
        <w:t xml:space="preserve"> meta da Taxa Selic, </w:t>
      </w:r>
      <w:r w:rsidR="00E40876" w:rsidRPr="00635ABF">
        <w:rPr>
          <w:rFonts w:cs="Arial"/>
          <w:szCs w:val="24"/>
        </w:rPr>
        <w:t>sendo tanto positivo quanto negativo</w:t>
      </w:r>
      <w:r w:rsidRPr="00635ABF">
        <w:rPr>
          <w:rFonts w:cs="Arial"/>
          <w:szCs w:val="24"/>
        </w:rPr>
        <w:t xml:space="preserve"> em </w:t>
      </w:r>
      <w:r w:rsidR="00E40876" w:rsidRPr="00635ABF">
        <w:rPr>
          <w:rFonts w:cs="Arial"/>
          <w:szCs w:val="24"/>
        </w:rPr>
        <w:t>23</w:t>
      </w:r>
      <w:r w:rsidRPr="00635ABF">
        <w:rPr>
          <w:rFonts w:cs="Arial"/>
          <w:szCs w:val="24"/>
        </w:rPr>
        <w:t xml:space="preserve"> reuniões (</w:t>
      </w:r>
      <w:r w:rsidR="00E40876" w:rsidRPr="00635ABF">
        <w:rPr>
          <w:rFonts w:cs="Arial"/>
          <w:szCs w:val="24"/>
        </w:rPr>
        <w:t>41,82</w:t>
      </w:r>
      <w:r w:rsidRPr="00635ABF">
        <w:rPr>
          <w:rFonts w:cs="Arial"/>
          <w:szCs w:val="24"/>
        </w:rPr>
        <w:t>% dos eventos analisados). Considerando a faixa de variação de -0,5</w:t>
      </w:r>
      <w:r w:rsidR="00E40876" w:rsidRPr="00635ABF">
        <w:rPr>
          <w:rFonts w:cs="Arial"/>
          <w:szCs w:val="24"/>
        </w:rPr>
        <w:t>0</w:t>
      </w:r>
      <w:r w:rsidRPr="00635ABF">
        <w:rPr>
          <w:rFonts w:cs="Arial"/>
          <w:szCs w:val="24"/>
        </w:rPr>
        <w:t>% até +0,5</w:t>
      </w:r>
      <w:r w:rsidR="00E40876" w:rsidRPr="00635ABF">
        <w:rPr>
          <w:rFonts w:cs="Arial"/>
          <w:szCs w:val="24"/>
        </w:rPr>
        <w:t>0</w:t>
      </w:r>
      <w:r w:rsidRPr="00635ABF">
        <w:rPr>
          <w:rFonts w:cs="Arial"/>
          <w:szCs w:val="24"/>
        </w:rPr>
        <w:t>%</w:t>
      </w:r>
      <w:r w:rsidR="00F52B6A" w:rsidRPr="00635ABF">
        <w:rPr>
          <w:rFonts w:cs="Arial"/>
          <w:szCs w:val="24"/>
        </w:rPr>
        <w:t>,</w:t>
      </w:r>
      <w:r w:rsidRPr="00635ABF">
        <w:rPr>
          <w:rFonts w:cs="Arial"/>
          <w:szCs w:val="24"/>
        </w:rPr>
        <w:t xml:space="preserve"> verifica-se a presença de </w:t>
      </w:r>
      <w:r w:rsidR="00E40876" w:rsidRPr="00635ABF">
        <w:rPr>
          <w:rFonts w:cs="Arial"/>
          <w:szCs w:val="24"/>
        </w:rPr>
        <w:t>61,82</w:t>
      </w:r>
      <w:r w:rsidRPr="00635ABF">
        <w:rPr>
          <w:rFonts w:cs="Arial"/>
          <w:szCs w:val="24"/>
        </w:rPr>
        <w:t>% dos eventos analisados.</w:t>
      </w:r>
    </w:p>
    <w:p w14:paraId="176F6D9B" w14:textId="2B4283B5" w:rsidR="00151864" w:rsidRPr="00635ABF" w:rsidRDefault="00151864" w:rsidP="00FE6BB8">
      <w:pPr>
        <w:spacing w:afterLines="0" w:after="0" w:line="240" w:lineRule="auto"/>
        <w:rPr>
          <w:rFonts w:cs="Arial"/>
          <w:szCs w:val="24"/>
        </w:rPr>
      </w:pPr>
      <w:r w:rsidRPr="00635ABF">
        <w:rPr>
          <w:rFonts w:cs="Arial"/>
          <w:szCs w:val="24"/>
        </w:rPr>
        <w:t>Com a frequência maior nos pequenos ajustes</w:t>
      </w:r>
      <w:r w:rsidR="00F52B6A" w:rsidRPr="00635ABF">
        <w:rPr>
          <w:rFonts w:cs="Arial"/>
          <w:szCs w:val="24"/>
        </w:rPr>
        <w:t>,</w:t>
      </w:r>
      <w:r w:rsidRPr="00635ABF">
        <w:rPr>
          <w:rFonts w:cs="Arial"/>
          <w:szCs w:val="24"/>
        </w:rPr>
        <w:t xml:space="preserve"> acarreta ao Copom </w:t>
      </w:r>
      <w:r w:rsidR="00FD029D" w:rsidRPr="00635ABF">
        <w:rPr>
          <w:rFonts w:cs="Arial"/>
          <w:szCs w:val="24"/>
        </w:rPr>
        <w:t xml:space="preserve">evitar grandes variações e impactos no mercado. </w:t>
      </w:r>
      <w:r w:rsidRPr="00635ABF">
        <w:rPr>
          <w:rFonts w:cs="Arial"/>
          <w:szCs w:val="24"/>
        </w:rPr>
        <w:t>Mantendo-se um equilíbrio na política monetária sem exigir do Copom medidas drásticas em períodos</w:t>
      </w:r>
      <w:r w:rsidR="00F52B6A" w:rsidRPr="00635ABF">
        <w:rPr>
          <w:rFonts w:cs="Arial"/>
          <w:szCs w:val="24"/>
        </w:rPr>
        <w:t xml:space="preserve"> curtos</w:t>
      </w:r>
      <w:r w:rsidRPr="00635ABF">
        <w:rPr>
          <w:rFonts w:cs="Arial"/>
          <w:szCs w:val="24"/>
        </w:rPr>
        <w:t>.</w:t>
      </w:r>
    </w:p>
    <w:p w14:paraId="7D724E75" w14:textId="31C393BE" w:rsidR="00FD029D" w:rsidRPr="00635ABF" w:rsidRDefault="00FD029D" w:rsidP="00FE6BB8">
      <w:pPr>
        <w:spacing w:afterLines="0" w:after="0" w:line="240" w:lineRule="auto"/>
        <w:rPr>
          <w:rFonts w:cs="Arial"/>
          <w:szCs w:val="24"/>
        </w:rPr>
      </w:pPr>
      <w:r w:rsidRPr="00635ABF">
        <w:rPr>
          <w:rFonts w:cs="Arial"/>
          <w:szCs w:val="24"/>
        </w:rPr>
        <w:lastRenderedPageBreak/>
        <w:t xml:space="preserve">Para a análise da hipótese da constatação ou não </w:t>
      </w:r>
      <w:r w:rsidR="00F52B6A" w:rsidRPr="00635ABF">
        <w:rPr>
          <w:rFonts w:cs="Arial"/>
          <w:szCs w:val="24"/>
        </w:rPr>
        <w:t xml:space="preserve">curtos de tempo </w:t>
      </w:r>
      <w:r w:rsidRPr="00635ABF">
        <w:rPr>
          <w:rFonts w:cs="Arial"/>
          <w:szCs w:val="24"/>
        </w:rPr>
        <w:t>da presença de retornos anormais acumulados com a variação da Taxa Selic, foi utilizado o teste t-</w:t>
      </w:r>
      <w:proofErr w:type="spellStart"/>
      <w:r w:rsidRPr="00635ABF">
        <w:rPr>
          <w:rFonts w:cs="Arial"/>
          <w:szCs w:val="24"/>
        </w:rPr>
        <w:t>Student</w:t>
      </w:r>
      <w:proofErr w:type="spellEnd"/>
      <w:r w:rsidRPr="00635ABF">
        <w:rPr>
          <w:rFonts w:cs="Arial"/>
          <w:szCs w:val="24"/>
        </w:rPr>
        <w:t xml:space="preserve"> para os </w:t>
      </w:r>
      <w:r w:rsidR="00E40876" w:rsidRPr="00635ABF">
        <w:rPr>
          <w:rFonts w:cs="Arial"/>
          <w:szCs w:val="24"/>
        </w:rPr>
        <w:t>seis</w:t>
      </w:r>
      <w:r w:rsidRPr="00635ABF">
        <w:rPr>
          <w:rFonts w:cs="Arial"/>
          <w:szCs w:val="24"/>
        </w:rPr>
        <w:t xml:space="preserve"> grupos de eventos nas suas diferentes janelas de análises.</w:t>
      </w:r>
    </w:p>
    <w:p w14:paraId="5F51BE87" w14:textId="77777777" w:rsidR="00F52B6A" w:rsidRPr="00635ABF" w:rsidRDefault="00F52B6A" w:rsidP="00F52B6A">
      <w:pPr>
        <w:spacing w:afterLines="0" w:after="0" w:line="240" w:lineRule="auto"/>
        <w:ind w:firstLine="0"/>
        <w:jc w:val="center"/>
        <w:rPr>
          <w:rFonts w:cs="Arial"/>
          <w:szCs w:val="24"/>
        </w:rPr>
      </w:pPr>
    </w:p>
    <w:p w14:paraId="32401910" w14:textId="5EC7617F" w:rsidR="00F52B6A" w:rsidRPr="00635ABF" w:rsidRDefault="00F52B6A" w:rsidP="00F52B6A">
      <w:pPr>
        <w:spacing w:afterLines="0" w:after="0" w:line="240" w:lineRule="auto"/>
        <w:ind w:firstLine="0"/>
        <w:jc w:val="center"/>
        <w:rPr>
          <w:rFonts w:cs="Arial"/>
          <w:szCs w:val="24"/>
        </w:rPr>
      </w:pPr>
      <w:r w:rsidRPr="00635ABF">
        <w:rPr>
          <w:rFonts w:cs="Arial"/>
          <w:szCs w:val="24"/>
        </w:rPr>
        <w:t>Tabela 3 – Eventos com variação positiva da Selic no período no período sem crise de 01/2012 a 12/2014 e 01/2017 a 02/2020</w:t>
      </w:r>
    </w:p>
    <w:p w14:paraId="19F1901D" w14:textId="77777777" w:rsidR="005D143C" w:rsidRPr="00635ABF" w:rsidRDefault="005D143C" w:rsidP="00FE6BB8">
      <w:pPr>
        <w:spacing w:afterLines="0" w:after="0" w:line="240" w:lineRule="auto"/>
        <w:rPr>
          <w:rFonts w:cs="Arial"/>
          <w:szCs w:val="24"/>
        </w:rPr>
      </w:pPr>
    </w:p>
    <w:tbl>
      <w:tblPr>
        <w:tblW w:w="7513" w:type="dxa"/>
        <w:tblInd w:w="846" w:type="dxa"/>
        <w:tblLayout w:type="fixed"/>
        <w:tblCellMar>
          <w:left w:w="70" w:type="dxa"/>
          <w:right w:w="70" w:type="dxa"/>
        </w:tblCellMar>
        <w:tblLook w:val="04A0" w:firstRow="1" w:lastRow="0" w:firstColumn="1" w:lastColumn="0" w:noHBand="0" w:noVBand="1"/>
      </w:tblPr>
      <w:tblGrid>
        <w:gridCol w:w="1878"/>
        <w:gridCol w:w="1878"/>
        <w:gridCol w:w="1878"/>
        <w:gridCol w:w="1879"/>
      </w:tblGrid>
      <w:tr w:rsidR="00102CF7" w:rsidRPr="00635ABF" w14:paraId="489B28AD" w14:textId="77777777" w:rsidTr="00F52B6A">
        <w:trPr>
          <w:trHeight w:val="397"/>
        </w:trPr>
        <w:tc>
          <w:tcPr>
            <w:tcW w:w="1878" w:type="dxa"/>
            <w:tcBorders>
              <w:top w:val="single" w:sz="12" w:space="0" w:color="auto"/>
              <w:bottom w:val="single" w:sz="12" w:space="0" w:color="auto"/>
            </w:tcBorders>
            <w:shd w:val="clear" w:color="000000" w:fill="FFFFFF"/>
            <w:noWrap/>
            <w:vAlign w:val="center"/>
            <w:hideMark/>
          </w:tcPr>
          <w:p w14:paraId="437DEFAF" w14:textId="5620F693"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Janelas</w:t>
            </w:r>
          </w:p>
        </w:tc>
        <w:tc>
          <w:tcPr>
            <w:tcW w:w="1878" w:type="dxa"/>
            <w:tcBorders>
              <w:top w:val="single" w:sz="12" w:space="0" w:color="auto"/>
              <w:left w:val="nil"/>
              <w:bottom w:val="single" w:sz="12" w:space="0" w:color="auto"/>
            </w:tcBorders>
            <w:shd w:val="clear" w:color="000000" w:fill="FFFFFF"/>
            <w:noWrap/>
            <w:vAlign w:val="center"/>
            <w:hideMark/>
          </w:tcPr>
          <w:p w14:paraId="5160D46E" w14:textId="39596446"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acc>
                      <m:accPr>
                        <m:chr m:val="̅"/>
                        <m:ctrlPr>
                          <w:rPr>
                            <w:rFonts w:ascii="Cambria Math" w:hAnsi="Cambria Math" w:cs="Arial"/>
                            <w:sz w:val="20"/>
                            <w:szCs w:val="20"/>
                          </w:rPr>
                        </m:ctrlPr>
                      </m:accPr>
                      <m:e>
                        <m:r>
                          <m:rPr>
                            <m:sty m:val="bi"/>
                          </m:rPr>
                          <w:rPr>
                            <w:rFonts w:ascii="Cambria Math" w:hAnsi="Cambria Math" w:cs="Arial"/>
                            <w:sz w:val="20"/>
                            <w:szCs w:val="20"/>
                          </w:rPr>
                          <m:t>CAR</m:t>
                        </m:r>
                      </m:e>
                    </m:acc>
                  </m:e>
                  <m:sub>
                    <m:r>
                      <m:rPr>
                        <m:sty m:val="bi"/>
                      </m:rPr>
                      <w:rPr>
                        <w:rFonts w:ascii="Cambria Math" w:hAnsi="Cambria Math" w:cs="Arial"/>
                        <w:sz w:val="20"/>
                        <w:szCs w:val="20"/>
                      </w:rPr>
                      <m:t>t</m:t>
                    </m:r>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bi"/>
                          </m:rPr>
                          <w:rPr>
                            <w:rFonts w:ascii="Cambria Math" w:hAnsi="Cambria Math" w:cs="Arial"/>
                            <w:sz w:val="20"/>
                            <w:szCs w:val="20"/>
                          </w:rPr>
                          <m:t>t</m:t>
                        </m:r>
                      </m:e>
                      <m:sub>
                        <m:r>
                          <m:rPr>
                            <m:sty m:val="b"/>
                          </m:rPr>
                          <w:rPr>
                            <w:rFonts w:ascii="Cambria Math" w:hAnsi="Cambria Math" w:cs="Arial"/>
                            <w:sz w:val="20"/>
                            <w:szCs w:val="20"/>
                          </w:rPr>
                          <m:t>1</m:t>
                        </m:r>
                      </m:sub>
                    </m:sSub>
                    <m:r>
                      <m:rPr>
                        <m:sty m:val="p"/>
                      </m:rPr>
                      <w:rPr>
                        <w:rFonts w:ascii="Cambria Math" w:hAnsi="Cambria Math" w:cs="Arial"/>
                        <w:sz w:val="20"/>
                        <w:szCs w:val="20"/>
                      </w:rPr>
                      <m:t xml:space="preserve">, </m:t>
                    </m:r>
                    <m:sSub>
                      <m:sSubPr>
                        <m:ctrlPr>
                          <w:rPr>
                            <w:rFonts w:ascii="Cambria Math" w:hAnsi="Cambria Math" w:cs="Arial"/>
                            <w:sz w:val="20"/>
                            <w:szCs w:val="20"/>
                          </w:rPr>
                        </m:ctrlPr>
                      </m:sSubPr>
                      <m:e>
                        <m:r>
                          <m:rPr>
                            <m:sty m:val="bi"/>
                          </m:rPr>
                          <w:rPr>
                            <w:rFonts w:ascii="Cambria Math" w:hAnsi="Cambria Math" w:cs="Arial"/>
                            <w:sz w:val="20"/>
                            <w:szCs w:val="20"/>
                          </w:rPr>
                          <m:t>t</m:t>
                        </m:r>
                      </m:e>
                      <m:sub>
                        <m:r>
                          <m:rPr>
                            <m:sty m:val="b"/>
                          </m:rPr>
                          <w:rPr>
                            <w:rFonts w:ascii="Cambria Math" w:hAnsi="Cambria Math" w:cs="Arial"/>
                            <w:sz w:val="20"/>
                            <w:szCs w:val="20"/>
                          </w:rPr>
                          <m:t>2</m:t>
                        </m:r>
                      </m:sub>
                    </m:sSub>
                    <m:r>
                      <m:rPr>
                        <m:sty m:val="p"/>
                      </m:rPr>
                      <w:rPr>
                        <w:rFonts w:ascii="Cambria Math" w:hAnsi="Cambria Math" w:cs="Arial"/>
                        <w:sz w:val="20"/>
                        <w:szCs w:val="20"/>
                      </w:rPr>
                      <m:t xml:space="preserve"> </m:t>
                    </m:r>
                  </m:sub>
                </m:sSub>
              </m:oMath>
            </m:oMathPara>
          </w:p>
        </w:tc>
        <w:tc>
          <w:tcPr>
            <w:tcW w:w="1878" w:type="dxa"/>
            <w:tcBorders>
              <w:top w:val="single" w:sz="12" w:space="0" w:color="auto"/>
              <w:left w:val="nil"/>
              <w:bottom w:val="single" w:sz="12" w:space="0" w:color="auto"/>
            </w:tcBorders>
            <w:shd w:val="clear" w:color="000000" w:fill="FFFFFF"/>
            <w:noWrap/>
            <w:vAlign w:val="center"/>
            <w:hideMark/>
          </w:tcPr>
          <w:p w14:paraId="0AC26139" w14:textId="420B2860"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r>
                      <m:rPr>
                        <m:sty m:val="bi"/>
                      </m:rPr>
                      <w:rPr>
                        <w:rFonts w:ascii="Cambria Math" w:hAnsi="Cambria Math" w:cs="Arial"/>
                        <w:sz w:val="20"/>
                        <w:szCs w:val="20"/>
                      </w:rPr>
                      <m:t>σ</m:t>
                    </m:r>
                  </m:e>
                  <m:sub>
                    <m:sSub>
                      <m:sSubPr>
                        <m:ctrlPr>
                          <w:rPr>
                            <w:rFonts w:ascii="Cambria Math" w:hAnsi="Cambria Math" w:cs="Arial"/>
                            <w:sz w:val="20"/>
                            <w:szCs w:val="20"/>
                          </w:rPr>
                        </m:ctrlPr>
                      </m:sSubPr>
                      <m:e>
                        <m:r>
                          <m:rPr>
                            <m:sty m:val="bi"/>
                          </m:rPr>
                          <w:rPr>
                            <w:rFonts w:ascii="Cambria Math" w:hAnsi="Cambria Math" w:cs="Arial"/>
                            <w:sz w:val="20"/>
                            <w:szCs w:val="20"/>
                          </w:rPr>
                          <m:t>CAR</m:t>
                        </m:r>
                      </m:e>
                      <m:sub>
                        <m:sSub>
                          <m:sSubPr>
                            <m:ctrlPr>
                              <w:rPr>
                                <w:rFonts w:ascii="Cambria Math" w:hAnsi="Cambria Math" w:cs="Arial"/>
                                <w:sz w:val="20"/>
                                <w:szCs w:val="20"/>
                              </w:rPr>
                            </m:ctrlPr>
                          </m:sSubPr>
                          <m:e>
                            <m:r>
                              <m:rPr>
                                <m:sty m:val="bi"/>
                              </m:rPr>
                              <w:rPr>
                                <w:rFonts w:ascii="Cambria Math" w:hAnsi="Cambria Math" w:cs="Arial"/>
                                <w:sz w:val="20"/>
                                <w:szCs w:val="20"/>
                              </w:rPr>
                              <m:t>t</m:t>
                            </m:r>
                          </m:e>
                          <m:sub>
                            <m:r>
                              <m:rPr>
                                <m:sty m:val="b"/>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bi"/>
                              </m:rPr>
                              <w:rPr>
                                <w:rFonts w:ascii="Cambria Math" w:hAnsi="Cambria Math" w:cs="Arial"/>
                                <w:sz w:val="20"/>
                                <w:szCs w:val="20"/>
                              </w:rPr>
                              <m:t>t</m:t>
                            </m:r>
                          </m:e>
                          <m:sub>
                            <m:r>
                              <m:rPr>
                                <m:sty m:val="b"/>
                              </m:rPr>
                              <w:rPr>
                                <w:rFonts w:ascii="Cambria Math" w:hAnsi="Cambria Math" w:cs="Arial"/>
                                <w:sz w:val="20"/>
                                <w:szCs w:val="20"/>
                              </w:rPr>
                              <m:t>2</m:t>
                            </m:r>
                          </m:sub>
                        </m:sSub>
                      </m:sub>
                    </m:sSub>
                  </m:sub>
                </m:sSub>
              </m:oMath>
            </m:oMathPara>
          </w:p>
        </w:tc>
        <w:tc>
          <w:tcPr>
            <w:tcW w:w="1879" w:type="dxa"/>
            <w:tcBorders>
              <w:top w:val="single" w:sz="12" w:space="0" w:color="auto"/>
              <w:bottom w:val="single" w:sz="12" w:space="0" w:color="auto"/>
            </w:tcBorders>
            <w:shd w:val="clear" w:color="000000" w:fill="FFFFFF"/>
            <w:noWrap/>
            <w:vAlign w:val="center"/>
            <w:hideMark/>
          </w:tcPr>
          <w:p w14:paraId="5E187257" w14:textId="748DC3AC"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Teste t-</w:t>
            </w:r>
            <w:proofErr w:type="spellStart"/>
            <w:r w:rsidRPr="00635ABF">
              <w:rPr>
                <w:rFonts w:cs="Arial"/>
                <w:sz w:val="20"/>
                <w:szCs w:val="20"/>
              </w:rPr>
              <w:t>Student</w:t>
            </w:r>
            <w:proofErr w:type="spellEnd"/>
          </w:p>
        </w:tc>
      </w:tr>
      <w:tr w:rsidR="00102CF7" w:rsidRPr="00635ABF" w14:paraId="554B3BD2" w14:textId="77777777" w:rsidTr="00F52B6A">
        <w:trPr>
          <w:trHeight w:val="397"/>
        </w:trPr>
        <w:tc>
          <w:tcPr>
            <w:tcW w:w="1878" w:type="dxa"/>
            <w:tcBorders>
              <w:top w:val="single" w:sz="12" w:space="0" w:color="auto"/>
              <w:bottom w:val="single" w:sz="4" w:space="0" w:color="auto"/>
            </w:tcBorders>
            <w:shd w:val="clear" w:color="000000" w:fill="FFFFFF"/>
            <w:noWrap/>
            <w:vAlign w:val="center"/>
            <w:hideMark/>
          </w:tcPr>
          <w:p w14:paraId="037463A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(-5;0)</w:t>
            </w:r>
          </w:p>
        </w:tc>
        <w:tc>
          <w:tcPr>
            <w:tcW w:w="1878" w:type="dxa"/>
            <w:tcBorders>
              <w:top w:val="single" w:sz="12" w:space="0" w:color="auto"/>
              <w:left w:val="nil"/>
              <w:bottom w:val="single" w:sz="4" w:space="0" w:color="auto"/>
            </w:tcBorders>
            <w:shd w:val="clear" w:color="000000" w:fill="FFFFFF"/>
            <w:noWrap/>
            <w:vAlign w:val="center"/>
            <w:hideMark/>
          </w:tcPr>
          <w:p w14:paraId="2320636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-0,0034</w:t>
            </w:r>
          </w:p>
        </w:tc>
        <w:tc>
          <w:tcPr>
            <w:tcW w:w="1878" w:type="dxa"/>
            <w:tcBorders>
              <w:top w:val="single" w:sz="12" w:space="0" w:color="auto"/>
              <w:left w:val="nil"/>
              <w:bottom w:val="single" w:sz="4" w:space="0" w:color="auto"/>
            </w:tcBorders>
            <w:shd w:val="clear" w:color="000000" w:fill="FFFFFF"/>
            <w:noWrap/>
            <w:vAlign w:val="center"/>
            <w:hideMark/>
          </w:tcPr>
          <w:p w14:paraId="2C92167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0,0173</w:t>
            </w:r>
          </w:p>
        </w:tc>
        <w:tc>
          <w:tcPr>
            <w:tcW w:w="1879" w:type="dxa"/>
            <w:tcBorders>
              <w:top w:val="single" w:sz="12" w:space="0" w:color="auto"/>
              <w:bottom w:val="single" w:sz="4" w:space="0" w:color="auto"/>
            </w:tcBorders>
            <w:shd w:val="clear" w:color="000000" w:fill="FFFFFF"/>
            <w:noWrap/>
            <w:vAlign w:val="center"/>
            <w:hideMark/>
          </w:tcPr>
          <w:p w14:paraId="7B73FDC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-0,6523</w:t>
            </w:r>
          </w:p>
        </w:tc>
      </w:tr>
      <w:tr w:rsidR="00102CF7" w:rsidRPr="00635ABF" w14:paraId="4001F3C7" w14:textId="77777777" w:rsidTr="00F52B6A">
        <w:trPr>
          <w:trHeight w:val="397"/>
        </w:trPr>
        <w:tc>
          <w:tcPr>
            <w:tcW w:w="1878" w:type="dxa"/>
            <w:tcBorders>
              <w:top w:val="nil"/>
              <w:bottom w:val="single" w:sz="4" w:space="0" w:color="auto"/>
            </w:tcBorders>
            <w:shd w:val="clear" w:color="000000" w:fill="FFFFFF"/>
            <w:noWrap/>
            <w:vAlign w:val="center"/>
            <w:hideMark/>
          </w:tcPr>
          <w:p w14:paraId="4242C28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(-4;0)</w:t>
            </w:r>
          </w:p>
        </w:tc>
        <w:tc>
          <w:tcPr>
            <w:tcW w:w="1878" w:type="dxa"/>
            <w:tcBorders>
              <w:top w:val="nil"/>
              <w:left w:val="nil"/>
              <w:bottom w:val="single" w:sz="4" w:space="0" w:color="auto"/>
            </w:tcBorders>
            <w:shd w:val="clear" w:color="000000" w:fill="FFFFFF"/>
            <w:noWrap/>
            <w:vAlign w:val="center"/>
            <w:hideMark/>
          </w:tcPr>
          <w:p w14:paraId="162E7E3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-0,0073</w:t>
            </w:r>
          </w:p>
        </w:tc>
        <w:tc>
          <w:tcPr>
            <w:tcW w:w="1878" w:type="dxa"/>
            <w:tcBorders>
              <w:top w:val="nil"/>
              <w:left w:val="nil"/>
              <w:bottom w:val="single" w:sz="4" w:space="0" w:color="auto"/>
            </w:tcBorders>
            <w:shd w:val="clear" w:color="000000" w:fill="FFFFFF"/>
            <w:noWrap/>
            <w:vAlign w:val="center"/>
            <w:hideMark/>
          </w:tcPr>
          <w:p w14:paraId="10AC68B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0,0311</w:t>
            </w:r>
          </w:p>
        </w:tc>
        <w:tc>
          <w:tcPr>
            <w:tcW w:w="1879" w:type="dxa"/>
            <w:tcBorders>
              <w:top w:val="nil"/>
              <w:bottom w:val="single" w:sz="4" w:space="0" w:color="auto"/>
            </w:tcBorders>
            <w:shd w:val="clear" w:color="000000" w:fill="FFFFFF"/>
            <w:noWrap/>
            <w:vAlign w:val="center"/>
            <w:hideMark/>
          </w:tcPr>
          <w:p w14:paraId="4139BD1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-0,7722</w:t>
            </w:r>
          </w:p>
        </w:tc>
      </w:tr>
      <w:tr w:rsidR="00102CF7" w:rsidRPr="00635ABF" w14:paraId="2EC7E926" w14:textId="77777777" w:rsidTr="00F52B6A">
        <w:trPr>
          <w:trHeight w:val="397"/>
        </w:trPr>
        <w:tc>
          <w:tcPr>
            <w:tcW w:w="1878" w:type="dxa"/>
            <w:tcBorders>
              <w:top w:val="nil"/>
              <w:bottom w:val="single" w:sz="4" w:space="0" w:color="auto"/>
            </w:tcBorders>
            <w:shd w:val="clear" w:color="000000" w:fill="FFFFFF"/>
            <w:noWrap/>
            <w:vAlign w:val="center"/>
            <w:hideMark/>
          </w:tcPr>
          <w:p w14:paraId="25F1F76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(-3;0)</w:t>
            </w:r>
          </w:p>
        </w:tc>
        <w:tc>
          <w:tcPr>
            <w:tcW w:w="1878" w:type="dxa"/>
            <w:tcBorders>
              <w:top w:val="nil"/>
              <w:left w:val="nil"/>
              <w:bottom w:val="single" w:sz="4" w:space="0" w:color="auto"/>
            </w:tcBorders>
            <w:shd w:val="clear" w:color="000000" w:fill="FFFFFF"/>
            <w:noWrap/>
            <w:vAlign w:val="center"/>
            <w:hideMark/>
          </w:tcPr>
          <w:p w14:paraId="4EAD09A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0,0033</w:t>
            </w:r>
          </w:p>
        </w:tc>
        <w:tc>
          <w:tcPr>
            <w:tcW w:w="1878" w:type="dxa"/>
            <w:tcBorders>
              <w:top w:val="nil"/>
              <w:left w:val="nil"/>
              <w:bottom w:val="single" w:sz="4" w:space="0" w:color="auto"/>
            </w:tcBorders>
            <w:shd w:val="clear" w:color="000000" w:fill="FFFFFF"/>
            <w:noWrap/>
            <w:vAlign w:val="center"/>
            <w:hideMark/>
          </w:tcPr>
          <w:p w14:paraId="5F58205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0,0139</w:t>
            </w:r>
          </w:p>
        </w:tc>
        <w:tc>
          <w:tcPr>
            <w:tcW w:w="1879" w:type="dxa"/>
            <w:tcBorders>
              <w:top w:val="nil"/>
              <w:bottom w:val="single" w:sz="4" w:space="0" w:color="auto"/>
            </w:tcBorders>
            <w:shd w:val="clear" w:color="000000" w:fill="FFFFFF"/>
            <w:noWrap/>
            <w:vAlign w:val="center"/>
            <w:hideMark/>
          </w:tcPr>
          <w:p w14:paraId="52DD66D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0,7972</w:t>
            </w:r>
          </w:p>
        </w:tc>
      </w:tr>
      <w:tr w:rsidR="00102CF7" w:rsidRPr="00635ABF" w14:paraId="1845CF5B" w14:textId="77777777" w:rsidTr="00F52B6A">
        <w:trPr>
          <w:trHeight w:val="397"/>
        </w:trPr>
        <w:tc>
          <w:tcPr>
            <w:tcW w:w="1878" w:type="dxa"/>
            <w:tcBorders>
              <w:top w:val="nil"/>
              <w:bottom w:val="single" w:sz="4" w:space="0" w:color="auto"/>
            </w:tcBorders>
            <w:shd w:val="clear" w:color="000000" w:fill="FFFFFF"/>
            <w:noWrap/>
            <w:vAlign w:val="center"/>
            <w:hideMark/>
          </w:tcPr>
          <w:p w14:paraId="46482F5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(-2;0)</w:t>
            </w:r>
          </w:p>
        </w:tc>
        <w:tc>
          <w:tcPr>
            <w:tcW w:w="1878" w:type="dxa"/>
            <w:tcBorders>
              <w:top w:val="nil"/>
              <w:left w:val="nil"/>
              <w:bottom w:val="single" w:sz="4" w:space="0" w:color="auto"/>
            </w:tcBorders>
            <w:shd w:val="clear" w:color="000000" w:fill="FFFFFF"/>
            <w:noWrap/>
            <w:vAlign w:val="center"/>
            <w:hideMark/>
          </w:tcPr>
          <w:p w14:paraId="5A4E1DC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-0,0128</w:t>
            </w:r>
          </w:p>
        </w:tc>
        <w:tc>
          <w:tcPr>
            <w:tcW w:w="1878" w:type="dxa"/>
            <w:tcBorders>
              <w:top w:val="nil"/>
              <w:left w:val="nil"/>
              <w:bottom w:val="single" w:sz="4" w:space="0" w:color="auto"/>
            </w:tcBorders>
            <w:shd w:val="clear" w:color="000000" w:fill="FFFFFF"/>
            <w:noWrap/>
            <w:vAlign w:val="center"/>
            <w:hideMark/>
          </w:tcPr>
          <w:p w14:paraId="01DA874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0,0220</w:t>
            </w:r>
          </w:p>
        </w:tc>
        <w:tc>
          <w:tcPr>
            <w:tcW w:w="1879" w:type="dxa"/>
            <w:tcBorders>
              <w:top w:val="nil"/>
              <w:bottom w:val="single" w:sz="4" w:space="0" w:color="auto"/>
            </w:tcBorders>
            <w:shd w:val="clear" w:color="000000" w:fill="FFFFFF"/>
            <w:noWrap/>
            <w:vAlign w:val="center"/>
            <w:hideMark/>
          </w:tcPr>
          <w:p w14:paraId="3784C36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-1,9259</w:t>
            </w:r>
          </w:p>
        </w:tc>
      </w:tr>
      <w:tr w:rsidR="00102CF7" w:rsidRPr="00635ABF" w14:paraId="0061933A" w14:textId="77777777" w:rsidTr="00F52B6A">
        <w:trPr>
          <w:trHeight w:val="397"/>
        </w:trPr>
        <w:tc>
          <w:tcPr>
            <w:tcW w:w="1878" w:type="dxa"/>
            <w:tcBorders>
              <w:top w:val="nil"/>
              <w:bottom w:val="single" w:sz="4" w:space="0" w:color="auto"/>
            </w:tcBorders>
            <w:shd w:val="clear" w:color="000000" w:fill="FFFFFF"/>
            <w:noWrap/>
            <w:vAlign w:val="center"/>
            <w:hideMark/>
          </w:tcPr>
          <w:p w14:paraId="49308E0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(-1;0)</w:t>
            </w:r>
          </w:p>
        </w:tc>
        <w:tc>
          <w:tcPr>
            <w:tcW w:w="1878" w:type="dxa"/>
            <w:tcBorders>
              <w:top w:val="nil"/>
              <w:left w:val="nil"/>
              <w:bottom w:val="single" w:sz="4" w:space="0" w:color="auto"/>
            </w:tcBorders>
            <w:shd w:val="clear" w:color="000000" w:fill="FFFFFF"/>
            <w:noWrap/>
            <w:vAlign w:val="center"/>
            <w:hideMark/>
          </w:tcPr>
          <w:p w14:paraId="66C596AE"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-0,0057</w:t>
            </w:r>
          </w:p>
        </w:tc>
        <w:tc>
          <w:tcPr>
            <w:tcW w:w="1878" w:type="dxa"/>
            <w:tcBorders>
              <w:top w:val="nil"/>
              <w:left w:val="nil"/>
              <w:bottom w:val="single" w:sz="4" w:space="0" w:color="auto"/>
            </w:tcBorders>
            <w:shd w:val="clear" w:color="000000" w:fill="FFFFFF"/>
            <w:noWrap/>
            <w:vAlign w:val="center"/>
            <w:hideMark/>
          </w:tcPr>
          <w:p w14:paraId="45327FE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0,0143</w:t>
            </w:r>
          </w:p>
        </w:tc>
        <w:tc>
          <w:tcPr>
            <w:tcW w:w="1879" w:type="dxa"/>
            <w:tcBorders>
              <w:top w:val="nil"/>
              <w:bottom w:val="single" w:sz="4" w:space="0" w:color="auto"/>
            </w:tcBorders>
            <w:shd w:val="clear" w:color="000000" w:fill="FFFFFF"/>
            <w:noWrap/>
            <w:vAlign w:val="center"/>
            <w:hideMark/>
          </w:tcPr>
          <w:p w14:paraId="3D60BF7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-1,3155</w:t>
            </w:r>
          </w:p>
        </w:tc>
      </w:tr>
      <w:tr w:rsidR="00102CF7" w:rsidRPr="00635ABF" w14:paraId="1987851F" w14:textId="77777777" w:rsidTr="00F52B6A">
        <w:trPr>
          <w:trHeight w:val="397"/>
        </w:trPr>
        <w:tc>
          <w:tcPr>
            <w:tcW w:w="1878" w:type="dxa"/>
            <w:tcBorders>
              <w:top w:val="nil"/>
              <w:bottom w:val="single" w:sz="4" w:space="0" w:color="auto"/>
            </w:tcBorders>
            <w:shd w:val="clear" w:color="000000" w:fill="FFFFFF"/>
            <w:noWrap/>
            <w:vAlign w:val="center"/>
            <w:hideMark/>
          </w:tcPr>
          <w:p w14:paraId="3A59CFE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w:t>
            </w:r>
          </w:p>
        </w:tc>
        <w:tc>
          <w:tcPr>
            <w:tcW w:w="1878" w:type="dxa"/>
            <w:tcBorders>
              <w:top w:val="nil"/>
              <w:left w:val="nil"/>
              <w:bottom w:val="single" w:sz="4" w:space="0" w:color="auto"/>
            </w:tcBorders>
            <w:shd w:val="clear" w:color="000000" w:fill="FFFFFF"/>
            <w:noWrap/>
            <w:vAlign w:val="center"/>
            <w:hideMark/>
          </w:tcPr>
          <w:p w14:paraId="2289440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-0,0021</w:t>
            </w:r>
          </w:p>
        </w:tc>
        <w:tc>
          <w:tcPr>
            <w:tcW w:w="1878" w:type="dxa"/>
            <w:tcBorders>
              <w:top w:val="nil"/>
              <w:left w:val="nil"/>
              <w:bottom w:val="single" w:sz="4" w:space="0" w:color="auto"/>
            </w:tcBorders>
            <w:shd w:val="clear" w:color="000000" w:fill="FFFFFF"/>
            <w:noWrap/>
            <w:vAlign w:val="center"/>
            <w:hideMark/>
          </w:tcPr>
          <w:p w14:paraId="0703C5D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0,0277</w:t>
            </w:r>
          </w:p>
        </w:tc>
        <w:tc>
          <w:tcPr>
            <w:tcW w:w="1879" w:type="dxa"/>
            <w:tcBorders>
              <w:top w:val="nil"/>
              <w:bottom w:val="single" w:sz="4" w:space="0" w:color="auto"/>
            </w:tcBorders>
            <w:shd w:val="clear" w:color="000000" w:fill="FFFFFF"/>
            <w:noWrap/>
            <w:vAlign w:val="center"/>
            <w:hideMark/>
          </w:tcPr>
          <w:p w14:paraId="36C9A84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-0,2476</w:t>
            </w:r>
          </w:p>
        </w:tc>
      </w:tr>
      <w:tr w:rsidR="00102CF7" w:rsidRPr="00635ABF" w14:paraId="40DA8A7D" w14:textId="77777777" w:rsidTr="00F52B6A">
        <w:trPr>
          <w:trHeight w:val="397"/>
        </w:trPr>
        <w:tc>
          <w:tcPr>
            <w:tcW w:w="1878" w:type="dxa"/>
            <w:tcBorders>
              <w:top w:val="nil"/>
              <w:bottom w:val="single" w:sz="4" w:space="0" w:color="auto"/>
            </w:tcBorders>
            <w:shd w:val="clear" w:color="000000" w:fill="FFFFFF"/>
            <w:noWrap/>
            <w:vAlign w:val="center"/>
            <w:hideMark/>
          </w:tcPr>
          <w:p w14:paraId="7F0AB8B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(+1;+1)</w:t>
            </w:r>
          </w:p>
        </w:tc>
        <w:tc>
          <w:tcPr>
            <w:tcW w:w="1878" w:type="dxa"/>
            <w:tcBorders>
              <w:top w:val="nil"/>
              <w:left w:val="nil"/>
              <w:bottom w:val="single" w:sz="4" w:space="0" w:color="auto"/>
            </w:tcBorders>
            <w:shd w:val="clear" w:color="000000" w:fill="FFFFFF"/>
            <w:noWrap/>
            <w:vAlign w:val="center"/>
            <w:hideMark/>
          </w:tcPr>
          <w:p w14:paraId="595D6F7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0,0022</w:t>
            </w:r>
          </w:p>
        </w:tc>
        <w:tc>
          <w:tcPr>
            <w:tcW w:w="1878" w:type="dxa"/>
            <w:tcBorders>
              <w:top w:val="nil"/>
              <w:left w:val="nil"/>
              <w:bottom w:val="single" w:sz="4" w:space="0" w:color="auto"/>
            </w:tcBorders>
            <w:shd w:val="clear" w:color="000000" w:fill="FFFFFF"/>
            <w:noWrap/>
            <w:vAlign w:val="center"/>
            <w:hideMark/>
          </w:tcPr>
          <w:p w14:paraId="708A158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0,0211</w:t>
            </w:r>
          </w:p>
        </w:tc>
        <w:tc>
          <w:tcPr>
            <w:tcW w:w="1879" w:type="dxa"/>
            <w:tcBorders>
              <w:top w:val="nil"/>
              <w:bottom w:val="single" w:sz="4" w:space="0" w:color="auto"/>
            </w:tcBorders>
            <w:shd w:val="clear" w:color="000000" w:fill="FFFFFF"/>
            <w:noWrap/>
            <w:vAlign w:val="center"/>
            <w:hideMark/>
          </w:tcPr>
          <w:p w14:paraId="7C699C9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0,3426</w:t>
            </w:r>
          </w:p>
        </w:tc>
      </w:tr>
      <w:tr w:rsidR="00102CF7" w:rsidRPr="00635ABF" w14:paraId="7DD8100D" w14:textId="77777777" w:rsidTr="00F52B6A">
        <w:trPr>
          <w:trHeight w:val="397"/>
        </w:trPr>
        <w:tc>
          <w:tcPr>
            <w:tcW w:w="1878" w:type="dxa"/>
            <w:tcBorders>
              <w:top w:val="nil"/>
              <w:bottom w:val="single" w:sz="4" w:space="0" w:color="auto"/>
            </w:tcBorders>
            <w:shd w:val="clear" w:color="000000" w:fill="FFFFFF"/>
            <w:noWrap/>
            <w:vAlign w:val="center"/>
            <w:hideMark/>
          </w:tcPr>
          <w:p w14:paraId="1AFFAD1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(+2;+2)</w:t>
            </w:r>
          </w:p>
        </w:tc>
        <w:tc>
          <w:tcPr>
            <w:tcW w:w="1878" w:type="dxa"/>
            <w:tcBorders>
              <w:top w:val="nil"/>
              <w:left w:val="nil"/>
              <w:bottom w:val="single" w:sz="4" w:space="0" w:color="auto"/>
            </w:tcBorders>
            <w:shd w:val="clear" w:color="000000" w:fill="FFFFFF"/>
            <w:noWrap/>
            <w:vAlign w:val="center"/>
            <w:hideMark/>
          </w:tcPr>
          <w:p w14:paraId="5D9EF58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0,0030</w:t>
            </w:r>
          </w:p>
        </w:tc>
        <w:tc>
          <w:tcPr>
            <w:tcW w:w="1878" w:type="dxa"/>
            <w:tcBorders>
              <w:top w:val="nil"/>
              <w:left w:val="nil"/>
              <w:bottom w:val="single" w:sz="4" w:space="0" w:color="auto"/>
            </w:tcBorders>
            <w:shd w:val="clear" w:color="000000" w:fill="FFFFFF"/>
            <w:noWrap/>
            <w:vAlign w:val="center"/>
            <w:hideMark/>
          </w:tcPr>
          <w:p w14:paraId="363D6CF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0,0307</w:t>
            </w:r>
          </w:p>
        </w:tc>
        <w:tc>
          <w:tcPr>
            <w:tcW w:w="1879" w:type="dxa"/>
            <w:tcBorders>
              <w:top w:val="nil"/>
              <w:bottom w:val="single" w:sz="4" w:space="0" w:color="auto"/>
            </w:tcBorders>
            <w:shd w:val="clear" w:color="000000" w:fill="FFFFFF"/>
            <w:noWrap/>
            <w:vAlign w:val="center"/>
            <w:hideMark/>
          </w:tcPr>
          <w:p w14:paraId="6D8B344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0,3287</w:t>
            </w:r>
          </w:p>
        </w:tc>
      </w:tr>
      <w:tr w:rsidR="00102CF7" w:rsidRPr="00635ABF" w14:paraId="02B74B59" w14:textId="77777777" w:rsidTr="00F52B6A">
        <w:trPr>
          <w:trHeight w:val="397"/>
        </w:trPr>
        <w:tc>
          <w:tcPr>
            <w:tcW w:w="1878" w:type="dxa"/>
            <w:tcBorders>
              <w:top w:val="nil"/>
              <w:bottom w:val="single" w:sz="4" w:space="0" w:color="auto"/>
            </w:tcBorders>
            <w:shd w:val="clear" w:color="000000" w:fill="FFFFFF"/>
            <w:noWrap/>
            <w:vAlign w:val="center"/>
            <w:hideMark/>
          </w:tcPr>
          <w:p w14:paraId="64ECB85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(+2;+3)</w:t>
            </w:r>
          </w:p>
        </w:tc>
        <w:tc>
          <w:tcPr>
            <w:tcW w:w="1878" w:type="dxa"/>
            <w:tcBorders>
              <w:top w:val="nil"/>
              <w:left w:val="nil"/>
              <w:bottom w:val="single" w:sz="4" w:space="0" w:color="auto"/>
            </w:tcBorders>
            <w:shd w:val="clear" w:color="000000" w:fill="FFFFFF"/>
            <w:noWrap/>
            <w:vAlign w:val="center"/>
            <w:hideMark/>
          </w:tcPr>
          <w:p w14:paraId="6869822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0,0049</w:t>
            </w:r>
          </w:p>
        </w:tc>
        <w:tc>
          <w:tcPr>
            <w:tcW w:w="1878" w:type="dxa"/>
            <w:tcBorders>
              <w:top w:val="nil"/>
              <w:left w:val="nil"/>
              <w:bottom w:val="single" w:sz="4" w:space="0" w:color="auto"/>
            </w:tcBorders>
            <w:shd w:val="clear" w:color="000000" w:fill="FFFFFF"/>
            <w:noWrap/>
            <w:vAlign w:val="center"/>
            <w:hideMark/>
          </w:tcPr>
          <w:p w14:paraId="32B2FF1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0,0225</w:t>
            </w:r>
          </w:p>
        </w:tc>
        <w:tc>
          <w:tcPr>
            <w:tcW w:w="1879" w:type="dxa"/>
            <w:tcBorders>
              <w:top w:val="nil"/>
              <w:bottom w:val="single" w:sz="4" w:space="0" w:color="auto"/>
            </w:tcBorders>
            <w:shd w:val="clear" w:color="000000" w:fill="FFFFFF"/>
            <w:noWrap/>
            <w:vAlign w:val="center"/>
            <w:hideMark/>
          </w:tcPr>
          <w:p w14:paraId="17F1D96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0,7281</w:t>
            </w:r>
          </w:p>
        </w:tc>
      </w:tr>
      <w:tr w:rsidR="00102CF7" w:rsidRPr="00635ABF" w14:paraId="6FA79D21" w14:textId="77777777" w:rsidTr="00F52B6A">
        <w:trPr>
          <w:trHeight w:val="397"/>
        </w:trPr>
        <w:tc>
          <w:tcPr>
            <w:tcW w:w="1878" w:type="dxa"/>
            <w:tcBorders>
              <w:top w:val="nil"/>
              <w:bottom w:val="single" w:sz="4" w:space="0" w:color="auto"/>
            </w:tcBorders>
            <w:shd w:val="clear" w:color="000000" w:fill="FFFFFF"/>
            <w:noWrap/>
            <w:vAlign w:val="center"/>
            <w:hideMark/>
          </w:tcPr>
          <w:p w14:paraId="4CD2516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(+2;+4)</w:t>
            </w:r>
          </w:p>
        </w:tc>
        <w:tc>
          <w:tcPr>
            <w:tcW w:w="1878" w:type="dxa"/>
            <w:tcBorders>
              <w:top w:val="nil"/>
              <w:left w:val="nil"/>
              <w:bottom w:val="single" w:sz="4" w:space="0" w:color="auto"/>
            </w:tcBorders>
            <w:shd w:val="clear" w:color="000000" w:fill="FFFFFF"/>
            <w:noWrap/>
            <w:vAlign w:val="center"/>
            <w:hideMark/>
          </w:tcPr>
          <w:p w14:paraId="3B8A900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0,0021</w:t>
            </w:r>
          </w:p>
        </w:tc>
        <w:tc>
          <w:tcPr>
            <w:tcW w:w="1878" w:type="dxa"/>
            <w:tcBorders>
              <w:top w:val="nil"/>
              <w:left w:val="nil"/>
              <w:bottom w:val="single" w:sz="4" w:space="0" w:color="auto"/>
            </w:tcBorders>
            <w:shd w:val="clear" w:color="000000" w:fill="FFFFFF"/>
            <w:noWrap/>
            <w:vAlign w:val="center"/>
            <w:hideMark/>
          </w:tcPr>
          <w:p w14:paraId="4DC332D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0,0168</w:t>
            </w:r>
          </w:p>
        </w:tc>
        <w:tc>
          <w:tcPr>
            <w:tcW w:w="1879" w:type="dxa"/>
            <w:tcBorders>
              <w:top w:val="nil"/>
              <w:bottom w:val="single" w:sz="4" w:space="0" w:color="auto"/>
            </w:tcBorders>
            <w:shd w:val="clear" w:color="000000" w:fill="FFFFFF"/>
            <w:noWrap/>
            <w:vAlign w:val="center"/>
            <w:hideMark/>
          </w:tcPr>
          <w:p w14:paraId="5481DF4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0,4223</w:t>
            </w:r>
          </w:p>
        </w:tc>
      </w:tr>
      <w:tr w:rsidR="00102CF7" w:rsidRPr="00635ABF" w14:paraId="69671B13" w14:textId="77777777" w:rsidTr="00F52B6A">
        <w:trPr>
          <w:trHeight w:val="397"/>
        </w:trPr>
        <w:tc>
          <w:tcPr>
            <w:tcW w:w="1878" w:type="dxa"/>
            <w:tcBorders>
              <w:top w:val="single" w:sz="4" w:space="0" w:color="auto"/>
              <w:bottom w:val="single" w:sz="12" w:space="0" w:color="auto"/>
            </w:tcBorders>
            <w:shd w:val="clear" w:color="000000" w:fill="FFFFFF"/>
            <w:noWrap/>
            <w:vAlign w:val="center"/>
            <w:hideMark/>
          </w:tcPr>
          <w:p w14:paraId="0C43EC8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(+2;+5)</w:t>
            </w:r>
          </w:p>
        </w:tc>
        <w:tc>
          <w:tcPr>
            <w:tcW w:w="1878" w:type="dxa"/>
            <w:tcBorders>
              <w:top w:val="single" w:sz="4" w:space="0" w:color="auto"/>
              <w:left w:val="nil"/>
              <w:bottom w:val="single" w:sz="12" w:space="0" w:color="auto"/>
            </w:tcBorders>
            <w:shd w:val="clear" w:color="000000" w:fill="FFFFFF"/>
            <w:noWrap/>
            <w:vAlign w:val="center"/>
            <w:hideMark/>
          </w:tcPr>
          <w:p w14:paraId="24D4F1E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-0,0010</w:t>
            </w:r>
          </w:p>
        </w:tc>
        <w:tc>
          <w:tcPr>
            <w:tcW w:w="1878" w:type="dxa"/>
            <w:tcBorders>
              <w:top w:val="single" w:sz="4" w:space="0" w:color="auto"/>
              <w:left w:val="nil"/>
              <w:bottom w:val="single" w:sz="12" w:space="0" w:color="auto"/>
            </w:tcBorders>
            <w:shd w:val="clear" w:color="000000" w:fill="FFFFFF"/>
            <w:noWrap/>
            <w:vAlign w:val="center"/>
            <w:hideMark/>
          </w:tcPr>
          <w:p w14:paraId="1850C0A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0,0154</w:t>
            </w:r>
          </w:p>
        </w:tc>
        <w:tc>
          <w:tcPr>
            <w:tcW w:w="1879" w:type="dxa"/>
            <w:tcBorders>
              <w:top w:val="single" w:sz="4" w:space="0" w:color="auto"/>
              <w:bottom w:val="single" w:sz="12" w:space="0" w:color="auto"/>
            </w:tcBorders>
            <w:shd w:val="clear" w:color="000000" w:fill="FFFFFF"/>
            <w:noWrap/>
            <w:vAlign w:val="center"/>
            <w:hideMark/>
          </w:tcPr>
          <w:p w14:paraId="6CFB6DB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-0,2234</w:t>
            </w:r>
          </w:p>
        </w:tc>
      </w:tr>
    </w:tbl>
    <w:p w14:paraId="205D1223" w14:textId="2D8D8D6D" w:rsidR="006E0368" w:rsidRPr="00635ABF" w:rsidRDefault="006E0368" w:rsidP="00FE6BB8">
      <w:pPr>
        <w:spacing w:afterLines="0" w:after="0" w:line="240" w:lineRule="auto"/>
        <w:rPr>
          <w:rFonts w:cs="Arial"/>
          <w:szCs w:val="24"/>
        </w:rPr>
      </w:pPr>
    </w:p>
    <w:p w14:paraId="39336C25" w14:textId="5EAAC3E7" w:rsidR="00C537F5" w:rsidRPr="00635ABF" w:rsidRDefault="00C537F5" w:rsidP="00C537F5">
      <w:pPr>
        <w:spacing w:afterLines="0" w:after="0" w:line="240" w:lineRule="auto"/>
        <w:rPr>
          <w:rFonts w:cs="Arial"/>
          <w:szCs w:val="24"/>
        </w:rPr>
      </w:pPr>
      <w:bookmarkStart w:id="2" w:name="_Hlk169436853"/>
      <w:r w:rsidRPr="00635ABF">
        <w:rPr>
          <w:rFonts w:cs="Arial"/>
          <w:szCs w:val="24"/>
        </w:rPr>
        <w:t xml:space="preserve">Os valores apresentados na Tabela 3 revelam que os retornos acumulados nos períodos </w:t>
      </w:r>
      <w:proofErr w:type="spellStart"/>
      <w:r w:rsidRPr="00635ABF">
        <w:rPr>
          <w:rFonts w:cs="Arial"/>
          <w:szCs w:val="24"/>
        </w:rPr>
        <w:t>pré</w:t>
      </w:r>
      <w:proofErr w:type="spellEnd"/>
      <w:r w:rsidRPr="00635ABF">
        <w:rPr>
          <w:rFonts w:cs="Arial"/>
          <w:szCs w:val="24"/>
        </w:rPr>
        <w:t>-evento de (-5;0) a (-1;0) não são estatisticamente significativos, bem como o do dia do evento e os retornos pós-evento. A maior parte dos retornos acumulados anormais antes do evento são negativos, mas não significativos, com exceção do intervalo (-2;0), que está próximo da significância estatística. Isso pode indicar uma expectativa de impacto negativo da alta da Selic, mas sem uma antecipação clara do mercado. O retorno no dia do evento é ligeiramente negativo e não significativo, sugerindo uma reação neutra ou a absorção da notícia sem grande surpresa. Observa-se uma tendência de recuperação nos dias seguintes ao evento, mas sem significância estatística, indicando que, embora o mercado possa inicialmente reagir negativamente, ele tende a se estabilizar ou se recuperar ligeiramente após a alta da Selic.</w:t>
      </w:r>
    </w:p>
    <w:p w14:paraId="30E7A5ED" w14:textId="1A5579A8" w:rsidR="00F52B6A" w:rsidRPr="00635ABF" w:rsidRDefault="00C537F5" w:rsidP="00C537F5">
      <w:pPr>
        <w:spacing w:afterLines="0" w:after="0" w:line="240" w:lineRule="auto"/>
        <w:rPr>
          <w:rFonts w:cs="Arial"/>
          <w:szCs w:val="24"/>
        </w:rPr>
      </w:pPr>
      <w:r w:rsidRPr="00635ABF">
        <w:rPr>
          <w:rFonts w:cs="Arial"/>
          <w:szCs w:val="24"/>
        </w:rPr>
        <w:t xml:space="preserve"> É importante considerar o contexto econômico mais amplo durante os períodos analisados. A ausência de crise pode indicar que o mercado estava em uma posição relativamente estável, influenciando as reações aos aumentos da Selic.</w:t>
      </w:r>
      <w:bookmarkEnd w:id="2"/>
    </w:p>
    <w:p w14:paraId="2593ADE6" w14:textId="77777777" w:rsidR="00C537F5" w:rsidRPr="00635ABF" w:rsidRDefault="00C537F5" w:rsidP="00C537F5">
      <w:pPr>
        <w:spacing w:afterLines="0" w:after="0" w:line="240" w:lineRule="auto"/>
        <w:rPr>
          <w:rFonts w:cs="Arial"/>
          <w:szCs w:val="24"/>
        </w:rPr>
      </w:pPr>
    </w:p>
    <w:p w14:paraId="2F1420EE" w14:textId="2F2F43DE" w:rsidR="00F52B6A" w:rsidRPr="00635ABF" w:rsidRDefault="00F52B6A" w:rsidP="00F52B6A">
      <w:pPr>
        <w:spacing w:afterLines="0" w:after="0" w:line="240" w:lineRule="auto"/>
        <w:ind w:firstLine="0"/>
        <w:jc w:val="center"/>
        <w:rPr>
          <w:rFonts w:cs="Arial"/>
          <w:szCs w:val="24"/>
        </w:rPr>
      </w:pPr>
      <w:r w:rsidRPr="00635ABF">
        <w:rPr>
          <w:rFonts w:cs="Arial"/>
          <w:szCs w:val="24"/>
        </w:rPr>
        <w:t>Tabela 4 – Eventos com variação positiva da Selic no período de crise de 01/2015 a 12/2016</w:t>
      </w:r>
    </w:p>
    <w:p w14:paraId="57F86C9C" w14:textId="77777777" w:rsidR="00F52B6A" w:rsidRPr="00635ABF" w:rsidRDefault="00F52B6A" w:rsidP="00FE6BB8">
      <w:pPr>
        <w:spacing w:afterLines="0" w:after="0" w:line="240" w:lineRule="auto"/>
        <w:rPr>
          <w:rFonts w:cs="Arial"/>
          <w:szCs w:val="24"/>
        </w:rPr>
      </w:pPr>
    </w:p>
    <w:tbl>
      <w:tblPr>
        <w:tblW w:w="7720" w:type="dxa"/>
        <w:tblInd w:w="846" w:type="dxa"/>
        <w:tblLayout w:type="fixed"/>
        <w:tblCellMar>
          <w:left w:w="70" w:type="dxa"/>
          <w:right w:w="70" w:type="dxa"/>
        </w:tblCellMar>
        <w:tblLook w:val="04A0" w:firstRow="1" w:lastRow="0" w:firstColumn="1" w:lastColumn="0" w:noHBand="0" w:noVBand="1"/>
      </w:tblPr>
      <w:tblGrid>
        <w:gridCol w:w="1930"/>
        <w:gridCol w:w="1930"/>
        <w:gridCol w:w="1930"/>
        <w:gridCol w:w="1930"/>
      </w:tblGrid>
      <w:tr w:rsidR="006E0368" w:rsidRPr="00635ABF" w14:paraId="39A59C8E" w14:textId="77777777" w:rsidTr="00F52B6A">
        <w:trPr>
          <w:trHeight w:val="397"/>
        </w:trPr>
        <w:tc>
          <w:tcPr>
            <w:tcW w:w="1930" w:type="dxa"/>
            <w:tcBorders>
              <w:top w:val="single" w:sz="12" w:space="0" w:color="auto"/>
              <w:bottom w:val="single" w:sz="12" w:space="0" w:color="auto"/>
            </w:tcBorders>
            <w:shd w:val="clear" w:color="000000" w:fill="FFFFFF"/>
            <w:noWrap/>
            <w:vAlign w:val="center"/>
            <w:hideMark/>
          </w:tcPr>
          <w:p w14:paraId="3F6D5F3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Janelas</w:t>
            </w:r>
          </w:p>
        </w:tc>
        <w:tc>
          <w:tcPr>
            <w:tcW w:w="1930" w:type="dxa"/>
            <w:tcBorders>
              <w:top w:val="single" w:sz="12" w:space="0" w:color="auto"/>
              <w:left w:val="nil"/>
              <w:bottom w:val="single" w:sz="12" w:space="0" w:color="auto"/>
            </w:tcBorders>
            <w:shd w:val="clear" w:color="000000" w:fill="FFFFFF"/>
            <w:noWrap/>
            <w:vAlign w:val="center"/>
            <w:hideMark/>
          </w:tcPr>
          <w:p w14:paraId="61E9FF31" w14:textId="77777777" w:rsidR="006E0368"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acc>
                      <m:accPr>
                        <m:chr m:val="̅"/>
                        <m:ctrlPr>
                          <w:rPr>
                            <w:rFonts w:ascii="Cambria Math" w:hAnsi="Cambria Math" w:cs="Arial"/>
                            <w:sz w:val="20"/>
                            <w:szCs w:val="20"/>
                          </w:rPr>
                        </m:ctrlPr>
                      </m:accPr>
                      <m:e>
                        <m:r>
                          <w:rPr>
                            <w:rFonts w:ascii="Cambria Math" w:hAnsi="Cambria Math" w:cs="Arial"/>
                            <w:sz w:val="20"/>
                            <w:szCs w:val="20"/>
                          </w:rPr>
                          <m:t>CAR</m:t>
                        </m:r>
                      </m:e>
                    </m:acc>
                  </m:e>
                  <m:sub>
                    <m:r>
                      <w:rPr>
                        <w:rFonts w:ascii="Cambria Math" w:hAnsi="Cambria Math" w:cs="Arial"/>
                        <w:sz w:val="20"/>
                        <w:szCs w:val="20"/>
                      </w:rPr>
                      <m:t>t</m:t>
                    </m:r>
                    <m:r>
                      <m:rPr>
                        <m:sty m:val="p"/>
                      </m:rPr>
                      <w:rPr>
                        <w:rFonts w:ascii="Cambria Math" w:hAnsi="Cambria Math" w:cs="Arial"/>
                        <w:sz w:val="20"/>
                        <w:szCs w:val="20"/>
                      </w:rPr>
                      <m:t xml:space="preserve"> =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ub>
                </m:sSub>
              </m:oMath>
            </m:oMathPara>
          </w:p>
        </w:tc>
        <w:tc>
          <w:tcPr>
            <w:tcW w:w="1930" w:type="dxa"/>
            <w:tcBorders>
              <w:top w:val="single" w:sz="12" w:space="0" w:color="auto"/>
              <w:left w:val="nil"/>
              <w:bottom w:val="single" w:sz="12" w:space="0" w:color="auto"/>
            </w:tcBorders>
            <w:shd w:val="clear" w:color="000000" w:fill="FFFFFF"/>
            <w:noWrap/>
            <w:vAlign w:val="center"/>
            <w:hideMark/>
          </w:tcPr>
          <w:p w14:paraId="68EFE892" w14:textId="77777777" w:rsidR="006E0368"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σ</m:t>
                    </m:r>
                  </m:e>
                  <m:sub>
                    <m:sSub>
                      <m:sSubPr>
                        <m:ctrlPr>
                          <w:rPr>
                            <w:rFonts w:ascii="Cambria Math" w:hAnsi="Cambria Math" w:cs="Arial"/>
                            <w:sz w:val="20"/>
                            <w:szCs w:val="20"/>
                          </w:rPr>
                        </m:ctrlPr>
                      </m:sSubPr>
                      <m:e>
                        <m:r>
                          <w:rPr>
                            <w:rFonts w:ascii="Cambria Math" w:hAnsi="Cambria Math" w:cs="Arial"/>
                            <w:sz w:val="20"/>
                            <w:szCs w:val="20"/>
                          </w:rPr>
                          <m:t>CAR</m:t>
                        </m:r>
                      </m:e>
                      <m:sub>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sub>
                    </m:sSub>
                  </m:sub>
                </m:sSub>
              </m:oMath>
            </m:oMathPara>
          </w:p>
        </w:tc>
        <w:tc>
          <w:tcPr>
            <w:tcW w:w="1930" w:type="dxa"/>
            <w:tcBorders>
              <w:top w:val="single" w:sz="12" w:space="0" w:color="auto"/>
              <w:bottom w:val="single" w:sz="12" w:space="0" w:color="auto"/>
            </w:tcBorders>
            <w:shd w:val="clear" w:color="000000" w:fill="FFFFFF"/>
            <w:noWrap/>
            <w:vAlign w:val="center"/>
            <w:hideMark/>
          </w:tcPr>
          <w:p w14:paraId="56BA06D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Teste t-</w:t>
            </w:r>
            <w:proofErr w:type="spellStart"/>
            <w:r w:rsidRPr="00635ABF">
              <w:rPr>
                <w:rFonts w:cs="Arial"/>
                <w:sz w:val="20"/>
                <w:szCs w:val="20"/>
              </w:rPr>
              <w:t>Student</w:t>
            </w:r>
            <w:proofErr w:type="spellEnd"/>
          </w:p>
        </w:tc>
      </w:tr>
      <w:tr w:rsidR="006E0368" w:rsidRPr="00635ABF" w14:paraId="0C84E868" w14:textId="77777777" w:rsidTr="00F52B6A">
        <w:trPr>
          <w:trHeight w:val="397"/>
        </w:trPr>
        <w:tc>
          <w:tcPr>
            <w:tcW w:w="1930" w:type="dxa"/>
            <w:tcBorders>
              <w:top w:val="single" w:sz="12" w:space="0" w:color="auto"/>
              <w:bottom w:val="single" w:sz="4" w:space="0" w:color="auto"/>
            </w:tcBorders>
            <w:shd w:val="clear" w:color="000000" w:fill="FFFFFF"/>
            <w:noWrap/>
            <w:vAlign w:val="center"/>
            <w:hideMark/>
          </w:tcPr>
          <w:p w14:paraId="2173D8B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(-5;0)</w:t>
            </w:r>
          </w:p>
        </w:tc>
        <w:tc>
          <w:tcPr>
            <w:tcW w:w="1930" w:type="dxa"/>
            <w:tcBorders>
              <w:top w:val="single" w:sz="12" w:space="0" w:color="auto"/>
              <w:left w:val="nil"/>
              <w:bottom w:val="single" w:sz="4" w:space="0" w:color="auto"/>
            </w:tcBorders>
            <w:shd w:val="clear" w:color="000000" w:fill="FFFFFF"/>
            <w:noWrap/>
            <w:vAlign w:val="center"/>
            <w:hideMark/>
          </w:tcPr>
          <w:p w14:paraId="744EACBD"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0,0026</w:t>
            </w:r>
          </w:p>
        </w:tc>
        <w:tc>
          <w:tcPr>
            <w:tcW w:w="1930" w:type="dxa"/>
            <w:tcBorders>
              <w:top w:val="single" w:sz="12" w:space="0" w:color="auto"/>
              <w:left w:val="nil"/>
              <w:bottom w:val="single" w:sz="4" w:space="0" w:color="auto"/>
            </w:tcBorders>
            <w:shd w:val="clear" w:color="000000" w:fill="FFFFFF"/>
            <w:noWrap/>
            <w:vAlign w:val="center"/>
            <w:hideMark/>
          </w:tcPr>
          <w:p w14:paraId="0945C5F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0,0172</w:t>
            </w:r>
          </w:p>
        </w:tc>
        <w:tc>
          <w:tcPr>
            <w:tcW w:w="1930" w:type="dxa"/>
            <w:tcBorders>
              <w:top w:val="single" w:sz="12" w:space="0" w:color="auto"/>
              <w:bottom w:val="single" w:sz="4" w:space="0" w:color="auto"/>
            </w:tcBorders>
            <w:shd w:val="clear" w:color="000000" w:fill="FFFFFF"/>
            <w:noWrap/>
            <w:vAlign w:val="center"/>
            <w:hideMark/>
          </w:tcPr>
          <w:p w14:paraId="54C7B55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0,3373</w:t>
            </w:r>
          </w:p>
        </w:tc>
      </w:tr>
      <w:tr w:rsidR="006E0368" w:rsidRPr="00635ABF" w14:paraId="16B6F6B0" w14:textId="77777777" w:rsidTr="00F52B6A">
        <w:trPr>
          <w:trHeight w:val="397"/>
        </w:trPr>
        <w:tc>
          <w:tcPr>
            <w:tcW w:w="1930" w:type="dxa"/>
            <w:tcBorders>
              <w:top w:val="nil"/>
              <w:bottom w:val="single" w:sz="4" w:space="0" w:color="auto"/>
            </w:tcBorders>
            <w:shd w:val="clear" w:color="000000" w:fill="FFFFFF"/>
            <w:noWrap/>
            <w:vAlign w:val="center"/>
            <w:hideMark/>
          </w:tcPr>
          <w:p w14:paraId="61D4A5C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(-4;0)</w:t>
            </w:r>
          </w:p>
        </w:tc>
        <w:tc>
          <w:tcPr>
            <w:tcW w:w="1930" w:type="dxa"/>
            <w:tcBorders>
              <w:top w:val="nil"/>
              <w:left w:val="nil"/>
              <w:bottom w:val="single" w:sz="4" w:space="0" w:color="auto"/>
            </w:tcBorders>
            <w:shd w:val="clear" w:color="000000" w:fill="FFFFFF"/>
            <w:noWrap/>
            <w:vAlign w:val="center"/>
            <w:hideMark/>
          </w:tcPr>
          <w:p w14:paraId="35E8FF37"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0,0027</w:t>
            </w:r>
          </w:p>
        </w:tc>
        <w:tc>
          <w:tcPr>
            <w:tcW w:w="1930" w:type="dxa"/>
            <w:tcBorders>
              <w:top w:val="nil"/>
              <w:left w:val="nil"/>
              <w:bottom w:val="single" w:sz="4" w:space="0" w:color="auto"/>
            </w:tcBorders>
            <w:shd w:val="clear" w:color="000000" w:fill="FFFFFF"/>
            <w:noWrap/>
            <w:vAlign w:val="center"/>
            <w:hideMark/>
          </w:tcPr>
          <w:p w14:paraId="4693A9BC"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0,0240</w:t>
            </w:r>
          </w:p>
        </w:tc>
        <w:tc>
          <w:tcPr>
            <w:tcW w:w="1930" w:type="dxa"/>
            <w:tcBorders>
              <w:top w:val="nil"/>
              <w:bottom w:val="single" w:sz="4" w:space="0" w:color="auto"/>
            </w:tcBorders>
            <w:shd w:val="clear" w:color="000000" w:fill="FFFFFF"/>
            <w:noWrap/>
            <w:vAlign w:val="center"/>
            <w:hideMark/>
          </w:tcPr>
          <w:p w14:paraId="29E3797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0,2485</w:t>
            </w:r>
          </w:p>
        </w:tc>
      </w:tr>
      <w:tr w:rsidR="006E0368" w:rsidRPr="00635ABF" w14:paraId="6BBF4C2A" w14:textId="77777777" w:rsidTr="00F52B6A">
        <w:trPr>
          <w:trHeight w:val="397"/>
        </w:trPr>
        <w:tc>
          <w:tcPr>
            <w:tcW w:w="1930" w:type="dxa"/>
            <w:tcBorders>
              <w:top w:val="nil"/>
              <w:bottom w:val="single" w:sz="4" w:space="0" w:color="auto"/>
            </w:tcBorders>
            <w:shd w:val="clear" w:color="000000" w:fill="FFFFFF"/>
            <w:noWrap/>
            <w:vAlign w:val="center"/>
            <w:hideMark/>
          </w:tcPr>
          <w:p w14:paraId="0422837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lastRenderedPageBreak/>
              <w:t>(-3;0)</w:t>
            </w:r>
          </w:p>
        </w:tc>
        <w:tc>
          <w:tcPr>
            <w:tcW w:w="1930" w:type="dxa"/>
            <w:tcBorders>
              <w:top w:val="nil"/>
              <w:left w:val="nil"/>
              <w:bottom w:val="single" w:sz="4" w:space="0" w:color="auto"/>
            </w:tcBorders>
            <w:shd w:val="clear" w:color="000000" w:fill="FFFFFF"/>
            <w:noWrap/>
            <w:vAlign w:val="center"/>
            <w:hideMark/>
          </w:tcPr>
          <w:p w14:paraId="3B1A820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0,0013</w:t>
            </w:r>
          </w:p>
        </w:tc>
        <w:tc>
          <w:tcPr>
            <w:tcW w:w="1930" w:type="dxa"/>
            <w:tcBorders>
              <w:top w:val="nil"/>
              <w:left w:val="nil"/>
              <w:bottom w:val="single" w:sz="4" w:space="0" w:color="auto"/>
            </w:tcBorders>
            <w:shd w:val="clear" w:color="000000" w:fill="FFFFFF"/>
            <w:noWrap/>
            <w:vAlign w:val="center"/>
            <w:hideMark/>
          </w:tcPr>
          <w:p w14:paraId="02FA8AC1"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0,0252</w:t>
            </w:r>
          </w:p>
        </w:tc>
        <w:tc>
          <w:tcPr>
            <w:tcW w:w="1930" w:type="dxa"/>
            <w:tcBorders>
              <w:top w:val="nil"/>
              <w:bottom w:val="single" w:sz="4" w:space="0" w:color="auto"/>
            </w:tcBorders>
            <w:shd w:val="clear" w:color="000000" w:fill="FFFFFF"/>
            <w:noWrap/>
            <w:vAlign w:val="center"/>
            <w:hideMark/>
          </w:tcPr>
          <w:p w14:paraId="60A9C38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0,1179</w:t>
            </w:r>
          </w:p>
        </w:tc>
      </w:tr>
      <w:tr w:rsidR="006E0368" w:rsidRPr="00635ABF" w14:paraId="6ABB0AB1" w14:textId="77777777" w:rsidTr="00F52B6A">
        <w:trPr>
          <w:trHeight w:val="397"/>
        </w:trPr>
        <w:tc>
          <w:tcPr>
            <w:tcW w:w="1930" w:type="dxa"/>
            <w:tcBorders>
              <w:top w:val="nil"/>
              <w:bottom w:val="single" w:sz="4" w:space="0" w:color="auto"/>
            </w:tcBorders>
            <w:shd w:val="clear" w:color="000000" w:fill="FFFFFF"/>
            <w:noWrap/>
            <w:vAlign w:val="center"/>
            <w:hideMark/>
          </w:tcPr>
          <w:p w14:paraId="24D9DF98"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(-2;0)</w:t>
            </w:r>
          </w:p>
        </w:tc>
        <w:tc>
          <w:tcPr>
            <w:tcW w:w="1930" w:type="dxa"/>
            <w:tcBorders>
              <w:top w:val="nil"/>
              <w:left w:val="nil"/>
              <w:bottom w:val="single" w:sz="4" w:space="0" w:color="auto"/>
            </w:tcBorders>
            <w:shd w:val="clear" w:color="000000" w:fill="FFFFFF"/>
            <w:noWrap/>
            <w:vAlign w:val="center"/>
            <w:hideMark/>
          </w:tcPr>
          <w:p w14:paraId="55639944"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-0,0146</w:t>
            </w:r>
          </w:p>
        </w:tc>
        <w:tc>
          <w:tcPr>
            <w:tcW w:w="1930" w:type="dxa"/>
            <w:tcBorders>
              <w:top w:val="nil"/>
              <w:left w:val="nil"/>
              <w:bottom w:val="single" w:sz="4" w:space="0" w:color="auto"/>
            </w:tcBorders>
            <w:shd w:val="clear" w:color="000000" w:fill="FFFFFF"/>
            <w:noWrap/>
            <w:vAlign w:val="center"/>
            <w:hideMark/>
          </w:tcPr>
          <w:p w14:paraId="68FBB7B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0,0123</w:t>
            </w:r>
          </w:p>
        </w:tc>
        <w:tc>
          <w:tcPr>
            <w:tcW w:w="1930" w:type="dxa"/>
            <w:tcBorders>
              <w:top w:val="nil"/>
              <w:bottom w:val="single" w:sz="4" w:space="0" w:color="auto"/>
            </w:tcBorders>
            <w:shd w:val="clear" w:color="000000" w:fill="FFFFFF"/>
            <w:noWrap/>
            <w:vAlign w:val="center"/>
            <w:hideMark/>
          </w:tcPr>
          <w:p w14:paraId="1BC4DF66"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-2,6646</w:t>
            </w:r>
          </w:p>
        </w:tc>
      </w:tr>
      <w:tr w:rsidR="006E0368" w:rsidRPr="00635ABF" w14:paraId="5A1756F8" w14:textId="77777777" w:rsidTr="00F52B6A">
        <w:trPr>
          <w:trHeight w:val="397"/>
        </w:trPr>
        <w:tc>
          <w:tcPr>
            <w:tcW w:w="1930" w:type="dxa"/>
            <w:tcBorders>
              <w:top w:val="nil"/>
              <w:bottom w:val="single" w:sz="4" w:space="0" w:color="auto"/>
            </w:tcBorders>
            <w:shd w:val="clear" w:color="000000" w:fill="FFFFFF"/>
            <w:noWrap/>
            <w:vAlign w:val="center"/>
            <w:hideMark/>
          </w:tcPr>
          <w:p w14:paraId="249622CF"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(-1;0)</w:t>
            </w:r>
          </w:p>
        </w:tc>
        <w:tc>
          <w:tcPr>
            <w:tcW w:w="1930" w:type="dxa"/>
            <w:tcBorders>
              <w:top w:val="nil"/>
              <w:left w:val="nil"/>
              <w:bottom w:val="single" w:sz="4" w:space="0" w:color="auto"/>
            </w:tcBorders>
            <w:shd w:val="clear" w:color="000000" w:fill="FFFFFF"/>
            <w:noWrap/>
            <w:vAlign w:val="center"/>
            <w:hideMark/>
          </w:tcPr>
          <w:p w14:paraId="2EC2385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0,0088</w:t>
            </w:r>
          </w:p>
        </w:tc>
        <w:tc>
          <w:tcPr>
            <w:tcW w:w="1930" w:type="dxa"/>
            <w:tcBorders>
              <w:top w:val="nil"/>
              <w:left w:val="nil"/>
              <w:bottom w:val="single" w:sz="4" w:space="0" w:color="auto"/>
            </w:tcBorders>
            <w:shd w:val="clear" w:color="000000" w:fill="FFFFFF"/>
            <w:noWrap/>
            <w:vAlign w:val="center"/>
            <w:hideMark/>
          </w:tcPr>
          <w:p w14:paraId="6BF92777"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0,0124</w:t>
            </w:r>
          </w:p>
        </w:tc>
        <w:tc>
          <w:tcPr>
            <w:tcW w:w="1930" w:type="dxa"/>
            <w:tcBorders>
              <w:top w:val="nil"/>
              <w:bottom w:val="single" w:sz="4" w:space="0" w:color="auto"/>
            </w:tcBorders>
            <w:shd w:val="clear" w:color="000000" w:fill="FFFFFF"/>
            <w:noWrap/>
            <w:vAlign w:val="center"/>
            <w:hideMark/>
          </w:tcPr>
          <w:p w14:paraId="506BFEB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1,5787</w:t>
            </w:r>
          </w:p>
        </w:tc>
      </w:tr>
      <w:tr w:rsidR="006E0368" w:rsidRPr="00635ABF" w14:paraId="6586FF88" w14:textId="77777777" w:rsidTr="00F52B6A">
        <w:trPr>
          <w:trHeight w:val="397"/>
        </w:trPr>
        <w:tc>
          <w:tcPr>
            <w:tcW w:w="1930" w:type="dxa"/>
            <w:tcBorders>
              <w:top w:val="nil"/>
              <w:bottom w:val="single" w:sz="4" w:space="0" w:color="auto"/>
            </w:tcBorders>
            <w:shd w:val="clear" w:color="000000" w:fill="FFFFFF"/>
            <w:noWrap/>
            <w:vAlign w:val="center"/>
            <w:hideMark/>
          </w:tcPr>
          <w:p w14:paraId="4C70538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w:t>
            </w:r>
          </w:p>
        </w:tc>
        <w:tc>
          <w:tcPr>
            <w:tcW w:w="1930" w:type="dxa"/>
            <w:tcBorders>
              <w:top w:val="nil"/>
              <w:left w:val="nil"/>
              <w:bottom w:val="single" w:sz="4" w:space="0" w:color="auto"/>
            </w:tcBorders>
            <w:shd w:val="clear" w:color="000000" w:fill="FFFFFF"/>
            <w:noWrap/>
            <w:vAlign w:val="center"/>
            <w:hideMark/>
          </w:tcPr>
          <w:p w14:paraId="0C41C11C"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-0,0002</w:t>
            </w:r>
          </w:p>
        </w:tc>
        <w:tc>
          <w:tcPr>
            <w:tcW w:w="1930" w:type="dxa"/>
            <w:tcBorders>
              <w:top w:val="nil"/>
              <w:left w:val="nil"/>
              <w:bottom w:val="single" w:sz="4" w:space="0" w:color="auto"/>
            </w:tcBorders>
            <w:shd w:val="clear" w:color="000000" w:fill="FFFFFF"/>
            <w:noWrap/>
            <w:vAlign w:val="center"/>
            <w:hideMark/>
          </w:tcPr>
          <w:p w14:paraId="5199F8D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0,0332</w:t>
            </w:r>
          </w:p>
        </w:tc>
        <w:tc>
          <w:tcPr>
            <w:tcW w:w="1930" w:type="dxa"/>
            <w:tcBorders>
              <w:top w:val="nil"/>
              <w:bottom w:val="single" w:sz="4" w:space="0" w:color="auto"/>
            </w:tcBorders>
            <w:shd w:val="clear" w:color="000000" w:fill="FFFFFF"/>
            <w:noWrap/>
            <w:vAlign w:val="center"/>
            <w:hideMark/>
          </w:tcPr>
          <w:p w14:paraId="1AEBDCEC"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-0,0116</w:t>
            </w:r>
          </w:p>
        </w:tc>
      </w:tr>
      <w:tr w:rsidR="006E0368" w:rsidRPr="00635ABF" w14:paraId="125E2219" w14:textId="77777777" w:rsidTr="00F52B6A">
        <w:trPr>
          <w:trHeight w:val="397"/>
        </w:trPr>
        <w:tc>
          <w:tcPr>
            <w:tcW w:w="1930" w:type="dxa"/>
            <w:tcBorders>
              <w:top w:val="nil"/>
              <w:bottom w:val="single" w:sz="4" w:space="0" w:color="auto"/>
            </w:tcBorders>
            <w:shd w:val="clear" w:color="000000" w:fill="FFFFFF"/>
            <w:noWrap/>
            <w:vAlign w:val="center"/>
            <w:hideMark/>
          </w:tcPr>
          <w:p w14:paraId="0705EE4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(+1;+1)</w:t>
            </w:r>
          </w:p>
        </w:tc>
        <w:tc>
          <w:tcPr>
            <w:tcW w:w="1930" w:type="dxa"/>
            <w:tcBorders>
              <w:top w:val="nil"/>
              <w:left w:val="nil"/>
              <w:bottom w:val="single" w:sz="4" w:space="0" w:color="auto"/>
            </w:tcBorders>
            <w:shd w:val="clear" w:color="000000" w:fill="FFFFFF"/>
            <w:noWrap/>
            <w:vAlign w:val="center"/>
            <w:hideMark/>
          </w:tcPr>
          <w:p w14:paraId="09930CE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0,0033</w:t>
            </w:r>
          </w:p>
        </w:tc>
        <w:tc>
          <w:tcPr>
            <w:tcW w:w="1930" w:type="dxa"/>
            <w:tcBorders>
              <w:top w:val="nil"/>
              <w:left w:val="nil"/>
              <w:bottom w:val="single" w:sz="4" w:space="0" w:color="auto"/>
            </w:tcBorders>
            <w:shd w:val="clear" w:color="000000" w:fill="FFFFFF"/>
            <w:noWrap/>
            <w:vAlign w:val="center"/>
            <w:hideMark/>
          </w:tcPr>
          <w:p w14:paraId="696213F0"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0,0299</w:t>
            </w:r>
          </w:p>
        </w:tc>
        <w:tc>
          <w:tcPr>
            <w:tcW w:w="1930" w:type="dxa"/>
            <w:tcBorders>
              <w:top w:val="nil"/>
              <w:bottom w:val="single" w:sz="4" w:space="0" w:color="auto"/>
            </w:tcBorders>
            <w:shd w:val="clear" w:color="000000" w:fill="FFFFFF"/>
            <w:noWrap/>
            <w:vAlign w:val="center"/>
            <w:hideMark/>
          </w:tcPr>
          <w:p w14:paraId="72A3D638"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0,2489</w:t>
            </w:r>
          </w:p>
        </w:tc>
      </w:tr>
      <w:tr w:rsidR="006E0368" w:rsidRPr="00635ABF" w14:paraId="5B44068B" w14:textId="77777777" w:rsidTr="00F52B6A">
        <w:trPr>
          <w:trHeight w:val="397"/>
        </w:trPr>
        <w:tc>
          <w:tcPr>
            <w:tcW w:w="1930" w:type="dxa"/>
            <w:tcBorders>
              <w:top w:val="nil"/>
              <w:bottom w:val="single" w:sz="4" w:space="0" w:color="auto"/>
            </w:tcBorders>
            <w:shd w:val="clear" w:color="000000" w:fill="FFFFFF"/>
            <w:noWrap/>
            <w:vAlign w:val="center"/>
            <w:hideMark/>
          </w:tcPr>
          <w:p w14:paraId="404EE762"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(+2;+2)</w:t>
            </w:r>
          </w:p>
        </w:tc>
        <w:tc>
          <w:tcPr>
            <w:tcW w:w="1930" w:type="dxa"/>
            <w:tcBorders>
              <w:top w:val="nil"/>
              <w:left w:val="nil"/>
              <w:bottom w:val="single" w:sz="4" w:space="0" w:color="auto"/>
            </w:tcBorders>
            <w:shd w:val="clear" w:color="000000" w:fill="FFFFFF"/>
            <w:noWrap/>
            <w:vAlign w:val="center"/>
            <w:hideMark/>
          </w:tcPr>
          <w:p w14:paraId="2E0F6D5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0,0133</w:t>
            </w:r>
          </w:p>
        </w:tc>
        <w:tc>
          <w:tcPr>
            <w:tcW w:w="1930" w:type="dxa"/>
            <w:tcBorders>
              <w:top w:val="nil"/>
              <w:left w:val="nil"/>
              <w:bottom w:val="single" w:sz="4" w:space="0" w:color="auto"/>
            </w:tcBorders>
            <w:shd w:val="clear" w:color="000000" w:fill="FFFFFF"/>
            <w:noWrap/>
            <w:vAlign w:val="center"/>
            <w:hideMark/>
          </w:tcPr>
          <w:p w14:paraId="20E1D10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0,0206</w:t>
            </w:r>
          </w:p>
        </w:tc>
        <w:tc>
          <w:tcPr>
            <w:tcW w:w="1930" w:type="dxa"/>
            <w:tcBorders>
              <w:top w:val="nil"/>
              <w:bottom w:val="single" w:sz="4" w:space="0" w:color="auto"/>
            </w:tcBorders>
            <w:shd w:val="clear" w:color="000000" w:fill="FFFFFF"/>
            <w:noWrap/>
            <w:vAlign w:val="center"/>
            <w:hideMark/>
          </w:tcPr>
          <w:p w14:paraId="121C1AFD"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1,4383</w:t>
            </w:r>
          </w:p>
        </w:tc>
      </w:tr>
      <w:tr w:rsidR="006E0368" w:rsidRPr="00635ABF" w14:paraId="0FD210B3" w14:textId="77777777" w:rsidTr="00F52B6A">
        <w:trPr>
          <w:trHeight w:val="397"/>
        </w:trPr>
        <w:tc>
          <w:tcPr>
            <w:tcW w:w="1930" w:type="dxa"/>
            <w:tcBorders>
              <w:top w:val="nil"/>
              <w:bottom w:val="single" w:sz="4" w:space="0" w:color="auto"/>
            </w:tcBorders>
            <w:shd w:val="clear" w:color="000000" w:fill="FFFFFF"/>
            <w:noWrap/>
            <w:vAlign w:val="center"/>
            <w:hideMark/>
          </w:tcPr>
          <w:p w14:paraId="5BBBE9E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(+2;+3)</w:t>
            </w:r>
          </w:p>
        </w:tc>
        <w:tc>
          <w:tcPr>
            <w:tcW w:w="1930" w:type="dxa"/>
            <w:tcBorders>
              <w:top w:val="nil"/>
              <w:left w:val="nil"/>
              <w:bottom w:val="single" w:sz="4" w:space="0" w:color="auto"/>
            </w:tcBorders>
            <w:shd w:val="clear" w:color="000000" w:fill="FFFFFF"/>
            <w:noWrap/>
            <w:vAlign w:val="center"/>
            <w:hideMark/>
          </w:tcPr>
          <w:p w14:paraId="5308E981"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0,0032</w:t>
            </w:r>
          </w:p>
        </w:tc>
        <w:tc>
          <w:tcPr>
            <w:tcW w:w="1930" w:type="dxa"/>
            <w:tcBorders>
              <w:top w:val="nil"/>
              <w:left w:val="nil"/>
              <w:bottom w:val="single" w:sz="4" w:space="0" w:color="auto"/>
            </w:tcBorders>
            <w:shd w:val="clear" w:color="000000" w:fill="FFFFFF"/>
            <w:noWrap/>
            <w:vAlign w:val="center"/>
            <w:hideMark/>
          </w:tcPr>
          <w:p w14:paraId="17F2E89C"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0,0174</w:t>
            </w:r>
          </w:p>
        </w:tc>
        <w:tc>
          <w:tcPr>
            <w:tcW w:w="1930" w:type="dxa"/>
            <w:tcBorders>
              <w:top w:val="nil"/>
              <w:bottom w:val="single" w:sz="4" w:space="0" w:color="auto"/>
            </w:tcBorders>
            <w:shd w:val="clear" w:color="000000" w:fill="FFFFFF"/>
            <w:noWrap/>
            <w:vAlign w:val="center"/>
            <w:hideMark/>
          </w:tcPr>
          <w:p w14:paraId="5CD26DFB"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0,4081</w:t>
            </w:r>
          </w:p>
        </w:tc>
      </w:tr>
      <w:tr w:rsidR="006E0368" w:rsidRPr="00635ABF" w14:paraId="3C458CB8" w14:textId="77777777" w:rsidTr="00C573D5">
        <w:trPr>
          <w:trHeight w:val="397"/>
        </w:trPr>
        <w:tc>
          <w:tcPr>
            <w:tcW w:w="1930" w:type="dxa"/>
            <w:tcBorders>
              <w:top w:val="nil"/>
              <w:bottom w:val="single" w:sz="4" w:space="0" w:color="auto"/>
            </w:tcBorders>
            <w:shd w:val="clear" w:color="000000" w:fill="FFFFFF"/>
            <w:noWrap/>
            <w:vAlign w:val="center"/>
            <w:hideMark/>
          </w:tcPr>
          <w:p w14:paraId="08D766B1"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(+2;+4)</w:t>
            </w:r>
          </w:p>
        </w:tc>
        <w:tc>
          <w:tcPr>
            <w:tcW w:w="1930" w:type="dxa"/>
            <w:tcBorders>
              <w:top w:val="nil"/>
              <w:left w:val="nil"/>
              <w:bottom w:val="single" w:sz="4" w:space="0" w:color="auto"/>
            </w:tcBorders>
            <w:shd w:val="clear" w:color="000000" w:fill="FFFFFF"/>
            <w:noWrap/>
            <w:vAlign w:val="center"/>
            <w:hideMark/>
          </w:tcPr>
          <w:p w14:paraId="4A8B489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0,0093</w:t>
            </w:r>
          </w:p>
        </w:tc>
        <w:tc>
          <w:tcPr>
            <w:tcW w:w="1930" w:type="dxa"/>
            <w:tcBorders>
              <w:top w:val="nil"/>
              <w:left w:val="nil"/>
              <w:bottom w:val="single" w:sz="4" w:space="0" w:color="auto"/>
            </w:tcBorders>
            <w:shd w:val="clear" w:color="000000" w:fill="FFFFFF"/>
            <w:noWrap/>
            <w:vAlign w:val="center"/>
            <w:hideMark/>
          </w:tcPr>
          <w:p w14:paraId="5C6D0D8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0,0100</w:t>
            </w:r>
          </w:p>
        </w:tc>
        <w:tc>
          <w:tcPr>
            <w:tcW w:w="1930" w:type="dxa"/>
            <w:tcBorders>
              <w:top w:val="nil"/>
              <w:bottom w:val="single" w:sz="4" w:space="0" w:color="auto"/>
            </w:tcBorders>
            <w:shd w:val="clear" w:color="000000" w:fill="FFFFFF"/>
            <w:noWrap/>
            <w:vAlign w:val="center"/>
            <w:hideMark/>
          </w:tcPr>
          <w:p w14:paraId="5EAD5FE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2,0813</w:t>
            </w:r>
          </w:p>
        </w:tc>
      </w:tr>
      <w:tr w:rsidR="006E0368" w:rsidRPr="00635ABF" w14:paraId="6D5FB05A" w14:textId="77777777" w:rsidTr="00C573D5">
        <w:trPr>
          <w:trHeight w:val="397"/>
        </w:trPr>
        <w:tc>
          <w:tcPr>
            <w:tcW w:w="1930" w:type="dxa"/>
            <w:tcBorders>
              <w:top w:val="single" w:sz="4" w:space="0" w:color="auto"/>
              <w:bottom w:val="single" w:sz="12" w:space="0" w:color="auto"/>
            </w:tcBorders>
            <w:shd w:val="clear" w:color="000000" w:fill="FFFFFF"/>
            <w:noWrap/>
            <w:vAlign w:val="center"/>
            <w:hideMark/>
          </w:tcPr>
          <w:p w14:paraId="53343A3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(+2;+5)</w:t>
            </w:r>
          </w:p>
        </w:tc>
        <w:tc>
          <w:tcPr>
            <w:tcW w:w="1930" w:type="dxa"/>
            <w:tcBorders>
              <w:top w:val="single" w:sz="4" w:space="0" w:color="auto"/>
              <w:left w:val="nil"/>
              <w:bottom w:val="single" w:sz="12" w:space="0" w:color="auto"/>
            </w:tcBorders>
            <w:shd w:val="clear" w:color="000000" w:fill="FFFFFF"/>
            <w:noWrap/>
            <w:vAlign w:val="center"/>
            <w:hideMark/>
          </w:tcPr>
          <w:p w14:paraId="15AA6C3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0,0063</w:t>
            </w:r>
          </w:p>
        </w:tc>
        <w:tc>
          <w:tcPr>
            <w:tcW w:w="1930" w:type="dxa"/>
            <w:tcBorders>
              <w:top w:val="single" w:sz="4" w:space="0" w:color="auto"/>
              <w:left w:val="nil"/>
              <w:bottom w:val="single" w:sz="12" w:space="0" w:color="auto"/>
            </w:tcBorders>
            <w:shd w:val="clear" w:color="000000" w:fill="FFFFFF"/>
            <w:noWrap/>
            <w:vAlign w:val="center"/>
            <w:hideMark/>
          </w:tcPr>
          <w:p w14:paraId="4605FC61"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0,0175</w:t>
            </w:r>
          </w:p>
        </w:tc>
        <w:tc>
          <w:tcPr>
            <w:tcW w:w="1930" w:type="dxa"/>
            <w:tcBorders>
              <w:top w:val="single" w:sz="4" w:space="0" w:color="auto"/>
              <w:bottom w:val="single" w:sz="12" w:space="0" w:color="auto"/>
            </w:tcBorders>
            <w:shd w:val="clear" w:color="000000" w:fill="FFFFFF"/>
            <w:noWrap/>
            <w:vAlign w:val="center"/>
            <w:hideMark/>
          </w:tcPr>
          <w:p w14:paraId="6EAFE7E2"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0,8109</w:t>
            </w:r>
          </w:p>
        </w:tc>
      </w:tr>
    </w:tbl>
    <w:p w14:paraId="3B87D91F" w14:textId="1986BB57" w:rsidR="006E0368" w:rsidRPr="00635ABF" w:rsidRDefault="006E0368" w:rsidP="00FE6BB8">
      <w:pPr>
        <w:spacing w:afterLines="0" w:after="0" w:line="240" w:lineRule="auto"/>
        <w:rPr>
          <w:rFonts w:cs="Arial"/>
          <w:szCs w:val="24"/>
        </w:rPr>
      </w:pPr>
    </w:p>
    <w:p w14:paraId="5B8350C7" w14:textId="451E0138" w:rsidR="00AB4B6D" w:rsidRPr="00635ABF" w:rsidRDefault="00AB4B6D" w:rsidP="00AB4B6D">
      <w:pPr>
        <w:spacing w:afterLines="0" w:after="0" w:line="240" w:lineRule="auto"/>
        <w:rPr>
          <w:rFonts w:cs="Arial"/>
          <w:szCs w:val="24"/>
        </w:rPr>
      </w:pPr>
      <w:bookmarkStart w:id="3" w:name="_Hlk169436868"/>
      <w:r w:rsidRPr="00635ABF">
        <w:rPr>
          <w:rFonts w:cs="Arial"/>
          <w:szCs w:val="24"/>
        </w:rPr>
        <w:t>Os números apresentados na Tabela 4 revelam CAR médio (-2;0) de -0,0146, apontando uma queda significativa (t = -2,6646), indicando uma reação negativa importante do mercado dois dias antes do anúncio. E mostram um CAR médio (-1;0) de 0,0088, apontando uma recuperação significativa (t = 1,5787) indicando uma reação positiva antes do evento, embora não altamente significativa. Os números mostram ainda um CAR médio (+2;+4) de 0,0093, que é um valor positivo e significativo (t = 2,0813), indicando uma reação positiva do mercado alguns dias após o evento.</w:t>
      </w:r>
    </w:p>
    <w:p w14:paraId="040B806B" w14:textId="5BFCF503" w:rsidR="00AB4B6D" w:rsidRPr="00635ABF" w:rsidRDefault="00AB4B6D" w:rsidP="00AB4B6D">
      <w:pPr>
        <w:spacing w:afterLines="0" w:after="0" w:line="240" w:lineRule="auto"/>
        <w:rPr>
          <w:rFonts w:cs="Arial"/>
          <w:szCs w:val="24"/>
        </w:rPr>
      </w:pPr>
      <w:r w:rsidRPr="00635ABF">
        <w:rPr>
          <w:rFonts w:cs="Arial"/>
          <w:szCs w:val="24"/>
        </w:rPr>
        <w:t>Os retornos acumulados anormais antes do evento mostram uma mistura de resultados. Há pequenas altas não significativas até o intervalo (-3;0), mas uma queda significativa no intervalo (-2;0) seguida por uma recuperação no intervalo (-1;0), sugerindo volatilidade e incerteza antes do anúncio da Selic. O retorno no dia do evento é praticamente neutro e não significativo, indicando que o mercado já pode ter precificado a mudança ou que a reação imediata foi mínima. Os retornos após o evento mostram uma recuperação leve e gradual, com uma significância estatística positiva no intervalo (+2;+4), sugerindo que o mercado reagiu positivamente alguns dias após a alta da Selic.</w:t>
      </w:r>
    </w:p>
    <w:p w14:paraId="6202BF20" w14:textId="12505D5E" w:rsidR="00AB4B6D" w:rsidRPr="00635ABF" w:rsidRDefault="00AB4B6D" w:rsidP="00AB4B6D">
      <w:pPr>
        <w:spacing w:afterLines="0" w:after="0" w:line="240" w:lineRule="auto"/>
        <w:rPr>
          <w:rFonts w:cs="Arial"/>
          <w:szCs w:val="24"/>
        </w:rPr>
      </w:pPr>
      <w:r w:rsidRPr="00635ABF">
        <w:rPr>
          <w:rFonts w:cs="Arial"/>
          <w:szCs w:val="24"/>
        </w:rPr>
        <w:t>Durante períodos de crise, as reações do mercado podem ser mais voláteis e menos previsíveis, como refletido nos retornos variáveis e nas mudanças significativas antes e após o evento.</w:t>
      </w:r>
    </w:p>
    <w:bookmarkEnd w:id="3"/>
    <w:p w14:paraId="58CF08A0" w14:textId="77777777" w:rsidR="00AB4B6D" w:rsidRPr="00635ABF" w:rsidRDefault="00AB4B6D" w:rsidP="00AB4B6D">
      <w:pPr>
        <w:spacing w:afterLines="0" w:after="0" w:line="240" w:lineRule="auto"/>
        <w:rPr>
          <w:rFonts w:cs="Arial"/>
          <w:szCs w:val="24"/>
        </w:rPr>
      </w:pPr>
    </w:p>
    <w:p w14:paraId="74C875BE" w14:textId="76128EBE" w:rsidR="00F52B6A" w:rsidRPr="00635ABF" w:rsidRDefault="00F52B6A" w:rsidP="00F52B6A">
      <w:pPr>
        <w:spacing w:afterLines="0" w:after="0" w:line="240" w:lineRule="auto"/>
        <w:ind w:firstLine="0"/>
        <w:jc w:val="center"/>
        <w:rPr>
          <w:rFonts w:cs="Arial"/>
          <w:szCs w:val="24"/>
        </w:rPr>
      </w:pPr>
      <w:r w:rsidRPr="00635ABF">
        <w:rPr>
          <w:rFonts w:cs="Arial"/>
          <w:szCs w:val="24"/>
        </w:rPr>
        <w:t>Tabela 5 – Eventos com variação positiva da Selic no período de crise de 03/2020 a 06/2022</w:t>
      </w:r>
    </w:p>
    <w:p w14:paraId="1DC1487D" w14:textId="77777777" w:rsidR="006E0368" w:rsidRPr="00635ABF" w:rsidRDefault="006E0368" w:rsidP="00FE6BB8">
      <w:pPr>
        <w:spacing w:afterLines="0" w:after="0" w:line="240" w:lineRule="auto"/>
        <w:rPr>
          <w:rFonts w:cs="Arial"/>
          <w:szCs w:val="24"/>
        </w:rPr>
      </w:pPr>
    </w:p>
    <w:tbl>
      <w:tblPr>
        <w:tblW w:w="7796" w:type="dxa"/>
        <w:tblInd w:w="846" w:type="dxa"/>
        <w:tblLayout w:type="fixed"/>
        <w:tblCellMar>
          <w:left w:w="70" w:type="dxa"/>
          <w:right w:w="70" w:type="dxa"/>
        </w:tblCellMar>
        <w:tblLook w:val="04A0" w:firstRow="1" w:lastRow="0" w:firstColumn="1" w:lastColumn="0" w:noHBand="0" w:noVBand="1"/>
      </w:tblPr>
      <w:tblGrid>
        <w:gridCol w:w="1949"/>
        <w:gridCol w:w="1949"/>
        <w:gridCol w:w="1949"/>
        <w:gridCol w:w="1949"/>
      </w:tblGrid>
      <w:tr w:rsidR="006E0368" w:rsidRPr="00635ABF" w14:paraId="77EFC3F3" w14:textId="77777777" w:rsidTr="00F52B6A">
        <w:trPr>
          <w:trHeight w:val="397"/>
        </w:trPr>
        <w:tc>
          <w:tcPr>
            <w:tcW w:w="1949" w:type="dxa"/>
            <w:tcBorders>
              <w:top w:val="single" w:sz="12" w:space="0" w:color="auto"/>
              <w:bottom w:val="single" w:sz="12" w:space="0" w:color="auto"/>
            </w:tcBorders>
            <w:shd w:val="clear" w:color="000000" w:fill="FFFFFF"/>
            <w:noWrap/>
            <w:vAlign w:val="center"/>
            <w:hideMark/>
          </w:tcPr>
          <w:p w14:paraId="122EB92D"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Janelas</w:t>
            </w:r>
          </w:p>
        </w:tc>
        <w:tc>
          <w:tcPr>
            <w:tcW w:w="1949" w:type="dxa"/>
            <w:tcBorders>
              <w:top w:val="single" w:sz="12" w:space="0" w:color="auto"/>
              <w:left w:val="nil"/>
              <w:bottom w:val="single" w:sz="12" w:space="0" w:color="auto"/>
            </w:tcBorders>
            <w:shd w:val="clear" w:color="000000" w:fill="FFFFFF"/>
            <w:noWrap/>
            <w:vAlign w:val="center"/>
            <w:hideMark/>
          </w:tcPr>
          <w:p w14:paraId="2582B7E9" w14:textId="77777777" w:rsidR="006E0368"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acc>
                      <m:accPr>
                        <m:chr m:val="̅"/>
                        <m:ctrlPr>
                          <w:rPr>
                            <w:rFonts w:ascii="Cambria Math" w:hAnsi="Cambria Math" w:cs="Arial"/>
                            <w:sz w:val="20"/>
                            <w:szCs w:val="20"/>
                          </w:rPr>
                        </m:ctrlPr>
                      </m:accPr>
                      <m:e>
                        <m:r>
                          <w:rPr>
                            <w:rFonts w:ascii="Cambria Math" w:hAnsi="Cambria Math" w:cs="Arial"/>
                            <w:sz w:val="20"/>
                            <w:szCs w:val="20"/>
                          </w:rPr>
                          <m:t>CAR</m:t>
                        </m:r>
                      </m:e>
                    </m:acc>
                  </m:e>
                  <m:sub>
                    <m:r>
                      <w:rPr>
                        <w:rFonts w:ascii="Cambria Math" w:hAnsi="Cambria Math" w:cs="Arial"/>
                        <w:sz w:val="20"/>
                        <w:szCs w:val="20"/>
                      </w:rPr>
                      <m:t>t</m:t>
                    </m:r>
                    <m:r>
                      <m:rPr>
                        <m:sty m:val="p"/>
                      </m:rPr>
                      <w:rPr>
                        <w:rFonts w:ascii="Cambria Math" w:hAnsi="Cambria Math" w:cs="Arial"/>
                        <w:sz w:val="20"/>
                        <w:szCs w:val="20"/>
                      </w:rPr>
                      <m:t xml:space="preserve"> =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ub>
                </m:sSub>
              </m:oMath>
            </m:oMathPara>
          </w:p>
        </w:tc>
        <w:tc>
          <w:tcPr>
            <w:tcW w:w="1949" w:type="dxa"/>
            <w:tcBorders>
              <w:top w:val="single" w:sz="12" w:space="0" w:color="auto"/>
              <w:bottom w:val="single" w:sz="12" w:space="0" w:color="auto"/>
            </w:tcBorders>
            <w:shd w:val="clear" w:color="000000" w:fill="FFFFFF"/>
            <w:noWrap/>
            <w:vAlign w:val="center"/>
            <w:hideMark/>
          </w:tcPr>
          <w:p w14:paraId="22D620D7" w14:textId="77777777" w:rsidR="006E0368"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σ</m:t>
                    </m:r>
                  </m:e>
                  <m:sub>
                    <m:sSub>
                      <m:sSubPr>
                        <m:ctrlPr>
                          <w:rPr>
                            <w:rFonts w:ascii="Cambria Math" w:hAnsi="Cambria Math" w:cs="Arial"/>
                            <w:sz w:val="20"/>
                            <w:szCs w:val="20"/>
                          </w:rPr>
                        </m:ctrlPr>
                      </m:sSubPr>
                      <m:e>
                        <m:r>
                          <w:rPr>
                            <w:rFonts w:ascii="Cambria Math" w:hAnsi="Cambria Math" w:cs="Arial"/>
                            <w:sz w:val="20"/>
                            <w:szCs w:val="20"/>
                          </w:rPr>
                          <m:t>CAR</m:t>
                        </m:r>
                      </m:e>
                      <m:sub>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sub>
                    </m:sSub>
                  </m:sub>
                </m:sSub>
              </m:oMath>
            </m:oMathPara>
          </w:p>
        </w:tc>
        <w:tc>
          <w:tcPr>
            <w:tcW w:w="1949" w:type="dxa"/>
            <w:tcBorders>
              <w:top w:val="single" w:sz="12" w:space="0" w:color="auto"/>
              <w:bottom w:val="single" w:sz="12" w:space="0" w:color="auto"/>
            </w:tcBorders>
            <w:shd w:val="clear" w:color="000000" w:fill="FFFFFF"/>
            <w:noWrap/>
            <w:vAlign w:val="center"/>
            <w:hideMark/>
          </w:tcPr>
          <w:p w14:paraId="0BB69E9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Teste t-</w:t>
            </w:r>
            <w:proofErr w:type="spellStart"/>
            <w:r w:rsidRPr="00635ABF">
              <w:rPr>
                <w:rFonts w:cs="Arial"/>
                <w:sz w:val="20"/>
                <w:szCs w:val="20"/>
              </w:rPr>
              <w:t>Student</w:t>
            </w:r>
            <w:proofErr w:type="spellEnd"/>
          </w:p>
        </w:tc>
      </w:tr>
      <w:tr w:rsidR="006E0368" w:rsidRPr="00635ABF" w14:paraId="0461710D" w14:textId="77777777" w:rsidTr="00F52B6A">
        <w:trPr>
          <w:trHeight w:val="397"/>
        </w:trPr>
        <w:tc>
          <w:tcPr>
            <w:tcW w:w="1949" w:type="dxa"/>
            <w:tcBorders>
              <w:top w:val="single" w:sz="12" w:space="0" w:color="auto"/>
              <w:bottom w:val="single" w:sz="4" w:space="0" w:color="auto"/>
            </w:tcBorders>
            <w:shd w:val="clear" w:color="000000" w:fill="FFFFFF"/>
            <w:noWrap/>
            <w:vAlign w:val="center"/>
            <w:hideMark/>
          </w:tcPr>
          <w:p w14:paraId="443D3617"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(-5;0)</w:t>
            </w:r>
          </w:p>
        </w:tc>
        <w:tc>
          <w:tcPr>
            <w:tcW w:w="1949" w:type="dxa"/>
            <w:tcBorders>
              <w:top w:val="single" w:sz="12" w:space="0" w:color="auto"/>
              <w:left w:val="nil"/>
              <w:bottom w:val="single" w:sz="4" w:space="0" w:color="auto"/>
            </w:tcBorders>
            <w:shd w:val="clear" w:color="000000" w:fill="FFFFFF"/>
            <w:noWrap/>
            <w:vAlign w:val="center"/>
            <w:hideMark/>
          </w:tcPr>
          <w:p w14:paraId="7B50F116"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0,0033</w:t>
            </w:r>
          </w:p>
        </w:tc>
        <w:tc>
          <w:tcPr>
            <w:tcW w:w="1949" w:type="dxa"/>
            <w:tcBorders>
              <w:top w:val="single" w:sz="12" w:space="0" w:color="auto"/>
              <w:bottom w:val="single" w:sz="4" w:space="0" w:color="auto"/>
            </w:tcBorders>
            <w:shd w:val="clear" w:color="000000" w:fill="FFFFFF"/>
            <w:noWrap/>
            <w:vAlign w:val="center"/>
            <w:hideMark/>
          </w:tcPr>
          <w:p w14:paraId="6B3DC5F0"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0,0119</w:t>
            </w:r>
          </w:p>
        </w:tc>
        <w:tc>
          <w:tcPr>
            <w:tcW w:w="1949" w:type="dxa"/>
            <w:tcBorders>
              <w:top w:val="single" w:sz="12" w:space="0" w:color="auto"/>
              <w:bottom w:val="single" w:sz="4" w:space="0" w:color="auto"/>
            </w:tcBorders>
            <w:shd w:val="clear" w:color="000000" w:fill="FFFFFF"/>
            <w:noWrap/>
            <w:vAlign w:val="center"/>
            <w:hideMark/>
          </w:tcPr>
          <w:p w14:paraId="3BDF663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0,9040</w:t>
            </w:r>
          </w:p>
        </w:tc>
      </w:tr>
      <w:tr w:rsidR="006E0368" w:rsidRPr="00635ABF" w14:paraId="3ADC967C" w14:textId="77777777" w:rsidTr="00F52B6A">
        <w:trPr>
          <w:trHeight w:val="397"/>
        </w:trPr>
        <w:tc>
          <w:tcPr>
            <w:tcW w:w="1949" w:type="dxa"/>
            <w:tcBorders>
              <w:top w:val="nil"/>
              <w:bottom w:val="single" w:sz="4" w:space="0" w:color="auto"/>
            </w:tcBorders>
            <w:shd w:val="clear" w:color="000000" w:fill="FFFFFF"/>
            <w:noWrap/>
            <w:vAlign w:val="center"/>
            <w:hideMark/>
          </w:tcPr>
          <w:p w14:paraId="293AB91F"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(-4;0)</w:t>
            </w:r>
          </w:p>
        </w:tc>
        <w:tc>
          <w:tcPr>
            <w:tcW w:w="1949" w:type="dxa"/>
            <w:tcBorders>
              <w:top w:val="nil"/>
              <w:left w:val="nil"/>
              <w:bottom w:val="single" w:sz="4" w:space="0" w:color="auto"/>
            </w:tcBorders>
            <w:shd w:val="clear" w:color="000000" w:fill="FFFFFF"/>
            <w:noWrap/>
            <w:vAlign w:val="center"/>
            <w:hideMark/>
          </w:tcPr>
          <w:p w14:paraId="4CDC92FB"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-0,0024</w:t>
            </w:r>
          </w:p>
        </w:tc>
        <w:tc>
          <w:tcPr>
            <w:tcW w:w="1949" w:type="dxa"/>
            <w:tcBorders>
              <w:top w:val="nil"/>
              <w:bottom w:val="single" w:sz="4" w:space="0" w:color="auto"/>
            </w:tcBorders>
            <w:shd w:val="clear" w:color="000000" w:fill="FFFFFF"/>
            <w:noWrap/>
            <w:vAlign w:val="center"/>
            <w:hideMark/>
          </w:tcPr>
          <w:p w14:paraId="44FF9447"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0,0134</w:t>
            </w:r>
          </w:p>
        </w:tc>
        <w:tc>
          <w:tcPr>
            <w:tcW w:w="1949" w:type="dxa"/>
            <w:tcBorders>
              <w:top w:val="nil"/>
              <w:bottom w:val="single" w:sz="4" w:space="0" w:color="auto"/>
            </w:tcBorders>
            <w:shd w:val="clear" w:color="000000" w:fill="FFFFFF"/>
            <w:noWrap/>
            <w:vAlign w:val="center"/>
            <w:hideMark/>
          </w:tcPr>
          <w:p w14:paraId="1BE8539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-0,5886</w:t>
            </w:r>
          </w:p>
        </w:tc>
      </w:tr>
      <w:tr w:rsidR="006E0368" w:rsidRPr="00635ABF" w14:paraId="2F733623" w14:textId="77777777" w:rsidTr="00F52B6A">
        <w:trPr>
          <w:trHeight w:val="397"/>
        </w:trPr>
        <w:tc>
          <w:tcPr>
            <w:tcW w:w="1949" w:type="dxa"/>
            <w:tcBorders>
              <w:top w:val="nil"/>
              <w:bottom w:val="single" w:sz="4" w:space="0" w:color="auto"/>
            </w:tcBorders>
            <w:shd w:val="clear" w:color="000000" w:fill="FFFFFF"/>
            <w:noWrap/>
            <w:vAlign w:val="center"/>
            <w:hideMark/>
          </w:tcPr>
          <w:p w14:paraId="3B85F4D4"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(-3;0)</w:t>
            </w:r>
          </w:p>
        </w:tc>
        <w:tc>
          <w:tcPr>
            <w:tcW w:w="1949" w:type="dxa"/>
            <w:tcBorders>
              <w:top w:val="nil"/>
              <w:left w:val="nil"/>
              <w:bottom w:val="single" w:sz="4" w:space="0" w:color="auto"/>
            </w:tcBorders>
            <w:shd w:val="clear" w:color="000000" w:fill="FFFFFF"/>
            <w:noWrap/>
            <w:vAlign w:val="center"/>
            <w:hideMark/>
          </w:tcPr>
          <w:p w14:paraId="1D0E446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-0,0085</w:t>
            </w:r>
          </w:p>
        </w:tc>
        <w:tc>
          <w:tcPr>
            <w:tcW w:w="1949" w:type="dxa"/>
            <w:tcBorders>
              <w:top w:val="nil"/>
              <w:bottom w:val="single" w:sz="4" w:space="0" w:color="auto"/>
            </w:tcBorders>
            <w:shd w:val="clear" w:color="000000" w:fill="FFFFFF"/>
            <w:noWrap/>
            <w:vAlign w:val="center"/>
            <w:hideMark/>
          </w:tcPr>
          <w:p w14:paraId="4763FA84"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0,0170</w:t>
            </w:r>
          </w:p>
        </w:tc>
        <w:tc>
          <w:tcPr>
            <w:tcW w:w="1949" w:type="dxa"/>
            <w:tcBorders>
              <w:top w:val="nil"/>
              <w:bottom w:val="single" w:sz="4" w:space="0" w:color="auto"/>
            </w:tcBorders>
            <w:shd w:val="clear" w:color="000000" w:fill="FFFFFF"/>
            <w:noWrap/>
            <w:vAlign w:val="center"/>
            <w:hideMark/>
          </w:tcPr>
          <w:p w14:paraId="618E6986"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-1,6545</w:t>
            </w:r>
          </w:p>
        </w:tc>
      </w:tr>
      <w:tr w:rsidR="006E0368" w:rsidRPr="00635ABF" w14:paraId="6D73DBF2" w14:textId="77777777" w:rsidTr="00F52B6A">
        <w:trPr>
          <w:trHeight w:val="397"/>
        </w:trPr>
        <w:tc>
          <w:tcPr>
            <w:tcW w:w="1949" w:type="dxa"/>
            <w:tcBorders>
              <w:top w:val="nil"/>
              <w:bottom w:val="single" w:sz="4" w:space="0" w:color="auto"/>
            </w:tcBorders>
            <w:shd w:val="clear" w:color="000000" w:fill="FFFFFF"/>
            <w:noWrap/>
            <w:vAlign w:val="center"/>
            <w:hideMark/>
          </w:tcPr>
          <w:p w14:paraId="71F0AB3D"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(-2;0)</w:t>
            </w:r>
          </w:p>
        </w:tc>
        <w:tc>
          <w:tcPr>
            <w:tcW w:w="1949" w:type="dxa"/>
            <w:tcBorders>
              <w:top w:val="nil"/>
              <w:left w:val="nil"/>
              <w:bottom w:val="single" w:sz="4" w:space="0" w:color="auto"/>
            </w:tcBorders>
            <w:shd w:val="clear" w:color="000000" w:fill="FFFFFF"/>
            <w:noWrap/>
            <w:vAlign w:val="center"/>
            <w:hideMark/>
          </w:tcPr>
          <w:p w14:paraId="38E62AC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-0,0016</w:t>
            </w:r>
          </w:p>
        </w:tc>
        <w:tc>
          <w:tcPr>
            <w:tcW w:w="1949" w:type="dxa"/>
            <w:tcBorders>
              <w:top w:val="nil"/>
              <w:bottom w:val="single" w:sz="4" w:space="0" w:color="auto"/>
            </w:tcBorders>
            <w:shd w:val="clear" w:color="000000" w:fill="FFFFFF"/>
            <w:noWrap/>
            <w:vAlign w:val="center"/>
            <w:hideMark/>
          </w:tcPr>
          <w:p w14:paraId="710442F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0,0158</w:t>
            </w:r>
          </w:p>
        </w:tc>
        <w:tc>
          <w:tcPr>
            <w:tcW w:w="1949" w:type="dxa"/>
            <w:tcBorders>
              <w:top w:val="nil"/>
              <w:bottom w:val="single" w:sz="4" w:space="0" w:color="auto"/>
            </w:tcBorders>
            <w:shd w:val="clear" w:color="000000" w:fill="FFFFFF"/>
            <w:noWrap/>
            <w:vAlign w:val="center"/>
            <w:hideMark/>
          </w:tcPr>
          <w:p w14:paraId="4B894DA0"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-0,3334</w:t>
            </w:r>
          </w:p>
        </w:tc>
      </w:tr>
      <w:tr w:rsidR="006E0368" w:rsidRPr="00635ABF" w14:paraId="5974FF5D" w14:textId="77777777" w:rsidTr="00F52B6A">
        <w:trPr>
          <w:trHeight w:val="397"/>
        </w:trPr>
        <w:tc>
          <w:tcPr>
            <w:tcW w:w="1949" w:type="dxa"/>
            <w:tcBorders>
              <w:top w:val="nil"/>
              <w:bottom w:val="single" w:sz="4" w:space="0" w:color="auto"/>
            </w:tcBorders>
            <w:shd w:val="clear" w:color="000000" w:fill="FFFFFF"/>
            <w:noWrap/>
            <w:vAlign w:val="center"/>
            <w:hideMark/>
          </w:tcPr>
          <w:p w14:paraId="10C9D78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(-1;0)</w:t>
            </w:r>
          </w:p>
        </w:tc>
        <w:tc>
          <w:tcPr>
            <w:tcW w:w="1949" w:type="dxa"/>
            <w:tcBorders>
              <w:top w:val="nil"/>
              <w:left w:val="nil"/>
              <w:bottom w:val="single" w:sz="4" w:space="0" w:color="auto"/>
            </w:tcBorders>
            <w:shd w:val="clear" w:color="000000" w:fill="FFFFFF"/>
            <w:noWrap/>
            <w:vAlign w:val="center"/>
            <w:hideMark/>
          </w:tcPr>
          <w:p w14:paraId="2A5E9017"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-0,0037</w:t>
            </w:r>
          </w:p>
        </w:tc>
        <w:tc>
          <w:tcPr>
            <w:tcW w:w="1949" w:type="dxa"/>
            <w:tcBorders>
              <w:top w:val="nil"/>
              <w:bottom w:val="single" w:sz="4" w:space="0" w:color="auto"/>
            </w:tcBorders>
            <w:shd w:val="clear" w:color="000000" w:fill="FFFFFF"/>
            <w:noWrap/>
            <w:vAlign w:val="center"/>
            <w:hideMark/>
          </w:tcPr>
          <w:p w14:paraId="08CA9CB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0,0133</w:t>
            </w:r>
          </w:p>
        </w:tc>
        <w:tc>
          <w:tcPr>
            <w:tcW w:w="1949" w:type="dxa"/>
            <w:tcBorders>
              <w:top w:val="nil"/>
              <w:bottom w:val="single" w:sz="4" w:space="0" w:color="auto"/>
            </w:tcBorders>
            <w:shd w:val="clear" w:color="000000" w:fill="FFFFFF"/>
            <w:noWrap/>
            <w:vAlign w:val="center"/>
            <w:hideMark/>
          </w:tcPr>
          <w:p w14:paraId="5FEB1AE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-0,9112</w:t>
            </w:r>
          </w:p>
        </w:tc>
      </w:tr>
      <w:tr w:rsidR="006E0368" w:rsidRPr="00635ABF" w14:paraId="1DBCF9C1" w14:textId="77777777" w:rsidTr="00F52B6A">
        <w:trPr>
          <w:trHeight w:val="397"/>
        </w:trPr>
        <w:tc>
          <w:tcPr>
            <w:tcW w:w="1949" w:type="dxa"/>
            <w:tcBorders>
              <w:top w:val="nil"/>
              <w:bottom w:val="single" w:sz="4" w:space="0" w:color="auto"/>
            </w:tcBorders>
            <w:shd w:val="clear" w:color="000000" w:fill="FFFFFF"/>
            <w:noWrap/>
            <w:vAlign w:val="center"/>
            <w:hideMark/>
          </w:tcPr>
          <w:p w14:paraId="787589FE"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w:t>
            </w:r>
          </w:p>
        </w:tc>
        <w:tc>
          <w:tcPr>
            <w:tcW w:w="1949" w:type="dxa"/>
            <w:tcBorders>
              <w:top w:val="nil"/>
              <w:left w:val="nil"/>
              <w:bottom w:val="single" w:sz="4" w:space="0" w:color="auto"/>
            </w:tcBorders>
            <w:shd w:val="clear" w:color="000000" w:fill="FFFFFF"/>
            <w:noWrap/>
            <w:vAlign w:val="center"/>
            <w:hideMark/>
          </w:tcPr>
          <w:p w14:paraId="503BD51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-0,0009</w:t>
            </w:r>
          </w:p>
        </w:tc>
        <w:tc>
          <w:tcPr>
            <w:tcW w:w="1949" w:type="dxa"/>
            <w:tcBorders>
              <w:top w:val="nil"/>
              <w:bottom w:val="single" w:sz="4" w:space="0" w:color="auto"/>
            </w:tcBorders>
            <w:shd w:val="clear" w:color="000000" w:fill="FFFFFF"/>
            <w:noWrap/>
            <w:vAlign w:val="center"/>
            <w:hideMark/>
          </w:tcPr>
          <w:p w14:paraId="226B1BC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0,0182</w:t>
            </w:r>
          </w:p>
        </w:tc>
        <w:tc>
          <w:tcPr>
            <w:tcW w:w="1949" w:type="dxa"/>
            <w:tcBorders>
              <w:top w:val="nil"/>
              <w:bottom w:val="single" w:sz="4" w:space="0" w:color="auto"/>
            </w:tcBorders>
            <w:shd w:val="clear" w:color="000000" w:fill="FFFFFF"/>
            <w:noWrap/>
            <w:vAlign w:val="center"/>
            <w:hideMark/>
          </w:tcPr>
          <w:p w14:paraId="0215E9F4"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-0,1653</w:t>
            </w:r>
          </w:p>
        </w:tc>
      </w:tr>
      <w:tr w:rsidR="006E0368" w:rsidRPr="00635ABF" w14:paraId="4A94D530" w14:textId="77777777" w:rsidTr="00F52B6A">
        <w:trPr>
          <w:trHeight w:val="397"/>
        </w:trPr>
        <w:tc>
          <w:tcPr>
            <w:tcW w:w="1949" w:type="dxa"/>
            <w:tcBorders>
              <w:top w:val="nil"/>
              <w:bottom w:val="single" w:sz="4" w:space="0" w:color="auto"/>
            </w:tcBorders>
            <w:shd w:val="clear" w:color="000000" w:fill="FFFFFF"/>
            <w:noWrap/>
            <w:vAlign w:val="center"/>
            <w:hideMark/>
          </w:tcPr>
          <w:p w14:paraId="75C618DC"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(+1;+1)</w:t>
            </w:r>
          </w:p>
        </w:tc>
        <w:tc>
          <w:tcPr>
            <w:tcW w:w="1949" w:type="dxa"/>
            <w:tcBorders>
              <w:top w:val="nil"/>
              <w:left w:val="nil"/>
              <w:bottom w:val="single" w:sz="4" w:space="0" w:color="auto"/>
            </w:tcBorders>
            <w:shd w:val="clear" w:color="000000" w:fill="FFFFFF"/>
            <w:noWrap/>
            <w:vAlign w:val="center"/>
            <w:hideMark/>
          </w:tcPr>
          <w:p w14:paraId="4BB4A62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-0,0072</w:t>
            </w:r>
          </w:p>
        </w:tc>
        <w:tc>
          <w:tcPr>
            <w:tcW w:w="1949" w:type="dxa"/>
            <w:tcBorders>
              <w:top w:val="nil"/>
              <w:bottom w:val="single" w:sz="4" w:space="0" w:color="auto"/>
            </w:tcBorders>
            <w:shd w:val="clear" w:color="000000" w:fill="FFFFFF"/>
            <w:noWrap/>
            <w:vAlign w:val="center"/>
            <w:hideMark/>
          </w:tcPr>
          <w:p w14:paraId="6C573EA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0,0175</w:t>
            </w:r>
          </w:p>
        </w:tc>
        <w:tc>
          <w:tcPr>
            <w:tcW w:w="1949" w:type="dxa"/>
            <w:tcBorders>
              <w:top w:val="nil"/>
              <w:bottom w:val="single" w:sz="4" w:space="0" w:color="auto"/>
            </w:tcBorders>
            <w:shd w:val="clear" w:color="000000" w:fill="FFFFFF"/>
            <w:noWrap/>
            <w:vAlign w:val="center"/>
            <w:hideMark/>
          </w:tcPr>
          <w:p w14:paraId="6A0B3248"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-1,3648</w:t>
            </w:r>
          </w:p>
        </w:tc>
      </w:tr>
      <w:tr w:rsidR="006E0368" w:rsidRPr="00635ABF" w14:paraId="1911051A" w14:textId="77777777" w:rsidTr="00F52B6A">
        <w:trPr>
          <w:trHeight w:val="397"/>
        </w:trPr>
        <w:tc>
          <w:tcPr>
            <w:tcW w:w="1949" w:type="dxa"/>
            <w:tcBorders>
              <w:top w:val="nil"/>
              <w:bottom w:val="single" w:sz="4" w:space="0" w:color="auto"/>
            </w:tcBorders>
            <w:shd w:val="clear" w:color="000000" w:fill="FFFFFF"/>
            <w:noWrap/>
            <w:vAlign w:val="center"/>
            <w:hideMark/>
          </w:tcPr>
          <w:p w14:paraId="4AC374E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lastRenderedPageBreak/>
              <w:t>(+2;+2)</w:t>
            </w:r>
          </w:p>
        </w:tc>
        <w:tc>
          <w:tcPr>
            <w:tcW w:w="1949" w:type="dxa"/>
            <w:tcBorders>
              <w:top w:val="nil"/>
              <w:left w:val="nil"/>
              <w:bottom w:val="single" w:sz="4" w:space="0" w:color="auto"/>
            </w:tcBorders>
            <w:shd w:val="clear" w:color="000000" w:fill="FFFFFF"/>
            <w:noWrap/>
            <w:vAlign w:val="center"/>
            <w:hideMark/>
          </w:tcPr>
          <w:p w14:paraId="47684298"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0,0051</w:t>
            </w:r>
          </w:p>
        </w:tc>
        <w:tc>
          <w:tcPr>
            <w:tcW w:w="1949" w:type="dxa"/>
            <w:tcBorders>
              <w:top w:val="nil"/>
              <w:bottom w:val="single" w:sz="4" w:space="0" w:color="auto"/>
            </w:tcBorders>
            <w:shd w:val="clear" w:color="000000" w:fill="FFFFFF"/>
            <w:noWrap/>
            <w:vAlign w:val="center"/>
            <w:hideMark/>
          </w:tcPr>
          <w:p w14:paraId="05CF8D0D"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0,0289</w:t>
            </w:r>
          </w:p>
        </w:tc>
        <w:tc>
          <w:tcPr>
            <w:tcW w:w="1949" w:type="dxa"/>
            <w:tcBorders>
              <w:top w:val="nil"/>
              <w:bottom w:val="single" w:sz="4" w:space="0" w:color="auto"/>
            </w:tcBorders>
            <w:shd w:val="clear" w:color="000000" w:fill="FFFFFF"/>
            <w:noWrap/>
            <w:vAlign w:val="center"/>
            <w:hideMark/>
          </w:tcPr>
          <w:p w14:paraId="0662D84F"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0,5826</w:t>
            </w:r>
          </w:p>
        </w:tc>
      </w:tr>
      <w:tr w:rsidR="006E0368" w:rsidRPr="00635ABF" w14:paraId="7EDE3603" w14:textId="77777777" w:rsidTr="00F52B6A">
        <w:trPr>
          <w:trHeight w:val="397"/>
        </w:trPr>
        <w:tc>
          <w:tcPr>
            <w:tcW w:w="1949" w:type="dxa"/>
            <w:tcBorders>
              <w:top w:val="nil"/>
              <w:bottom w:val="single" w:sz="4" w:space="0" w:color="auto"/>
            </w:tcBorders>
            <w:shd w:val="clear" w:color="000000" w:fill="FFFFFF"/>
            <w:noWrap/>
            <w:vAlign w:val="center"/>
            <w:hideMark/>
          </w:tcPr>
          <w:p w14:paraId="3CFD64F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(+2;+3)</w:t>
            </w:r>
          </w:p>
        </w:tc>
        <w:tc>
          <w:tcPr>
            <w:tcW w:w="1949" w:type="dxa"/>
            <w:tcBorders>
              <w:top w:val="nil"/>
              <w:left w:val="nil"/>
              <w:bottom w:val="single" w:sz="4" w:space="0" w:color="auto"/>
            </w:tcBorders>
            <w:shd w:val="clear" w:color="000000" w:fill="FFFFFF"/>
            <w:noWrap/>
            <w:vAlign w:val="center"/>
            <w:hideMark/>
          </w:tcPr>
          <w:p w14:paraId="60179CF1"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0,0038</w:t>
            </w:r>
          </w:p>
        </w:tc>
        <w:tc>
          <w:tcPr>
            <w:tcW w:w="1949" w:type="dxa"/>
            <w:tcBorders>
              <w:top w:val="nil"/>
              <w:bottom w:val="single" w:sz="4" w:space="0" w:color="auto"/>
            </w:tcBorders>
            <w:shd w:val="clear" w:color="000000" w:fill="FFFFFF"/>
            <w:noWrap/>
            <w:vAlign w:val="center"/>
            <w:hideMark/>
          </w:tcPr>
          <w:p w14:paraId="04ECA664"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0,0125</w:t>
            </w:r>
          </w:p>
        </w:tc>
        <w:tc>
          <w:tcPr>
            <w:tcW w:w="1949" w:type="dxa"/>
            <w:tcBorders>
              <w:top w:val="nil"/>
              <w:bottom w:val="single" w:sz="4" w:space="0" w:color="auto"/>
            </w:tcBorders>
            <w:shd w:val="clear" w:color="000000" w:fill="FFFFFF"/>
            <w:noWrap/>
            <w:vAlign w:val="center"/>
            <w:hideMark/>
          </w:tcPr>
          <w:p w14:paraId="05B7FFD5"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1,0102</w:t>
            </w:r>
          </w:p>
        </w:tc>
      </w:tr>
      <w:tr w:rsidR="006E0368" w:rsidRPr="00635ABF" w14:paraId="3838759C" w14:textId="77777777" w:rsidTr="00F52B6A">
        <w:trPr>
          <w:trHeight w:val="397"/>
        </w:trPr>
        <w:tc>
          <w:tcPr>
            <w:tcW w:w="1949" w:type="dxa"/>
            <w:tcBorders>
              <w:top w:val="nil"/>
              <w:bottom w:val="single" w:sz="4" w:space="0" w:color="auto"/>
            </w:tcBorders>
            <w:shd w:val="clear" w:color="000000" w:fill="FFFFFF"/>
            <w:noWrap/>
            <w:vAlign w:val="center"/>
            <w:hideMark/>
          </w:tcPr>
          <w:p w14:paraId="2DCB14AA"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(+2;+4)</w:t>
            </w:r>
          </w:p>
        </w:tc>
        <w:tc>
          <w:tcPr>
            <w:tcW w:w="1949" w:type="dxa"/>
            <w:tcBorders>
              <w:top w:val="nil"/>
              <w:left w:val="nil"/>
              <w:bottom w:val="single" w:sz="4" w:space="0" w:color="auto"/>
            </w:tcBorders>
            <w:shd w:val="clear" w:color="000000" w:fill="FFFFFF"/>
            <w:noWrap/>
            <w:vAlign w:val="center"/>
            <w:hideMark/>
          </w:tcPr>
          <w:p w14:paraId="62E4961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0,0003</w:t>
            </w:r>
          </w:p>
        </w:tc>
        <w:tc>
          <w:tcPr>
            <w:tcW w:w="1949" w:type="dxa"/>
            <w:tcBorders>
              <w:top w:val="nil"/>
              <w:bottom w:val="single" w:sz="4" w:space="0" w:color="auto"/>
            </w:tcBorders>
            <w:shd w:val="clear" w:color="000000" w:fill="FFFFFF"/>
            <w:noWrap/>
            <w:vAlign w:val="center"/>
            <w:hideMark/>
          </w:tcPr>
          <w:p w14:paraId="765F1CD6"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0,0184</w:t>
            </w:r>
          </w:p>
        </w:tc>
        <w:tc>
          <w:tcPr>
            <w:tcW w:w="1949" w:type="dxa"/>
            <w:tcBorders>
              <w:top w:val="nil"/>
              <w:bottom w:val="single" w:sz="4" w:space="0" w:color="auto"/>
            </w:tcBorders>
            <w:shd w:val="clear" w:color="000000" w:fill="FFFFFF"/>
            <w:noWrap/>
            <w:vAlign w:val="center"/>
            <w:hideMark/>
          </w:tcPr>
          <w:p w14:paraId="39E24331"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0,0558</w:t>
            </w:r>
          </w:p>
        </w:tc>
      </w:tr>
      <w:tr w:rsidR="006E0368" w:rsidRPr="00635ABF" w14:paraId="1C124257" w14:textId="77777777" w:rsidTr="00F52B6A">
        <w:trPr>
          <w:trHeight w:val="397"/>
        </w:trPr>
        <w:tc>
          <w:tcPr>
            <w:tcW w:w="1949" w:type="dxa"/>
            <w:tcBorders>
              <w:top w:val="single" w:sz="4" w:space="0" w:color="auto"/>
              <w:bottom w:val="single" w:sz="12" w:space="0" w:color="auto"/>
            </w:tcBorders>
            <w:shd w:val="clear" w:color="000000" w:fill="FFFFFF"/>
            <w:noWrap/>
            <w:vAlign w:val="center"/>
            <w:hideMark/>
          </w:tcPr>
          <w:p w14:paraId="6904AE19"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(+2;+5)</w:t>
            </w:r>
          </w:p>
        </w:tc>
        <w:tc>
          <w:tcPr>
            <w:tcW w:w="1949" w:type="dxa"/>
            <w:tcBorders>
              <w:top w:val="single" w:sz="4" w:space="0" w:color="auto"/>
              <w:left w:val="nil"/>
              <w:bottom w:val="single" w:sz="12" w:space="0" w:color="auto"/>
            </w:tcBorders>
            <w:shd w:val="clear" w:color="000000" w:fill="FFFFFF"/>
            <w:noWrap/>
            <w:vAlign w:val="center"/>
            <w:hideMark/>
          </w:tcPr>
          <w:p w14:paraId="7397D968"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-0,0009</w:t>
            </w:r>
          </w:p>
        </w:tc>
        <w:tc>
          <w:tcPr>
            <w:tcW w:w="1949" w:type="dxa"/>
            <w:tcBorders>
              <w:top w:val="single" w:sz="4" w:space="0" w:color="auto"/>
              <w:bottom w:val="single" w:sz="12" w:space="0" w:color="auto"/>
            </w:tcBorders>
            <w:shd w:val="clear" w:color="000000" w:fill="FFFFFF"/>
            <w:noWrap/>
            <w:vAlign w:val="center"/>
            <w:hideMark/>
          </w:tcPr>
          <w:p w14:paraId="237C734D"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0,0240</w:t>
            </w:r>
          </w:p>
        </w:tc>
        <w:tc>
          <w:tcPr>
            <w:tcW w:w="1949" w:type="dxa"/>
            <w:tcBorders>
              <w:top w:val="single" w:sz="4" w:space="0" w:color="auto"/>
              <w:bottom w:val="single" w:sz="12" w:space="0" w:color="auto"/>
            </w:tcBorders>
            <w:shd w:val="clear" w:color="000000" w:fill="FFFFFF"/>
            <w:noWrap/>
            <w:vAlign w:val="center"/>
            <w:hideMark/>
          </w:tcPr>
          <w:p w14:paraId="78602903" w14:textId="77777777" w:rsidR="006E0368" w:rsidRPr="00635ABF" w:rsidRDefault="006E0368" w:rsidP="00F52B6A">
            <w:pPr>
              <w:spacing w:afterLines="0" w:after="0" w:line="240" w:lineRule="auto"/>
              <w:ind w:firstLine="0"/>
              <w:jc w:val="center"/>
              <w:rPr>
                <w:rFonts w:cs="Arial"/>
                <w:sz w:val="20"/>
                <w:szCs w:val="20"/>
              </w:rPr>
            </w:pPr>
            <w:r w:rsidRPr="00635ABF">
              <w:rPr>
                <w:rFonts w:cs="Arial"/>
                <w:sz w:val="20"/>
                <w:szCs w:val="20"/>
              </w:rPr>
              <w:t>-0,1306</w:t>
            </w:r>
          </w:p>
        </w:tc>
      </w:tr>
    </w:tbl>
    <w:p w14:paraId="7988080C" w14:textId="77777777" w:rsidR="00635ABF" w:rsidRDefault="00635ABF" w:rsidP="004A1D34">
      <w:pPr>
        <w:spacing w:afterLines="0" w:after="0" w:line="240" w:lineRule="auto"/>
        <w:rPr>
          <w:rFonts w:cs="Arial"/>
          <w:szCs w:val="24"/>
        </w:rPr>
      </w:pPr>
      <w:bookmarkStart w:id="4" w:name="_Hlk169436394"/>
      <w:bookmarkStart w:id="5" w:name="_Hlk169436879"/>
    </w:p>
    <w:p w14:paraId="47957957" w14:textId="59D5C8DF" w:rsidR="00F52B6A" w:rsidRPr="00635ABF" w:rsidRDefault="004A1D34" w:rsidP="004A1D34">
      <w:pPr>
        <w:spacing w:afterLines="0" w:after="0" w:line="240" w:lineRule="auto"/>
        <w:rPr>
          <w:rFonts w:cs="Arial"/>
          <w:szCs w:val="24"/>
        </w:rPr>
      </w:pPr>
      <w:r w:rsidRPr="00635ABF">
        <w:rPr>
          <w:rFonts w:cs="Arial"/>
          <w:szCs w:val="24"/>
        </w:rPr>
        <w:t>Os números da Tabela 5 revelam que nenhuma das janelas apresenta valores do teste t-</w:t>
      </w:r>
      <w:proofErr w:type="spellStart"/>
      <w:r w:rsidRPr="00635ABF">
        <w:rPr>
          <w:rFonts w:cs="Arial"/>
          <w:szCs w:val="24"/>
        </w:rPr>
        <w:t>Student</w:t>
      </w:r>
      <w:proofErr w:type="spellEnd"/>
      <w:r w:rsidRPr="00635ABF">
        <w:rPr>
          <w:rFonts w:cs="Arial"/>
          <w:szCs w:val="24"/>
        </w:rPr>
        <w:t xml:space="preserve"> suficientemente altos (ou baixos) para indicar significância estatística ao nível convencional de 5%.</w:t>
      </w:r>
      <w:bookmarkEnd w:id="4"/>
      <w:r w:rsidRPr="00635ABF">
        <w:rPr>
          <w:rFonts w:cs="Arial"/>
          <w:szCs w:val="24"/>
        </w:rPr>
        <w:t xml:space="preserve"> A análise dos dados sugere que não há evidências estatisticamente significativas de que os eventos com variação positiva da Selic no período de crise de 03/2020 a 06/2022 tenham impactado significativamente os retornos acumulados do Ibovespa nas janelas de tempo analisadas. </w:t>
      </w:r>
    </w:p>
    <w:bookmarkEnd w:id="5"/>
    <w:p w14:paraId="219A9712" w14:textId="77777777" w:rsidR="00F52B6A" w:rsidRPr="00635ABF" w:rsidRDefault="00F52B6A" w:rsidP="00F52B6A">
      <w:pPr>
        <w:spacing w:afterLines="0" w:after="0" w:line="240" w:lineRule="auto"/>
        <w:ind w:firstLine="0"/>
        <w:rPr>
          <w:rFonts w:cs="Arial"/>
          <w:szCs w:val="24"/>
        </w:rPr>
      </w:pPr>
    </w:p>
    <w:p w14:paraId="4FA66178" w14:textId="4D28ADF7" w:rsidR="00F52B6A" w:rsidRPr="00635ABF" w:rsidRDefault="00F52B6A" w:rsidP="00F52B6A">
      <w:pPr>
        <w:spacing w:afterLines="0" w:after="0" w:line="240" w:lineRule="auto"/>
        <w:ind w:firstLine="0"/>
        <w:jc w:val="center"/>
        <w:rPr>
          <w:rFonts w:cs="Arial"/>
          <w:szCs w:val="24"/>
        </w:rPr>
      </w:pPr>
      <w:r w:rsidRPr="00635ABF">
        <w:rPr>
          <w:rFonts w:cs="Arial"/>
          <w:szCs w:val="24"/>
        </w:rPr>
        <w:t>Tabela 6 – Eventos com variação negativa da Selic no período sem crise de 01/2012 a 12/2014 e 01/2017 a 02/2020</w:t>
      </w:r>
    </w:p>
    <w:p w14:paraId="642247F0" w14:textId="77777777" w:rsidR="006E0368" w:rsidRPr="00635ABF" w:rsidRDefault="006E0368" w:rsidP="00FE6BB8">
      <w:pPr>
        <w:spacing w:afterLines="0" w:after="0" w:line="240" w:lineRule="auto"/>
        <w:rPr>
          <w:rFonts w:cs="Arial"/>
          <w:szCs w:val="24"/>
        </w:rPr>
      </w:pPr>
    </w:p>
    <w:tbl>
      <w:tblPr>
        <w:tblW w:w="7796" w:type="dxa"/>
        <w:tblInd w:w="846" w:type="dxa"/>
        <w:tblLayout w:type="fixed"/>
        <w:tblCellMar>
          <w:left w:w="70" w:type="dxa"/>
          <w:right w:w="70" w:type="dxa"/>
        </w:tblCellMar>
        <w:tblLook w:val="04A0" w:firstRow="1" w:lastRow="0" w:firstColumn="1" w:lastColumn="0" w:noHBand="0" w:noVBand="1"/>
      </w:tblPr>
      <w:tblGrid>
        <w:gridCol w:w="1949"/>
        <w:gridCol w:w="1949"/>
        <w:gridCol w:w="1949"/>
        <w:gridCol w:w="1949"/>
      </w:tblGrid>
      <w:tr w:rsidR="00102CF7" w:rsidRPr="00635ABF" w14:paraId="1AC7A164" w14:textId="77777777" w:rsidTr="00F52B6A">
        <w:trPr>
          <w:trHeight w:val="397"/>
        </w:trPr>
        <w:tc>
          <w:tcPr>
            <w:tcW w:w="1949" w:type="dxa"/>
            <w:tcBorders>
              <w:top w:val="single" w:sz="12" w:space="0" w:color="auto"/>
              <w:bottom w:val="single" w:sz="12" w:space="0" w:color="auto"/>
            </w:tcBorders>
            <w:shd w:val="clear" w:color="000000" w:fill="FFFFFF"/>
            <w:noWrap/>
            <w:vAlign w:val="center"/>
            <w:hideMark/>
          </w:tcPr>
          <w:p w14:paraId="5DD41FA4" w14:textId="70A3C623"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Janelas</w:t>
            </w:r>
          </w:p>
        </w:tc>
        <w:tc>
          <w:tcPr>
            <w:tcW w:w="1949" w:type="dxa"/>
            <w:tcBorders>
              <w:top w:val="single" w:sz="12" w:space="0" w:color="auto"/>
              <w:left w:val="nil"/>
              <w:bottom w:val="single" w:sz="12" w:space="0" w:color="auto"/>
            </w:tcBorders>
            <w:shd w:val="clear" w:color="000000" w:fill="FFFFFF"/>
            <w:noWrap/>
            <w:vAlign w:val="center"/>
            <w:hideMark/>
          </w:tcPr>
          <w:p w14:paraId="2DCEC39A" w14:textId="6ACCCB7F"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acc>
                      <m:accPr>
                        <m:chr m:val="̅"/>
                        <m:ctrlPr>
                          <w:rPr>
                            <w:rFonts w:ascii="Cambria Math" w:hAnsi="Cambria Math" w:cs="Arial"/>
                            <w:sz w:val="20"/>
                            <w:szCs w:val="20"/>
                          </w:rPr>
                        </m:ctrlPr>
                      </m:accPr>
                      <m:e>
                        <m:r>
                          <w:rPr>
                            <w:rFonts w:ascii="Cambria Math" w:hAnsi="Cambria Math" w:cs="Arial"/>
                            <w:sz w:val="20"/>
                            <w:szCs w:val="20"/>
                          </w:rPr>
                          <m:t>CAR</m:t>
                        </m:r>
                      </m:e>
                    </m:acc>
                  </m:e>
                  <m:sub>
                    <m:r>
                      <w:rPr>
                        <w:rFonts w:ascii="Cambria Math" w:hAnsi="Cambria Math" w:cs="Arial"/>
                        <w:sz w:val="20"/>
                        <w:szCs w:val="20"/>
                      </w:rPr>
                      <m:t>t</m:t>
                    </m:r>
                    <m:r>
                      <m:rPr>
                        <m:sty m:val="p"/>
                      </m:rPr>
                      <w:rPr>
                        <w:rFonts w:ascii="Cambria Math" w:hAnsi="Cambria Math" w:cs="Arial"/>
                        <w:sz w:val="20"/>
                        <w:szCs w:val="20"/>
                      </w:rPr>
                      <m:t xml:space="preserve"> =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ub>
                </m:sSub>
              </m:oMath>
            </m:oMathPara>
          </w:p>
        </w:tc>
        <w:tc>
          <w:tcPr>
            <w:tcW w:w="1949" w:type="dxa"/>
            <w:tcBorders>
              <w:top w:val="single" w:sz="12" w:space="0" w:color="auto"/>
              <w:left w:val="nil"/>
              <w:bottom w:val="single" w:sz="12" w:space="0" w:color="auto"/>
            </w:tcBorders>
            <w:shd w:val="clear" w:color="000000" w:fill="FFFFFF"/>
            <w:noWrap/>
            <w:vAlign w:val="center"/>
            <w:hideMark/>
          </w:tcPr>
          <w:p w14:paraId="7032A96F" w14:textId="1D1736E8"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σ</m:t>
                    </m:r>
                  </m:e>
                  <m:sub>
                    <m:sSub>
                      <m:sSubPr>
                        <m:ctrlPr>
                          <w:rPr>
                            <w:rFonts w:ascii="Cambria Math" w:hAnsi="Cambria Math" w:cs="Arial"/>
                            <w:sz w:val="20"/>
                            <w:szCs w:val="20"/>
                          </w:rPr>
                        </m:ctrlPr>
                      </m:sSubPr>
                      <m:e>
                        <m:r>
                          <w:rPr>
                            <w:rFonts w:ascii="Cambria Math" w:hAnsi="Cambria Math" w:cs="Arial"/>
                            <w:sz w:val="20"/>
                            <w:szCs w:val="20"/>
                          </w:rPr>
                          <m:t>CAR</m:t>
                        </m:r>
                      </m:e>
                      <m:sub>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sub>
                    </m:sSub>
                  </m:sub>
                </m:sSub>
              </m:oMath>
            </m:oMathPara>
          </w:p>
        </w:tc>
        <w:tc>
          <w:tcPr>
            <w:tcW w:w="1949" w:type="dxa"/>
            <w:tcBorders>
              <w:top w:val="single" w:sz="12" w:space="0" w:color="auto"/>
              <w:bottom w:val="single" w:sz="12" w:space="0" w:color="auto"/>
            </w:tcBorders>
            <w:shd w:val="clear" w:color="000000" w:fill="FFFFFF"/>
            <w:noWrap/>
            <w:vAlign w:val="center"/>
            <w:hideMark/>
          </w:tcPr>
          <w:p w14:paraId="629AF3E5" w14:textId="4C96F4E9"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Teste t-</w:t>
            </w:r>
            <w:proofErr w:type="spellStart"/>
            <w:r w:rsidRPr="00635ABF">
              <w:rPr>
                <w:rFonts w:cs="Arial"/>
                <w:sz w:val="20"/>
                <w:szCs w:val="20"/>
              </w:rPr>
              <w:t>Student</w:t>
            </w:r>
            <w:proofErr w:type="spellEnd"/>
          </w:p>
        </w:tc>
      </w:tr>
      <w:tr w:rsidR="00102CF7" w:rsidRPr="00635ABF" w14:paraId="196886A0" w14:textId="77777777" w:rsidTr="00F52B6A">
        <w:trPr>
          <w:trHeight w:val="397"/>
        </w:trPr>
        <w:tc>
          <w:tcPr>
            <w:tcW w:w="1949" w:type="dxa"/>
            <w:tcBorders>
              <w:top w:val="single" w:sz="12" w:space="0" w:color="auto"/>
              <w:bottom w:val="single" w:sz="4" w:space="0" w:color="auto"/>
            </w:tcBorders>
            <w:shd w:val="clear" w:color="000000" w:fill="FFFFFF"/>
            <w:noWrap/>
            <w:vAlign w:val="center"/>
            <w:hideMark/>
          </w:tcPr>
          <w:p w14:paraId="77872E0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(-5;0)</w:t>
            </w:r>
          </w:p>
        </w:tc>
        <w:tc>
          <w:tcPr>
            <w:tcW w:w="1949" w:type="dxa"/>
            <w:tcBorders>
              <w:top w:val="single" w:sz="12" w:space="0" w:color="auto"/>
              <w:left w:val="nil"/>
              <w:bottom w:val="single" w:sz="4" w:space="0" w:color="auto"/>
            </w:tcBorders>
            <w:shd w:val="clear" w:color="000000" w:fill="FFFFFF"/>
            <w:noWrap/>
            <w:vAlign w:val="center"/>
            <w:hideMark/>
          </w:tcPr>
          <w:p w14:paraId="17FCAA7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-0,0020</w:t>
            </w:r>
          </w:p>
        </w:tc>
        <w:tc>
          <w:tcPr>
            <w:tcW w:w="1949" w:type="dxa"/>
            <w:tcBorders>
              <w:top w:val="single" w:sz="12" w:space="0" w:color="auto"/>
              <w:left w:val="nil"/>
              <w:bottom w:val="single" w:sz="4" w:space="0" w:color="auto"/>
            </w:tcBorders>
            <w:shd w:val="clear" w:color="000000" w:fill="FFFFFF"/>
            <w:noWrap/>
            <w:vAlign w:val="center"/>
            <w:hideMark/>
          </w:tcPr>
          <w:p w14:paraId="53236F0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0,0120</w:t>
            </w:r>
          </w:p>
        </w:tc>
        <w:tc>
          <w:tcPr>
            <w:tcW w:w="1949" w:type="dxa"/>
            <w:tcBorders>
              <w:top w:val="single" w:sz="12" w:space="0" w:color="auto"/>
              <w:bottom w:val="single" w:sz="4" w:space="0" w:color="auto"/>
            </w:tcBorders>
            <w:shd w:val="clear" w:color="000000" w:fill="FFFFFF"/>
            <w:noWrap/>
            <w:vAlign w:val="center"/>
            <w:hideMark/>
          </w:tcPr>
          <w:p w14:paraId="1166CE9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-0,7714</w:t>
            </w:r>
          </w:p>
        </w:tc>
      </w:tr>
      <w:tr w:rsidR="00102CF7" w:rsidRPr="00635ABF" w14:paraId="2C576527" w14:textId="77777777" w:rsidTr="00F52B6A">
        <w:trPr>
          <w:trHeight w:val="397"/>
        </w:trPr>
        <w:tc>
          <w:tcPr>
            <w:tcW w:w="1949" w:type="dxa"/>
            <w:tcBorders>
              <w:top w:val="nil"/>
              <w:bottom w:val="single" w:sz="4" w:space="0" w:color="auto"/>
            </w:tcBorders>
            <w:shd w:val="clear" w:color="000000" w:fill="FFFFFF"/>
            <w:noWrap/>
            <w:vAlign w:val="center"/>
            <w:hideMark/>
          </w:tcPr>
          <w:p w14:paraId="5A01799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(-4;0)</w:t>
            </w:r>
          </w:p>
        </w:tc>
        <w:tc>
          <w:tcPr>
            <w:tcW w:w="1949" w:type="dxa"/>
            <w:tcBorders>
              <w:top w:val="nil"/>
              <w:left w:val="nil"/>
              <w:bottom w:val="single" w:sz="4" w:space="0" w:color="auto"/>
            </w:tcBorders>
            <w:shd w:val="clear" w:color="000000" w:fill="FFFFFF"/>
            <w:noWrap/>
            <w:vAlign w:val="center"/>
            <w:hideMark/>
          </w:tcPr>
          <w:p w14:paraId="05A1C0E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-0,0029</w:t>
            </w:r>
          </w:p>
        </w:tc>
        <w:tc>
          <w:tcPr>
            <w:tcW w:w="1949" w:type="dxa"/>
            <w:tcBorders>
              <w:top w:val="nil"/>
              <w:left w:val="nil"/>
              <w:bottom w:val="single" w:sz="4" w:space="0" w:color="auto"/>
            </w:tcBorders>
            <w:shd w:val="clear" w:color="000000" w:fill="FFFFFF"/>
            <w:noWrap/>
            <w:vAlign w:val="center"/>
            <w:hideMark/>
          </w:tcPr>
          <w:p w14:paraId="29719F0E"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0,0136</w:t>
            </w:r>
          </w:p>
        </w:tc>
        <w:tc>
          <w:tcPr>
            <w:tcW w:w="1949" w:type="dxa"/>
            <w:tcBorders>
              <w:top w:val="nil"/>
              <w:bottom w:val="single" w:sz="4" w:space="0" w:color="auto"/>
            </w:tcBorders>
            <w:shd w:val="clear" w:color="000000" w:fill="FFFFFF"/>
            <w:noWrap/>
            <w:vAlign w:val="center"/>
            <w:hideMark/>
          </w:tcPr>
          <w:p w14:paraId="06EFA6B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-0,9841</w:t>
            </w:r>
          </w:p>
        </w:tc>
      </w:tr>
      <w:tr w:rsidR="00102CF7" w:rsidRPr="00635ABF" w14:paraId="2D06ED84" w14:textId="77777777" w:rsidTr="00F52B6A">
        <w:trPr>
          <w:trHeight w:val="397"/>
        </w:trPr>
        <w:tc>
          <w:tcPr>
            <w:tcW w:w="1949" w:type="dxa"/>
            <w:tcBorders>
              <w:top w:val="nil"/>
              <w:bottom w:val="single" w:sz="4" w:space="0" w:color="auto"/>
            </w:tcBorders>
            <w:shd w:val="clear" w:color="000000" w:fill="FFFFFF"/>
            <w:noWrap/>
            <w:vAlign w:val="center"/>
            <w:hideMark/>
          </w:tcPr>
          <w:p w14:paraId="2FD0581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(-3;0)</w:t>
            </w:r>
          </w:p>
        </w:tc>
        <w:tc>
          <w:tcPr>
            <w:tcW w:w="1949" w:type="dxa"/>
            <w:tcBorders>
              <w:top w:val="nil"/>
              <w:left w:val="nil"/>
              <w:bottom w:val="single" w:sz="4" w:space="0" w:color="auto"/>
            </w:tcBorders>
            <w:shd w:val="clear" w:color="000000" w:fill="FFFFFF"/>
            <w:noWrap/>
            <w:vAlign w:val="center"/>
            <w:hideMark/>
          </w:tcPr>
          <w:p w14:paraId="66CF684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0,0005</w:t>
            </w:r>
          </w:p>
        </w:tc>
        <w:tc>
          <w:tcPr>
            <w:tcW w:w="1949" w:type="dxa"/>
            <w:tcBorders>
              <w:top w:val="nil"/>
              <w:left w:val="nil"/>
              <w:bottom w:val="single" w:sz="4" w:space="0" w:color="auto"/>
            </w:tcBorders>
            <w:shd w:val="clear" w:color="000000" w:fill="FFFFFF"/>
            <w:noWrap/>
            <w:vAlign w:val="center"/>
            <w:hideMark/>
          </w:tcPr>
          <w:p w14:paraId="3DE05F6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0,0127</w:t>
            </w:r>
          </w:p>
        </w:tc>
        <w:tc>
          <w:tcPr>
            <w:tcW w:w="1949" w:type="dxa"/>
            <w:tcBorders>
              <w:top w:val="nil"/>
              <w:bottom w:val="single" w:sz="4" w:space="0" w:color="auto"/>
            </w:tcBorders>
            <w:shd w:val="clear" w:color="000000" w:fill="FFFFFF"/>
            <w:noWrap/>
            <w:vAlign w:val="center"/>
            <w:hideMark/>
          </w:tcPr>
          <w:p w14:paraId="63B8FD0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0,1946</w:t>
            </w:r>
          </w:p>
        </w:tc>
      </w:tr>
      <w:tr w:rsidR="00102CF7" w:rsidRPr="00635ABF" w14:paraId="0D61E8BA" w14:textId="77777777" w:rsidTr="00F52B6A">
        <w:trPr>
          <w:trHeight w:val="397"/>
        </w:trPr>
        <w:tc>
          <w:tcPr>
            <w:tcW w:w="1949" w:type="dxa"/>
            <w:tcBorders>
              <w:top w:val="nil"/>
              <w:bottom w:val="single" w:sz="4" w:space="0" w:color="auto"/>
            </w:tcBorders>
            <w:shd w:val="clear" w:color="000000" w:fill="FFFFFF"/>
            <w:noWrap/>
            <w:vAlign w:val="center"/>
            <w:hideMark/>
          </w:tcPr>
          <w:p w14:paraId="7DD2BCE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(-2;0)</w:t>
            </w:r>
          </w:p>
        </w:tc>
        <w:tc>
          <w:tcPr>
            <w:tcW w:w="1949" w:type="dxa"/>
            <w:tcBorders>
              <w:top w:val="nil"/>
              <w:left w:val="nil"/>
              <w:bottom w:val="single" w:sz="4" w:space="0" w:color="auto"/>
            </w:tcBorders>
            <w:shd w:val="clear" w:color="000000" w:fill="FFFFFF"/>
            <w:noWrap/>
            <w:vAlign w:val="center"/>
            <w:hideMark/>
          </w:tcPr>
          <w:p w14:paraId="18A54BC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0,0028</w:t>
            </w:r>
          </w:p>
        </w:tc>
        <w:tc>
          <w:tcPr>
            <w:tcW w:w="1949" w:type="dxa"/>
            <w:tcBorders>
              <w:top w:val="nil"/>
              <w:left w:val="nil"/>
              <w:bottom w:val="single" w:sz="4" w:space="0" w:color="auto"/>
            </w:tcBorders>
            <w:shd w:val="clear" w:color="000000" w:fill="FFFFFF"/>
            <w:noWrap/>
            <w:vAlign w:val="center"/>
            <w:hideMark/>
          </w:tcPr>
          <w:p w14:paraId="1859AA5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0,0123</w:t>
            </w:r>
          </w:p>
        </w:tc>
        <w:tc>
          <w:tcPr>
            <w:tcW w:w="1949" w:type="dxa"/>
            <w:tcBorders>
              <w:top w:val="nil"/>
              <w:bottom w:val="single" w:sz="4" w:space="0" w:color="auto"/>
            </w:tcBorders>
            <w:shd w:val="clear" w:color="000000" w:fill="FFFFFF"/>
            <w:noWrap/>
            <w:vAlign w:val="center"/>
            <w:hideMark/>
          </w:tcPr>
          <w:p w14:paraId="42E8FEF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1,0503</w:t>
            </w:r>
          </w:p>
        </w:tc>
      </w:tr>
      <w:tr w:rsidR="00102CF7" w:rsidRPr="00635ABF" w14:paraId="0F09338A" w14:textId="77777777" w:rsidTr="00F52B6A">
        <w:trPr>
          <w:trHeight w:val="397"/>
        </w:trPr>
        <w:tc>
          <w:tcPr>
            <w:tcW w:w="1949" w:type="dxa"/>
            <w:tcBorders>
              <w:top w:val="nil"/>
              <w:bottom w:val="single" w:sz="4" w:space="0" w:color="auto"/>
            </w:tcBorders>
            <w:shd w:val="clear" w:color="000000" w:fill="FFFFFF"/>
            <w:noWrap/>
            <w:vAlign w:val="center"/>
            <w:hideMark/>
          </w:tcPr>
          <w:p w14:paraId="0029E92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(-1;0)</w:t>
            </w:r>
          </w:p>
        </w:tc>
        <w:tc>
          <w:tcPr>
            <w:tcW w:w="1949" w:type="dxa"/>
            <w:tcBorders>
              <w:top w:val="nil"/>
              <w:left w:val="nil"/>
              <w:bottom w:val="single" w:sz="4" w:space="0" w:color="auto"/>
            </w:tcBorders>
            <w:shd w:val="clear" w:color="000000" w:fill="FFFFFF"/>
            <w:noWrap/>
            <w:vAlign w:val="center"/>
            <w:hideMark/>
          </w:tcPr>
          <w:p w14:paraId="62E194B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-0,0011</w:t>
            </w:r>
          </w:p>
        </w:tc>
        <w:tc>
          <w:tcPr>
            <w:tcW w:w="1949" w:type="dxa"/>
            <w:tcBorders>
              <w:top w:val="nil"/>
              <w:left w:val="nil"/>
              <w:bottom w:val="single" w:sz="4" w:space="0" w:color="auto"/>
            </w:tcBorders>
            <w:shd w:val="clear" w:color="000000" w:fill="FFFFFF"/>
            <w:noWrap/>
            <w:vAlign w:val="center"/>
            <w:hideMark/>
          </w:tcPr>
          <w:p w14:paraId="031328B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0,0117</w:t>
            </w:r>
          </w:p>
        </w:tc>
        <w:tc>
          <w:tcPr>
            <w:tcW w:w="1949" w:type="dxa"/>
            <w:tcBorders>
              <w:top w:val="nil"/>
              <w:bottom w:val="single" w:sz="4" w:space="0" w:color="auto"/>
            </w:tcBorders>
            <w:shd w:val="clear" w:color="000000" w:fill="FFFFFF"/>
            <w:noWrap/>
            <w:vAlign w:val="center"/>
            <w:hideMark/>
          </w:tcPr>
          <w:p w14:paraId="110ED75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-0,4575</w:t>
            </w:r>
          </w:p>
        </w:tc>
      </w:tr>
      <w:tr w:rsidR="00102CF7" w:rsidRPr="00635ABF" w14:paraId="6A19BBC7" w14:textId="77777777" w:rsidTr="00F52B6A">
        <w:trPr>
          <w:trHeight w:val="397"/>
        </w:trPr>
        <w:tc>
          <w:tcPr>
            <w:tcW w:w="1949" w:type="dxa"/>
            <w:tcBorders>
              <w:top w:val="nil"/>
              <w:bottom w:val="single" w:sz="4" w:space="0" w:color="auto"/>
            </w:tcBorders>
            <w:shd w:val="clear" w:color="000000" w:fill="FFFFFF"/>
            <w:noWrap/>
            <w:vAlign w:val="center"/>
            <w:hideMark/>
          </w:tcPr>
          <w:p w14:paraId="6F0AE8A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w:t>
            </w:r>
          </w:p>
        </w:tc>
        <w:tc>
          <w:tcPr>
            <w:tcW w:w="1949" w:type="dxa"/>
            <w:tcBorders>
              <w:top w:val="nil"/>
              <w:left w:val="nil"/>
              <w:bottom w:val="single" w:sz="4" w:space="0" w:color="auto"/>
            </w:tcBorders>
            <w:shd w:val="clear" w:color="000000" w:fill="FFFFFF"/>
            <w:noWrap/>
            <w:vAlign w:val="center"/>
            <w:hideMark/>
          </w:tcPr>
          <w:p w14:paraId="108D65B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-0,0008</w:t>
            </w:r>
          </w:p>
        </w:tc>
        <w:tc>
          <w:tcPr>
            <w:tcW w:w="1949" w:type="dxa"/>
            <w:tcBorders>
              <w:top w:val="nil"/>
              <w:left w:val="nil"/>
              <w:bottom w:val="single" w:sz="4" w:space="0" w:color="auto"/>
            </w:tcBorders>
            <w:shd w:val="clear" w:color="000000" w:fill="FFFFFF"/>
            <w:noWrap/>
            <w:vAlign w:val="center"/>
            <w:hideMark/>
          </w:tcPr>
          <w:p w14:paraId="1B84018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0,0204</w:t>
            </w:r>
          </w:p>
        </w:tc>
        <w:tc>
          <w:tcPr>
            <w:tcW w:w="1949" w:type="dxa"/>
            <w:tcBorders>
              <w:top w:val="nil"/>
              <w:bottom w:val="single" w:sz="4" w:space="0" w:color="auto"/>
            </w:tcBorders>
            <w:shd w:val="clear" w:color="000000" w:fill="FFFFFF"/>
            <w:noWrap/>
            <w:vAlign w:val="center"/>
            <w:hideMark/>
          </w:tcPr>
          <w:p w14:paraId="323AC4E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-0,1945</w:t>
            </w:r>
          </w:p>
        </w:tc>
      </w:tr>
      <w:tr w:rsidR="00102CF7" w:rsidRPr="00635ABF" w14:paraId="6BCA08C6" w14:textId="77777777" w:rsidTr="00F52B6A">
        <w:trPr>
          <w:trHeight w:val="397"/>
        </w:trPr>
        <w:tc>
          <w:tcPr>
            <w:tcW w:w="1949" w:type="dxa"/>
            <w:tcBorders>
              <w:top w:val="nil"/>
              <w:bottom w:val="single" w:sz="4" w:space="0" w:color="auto"/>
            </w:tcBorders>
            <w:shd w:val="clear" w:color="000000" w:fill="FFFFFF"/>
            <w:noWrap/>
            <w:vAlign w:val="center"/>
            <w:hideMark/>
          </w:tcPr>
          <w:p w14:paraId="7845A0D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(+1;+1)</w:t>
            </w:r>
          </w:p>
        </w:tc>
        <w:tc>
          <w:tcPr>
            <w:tcW w:w="1949" w:type="dxa"/>
            <w:tcBorders>
              <w:top w:val="nil"/>
              <w:left w:val="nil"/>
              <w:bottom w:val="single" w:sz="4" w:space="0" w:color="auto"/>
            </w:tcBorders>
            <w:shd w:val="clear" w:color="000000" w:fill="FFFFFF"/>
            <w:noWrap/>
            <w:vAlign w:val="center"/>
            <w:hideMark/>
          </w:tcPr>
          <w:p w14:paraId="2237AF3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0,0053</w:t>
            </w:r>
          </w:p>
        </w:tc>
        <w:tc>
          <w:tcPr>
            <w:tcW w:w="1949" w:type="dxa"/>
            <w:tcBorders>
              <w:top w:val="nil"/>
              <w:left w:val="nil"/>
              <w:bottom w:val="single" w:sz="4" w:space="0" w:color="auto"/>
            </w:tcBorders>
            <w:shd w:val="clear" w:color="000000" w:fill="FFFFFF"/>
            <w:noWrap/>
            <w:vAlign w:val="center"/>
            <w:hideMark/>
          </w:tcPr>
          <w:p w14:paraId="4D48E46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0,0332</w:t>
            </w:r>
          </w:p>
        </w:tc>
        <w:tc>
          <w:tcPr>
            <w:tcW w:w="1949" w:type="dxa"/>
            <w:tcBorders>
              <w:top w:val="nil"/>
              <w:bottom w:val="single" w:sz="4" w:space="0" w:color="auto"/>
            </w:tcBorders>
            <w:shd w:val="clear" w:color="000000" w:fill="FFFFFF"/>
            <w:noWrap/>
            <w:vAlign w:val="center"/>
            <w:hideMark/>
          </w:tcPr>
          <w:p w14:paraId="006F626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0,7444</w:t>
            </w:r>
          </w:p>
        </w:tc>
      </w:tr>
      <w:tr w:rsidR="00102CF7" w:rsidRPr="00635ABF" w14:paraId="3A9F3EE2" w14:textId="77777777" w:rsidTr="00F52B6A">
        <w:trPr>
          <w:trHeight w:val="397"/>
        </w:trPr>
        <w:tc>
          <w:tcPr>
            <w:tcW w:w="1949" w:type="dxa"/>
            <w:tcBorders>
              <w:top w:val="nil"/>
              <w:bottom w:val="single" w:sz="4" w:space="0" w:color="auto"/>
            </w:tcBorders>
            <w:shd w:val="clear" w:color="000000" w:fill="FFFFFF"/>
            <w:noWrap/>
            <w:vAlign w:val="center"/>
            <w:hideMark/>
          </w:tcPr>
          <w:p w14:paraId="40BF948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(+2;+2)</w:t>
            </w:r>
          </w:p>
        </w:tc>
        <w:tc>
          <w:tcPr>
            <w:tcW w:w="1949" w:type="dxa"/>
            <w:tcBorders>
              <w:top w:val="nil"/>
              <w:left w:val="nil"/>
              <w:bottom w:val="single" w:sz="4" w:space="0" w:color="auto"/>
            </w:tcBorders>
            <w:shd w:val="clear" w:color="000000" w:fill="FFFFFF"/>
            <w:noWrap/>
            <w:vAlign w:val="center"/>
            <w:hideMark/>
          </w:tcPr>
          <w:p w14:paraId="10B10D6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0,0003</w:t>
            </w:r>
          </w:p>
        </w:tc>
        <w:tc>
          <w:tcPr>
            <w:tcW w:w="1949" w:type="dxa"/>
            <w:tcBorders>
              <w:top w:val="nil"/>
              <w:left w:val="nil"/>
              <w:bottom w:val="single" w:sz="4" w:space="0" w:color="auto"/>
            </w:tcBorders>
            <w:shd w:val="clear" w:color="000000" w:fill="FFFFFF"/>
            <w:noWrap/>
            <w:vAlign w:val="center"/>
            <w:hideMark/>
          </w:tcPr>
          <w:p w14:paraId="735B070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0,0172</w:t>
            </w:r>
          </w:p>
        </w:tc>
        <w:tc>
          <w:tcPr>
            <w:tcW w:w="1949" w:type="dxa"/>
            <w:tcBorders>
              <w:top w:val="nil"/>
              <w:bottom w:val="single" w:sz="4" w:space="0" w:color="auto"/>
            </w:tcBorders>
            <w:shd w:val="clear" w:color="000000" w:fill="FFFFFF"/>
            <w:noWrap/>
            <w:vAlign w:val="center"/>
            <w:hideMark/>
          </w:tcPr>
          <w:p w14:paraId="0629414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0,0733</w:t>
            </w:r>
          </w:p>
        </w:tc>
      </w:tr>
      <w:tr w:rsidR="00102CF7" w:rsidRPr="00635ABF" w14:paraId="40EF25C6" w14:textId="77777777" w:rsidTr="00F52B6A">
        <w:trPr>
          <w:trHeight w:val="397"/>
        </w:trPr>
        <w:tc>
          <w:tcPr>
            <w:tcW w:w="1949" w:type="dxa"/>
            <w:tcBorders>
              <w:top w:val="nil"/>
              <w:bottom w:val="single" w:sz="4" w:space="0" w:color="auto"/>
            </w:tcBorders>
            <w:shd w:val="clear" w:color="000000" w:fill="FFFFFF"/>
            <w:noWrap/>
            <w:vAlign w:val="center"/>
            <w:hideMark/>
          </w:tcPr>
          <w:p w14:paraId="0A3C4A3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(+2;+3)</w:t>
            </w:r>
          </w:p>
        </w:tc>
        <w:tc>
          <w:tcPr>
            <w:tcW w:w="1949" w:type="dxa"/>
            <w:tcBorders>
              <w:top w:val="nil"/>
              <w:left w:val="nil"/>
              <w:bottom w:val="single" w:sz="4" w:space="0" w:color="auto"/>
            </w:tcBorders>
            <w:shd w:val="clear" w:color="000000" w:fill="FFFFFF"/>
            <w:noWrap/>
            <w:vAlign w:val="center"/>
            <w:hideMark/>
          </w:tcPr>
          <w:p w14:paraId="45F8830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-0,0036</w:t>
            </w:r>
          </w:p>
        </w:tc>
        <w:tc>
          <w:tcPr>
            <w:tcW w:w="1949" w:type="dxa"/>
            <w:tcBorders>
              <w:top w:val="nil"/>
              <w:left w:val="nil"/>
              <w:bottom w:val="single" w:sz="4" w:space="0" w:color="auto"/>
            </w:tcBorders>
            <w:shd w:val="clear" w:color="000000" w:fill="FFFFFF"/>
            <w:noWrap/>
            <w:vAlign w:val="center"/>
            <w:hideMark/>
          </w:tcPr>
          <w:p w14:paraId="69C6F22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0,0105</w:t>
            </w:r>
          </w:p>
        </w:tc>
        <w:tc>
          <w:tcPr>
            <w:tcW w:w="1949" w:type="dxa"/>
            <w:tcBorders>
              <w:top w:val="nil"/>
              <w:bottom w:val="single" w:sz="4" w:space="0" w:color="auto"/>
            </w:tcBorders>
            <w:shd w:val="clear" w:color="000000" w:fill="FFFFFF"/>
            <w:noWrap/>
            <w:vAlign w:val="center"/>
            <w:hideMark/>
          </w:tcPr>
          <w:p w14:paraId="10451A9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-1,6264</w:t>
            </w:r>
          </w:p>
        </w:tc>
      </w:tr>
      <w:tr w:rsidR="00F52B6A" w:rsidRPr="00635ABF" w14:paraId="32B31C1B" w14:textId="77777777" w:rsidTr="00F52B6A">
        <w:trPr>
          <w:trHeight w:val="397"/>
        </w:trPr>
        <w:tc>
          <w:tcPr>
            <w:tcW w:w="1949" w:type="dxa"/>
            <w:tcBorders>
              <w:top w:val="nil"/>
              <w:bottom w:val="single" w:sz="4" w:space="0" w:color="auto"/>
            </w:tcBorders>
            <w:shd w:val="clear" w:color="000000" w:fill="FFFFFF"/>
            <w:noWrap/>
            <w:vAlign w:val="center"/>
            <w:hideMark/>
          </w:tcPr>
          <w:p w14:paraId="3188FE1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(+2;+4)</w:t>
            </w:r>
          </w:p>
        </w:tc>
        <w:tc>
          <w:tcPr>
            <w:tcW w:w="1949" w:type="dxa"/>
            <w:tcBorders>
              <w:top w:val="nil"/>
              <w:left w:val="nil"/>
              <w:bottom w:val="single" w:sz="4" w:space="0" w:color="auto"/>
            </w:tcBorders>
            <w:shd w:val="clear" w:color="000000" w:fill="FFFFFF"/>
            <w:noWrap/>
            <w:vAlign w:val="center"/>
            <w:hideMark/>
          </w:tcPr>
          <w:p w14:paraId="6F89689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0,0013</w:t>
            </w:r>
          </w:p>
        </w:tc>
        <w:tc>
          <w:tcPr>
            <w:tcW w:w="1949" w:type="dxa"/>
            <w:tcBorders>
              <w:top w:val="nil"/>
              <w:left w:val="nil"/>
              <w:bottom w:val="single" w:sz="4" w:space="0" w:color="auto"/>
            </w:tcBorders>
            <w:shd w:val="clear" w:color="000000" w:fill="FFFFFF"/>
            <w:noWrap/>
            <w:vAlign w:val="center"/>
            <w:hideMark/>
          </w:tcPr>
          <w:p w14:paraId="057D47D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0,0140</w:t>
            </w:r>
          </w:p>
        </w:tc>
        <w:tc>
          <w:tcPr>
            <w:tcW w:w="1949" w:type="dxa"/>
            <w:tcBorders>
              <w:top w:val="nil"/>
              <w:bottom w:val="single" w:sz="4" w:space="0" w:color="auto"/>
            </w:tcBorders>
            <w:shd w:val="clear" w:color="000000" w:fill="FFFFFF"/>
            <w:noWrap/>
            <w:vAlign w:val="center"/>
            <w:hideMark/>
          </w:tcPr>
          <w:p w14:paraId="3239A96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0,4389</w:t>
            </w:r>
          </w:p>
        </w:tc>
      </w:tr>
      <w:tr w:rsidR="00F52B6A" w:rsidRPr="00635ABF" w14:paraId="7B5353B6" w14:textId="77777777" w:rsidTr="00F52B6A">
        <w:trPr>
          <w:trHeight w:val="397"/>
        </w:trPr>
        <w:tc>
          <w:tcPr>
            <w:tcW w:w="1949" w:type="dxa"/>
            <w:tcBorders>
              <w:top w:val="single" w:sz="4" w:space="0" w:color="auto"/>
              <w:bottom w:val="single" w:sz="12" w:space="0" w:color="auto"/>
            </w:tcBorders>
            <w:shd w:val="clear" w:color="000000" w:fill="FFFFFF"/>
            <w:noWrap/>
            <w:vAlign w:val="center"/>
            <w:hideMark/>
          </w:tcPr>
          <w:p w14:paraId="1C4A10D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(+2;+5)</w:t>
            </w:r>
          </w:p>
        </w:tc>
        <w:tc>
          <w:tcPr>
            <w:tcW w:w="1949" w:type="dxa"/>
            <w:tcBorders>
              <w:top w:val="single" w:sz="4" w:space="0" w:color="auto"/>
              <w:left w:val="nil"/>
              <w:bottom w:val="single" w:sz="12" w:space="0" w:color="auto"/>
            </w:tcBorders>
            <w:shd w:val="clear" w:color="000000" w:fill="FFFFFF"/>
            <w:noWrap/>
            <w:vAlign w:val="center"/>
            <w:hideMark/>
          </w:tcPr>
          <w:p w14:paraId="6074406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0,0009</w:t>
            </w:r>
          </w:p>
        </w:tc>
        <w:tc>
          <w:tcPr>
            <w:tcW w:w="1949" w:type="dxa"/>
            <w:tcBorders>
              <w:top w:val="single" w:sz="4" w:space="0" w:color="auto"/>
              <w:left w:val="nil"/>
              <w:bottom w:val="single" w:sz="12" w:space="0" w:color="auto"/>
            </w:tcBorders>
            <w:shd w:val="clear" w:color="000000" w:fill="FFFFFF"/>
            <w:noWrap/>
            <w:vAlign w:val="center"/>
            <w:hideMark/>
          </w:tcPr>
          <w:p w14:paraId="66D7696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0,0108</w:t>
            </w:r>
          </w:p>
        </w:tc>
        <w:tc>
          <w:tcPr>
            <w:tcW w:w="1949" w:type="dxa"/>
            <w:tcBorders>
              <w:top w:val="single" w:sz="4" w:space="0" w:color="auto"/>
              <w:bottom w:val="single" w:sz="12" w:space="0" w:color="auto"/>
            </w:tcBorders>
            <w:shd w:val="clear" w:color="000000" w:fill="FFFFFF"/>
            <w:noWrap/>
            <w:vAlign w:val="center"/>
            <w:hideMark/>
          </w:tcPr>
          <w:p w14:paraId="70F3D19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0,3992</w:t>
            </w:r>
          </w:p>
        </w:tc>
      </w:tr>
    </w:tbl>
    <w:p w14:paraId="14F0D4F6" w14:textId="77777777" w:rsidR="00543C80" w:rsidRPr="00635ABF" w:rsidRDefault="00543C80" w:rsidP="00FE6BB8">
      <w:pPr>
        <w:spacing w:afterLines="0" w:after="0" w:line="240" w:lineRule="auto"/>
        <w:rPr>
          <w:rFonts w:cs="Arial"/>
          <w:szCs w:val="24"/>
        </w:rPr>
      </w:pPr>
    </w:p>
    <w:p w14:paraId="3D27B0EC" w14:textId="245B2ABB" w:rsidR="004A1D34" w:rsidRPr="00635ABF" w:rsidRDefault="004A1D34" w:rsidP="00FE6BB8">
      <w:pPr>
        <w:spacing w:afterLines="0" w:after="0" w:line="240" w:lineRule="auto"/>
        <w:rPr>
          <w:rFonts w:cs="Arial"/>
          <w:szCs w:val="24"/>
        </w:rPr>
      </w:pPr>
      <w:bookmarkStart w:id="6" w:name="_Hlk169436890"/>
      <w:r w:rsidRPr="00635ABF">
        <w:rPr>
          <w:rFonts w:cs="Arial"/>
          <w:szCs w:val="24"/>
        </w:rPr>
        <w:t>Os números da Tabela 6 revelam que nenhuma das janelas apresenta valores do teste t-</w:t>
      </w:r>
      <w:proofErr w:type="spellStart"/>
      <w:r w:rsidRPr="00635ABF">
        <w:rPr>
          <w:rFonts w:cs="Arial"/>
          <w:szCs w:val="24"/>
        </w:rPr>
        <w:t>Student</w:t>
      </w:r>
      <w:proofErr w:type="spellEnd"/>
      <w:r w:rsidRPr="00635ABF">
        <w:rPr>
          <w:rFonts w:cs="Arial"/>
          <w:szCs w:val="24"/>
        </w:rPr>
        <w:t xml:space="preserve"> suficientemente altos (ou baixos) para indicar significância estatística ao nível convencional de 5%. A análise dos dados sugere que não há evidências estatisticamente significativas de que os eventos com variação negativa da Selic no período sem crise de 01/2012 a 12/2014 e 01/2017 a 02/2020 tenham impactado significativamente os retornos acumulados do Ibovespa nas janelas de tempo analisadas. Os retornos acumulados são em sua maioria próximos de zero, e os valores do teste t-</w:t>
      </w:r>
      <w:proofErr w:type="spellStart"/>
      <w:r w:rsidRPr="00635ABF">
        <w:rPr>
          <w:rFonts w:cs="Arial"/>
          <w:szCs w:val="24"/>
        </w:rPr>
        <w:t>Student</w:t>
      </w:r>
      <w:proofErr w:type="spellEnd"/>
      <w:r w:rsidRPr="00635ABF">
        <w:rPr>
          <w:rFonts w:cs="Arial"/>
          <w:szCs w:val="24"/>
        </w:rPr>
        <w:t xml:space="preserve"> não indicam significância estatística.</w:t>
      </w:r>
    </w:p>
    <w:p w14:paraId="500135F0" w14:textId="77777777" w:rsidR="004A1D34" w:rsidRPr="00635ABF" w:rsidRDefault="004A1D34" w:rsidP="00FE6BB8">
      <w:pPr>
        <w:spacing w:afterLines="0" w:after="0" w:line="240" w:lineRule="auto"/>
        <w:rPr>
          <w:rFonts w:cs="Arial"/>
          <w:szCs w:val="24"/>
        </w:rPr>
      </w:pPr>
    </w:p>
    <w:bookmarkEnd w:id="6"/>
    <w:p w14:paraId="7AD7E8BB" w14:textId="77777777" w:rsidR="004A1D34" w:rsidRPr="00635ABF" w:rsidRDefault="004A1D34" w:rsidP="00FE6BB8">
      <w:pPr>
        <w:spacing w:afterLines="0" w:after="0" w:line="240" w:lineRule="auto"/>
        <w:rPr>
          <w:rFonts w:cs="Arial"/>
          <w:szCs w:val="24"/>
        </w:rPr>
      </w:pPr>
    </w:p>
    <w:p w14:paraId="79F1F012" w14:textId="33A3A023" w:rsidR="00F52B6A" w:rsidRPr="00635ABF" w:rsidRDefault="00F52B6A" w:rsidP="00F52B6A">
      <w:pPr>
        <w:spacing w:afterLines="0" w:after="0" w:line="240" w:lineRule="auto"/>
        <w:ind w:firstLine="0"/>
        <w:jc w:val="center"/>
        <w:rPr>
          <w:rFonts w:cs="Arial"/>
          <w:szCs w:val="24"/>
        </w:rPr>
      </w:pPr>
      <w:r w:rsidRPr="00635ABF">
        <w:rPr>
          <w:rFonts w:cs="Arial"/>
          <w:szCs w:val="24"/>
        </w:rPr>
        <w:t>Tabela 7 – Eventos com variação negativa da Selic no período de crise de 01/2015 a 12/2016</w:t>
      </w:r>
    </w:p>
    <w:p w14:paraId="2B5A37DC" w14:textId="77777777" w:rsidR="00F7470F" w:rsidRPr="00635ABF" w:rsidRDefault="00F7470F" w:rsidP="00FE6BB8">
      <w:pPr>
        <w:spacing w:afterLines="0" w:after="0" w:line="240" w:lineRule="auto"/>
        <w:rPr>
          <w:rFonts w:cs="Arial"/>
          <w:szCs w:val="24"/>
        </w:rPr>
      </w:pPr>
    </w:p>
    <w:tbl>
      <w:tblPr>
        <w:tblW w:w="7796" w:type="dxa"/>
        <w:tblInd w:w="846" w:type="dxa"/>
        <w:tblLayout w:type="fixed"/>
        <w:tblCellMar>
          <w:left w:w="70" w:type="dxa"/>
          <w:right w:w="70" w:type="dxa"/>
        </w:tblCellMar>
        <w:tblLook w:val="04A0" w:firstRow="1" w:lastRow="0" w:firstColumn="1" w:lastColumn="0" w:noHBand="0" w:noVBand="1"/>
      </w:tblPr>
      <w:tblGrid>
        <w:gridCol w:w="1949"/>
        <w:gridCol w:w="1949"/>
        <w:gridCol w:w="1949"/>
        <w:gridCol w:w="1949"/>
      </w:tblGrid>
      <w:tr w:rsidR="00102CF7" w:rsidRPr="00635ABF" w14:paraId="5E80D06B" w14:textId="77777777" w:rsidTr="00F52B6A">
        <w:trPr>
          <w:trHeight w:val="397"/>
        </w:trPr>
        <w:tc>
          <w:tcPr>
            <w:tcW w:w="1949" w:type="dxa"/>
            <w:tcBorders>
              <w:top w:val="single" w:sz="12" w:space="0" w:color="auto"/>
              <w:bottom w:val="single" w:sz="12" w:space="0" w:color="auto"/>
            </w:tcBorders>
            <w:shd w:val="clear" w:color="000000" w:fill="FFFFFF"/>
            <w:noWrap/>
            <w:vAlign w:val="center"/>
            <w:hideMark/>
          </w:tcPr>
          <w:p w14:paraId="3EBCC15E" w14:textId="71D054BE"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Janelas</w:t>
            </w:r>
          </w:p>
        </w:tc>
        <w:tc>
          <w:tcPr>
            <w:tcW w:w="1949" w:type="dxa"/>
            <w:tcBorders>
              <w:top w:val="single" w:sz="12" w:space="0" w:color="auto"/>
              <w:left w:val="nil"/>
              <w:bottom w:val="single" w:sz="12" w:space="0" w:color="auto"/>
            </w:tcBorders>
            <w:shd w:val="clear" w:color="000000" w:fill="FFFFFF"/>
            <w:noWrap/>
            <w:vAlign w:val="center"/>
            <w:hideMark/>
          </w:tcPr>
          <w:p w14:paraId="6A5307BD" w14:textId="469B738E"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acc>
                      <m:accPr>
                        <m:chr m:val="̅"/>
                        <m:ctrlPr>
                          <w:rPr>
                            <w:rFonts w:ascii="Cambria Math" w:hAnsi="Cambria Math" w:cs="Arial"/>
                            <w:sz w:val="20"/>
                            <w:szCs w:val="20"/>
                          </w:rPr>
                        </m:ctrlPr>
                      </m:accPr>
                      <m:e>
                        <m:r>
                          <w:rPr>
                            <w:rFonts w:ascii="Cambria Math" w:hAnsi="Cambria Math" w:cs="Arial"/>
                            <w:sz w:val="20"/>
                            <w:szCs w:val="20"/>
                          </w:rPr>
                          <m:t>CAR</m:t>
                        </m:r>
                      </m:e>
                    </m:acc>
                  </m:e>
                  <m:sub>
                    <m:r>
                      <w:rPr>
                        <w:rFonts w:ascii="Cambria Math" w:hAnsi="Cambria Math" w:cs="Arial"/>
                        <w:sz w:val="20"/>
                        <w:szCs w:val="20"/>
                      </w:rPr>
                      <m:t>t</m:t>
                    </m:r>
                    <m:r>
                      <m:rPr>
                        <m:sty m:val="p"/>
                      </m:rPr>
                      <w:rPr>
                        <w:rFonts w:ascii="Cambria Math" w:hAnsi="Cambria Math" w:cs="Arial"/>
                        <w:sz w:val="20"/>
                        <w:szCs w:val="20"/>
                      </w:rPr>
                      <m:t xml:space="preserve"> =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ub>
                </m:sSub>
              </m:oMath>
            </m:oMathPara>
          </w:p>
        </w:tc>
        <w:tc>
          <w:tcPr>
            <w:tcW w:w="1949" w:type="dxa"/>
            <w:tcBorders>
              <w:top w:val="single" w:sz="12" w:space="0" w:color="auto"/>
              <w:bottom w:val="single" w:sz="12" w:space="0" w:color="auto"/>
            </w:tcBorders>
            <w:shd w:val="clear" w:color="000000" w:fill="FFFFFF"/>
            <w:noWrap/>
            <w:vAlign w:val="center"/>
            <w:hideMark/>
          </w:tcPr>
          <w:p w14:paraId="0E5CE0A3" w14:textId="2306726B"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σ</m:t>
                    </m:r>
                  </m:e>
                  <m:sub>
                    <m:sSub>
                      <m:sSubPr>
                        <m:ctrlPr>
                          <w:rPr>
                            <w:rFonts w:ascii="Cambria Math" w:hAnsi="Cambria Math" w:cs="Arial"/>
                            <w:sz w:val="20"/>
                            <w:szCs w:val="20"/>
                          </w:rPr>
                        </m:ctrlPr>
                      </m:sSubPr>
                      <m:e>
                        <m:r>
                          <w:rPr>
                            <w:rFonts w:ascii="Cambria Math" w:hAnsi="Cambria Math" w:cs="Arial"/>
                            <w:sz w:val="20"/>
                            <w:szCs w:val="20"/>
                          </w:rPr>
                          <m:t>CAR</m:t>
                        </m:r>
                      </m:e>
                      <m:sub>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sub>
                    </m:sSub>
                  </m:sub>
                </m:sSub>
              </m:oMath>
            </m:oMathPara>
          </w:p>
        </w:tc>
        <w:tc>
          <w:tcPr>
            <w:tcW w:w="1949" w:type="dxa"/>
            <w:tcBorders>
              <w:top w:val="single" w:sz="12" w:space="0" w:color="auto"/>
              <w:bottom w:val="single" w:sz="12" w:space="0" w:color="auto"/>
            </w:tcBorders>
            <w:shd w:val="clear" w:color="000000" w:fill="FFFFFF"/>
            <w:noWrap/>
            <w:vAlign w:val="center"/>
            <w:hideMark/>
          </w:tcPr>
          <w:p w14:paraId="1C22942D" w14:textId="230DFC84"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Teste t-</w:t>
            </w:r>
            <w:proofErr w:type="spellStart"/>
            <w:r w:rsidRPr="00635ABF">
              <w:rPr>
                <w:rFonts w:cs="Arial"/>
                <w:sz w:val="20"/>
                <w:szCs w:val="20"/>
              </w:rPr>
              <w:t>Student</w:t>
            </w:r>
            <w:proofErr w:type="spellEnd"/>
          </w:p>
        </w:tc>
      </w:tr>
      <w:tr w:rsidR="00102CF7" w:rsidRPr="00635ABF" w14:paraId="6F9BB214" w14:textId="77777777" w:rsidTr="00F52B6A">
        <w:trPr>
          <w:trHeight w:val="397"/>
        </w:trPr>
        <w:tc>
          <w:tcPr>
            <w:tcW w:w="1949" w:type="dxa"/>
            <w:tcBorders>
              <w:top w:val="single" w:sz="12" w:space="0" w:color="auto"/>
              <w:bottom w:val="single" w:sz="4" w:space="0" w:color="auto"/>
            </w:tcBorders>
            <w:shd w:val="clear" w:color="000000" w:fill="FFFFFF"/>
            <w:noWrap/>
            <w:vAlign w:val="center"/>
            <w:hideMark/>
          </w:tcPr>
          <w:p w14:paraId="0EC87BDB"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lastRenderedPageBreak/>
              <w:t>(-5;0)</w:t>
            </w:r>
          </w:p>
        </w:tc>
        <w:tc>
          <w:tcPr>
            <w:tcW w:w="1949" w:type="dxa"/>
            <w:tcBorders>
              <w:top w:val="single" w:sz="12" w:space="0" w:color="auto"/>
              <w:left w:val="nil"/>
              <w:bottom w:val="single" w:sz="4" w:space="0" w:color="auto"/>
            </w:tcBorders>
            <w:shd w:val="clear" w:color="000000" w:fill="FFFFFF"/>
            <w:noWrap/>
            <w:vAlign w:val="center"/>
            <w:hideMark/>
          </w:tcPr>
          <w:p w14:paraId="3C44320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0,0031</w:t>
            </w:r>
          </w:p>
        </w:tc>
        <w:tc>
          <w:tcPr>
            <w:tcW w:w="1949" w:type="dxa"/>
            <w:tcBorders>
              <w:top w:val="single" w:sz="12" w:space="0" w:color="auto"/>
              <w:bottom w:val="single" w:sz="4" w:space="0" w:color="auto"/>
            </w:tcBorders>
            <w:shd w:val="clear" w:color="000000" w:fill="FFFFFF"/>
            <w:noWrap/>
            <w:vAlign w:val="center"/>
            <w:hideMark/>
          </w:tcPr>
          <w:p w14:paraId="1F3F726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0,0130</w:t>
            </w:r>
          </w:p>
        </w:tc>
        <w:tc>
          <w:tcPr>
            <w:tcW w:w="1949" w:type="dxa"/>
            <w:tcBorders>
              <w:top w:val="single" w:sz="12" w:space="0" w:color="auto"/>
              <w:bottom w:val="single" w:sz="4" w:space="0" w:color="auto"/>
            </w:tcBorders>
            <w:shd w:val="clear" w:color="000000" w:fill="FFFFFF"/>
            <w:noWrap/>
            <w:vAlign w:val="center"/>
            <w:hideMark/>
          </w:tcPr>
          <w:p w14:paraId="6015E1E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0,3334</w:t>
            </w:r>
          </w:p>
        </w:tc>
      </w:tr>
      <w:tr w:rsidR="00102CF7" w:rsidRPr="00635ABF" w14:paraId="0A8FA1BC" w14:textId="77777777" w:rsidTr="00F52B6A">
        <w:trPr>
          <w:trHeight w:val="397"/>
        </w:trPr>
        <w:tc>
          <w:tcPr>
            <w:tcW w:w="1949" w:type="dxa"/>
            <w:tcBorders>
              <w:top w:val="nil"/>
              <w:bottom w:val="single" w:sz="4" w:space="0" w:color="auto"/>
            </w:tcBorders>
            <w:shd w:val="clear" w:color="000000" w:fill="FFFFFF"/>
            <w:noWrap/>
            <w:vAlign w:val="center"/>
            <w:hideMark/>
          </w:tcPr>
          <w:p w14:paraId="430BAED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(-4;0)</w:t>
            </w:r>
          </w:p>
        </w:tc>
        <w:tc>
          <w:tcPr>
            <w:tcW w:w="1949" w:type="dxa"/>
            <w:tcBorders>
              <w:top w:val="nil"/>
              <w:left w:val="nil"/>
              <w:bottom w:val="single" w:sz="4" w:space="0" w:color="auto"/>
            </w:tcBorders>
            <w:shd w:val="clear" w:color="000000" w:fill="FFFFFF"/>
            <w:noWrap/>
            <w:vAlign w:val="center"/>
            <w:hideMark/>
          </w:tcPr>
          <w:p w14:paraId="3240290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-0,0008</w:t>
            </w:r>
          </w:p>
        </w:tc>
        <w:tc>
          <w:tcPr>
            <w:tcW w:w="1949" w:type="dxa"/>
            <w:tcBorders>
              <w:top w:val="nil"/>
              <w:bottom w:val="single" w:sz="4" w:space="0" w:color="auto"/>
            </w:tcBorders>
            <w:shd w:val="clear" w:color="000000" w:fill="FFFFFF"/>
            <w:noWrap/>
            <w:vAlign w:val="center"/>
            <w:hideMark/>
          </w:tcPr>
          <w:p w14:paraId="6272DC1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0,0036</w:t>
            </w:r>
          </w:p>
        </w:tc>
        <w:tc>
          <w:tcPr>
            <w:tcW w:w="1949" w:type="dxa"/>
            <w:tcBorders>
              <w:top w:val="nil"/>
              <w:bottom w:val="single" w:sz="4" w:space="0" w:color="auto"/>
            </w:tcBorders>
            <w:shd w:val="clear" w:color="000000" w:fill="FFFFFF"/>
            <w:noWrap/>
            <w:vAlign w:val="center"/>
            <w:hideMark/>
          </w:tcPr>
          <w:p w14:paraId="6B72436E"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-0,3306</w:t>
            </w:r>
          </w:p>
        </w:tc>
      </w:tr>
      <w:tr w:rsidR="00102CF7" w:rsidRPr="00635ABF" w14:paraId="3E1AF18B" w14:textId="77777777" w:rsidTr="00F52B6A">
        <w:trPr>
          <w:trHeight w:val="397"/>
        </w:trPr>
        <w:tc>
          <w:tcPr>
            <w:tcW w:w="1949" w:type="dxa"/>
            <w:tcBorders>
              <w:top w:val="nil"/>
              <w:bottom w:val="single" w:sz="4" w:space="0" w:color="auto"/>
            </w:tcBorders>
            <w:shd w:val="clear" w:color="000000" w:fill="FFFFFF"/>
            <w:noWrap/>
            <w:vAlign w:val="center"/>
            <w:hideMark/>
          </w:tcPr>
          <w:p w14:paraId="433C62FE"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(-3;0)</w:t>
            </w:r>
          </w:p>
        </w:tc>
        <w:tc>
          <w:tcPr>
            <w:tcW w:w="1949" w:type="dxa"/>
            <w:tcBorders>
              <w:top w:val="nil"/>
              <w:left w:val="nil"/>
              <w:bottom w:val="single" w:sz="4" w:space="0" w:color="auto"/>
            </w:tcBorders>
            <w:shd w:val="clear" w:color="000000" w:fill="FFFFFF"/>
            <w:noWrap/>
            <w:vAlign w:val="center"/>
            <w:hideMark/>
          </w:tcPr>
          <w:p w14:paraId="7EAE7ED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0,0079</w:t>
            </w:r>
          </w:p>
        </w:tc>
        <w:tc>
          <w:tcPr>
            <w:tcW w:w="1949" w:type="dxa"/>
            <w:tcBorders>
              <w:top w:val="nil"/>
              <w:bottom w:val="single" w:sz="4" w:space="0" w:color="auto"/>
            </w:tcBorders>
            <w:shd w:val="clear" w:color="000000" w:fill="FFFFFF"/>
            <w:noWrap/>
            <w:vAlign w:val="center"/>
            <w:hideMark/>
          </w:tcPr>
          <w:p w14:paraId="0745E74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0,0086</w:t>
            </w:r>
          </w:p>
        </w:tc>
        <w:tc>
          <w:tcPr>
            <w:tcW w:w="1949" w:type="dxa"/>
            <w:tcBorders>
              <w:top w:val="nil"/>
              <w:bottom w:val="single" w:sz="4" w:space="0" w:color="auto"/>
            </w:tcBorders>
            <w:shd w:val="clear" w:color="000000" w:fill="FFFFFF"/>
            <w:noWrap/>
            <w:vAlign w:val="center"/>
            <w:hideMark/>
          </w:tcPr>
          <w:p w14:paraId="1FC5BC4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1,2964</w:t>
            </w:r>
          </w:p>
        </w:tc>
      </w:tr>
      <w:tr w:rsidR="00102CF7" w:rsidRPr="00635ABF" w14:paraId="2479581A" w14:textId="77777777" w:rsidTr="00F52B6A">
        <w:trPr>
          <w:trHeight w:val="397"/>
        </w:trPr>
        <w:tc>
          <w:tcPr>
            <w:tcW w:w="1949" w:type="dxa"/>
            <w:tcBorders>
              <w:top w:val="nil"/>
              <w:bottom w:val="single" w:sz="4" w:space="0" w:color="auto"/>
            </w:tcBorders>
            <w:shd w:val="clear" w:color="000000" w:fill="FFFFFF"/>
            <w:noWrap/>
            <w:vAlign w:val="center"/>
            <w:hideMark/>
          </w:tcPr>
          <w:p w14:paraId="2AB1447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(-2;0)</w:t>
            </w:r>
          </w:p>
        </w:tc>
        <w:tc>
          <w:tcPr>
            <w:tcW w:w="1949" w:type="dxa"/>
            <w:tcBorders>
              <w:top w:val="nil"/>
              <w:left w:val="nil"/>
              <w:bottom w:val="single" w:sz="4" w:space="0" w:color="auto"/>
            </w:tcBorders>
            <w:shd w:val="clear" w:color="000000" w:fill="FFFFFF"/>
            <w:noWrap/>
            <w:vAlign w:val="center"/>
            <w:hideMark/>
          </w:tcPr>
          <w:p w14:paraId="6D9CD42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0,0249</w:t>
            </w:r>
          </w:p>
        </w:tc>
        <w:tc>
          <w:tcPr>
            <w:tcW w:w="1949" w:type="dxa"/>
            <w:tcBorders>
              <w:top w:val="nil"/>
              <w:bottom w:val="single" w:sz="4" w:space="0" w:color="auto"/>
            </w:tcBorders>
            <w:shd w:val="clear" w:color="000000" w:fill="FFFFFF"/>
            <w:noWrap/>
            <w:vAlign w:val="center"/>
            <w:hideMark/>
          </w:tcPr>
          <w:p w14:paraId="3483180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0,0193</w:t>
            </w:r>
          </w:p>
        </w:tc>
        <w:tc>
          <w:tcPr>
            <w:tcW w:w="1949" w:type="dxa"/>
            <w:tcBorders>
              <w:top w:val="nil"/>
              <w:bottom w:val="single" w:sz="4" w:space="0" w:color="auto"/>
            </w:tcBorders>
            <w:shd w:val="clear" w:color="000000" w:fill="FFFFFF"/>
            <w:noWrap/>
            <w:vAlign w:val="center"/>
            <w:hideMark/>
          </w:tcPr>
          <w:p w14:paraId="243ECD1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1,8205</w:t>
            </w:r>
          </w:p>
        </w:tc>
      </w:tr>
      <w:tr w:rsidR="00102CF7" w:rsidRPr="00635ABF" w14:paraId="1E8A8F4A" w14:textId="77777777" w:rsidTr="00F52B6A">
        <w:trPr>
          <w:trHeight w:val="397"/>
        </w:trPr>
        <w:tc>
          <w:tcPr>
            <w:tcW w:w="1949" w:type="dxa"/>
            <w:tcBorders>
              <w:top w:val="nil"/>
              <w:bottom w:val="single" w:sz="4" w:space="0" w:color="auto"/>
            </w:tcBorders>
            <w:shd w:val="clear" w:color="000000" w:fill="FFFFFF"/>
            <w:noWrap/>
            <w:vAlign w:val="center"/>
            <w:hideMark/>
          </w:tcPr>
          <w:p w14:paraId="5E3596B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(-1;0)</w:t>
            </w:r>
          </w:p>
        </w:tc>
        <w:tc>
          <w:tcPr>
            <w:tcW w:w="1949" w:type="dxa"/>
            <w:tcBorders>
              <w:top w:val="nil"/>
              <w:left w:val="nil"/>
              <w:bottom w:val="single" w:sz="4" w:space="0" w:color="auto"/>
            </w:tcBorders>
            <w:shd w:val="clear" w:color="000000" w:fill="FFFFFF"/>
            <w:noWrap/>
            <w:vAlign w:val="center"/>
            <w:hideMark/>
          </w:tcPr>
          <w:p w14:paraId="48E2D57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-0,0051</w:t>
            </w:r>
          </w:p>
        </w:tc>
        <w:tc>
          <w:tcPr>
            <w:tcW w:w="1949" w:type="dxa"/>
            <w:tcBorders>
              <w:top w:val="nil"/>
              <w:bottom w:val="single" w:sz="4" w:space="0" w:color="auto"/>
            </w:tcBorders>
            <w:shd w:val="clear" w:color="000000" w:fill="FFFFFF"/>
            <w:noWrap/>
            <w:vAlign w:val="center"/>
            <w:hideMark/>
          </w:tcPr>
          <w:p w14:paraId="41236BC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0,0163</w:t>
            </w:r>
          </w:p>
        </w:tc>
        <w:tc>
          <w:tcPr>
            <w:tcW w:w="1949" w:type="dxa"/>
            <w:tcBorders>
              <w:top w:val="nil"/>
              <w:bottom w:val="single" w:sz="4" w:space="0" w:color="auto"/>
            </w:tcBorders>
            <w:shd w:val="clear" w:color="000000" w:fill="FFFFFF"/>
            <w:noWrap/>
            <w:vAlign w:val="center"/>
            <w:hideMark/>
          </w:tcPr>
          <w:p w14:paraId="06E98FD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-0,4410</w:t>
            </w:r>
          </w:p>
        </w:tc>
      </w:tr>
      <w:tr w:rsidR="00102CF7" w:rsidRPr="00635ABF" w14:paraId="78A83EE3" w14:textId="77777777" w:rsidTr="00F52B6A">
        <w:trPr>
          <w:trHeight w:val="397"/>
        </w:trPr>
        <w:tc>
          <w:tcPr>
            <w:tcW w:w="1949" w:type="dxa"/>
            <w:tcBorders>
              <w:top w:val="nil"/>
              <w:bottom w:val="single" w:sz="4" w:space="0" w:color="auto"/>
            </w:tcBorders>
            <w:shd w:val="clear" w:color="000000" w:fill="FFFFFF"/>
            <w:noWrap/>
            <w:vAlign w:val="center"/>
            <w:hideMark/>
          </w:tcPr>
          <w:p w14:paraId="44A7BB3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w:t>
            </w:r>
          </w:p>
        </w:tc>
        <w:tc>
          <w:tcPr>
            <w:tcW w:w="1949" w:type="dxa"/>
            <w:tcBorders>
              <w:top w:val="nil"/>
              <w:left w:val="nil"/>
              <w:bottom w:val="single" w:sz="4" w:space="0" w:color="auto"/>
            </w:tcBorders>
            <w:shd w:val="clear" w:color="000000" w:fill="FFFFFF"/>
            <w:noWrap/>
            <w:vAlign w:val="center"/>
            <w:hideMark/>
          </w:tcPr>
          <w:p w14:paraId="71C4E7D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0,0083</w:t>
            </w:r>
          </w:p>
        </w:tc>
        <w:tc>
          <w:tcPr>
            <w:tcW w:w="1949" w:type="dxa"/>
            <w:tcBorders>
              <w:top w:val="nil"/>
              <w:bottom w:val="single" w:sz="4" w:space="0" w:color="auto"/>
            </w:tcBorders>
            <w:shd w:val="clear" w:color="000000" w:fill="FFFFFF"/>
            <w:noWrap/>
            <w:vAlign w:val="center"/>
            <w:hideMark/>
          </w:tcPr>
          <w:p w14:paraId="29FF274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0,0303</w:t>
            </w:r>
          </w:p>
        </w:tc>
        <w:tc>
          <w:tcPr>
            <w:tcW w:w="1949" w:type="dxa"/>
            <w:tcBorders>
              <w:top w:val="nil"/>
              <w:bottom w:val="single" w:sz="4" w:space="0" w:color="auto"/>
            </w:tcBorders>
            <w:shd w:val="clear" w:color="000000" w:fill="FFFFFF"/>
            <w:noWrap/>
            <w:vAlign w:val="center"/>
            <w:hideMark/>
          </w:tcPr>
          <w:p w14:paraId="3C92B88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0,3862</w:t>
            </w:r>
          </w:p>
        </w:tc>
      </w:tr>
      <w:tr w:rsidR="00102CF7" w:rsidRPr="00635ABF" w14:paraId="2FCFCF73" w14:textId="77777777" w:rsidTr="00F52B6A">
        <w:trPr>
          <w:trHeight w:val="397"/>
        </w:trPr>
        <w:tc>
          <w:tcPr>
            <w:tcW w:w="1949" w:type="dxa"/>
            <w:tcBorders>
              <w:top w:val="nil"/>
              <w:bottom w:val="single" w:sz="4" w:space="0" w:color="auto"/>
            </w:tcBorders>
            <w:shd w:val="clear" w:color="000000" w:fill="FFFFFF"/>
            <w:noWrap/>
            <w:vAlign w:val="center"/>
            <w:hideMark/>
          </w:tcPr>
          <w:p w14:paraId="698181C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(+1;+1)</w:t>
            </w:r>
          </w:p>
        </w:tc>
        <w:tc>
          <w:tcPr>
            <w:tcW w:w="1949" w:type="dxa"/>
            <w:tcBorders>
              <w:top w:val="nil"/>
              <w:left w:val="nil"/>
              <w:bottom w:val="single" w:sz="4" w:space="0" w:color="auto"/>
            </w:tcBorders>
            <w:shd w:val="clear" w:color="000000" w:fill="FFFFFF"/>
            <w:noWrap/>
            <w:vAlign w:val="center"/>
            <w:hideMark/>
          </w:tcPr>
          <w:p w14:paraId="285B832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-0,0357</w:t>
            </w:r>
          </w:p>
        </w:tc>
        <w:tc>
          <w:tcPr>
            <w:tcW w:w="1949" w:type="dxa"/>
            <w:tcBorders>
              <w:top w:val="nil"/>
              <w:bottom w:val="single" w:sz="4" w:space="0" w:color="auto"/>
            </w:tcBorders>
            <w:shd w:val="clear" w:color="000000" w:fill="FFFFFF"/>
            <w:noWrap/>
            <w:vAlign w:val="center"/>
            <w:hideMark/>
          </w:tcPr>
          <w:p w14:paraId="59C4732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0,0715</w:t>
            </w:r>
          </w:p>
        </w:tc>
        <w:tc>
          <w:tcPr>
            <w:tcW w:w="1949" w:type="dxa"/>
            <w:tcBorders>
              <w:top w:val="nil"/>
              <w:bottom w:val="single" w:sz="4" w:space="0" w:color="auto"/>
            </w:tcBorders>
            <w:shd w:val="clear" w:color="000000" w:fill="FFFFFF"/>
            <w:noWrap/>
            <w:vAlign w:val="center"/>
            <w:hideMark/>
          </w:tcPr>
          <w:p w14:paraId="608240C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-0,7058</w:t>
            </w:r>
          </w:p>
        </w:tc>
      </w:tr>
      <w:tr w:rsidR="00102CF7" w:rsidRPr="00635ABF" w14:paraId="6E21954A" w14:textId="77777777" w:rsidTr="00F52B6A">
        <w:trPr>
          <w:trHeight w:val="397"/>
        </w:trPr>
        <w:tc>
          <w:tcPr>
            <w:tcW w:w="1949" w:type="dxa"/>
            <w:tcBorders>
              <w:top w:val="nil"/>
              <w:bottom w:val="single" w:sz="4" w:space="0" w:color="auto"/>
            </w:tcBorders>
            <w:shd w:val="clear" w:color="000000" w:fill="FFFFFF"/>
            <w:noWrap/>
            <w:vAlign w:val="center"/>
            <w:hideMark/>
          </w:tcPr>
          <w:p w14:paraId="525630A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(+2;+2)</w:t>
            </w:r>
          </w:p>
        </w:tc>
        <w:tc>
          <w:tcPr>
            <w:tcW w:w="1949" w:type="dxa"/>
            <w:tcBorders>
              <w:top w:val="nil"/>
              <w:left w:val="nil"/>
              <w:bottom w:val="single" w:sz="4" w:space="0" w:color="auto"/>
            </w:tcBorders>
            <w:shd w:val="clear" w:color="000000" w:fill="FFFFFF"/>
            <w:noWrap/>
            <w:vAlign w:val="center"/>
            <w:hideMark/>
          </w:tcPr>
          <w:p w14:paraId="4F94D07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0,0198</w:t>
            </w:r>
          </w:p>
        </w:tc>
        <w:tc>
          <w:tcPr>
            <w:tcW w:w="1949" w:type="dxa"/>
            <w:tcBorders>
              <w:top w:val="nil"/>
              <w:bottom w:val="single" w:sz="4" w:space="0" w:color="auto"/>
            </w:tcBorders>
            <w:shd w:val="clear" w:color="000000" w:fill="FFFFFF"/>
            <w:noWrap/>
            <w:vAlign w:val="center"/>
            <w:hideMark/>
          </w:tcPr>
          <w:p w14:paraId="1B0DD9EB"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0,0134</w:t>
            </w:r>
          </w:p>
        </w:tc>
        <w:tc>
          <w:tcPr>
            <w:tcW w:w="1949" w:type="dxa"/>
            <w:tcBorders>
              <w:top w:val="nil"/>
              <w:bottom w:val="single" w:sz="4" w:space="0" w:color="auto"/>
            </w:tcBorders>
            <w:shd w:val="clear" w:color="000000" w:fill="FFFFFF"/>
            <w:noWrap/>
            <w:vAlign w:val="center"/>
            <w:hideMark/>
          </w:tcPr>
          <w:p w14:paraId="7D6DD5C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2,0830</w:t>
            </w:r>
          </w:p>
        </w:tc>
      </w:tr>
      <w:tr w:rsidR="00102CF7" w:rsidRPr="00635ABF" w14:paraId="6C5C34DF" w14:textId="77777777" w:rsidTr="00F52B6A">
        <w:trPr>
          <w:trHeight w:val="397"/>
        </w:trPr>
        <w:tc>
          <w:tcPr>
            <w:tcW w:w="1949" w:type="dxa"/>
            <w:tcBorders>
              <w:top w:val="nil"/>
              <w:bottom w:val="single" w:sz="4" w:space="0" w:color="auto"/>
            </w:tcBorders>
            <w:shd w:val="clear" w:color="000000" w:fill="FFFFFF"/>
            <w:noWrap/>
            <w:vAlign w:val="center"/>
            <w:hideMark/>
          </w:tcPr>
          <w:p w14:paraId="19692E3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(+2;+3)</w:t>
            </w:r>
          </w:p>
        </w:tc>
        <w:tc>
          <w:tcPr>
            <w:tcW w:w="1949" w:type="dxa"/>
            <w:tcBorders>
              <w:top w:val="nil"/>
              <w:left w:val="nil"/>
              <w:bottom w:val="single" w:sz="4" w:space="0" w:color="auto"/>
            </w:tcBorders>
            <w:shd w:val="clear" w:color="000000" w:fill="FFFFFF"/>
            <w:noWrap/>
            <w:vAlign w:val="center"/>
            <w:hideMark/>
          </w:tcPr>
          <w:p w14:paraId="731E06C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0,0022</w:t>
            </w:r>
          </w:p>
        </w:tc>
        <w:tc>
          <w:tcPr>
            <w:tcW w:w="1949" w:type="dxa"/>
            <w:tcBorders>
              <w:top w:val="nil"/>
              <w:bottom w:val="single" w:sz="4" w:space="0" w:color="auto"/>
            </w:tcBorders>
            <w:shd w:val="clear" w:color="000000" w:fill="FFFFFF"/>
            <w:noWrap/>
            <w:vAlign w:val="center"/>
            <w:hideMark/>
          </w:tcPr>
          <w:p w14:paraId="61F81A7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0,0029</w:t>
            </w:r>
          </w:p>
        </w:tc>
        <w:tc>
          <w:tcPr>
            <w:tcW w:w="1949" w:type="dxa"/>
            <w:tcBorders>
              <w:top w:val="nil"/>
              <w:bottom w:val="single" w:sz="4" w:space="0" w:color="auto"/>
            </w:tcBorders>
            <w:shd w:val="clear" w:color="000000" w:fill="FFFFFF"/>
            <w:noWrap/>
            <w:vAlign w:val="center"/>
            <w:hideMark/>
          </w:tcPr>
          <w:p w14:paraId="061B934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1,0676</w:t>
            </w:r>
          </w:p>
        </w:tc>
      </w:tr>
      <w:tr w:rsidR="00102CF7" w:rsidRPr="00635ABF" w14:paraId="6F5981AD" w14:textId="77777777" w:rsidTr="00F52B6A">
        <w:trPr>
          <w:trHeight w:val="397"/>
        </w:trPr>
        <w:tc>
          <w:tcPr>
            <w:tcW w:w="1949" w:type="dxa"/>
            <w:tcBorders>
              <w:top w:val="nil"/>
              <w:bottom w:val="single" w:sz="4" w:space="0" w:color="auto"/>
            </w:tcBorders>
            <w:shd w:val="clear" w:color="000000" w:fill="FFFFFF"/>
            <w:noWrap/>
            <w:vAlign w:val="center"/>
            <w:hideMark/>
          </w:tcPr>
          <w:p w14:paraId="2865316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(+2;+4)</w:t>
            </w:r>
          </w:p>
        </w:tc>
        <w:tc>
          <w:tcPr>
            <w:tcW w:w="1949" w:type="dxa"/>
            <w:tcBorders>
              <w:top w:val="nil"/>
              <w:left w:val="nil"/>
              <w:bottom w:val="single" w:sz="4" w:space="0" w:color="auto"/>
            </w:tcBorders>
            <w:shd w:val="clear" w:color="000000" w:fill="FFFFFF"/>
            <w:noWrap/>
            <w:vAlign w:val="center"/>
            <w:hideMark/>
          </w:tcPr>
          <w:p w14:paraId="4D24B63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0,0193</w:t>
            </w:r>
          </w:p>
        </w:tc>
        <w:tc>
          <w:tcPr>
            <w:tcW w:w="1949" w:type="dxa"/>
            <w:tcBorders>
              <w:top w:val="nil"/>
              <w:bottom w:val="single" w:sz="4" w:space="0" w:color="auto"/>
            </w:tcBorders>
            <w:shd w:val="clear" w:color="000000" w:fill="FFFFFF"/>
            <w:noWrap/>
            <w:vAlign w:val="center"/>
            <w:hideMark/>
          </w:tcPr>
          <w:p w14:paraId="146E997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0,0202</w:t>
            </w:r>
          </w:p>
        </w:tc>
        <w:tc>
          <w:tcPr>
            <w:tcW w:w="1949" w:type="dxa"/>
            <w:tcBorders>
              <w:top w:val="nil"/>
              <w:bottom w:val="single" w:sz="4" w:space="0" w:color="auto"/>
            </w:tcBorders>
            <w:shd w:val="clear" w:color="000000" w:fill="FFFFFF"/>
            <w:noWrap/>
            <w:vAlign w:val="center"/>
            <w:hideMark/>
          </w:tcPr>
          <w:p w14:paraId="720178D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1,3555</w:t>
            </w:r>
          </w:p>
        </w:tc>
      </w:tr>
      <w:tr w:rsidR="00102CF7" w:rsidRPr="00635ABF" w14:paraId="2B013ABC" w14:textId="77777777" w:rsidTr="00F52B6A">
        <w:trPr>
          <w:trHeight w:val="397"/>
        </w:trPr>
        <w:tc>
          <w:tcPr>
            <w:tcW w:w="1949" w:type="dxa"/>
            <w:tcBorders>
              <w:top w:val="single" w:sz="4" w:space="0" w:color="auto"/>
              <w:bottom w:val="single" w:sz="12" w:space="0" w:color="auto"/>
            </w:tcBorders>
            <w:shd w:val="clear" w:color="000000" w:fill="FFFFFF"/>
            <w:noWrap/>
            <w:vAlign w:val="center"/>
            <w:hideMark/>
          </w:tcPr>
          <w:p w14:paraId="57D0B9C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(+2;+5)</w:t>
            </w:r>
          </w:p>
        </w:tc>
        <w:tc>
          <w:tcPr>
            <w:tcW w:w="1949" w:type="dxa"/>
            <w:tcBorders>
              <w:top w:val="single" w:sz="4" w:space="0" w:color="auto"/>
              <w:left w:val="nil"/>
              <w:bottom w:val="single" w:sz="12" w:space="0" w:color="auto"/>
            </w:tcBorders>
            <w:shd w:val="clear" w:color="000000" w:fill="FFFFFF"/>
            <w:noWrap/>
            <w:vAlign w:val="center"/>
            <w:hideMark/>
          </w:tcPr>
          <w:p w14:paraId="7D74629B"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0,0037</w:t>
            </w:r>
          </w:p>
        </w:tc>
        <w:tc>
          <w:tcPr>
            <w:tcW w:w="1949" w:type="dxa"/>
            <w:tcBorders>
              <w:top w:val="single" w:sz="4" w:space="0" w:color="auto"/>
              <w:bottom w:val="single" w:sz="12" w:space="0" w:color="auto"/>
            </w:tcBorders>
            <w:shd w:val="clear" w:color="000000" w:fill="FFFFFF"/>
            <w:noWrap/>
            <w:vAlign w:val="center"/>
            <w:hideMark/>
          </w:tcPr>
          <w:p w14:paraId="74F7C78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0,0012</w:t>
            </w:r>
          </w:p>
        </w:tc>
        <w:tc>
          <w:tcPr>
            <w:tcW w:w="1949" w:type="dxa"/>
            <w:tcBorders>
              <w:top w:val="single" w:sz="4" w:space="0" w:color="auto"/>
              <w:bottom w:val="single" w:sz="12" w:space="0" w:color="auto"/>
            </w:tcBorders>
            <w:shd w:val="clear" w:color="000000" w:fill="FFFFFF"/>
            <w:noWrap/>
            <w:vAlign w:val="center"/>
            <w:hideMark/>
          </w:tcPr>
          <w:p w14:paraId="60AF2DC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4,2527</w:t>
            </w:r>
          </w:p>
        </w:tc>
      </w:tr>
    </w:tbl>
    <w:p w14:paraId="5B7A6477" w14:textId="77777777" w:rsidR="00F52B6A" w:rsidRPr="00635ABF" w:rsidRDefault="00F52B6A" w:rsidP="00FE6BB8">
      <w:pPr>
        <w:spacing w:afterLines="0" w:after="0" w:line="240" w:lineRule="auto"/>
        <w:rPr>
          <w:rFonts w:cs="Arial"/>
          <w:szCs w:val="24"/>
        </w:rPr>
      </w:pPr>
    </w:p>
    <w:p w14:paraId="74D46BD5" w14:textId="5B06B4A6" w:rsidR="00063BBE" w:rsidRPr="00635ABF" w:rsidRDefault="00063BBE" w:rsidP="00FE6BB8">
      <w:pPr>
        <w:spacing w:afterLines="0" w:after="0" w:line="240" w:lineRule="auto"/>
        <w:rPr>
          <w:rFonts w:cs="Arial"/>
          <w:szCs w:val="24"/>
        </w:rPr>
      </w:pPr>
      <w:bookmarkStart w:id="7" w:name="_Hlk169436899"/>
      <w:r w:rsidRPr="00635ABF">
        <w:rPr>
          <w:rFonts w:cs="Arial"/>
          <w:szCs w:val="24"/>
        </w:rPr>
        <w:t>A análise dos dados apresentados na Tabela 7 sugere que, durante eventos com variação negativa da Selic no período de crise de 01/2015 a 12/2016, a maioria das janelas de tempo ao redor desses eventos não apresentam retornos acumulados estatisticamente significativos, exceto as janelas (+2;+2) e (+2;+5), que mostram significância estatística ao nível de 5% e 1%, respectivamente. Isso indica que há algum impacto significativo, e no sentido positivo, nos retornos acumulados do Ibovespa nestas janelas após a data do evento, especialmente a janela (+2;+5).</w:t>
      </w:r>
    </w:p>
    <w:bookmarkEnd w:id="7"/>
    <w:p w14:paraId="04E1AD20" w14:textId="77777777" w:rsidR="00063BBE" w:rsidRPr="00635ABF" w:rsidRDefault="00063BBE" w:rsidP="00FE6BB8">
      <w:pPr>
        <w:spacing w:afterLines="0" w:after="0" w:line="240" w:lineRule="auto"/>
        <w:rPr>
          <w:rFonts w:cs="Arial"/>
          <w:szCs w:val="24"/>
        </w:rPr>
      </w:pPr>
    </w:p>
    <w:p w14:paraId="062FEDB3" w14:textId="3909F0D5" w:rsidR="00F52B6A" w:rsidRPr="00635ABF" w:rsidRDefault="00F52B6A" w:rsidP="00F52B6A">
      <w:pPr>
        <w:spacing w:afterLines="0" w:after="0" w:line="240" w:lineRule="auto"/>
        <w:ind w:firstLine="0"/>
        <w:jc w:val="center"/>
        <w:rPr>
          <w:rFonts w:cs="Arial"/>
          <w:szCs w:val="24"/>
        </w:rPr>
      </w:pPr>
      <w:r w:rsidRPr="00635ABF">
        <w:rPr>
          <w:rFonts w:cs="Arial"/>
          <w:szCs w:val="24"/>
        </w:rPr>
        <w:t>Tabela 8 – Eventos com variação negativa da Selic no período de crise de 03/2020 a 06/2022</w:t>
      </w:r>
    </w:p>
    <w:p w14:paraId="658DA641" w14:textId="77777777" w:rsidR="00F52B6A" w:rsidRPr="00635ABF" w:rsidRDefault="00F52B6A" w:rsidP="00FE6BB8">
      <w:pPr>
        <w:spacing w:afterLines="0" w:after="0" w:line="240" w:lineRule="auto"/>
        <w:rPr>
          <w:rFonts w:cs="Arial"/>
          <w:szCs w:val="24"/>
        </w:rPr>
      </w:pPr>
    </w:p>
    <w:tbl>
      <w:tblPr>
        <w:tblW w:w="7796" w:type="dxa"/>
        <w:tblInd w:w="846" w:type="dxa"/>
        <w:tblLayout w:type="fixed"/>
        <w:tblCellMar>
          <w:left w:w="70" w:type="dxa"/>
          <w:right w:w="70" w:type="dxa"/>
        </w:tblCellMar>
        <w:tblLook w:val="04A0" w:firstRow="1" w:lastRow="0" w:firstColumn="1" w:lastColumn="0" w:noHBand="0" w:noVBand="1"/>
      </w:tblPr>
      <w:tblGrid>
        <w:gridCol w:w="1949"/>
        <w:gridCol w:w="1949"/>
        <w:gridCol w:w="1949"/>
        <w:gridCol w:w="1949"/>
      </w:tblGrid>
      <w:tr w:rsidR="00102CF7" w:rsidRPr="00635ABF" w14:paraId="62D70506" w14:textId="77777777" w:rsidTr="00F52B6A">
        <w:trPr>
          <w:trHeight w:val="397"/>
        </w:trPr>
        <w:tc>
          <w:tcPr>
            <w:tcW w:w="1949" w:type="dxa"/>
            <w:tcBorders>
              <w:top w:val="single" w:sz="12" w:space="0" w:color="auto"/>
              <w:bottom w:val="single" w:sz="12" w:space="0" w:color="auto"/>
            </w:tcBorders>
            <w:shd w:val="clear" w:color="000000" w:fill="FFFFFF"/>
            <w:noWrap/>
            <w:vAlign w:val="center"/>
            <w:hideMark/>
          </w:tcPr>
          <w:p w14:paraId="48857DFC" w14:textId="6C7723BA"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Janelas</w:t>
            </w:r>
          </w:p>
        </w:tc>
        <w:tc>
          <w:tcPr>
            <w:tcW w:w="1949" w:type="dxa"/>
            <w:tcBorders>
              <w:top w:val="single" w:sz="12" w:space="0" w:color="auto"/>
              <w:left w:val="nil"/>
              <w:bottom w:val="single" w:sz="12" w:space="0" w:color="auto"/>
            </w:tcBorders>
            <w:shd w:val="clear" w:color="000000" w:fill="FFFFFF"/>
            <w:noWrap/>
            <w:vAlign w:val="center"/>
            <w:hideMark/>
          </w:tcPr>
          <w:p w14:paraId="443F033D" w14:textId="2E6DB453"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acc>
                      <m:accPr>
                        <m:chr m:val="̅"/>
                        <m:ctrlPr>
                          <w:rPr>
                            <w:rFonts w:ascii="Cambria Math" w:hAnsi="Cambria Math" w:cs="Arial"/>
                            <w:sz w:val="20"/>
                            <w:szCs w:val="20"/>
                          </w:rPr>
                        </m:ctrlPr>
                      </m:accPr>
                      <m:e>
                        <m:r>
                          <w:rPr>
                            <w:rFonts w:ascii="Cambria Math" w:hAnsi="Cambria Math" w:cs="Arial"/>
                            <w:sz w:val="20"/>
                            <w:szCs w:val="20"/>
                          </w:rPr>
                          <m:t>CAR</m:t>
                        </m:r>
                      </m:e>
                    </m:acc>
                  </m:e>
                  <m:sub>
                    <m:r>
                      <w:rPr>
                        <w:rFonts w:ascii="Cambria Math" w:hAnsi="Cambria Math" w:cs="Arial"/>
                        <w:sz w:val="20"/>
                        <w:szCs w:val="20"/>
                      </w:rPr>
                      <m:t>t</m:t>
                    </m:r>
                    <m:r>
                      <m:rPr>
                        <m:sty m:val="p"/>
                      </m:rPr>
                      <w:rPr>
                        <w:rFonts w:ascii="Cambria Math" w:hAnsi="Cambria Math" w:cs="Arial"/>
                        <w:sz w:val="20"/>
                        <w:szCs w:val="20"/>
                      </w:rPr>
                      <m:t xml:space="preserve"> =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ub>
                </m:sSub>
              </m:oMath>
            </m:oMathPara>
          </w:p>
        </w:tc>
        <w:tc>
          <w:tcPr>
            <w:tcW w:w="1949" w:type="dxa"/>
            <w:tcBorders>
              <w:top w:val="single" w:sz="12" w:space="0" w:color="auto"/>
              <w:left w:val="nil"/>
              <w:bottom w:val="single" w:sz="12" w:space="0" w:color="auto"/>
            </w:tcBorders>
            <w:shd w:val="clear" w:color="000000" w:fill="FFFFFF"/>
            <w:noWrap/>
            <w:vAlign w:val="center"/>
            <w:hideMark/>
          </w:tcPr>
          <w:p w14:paraId="406C1B12" w14:textId="20232168" w:rsidR="00102CF7" w:rsidRPr="00635ABF" w:rsidRDefault="00000000" w:rsidP="00F52B6A">
            <w:pPr>
              <w:spacing w:afterLines="0" w:after="0" w:line="240" w:lineRule="auto"/>
              <w:ind w:firstLine="0"/>
              <w:jc w:val="center"/>
              <w:rPr>
                <w:rFonts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σ</m:t>
                    </m:r>
                  </m:e>
                  <m:sub>
                    <m:sSub>
                      <m:sSubPr>
                        <m:ctrlPr>
                          <w:rPr>
                            <w:rFonts w:ascii="Cambria Math" w:hAnsi="Cambria Math" w:cs="Arial"/>
                            <w:sz w:val="20"/>
                            <w:szCs w:val="20"/>
                          </w:rPr>
                        </m:ctrlPr>
                      </m:sSubPr>
                      <m:e>
                        <m:r>
                          <w:rPr>
                            <w:rFonts w:ascii="Cambria Math" w:hAnsi="Cambria Math" w:cs="Arial"/>
                            <w:sz w:val="20"/>
                            <w:szCs w:val="20"/>
                          </w:rPr>
                          <m:t>CAR</m:t>
                        </m:r>
                      </m:e>
                      <m:sub>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t</m:t>
                            </m:r>
                          </m:e>
                          <m:sub>
                            <m:r>
                              <m:rPr>
                                <m:sty m:val="p"/>
                              </m:rPr>
                              <w:rPr>
                                <w:rFonts w:ascii="Cambria Math" w:hAnsi="Cambria Math" w:cs="Arial"/>
                                <w:sz w:val="20"/>
                                <w:szCs w:val="20"/>
                              </w:rPr>
                              <m:t>2</m:t>
                            </m:r>
                          </m:sub>
                        </m:sSub>
                      </m:sub>
                    </m:sSub>
                  </m:sub>
                </m:sSub>
              </m:oMath>
            </m:oMathPara>
          </w:p>
        </w:tc>
        <w:tc>
          <w:tcPr>
            <w:tcW w:w="1949" w:type="dxa"/>
            <w:tcBorders>
              <w:top w:val="single" w:sz="12" w:space="0" w:color="auto"/>
              <w:bottom w:val="single" w:sz="12" w:space="0" w:color="auto"/>
            </w:tcBorders>
            <w:shd w:val="clear" w:color="000000" w:fill="FFFFFF"/>
            <w:noWrap/>
            <w:vAlign w:val="center"/>
            <w:hideMark/>
          </w:tcPr>
          <w:p w14:paraId="0E574833" w14:textId="2E87936F"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Teste t-</w:t>
            </w:r>
            <w:proofErr w:type="spellStart"/>
            <w:r w:rsidRPr="00635ABF">
              <w:rPr>
                <w:rFonts w:cs="Arial"/>
                <w:sz w:val="20"/>
                <w:szCs w:val="20"/>
              </w:rPr>
              <w:t>Student</w:t>
            </w:r>
            <w:proofErr w:type="spellEnd"/>
          </w:p>
        </w:tc>
      </w:tr>
      <w:tr w:rsidR="00102CF7" w:rsidRPr="00635ABF" w14:paraId="52349863" w14:textId="77777777" w:rsidTr="00F52B6A">
        <w:trPr>
          <w:trHeight w:val="397"/>
        </w:trPr>
        <w:tc>
          <w:tcPr>
            <w:tcW w:w="1949" w:type="dxa"/>
            <w:tcBorders>
              <w:top w:val="single" w:sz="12" w:space="0" w:color="auto"/>
              <w:bottom w:val="single" w:sz="4" w:space="0" w:color="auto"/>
            </w:tcBorders>
            <w:shd w:val="clear" w:color="000000" w:fill="FFFFFF"/>
            <w:noWrap/>
            <w:vAlign w:val="center"/>
            <w:hideMark/>
          </w:tcPr>
          <w:p w14:paraId="6DE89896"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(-5;0)</w:t>
            </w:r>
          </w:p>
        </w:tc>
        <w:tc>
          <w:tcPr>
            <w:tcW w:w="1949" w:type="dxa"/>
            <w:tcBorders>
              <w:top w:val="single" w:sz="12" w:space="0" w:color="auto"/>
              <w:left w:val="nil"/>
              <w:bottom w:val="single" w:sz="4" w:space="0" w:color="auto"/>
            </w:tcBorders>
            <w:shd w:val="clear" w:color="000000" w:fill="FFFFFF"/>
            <w:noWrap/>
            <w:vAlign w:val="center"/>
            <w:hideMark/>
          </w:tcPr>
          <w:p w14:paraId="0F32916E"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0,0050</w:t>
            </w:r>
          </w:p>
        </w:tc>
        <w:tc>
          <w:tcPr>
            <w:tcW w:w="1949" w:type="dxa"/>
            <w:tcBorders>
              <w:top w:val="single" w:sz="12" w:space="0" w:color="auto"/>
              <w:left w:val="nil"/>
              <w:bottom w:val="single" w:sz="4" w:space="0" w:color="auto"/>
            </w:tcBorders>
            <w:shd w:val="clear" w:color="000000" w:fill="FFFFFF"/>
            <w:noWrap/>
            <w:vAlign w:val="center"/>
            <w:hideMark/>
          </w:tcPr>
          <w:p w14:paraId="2201E1D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0,0476</w:t>
            </w:r>
          </w:p>
        </w:tc>
        <w:tc>
          <w:tcPr>
            <w:tcW w:w="1949" w:type="dxa"/>
            <w:tcBorders>
              <w:top w:val="single" w:sz="12" w:space="0" w:color="auto"/>
              <w:bottom w:val="single" w:sz="4" w:space="0" w:color="auto"/>
            </w:tcBorders>
            <w:shd w:val="clear" w:color="000000" w:fill="FFFFFF"/>
            <w:noWrap/>
            <w:vAlign w:val="center"/>
            <w:hideMark/>
          </w:tcPr>
          <w:p w14:paraId="3D417D0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0,2115</w:t>
            </w:r>
          </w:p>
        </w:tc>
      </w:tr>
      <w:tr w:rsidR="00102CF7" w:rsidRPr="00635ABF" w14:paraId="368AF9AB" w14:textId="77777777" w:rsidTr="00F52B6A">
        <w:trPr>
          <w:trHeight w:val="397"/>
        </w:trPr>
        <w:tc>
          <w:tcPr>
            <w:tcW w:w="1949" w:type="dxa"/>
            <w:tcBorders>
              <w:top w:val="nil"/>
              <w:bottom w:val="single" w:sz="4" w:space="0" w:color="auto"/>
            </w:tcBorders>
            <w:shd w:val="clear" w:color="000000" w:fill="FFFFFF"/>
            <w:noWrap/>
            <w:vAlign w:val="center"/>
            <w:hideMark/>
          </w:tcPr>
          <w:p w14:paraId="46C6E8B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(-4;0)</w:t>
            </w:r>
          </w:p>
        </w:tc>
        <w:tc>
          <w:tcPr>
            <w:tcW w:w="1949" w:type="dxa"/>
            <w:tcBorders>
              <w:top w:val="nil"/>
              <w:left w:val="nil"/>
              <w:bottom w:val="single" w:sz="4" w:space="0" w:color="auto"/>
            </w:tcBorders>
            <w:shd w:val="clear" w:color="000000" w:fill="FFFFFF"/>
            <w:noWrap/>
            <w:vAlign w:val="center"/>
            <w:hideMark/>
          </w:tcPr>
          <w:p w14:paraId="57DA19F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-0,0182</w:t>
            </w:r>
          </w:p>
        </w:tc>
        <w:tc>
          <w:tcPr>
            <w:tcW w:w="1949" w:type="dxa"/>
            <w:tcBorders>
              <w:top w:val="nil"/>
              <w:left w:val="nil"/>
              <w:bottom w:val="single" w:sz="4" w:space="0" w:color="auto"/>
            </w:tcBorders>
            <w:shd w:val="clear" w:color="000000" w:fill="FFFFFF"/>
            <w:noWrap/>
            <w:vAlign w:val="center"/>
            <w:hideMark/>
          </w:tcPr>
          <w:p w14:paraId="65229A4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0,0541</w:t>
            </w:r>
          </w:p>
        </w:tc>
        <w:tc>
          <w:tcPr>
            <w:tcW w:w="1949" w:type="dxa"/>
            <w:tcBorders>
              <w:top w:val="nil"/>
              <w:bottom w:val="single" w:sz="4" w:space="0" w:color="auto"/>
            </w:tcBorders>
            <w:shd w:val="clear" w:color="000000" w:fill="FFFFFF"/>
            <w:noWrap/>
            <w:vAlign w:val="center"/>
            <w:hideMark/>
          </w:tcPr>
          <w:p w14:paraId="7B86750E"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-0,6724</w:t>
            </w:r>
          </w:p>
        </w:tc>
      </w:tr>
      <w:tr w:rsidR="00102CF7" w:rsidRPr="00635ABF" w14:paraId="6E0B90FD" w14:textId="77777777" w:rsidTr="00F52B6A">
        <w:trPr>
          <w:trHeight w:val="397"/>
        </w:trPr>
        <w:tc>
          <w:tcPr>
            <w:tcW w:w="1949" w:type="dxa"/>
            <w:tcBorders>
              <w:top w:val="nil"/>
              <w:bottom w:val="single" w:sz="4" w:space="0" w:color="auto"/>
            </w:tcBorders>
            <w:shd w:val="clear" w:color="000000" w:fill="FFFFFF"/>
            <w:noWrap/>
            <w:vAlign w:val="center"/>
            <w:hideMark/>
          </w:tcPr>
          <w:p w14:paraId="0C98ED2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(-3;0)</w:t>
            </w:r>
          </w:p>
        </w:tc>
        <w:tc>
          <w:tcPr>
            <w:tcW w:w="1949" w:type="dxa"/>
            <w:tcBorders>
              <w:top w:val="nil"/>
              <w:left w:val="nil"/>
              <w:bottom w:val="single" w:sz="4" w:space="0" w:color="auto"/>
            </w:tcBorders>
            <w:shd w:val="clear" w:color="000000" w:fill="FFFFFF"/>
            <w:noWrap/>
            <w:vAlign w:val="center"/>
            <w:hideMark/>
          </w:tcPr>
          <w:p w14:paraId="61CF282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0,0043</w:t>
            </w:r>
          </w:p>
        </w:tc>
        <w:tc>
          <w:tcPr>
            <w:tcW w:w="1949" w:type="dxa"/>
            <w:tcBorders>
              <w:top w:val="nil"/>
              <w:left w:val="nil"/>
              <w:bottom w:val="single" w:sz="4" w:space="0" w:color="auto"/>
            </w:tcBorders>
            <w:shd w:val="clear" w:color="000000" w:fill="FFFFFF"/>
            <w:noWrap/>
            <w:vAlign w:val="center"/>
            <w:hideMark/>
          </w:tcPr>
          <w:p w14:paraId="6343DCA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0,0382</w:t>
            </w:r>
          </w:p>
        </w:tc>
        <w:tc>
          <w:tcPr>
            <w:tcW w:w="1949" w:type="dxa"/>
            <w:tcBorders>
              <w:top w:val="nil"/>
              <w:bottom w:val="single" w:sz="4" w:space="0" w:color="auto"/>
            </w:tcBorders>
            <w:shd w:val="clear" w:color="000000" w:fill="FFFFFF"/>
            <w:noWrap/>
            <w:vAlign w:val="center"/>
            <w:hideMark/>
          </w:tcPr>
          <w:p w14:paraId="3D74918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0,2274</w:t>
            </w:r>
          </w:p>
        </w:tc>
      </w:tr>
      <w:tr w:rsidR="00102CF7" w:rsidRPr="00635ABF" w14:paraId="194C569C" w14:textId="77777777" w:rsidTr="00F52B6A">
        <w:trPr>
          <w:trHeight w:val="397"/>
        </w:trPr>
        <w:tc>
          <w:tcPr>
            <w:tcW w:w="1949" w:type="dxa"/>
            <w:tcBorders>
              <w:top w:val="nil"/>
              <w:bottom w:val="single" w:sz="4" w:space="0" w:color="auto"/>
            </w:tcBorders>
            <w:shd w:val="clear" w:color="000000" w:fill="FFFFFF"/>
            <w:noWrap/>
            <w:vAlign w:val="center"/>
            <w:hideMark/>
          </w:tcPr>
          <w:p w14:paraId="4CC63A9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(-2;0)</w:t>
            </w:r>
          </w:p>
        </w:tc>
        <w:tc>
          <w:tcPr>
            <w:tcW w:w="1949" w:type="dxa"/>
            <w:tcBorders>
              <w:top w:val="nil"/>
              <w:left w:val="nil"/>
              <w:bottom w:val="single" w:sz="4" w:space="0" w:color="auto"/>
            </w:tcBorders>
            <w:shd w:val="clear" w:color="000000" w:fill="FFFFFF"/>
            <w:noWrap/>
            <w:vAlign w:val="center"/>
            <w:hideMark/>
          </w:tcPr>
          <w:p w14:paraId="6BC17B8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-0,0095</w:t>
            </w:r>
          </w:p>
        </w:tc>
        <w:tc>
          <w:tcPr>
            <w:tcW w:w="1949" w:type="dxa"/>
            <w:tcBorders>
              <w:top w:val="nil"/>
              <w:left w:val="nil"/>
              <w:bottom w:val="single" w:sz="4" w:space="0" w:color="auto"/>
            </w:tcBorders>
            <w:shd w:val="clear" w:color="000000" w:fill="FFFFFF"/>
            <w:noWrap/>
            <w:vAlign w:val="center"/>
            <w:hideMark/>
          </w:tcPr>
          <w:p w14:paraId="78ABF1DB"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0,0325</w:t>
            </w:r>
          </w:p>
        </w:tc>
        <w:tc>
          <w:tcPr>
            <w:tcW w:w="1949" w:type="dxa"/>
            <w:tcBorders>
              <w:top w:val="nil"/>
              <w:bottom w:val="single" w:sz="4" w:space="0" w:color="auto"/>
            </w:tcBorders>
            <w:shd w:val="clear" w:color="000000" w:fill="FFFFFF"/>
            <w:noWrap/>
            <w:vAlign w:val="center"/>
            <w:hideMark/>
          </w:tcPr>
          <w:p w14:paraId="776A514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-0,5861</w:t>
            </w:r>
          </w:p>
        </w:tc>
      </w:tr>
      <w:tr w:rsidR="00102CF7" w:rsidRPr="00635ABF" w14:paraId="7B82BE87" w14:textId="77777777" w:rsidTr="00F52B6A">
        <w:trPr>
          <w:trHeight w:val="397"/>
        </w:trPr>
        <w:tc>
          <w:tcPr>
            <w:tcW w:w="1949" w:type="dxa"/>
            <w:tcBorders>
              <w:top w:val="nil"/>
              <w:bottom w:val="single" w:sz="4" w:space="0" w:color="auto"/>
            </w:tcBorders>
            <w:shd w:val="clear" w:color="000000" w:fill="FFFFFF"/>
            <w:noWrap/>
            <w:vAlign w:val="center"/>
            <w:hideMark/>
          </w:tcPr>
          <w:p w14:paraId="20A352A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(-1;0)</w:t>
            </w:r>
          </w:p>
        </w:tc>
        <w:tc>
          <w:tcPr>
            <w:tcW w:w="1949" w:type="dxa"/>
            <w:tcBorders>
              <w:top w:val="nil"/>
              <w:left w:val="nil"/>
              <w:bottom w:val="single" w:sz="4" w:space="0" w:color="auto"/>
            </w:tcBorders>
            <w:shd w:val="clear" w:color="000000" w:fill="FFFFFF"/>
            <w:noWrap/>
            <w:vAlign w:val="center"/>
            <w:hideMark/>
          </w:tcPr>
          <w:p w14:paraId="34A76C9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-0,0104</w:t>
            </w:r>
          </w:p>
        </w:tc>
        <w:tc>
          <w:tcPr>
            <w:tcW w:w="1949" w:type="dxa"/>
            <w:tcBorders>
              <w:top w:val="nil"/>
              <w:left w:val="nil"/>
              <w:bottom w:val="single" w:sz="4" w:space="0" w:color="auto"/>
            </w:tcBorders>
            <w:shd w:val="clear" w:color="000000" w:fill="FFFFFF"/>
            <w:noWrap/>
            <w:vAlign w:val="center"/>
            <w:hideMark/>
          </w:tcPr>
          <w:p w14:paraId="15FCFFF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0,0298</w:t>
            </w:r>
          </w:p>
        </w:tc>
        <w:tc>
          <w:tcPr>
            <w:tcW w:w="1949" w:type="dxa"/>
            <w:tcBorders>
              <w:top w:val="nil"/>
              <w:bottom w:val="single" w:sz="4" w:space="0" w:color="auto"/>
            </w:tcBorders>
            <w:shd w:val="clear" w:color="000000" w:fill="FFFFFF"/>
            <w:noWrap/>
            <w:vAlign w:val="center"/>
            <w:hideMark/>
          </w:tcPr>
          <w:p w14:paraId="25F3B7C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-0,6998</w:t>
            </w:r>
          </w:p>
        </w:tc>
      </w:tr>
      <w:tr w:rsidR="00102CF7" w:rsidRPr="00635ABF" w14:paraId="6D871E10" w14:textId="77777777" w:rsidTr="00F52B6A">
        <w:trPr>
          <w:trHeight w:val="397"/>
        </w:trPr>
        <w:tc>
          <w:tcPr>
            <w:tcW w:w="1949" w:type="dxa"/>
            <w:tcBorders>
              <w:top w:val="nil"/>
              <w:bottom w:val="single" w:sz="4" w:space="0" w:color="auto"/>
            </w:tcBorders>
            <w:shd w:val="clear" w:color="000000" w:fill="FFFFFF"/>
            <w:noWrap/>
            <w:vAlign w:val="center"/>
            <w:hideMark/>
          </w:tcPr>
          <w:p w14:paraId="61D42F0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w:t>
            </w:r>
          </w:p>
        </w:tc>
        <w:tc>
          <w:tcPr>
            <w:tcW w:w="1949" w:type="dxa"/>
            <w:tcBorders>
              <w:top w:val="nil"/>
              <w:left w:val="nil"/>
              <w:bottom w:val="single" w:sz="4" w:space="0" w:color="auto"/>
            </w:tcBorders>
            <w:shd w:val="clear" w:color="000000" w:fill="FFFFFF"/>
            <w:noWrap/>
            <w:vAlign w:val="center"/>
            <w:hideMark/>
          </w:tcPr>
          <w:p w14:paraId="241D5EF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-0,0053</w:t>
            </w:r>
          </w:p>
        </w:tc>
        <w:tc>
          <w:tcPr>
            <w:tcW w:w="1949" w:type="dxa"/>
            <w:tcBorders>
              <w:top w:val="nil"/>
              <w:left w:val="nil"/>
              <w:bottom w:val="single" w:sz="4" w:space="0" w:color="auto"/>
            </w:tcBorders>
            <w:shd w:val="clear" w:color="000000" w:fill="FFFFFF"/>
            <w:noWrap/>
            <w:vAlign w:val="center"/>
            <w:hideMark/>
          </w:tcPr>
          <w:p w14:paraId="15D1C6E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0,0602</w:t>
            </w:r>
          </w:p>
        </w:tc>
        <w:tc>
          <w:tcPr>
            <w:tcW w:w="1949" w:type="dxa"/>
            <w:tcBorders>
              <w:top w:val="nil"/>
              <w:bottom w:val="single" w:sz="4" w:space="0" w:color="auto"/>
            </w:tcBorders>
            <w:shd w:val="clear" w:color="000000" w:fill="FFFFFF"/>
            <w:noWrap/>
            <w:vAlign w:val="center"/>
            <w:hideMark/>
          </w:tcPr>
          <w:p w14:paraId="2BC8988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-0,1750</w:t>
            </w:r>
          </w:p>
        </w:tc>
      </w:tr>
      <w:tr w:rsidR="00102CF7" w:rsidRPr="00635ABF" w14:paraId="01F70D4E" w14:textId="77777777" w:rsidTr="00F52B6A">
        <w:trPr>
          <w:trHeight w:val="397"/>
        </w:trPr>
        <w:tc>
          <w:tcPr>
            <w:tcW w:w="1949" w:type="dxa"/>
            <w:tcBorders>
              <w:top w:val="nil"/>
              <w:bottom w:val="single" w:sz="4" w:space="0" w:color="auto"/>
            </w:tcBorders>
            <w:shd w:val="clear" w:color="000000" w:fill="FFFFFF"/>
            <w:noWrap/>
            <w:vAlign w:val="center"/>
            <w:hideMark/>
          </w:tcPr>
          <w:p w14:paraId="739931D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(+1;+1)</w:t>
            </w:r>
          </w:p>
        </w:tc>
        <w:tc>
          <w:tcPr>
            <w:tcW w:w="1949" w:type="dxa"/>
            <w:tcBorders>
              <w:top w:val="nil"/>
              <w:left w:val="nil"/>
              <w:bottom w:val="single" w:sz="4" w:space="0" w:color="auto"/>
            </w:tcBorders>
            <w:shd w:val="clear" w:color="000000" w:fill="FFFFFF"/>
            <w:noWrap/>
            <w:vAlign w:val="center"/>
            <w:hideMark/>
          </w:tcPr>
          <w:p w14:paraId="571AD46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0,0022</w:t>
            </w:r>
          </w:p>
        </w:tc>
        <w:tc>
          <w:tcPr>
            <w:tcW w:w="1949" w:type="dxa"/>
            <w:tcBorders>
              <w:top w:val="nil"/>
              <w:left w:val="nil"/>
              <w:bottom w:val="single" w:sz="4" w:space="0" w:color="auto"/>
            </w:tcBorders>
            <w:shd w:val="clear" w:color="000000" w:fill="FFFFFF"/>
            <w:noWrap/>
            <w:vAlign w:val="center"/>
            <w:hideMark/>
          </w:tcPr>
          <w:p w14:paraId="3B5393FD"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0,0298</w:t>
            </w:r>
          </w:p>
        </w:tc>
        <w:tc>
          <w:tcPr>
            <w:tcW w:w="1949" w:type="dxa"/>
            <w:tcBorders>
              <w:top w:val="nil"/>
              <w:bottom w:val="single" w:sz="4" w:space="0" w:color="auto"/>
            </w:tcBorders>
            <w:shd w:val="clear" w:color="000000" w:fill="FFFFFF"/>
            <w:noWrap/>
            <w:vAlign w:val="center"/>
            <w:hideMark/>
          </w:tcPr>
          <w:p w14:paraId="1061349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0,1500</w:t>
            </w:r>
          </w:p>
        </w:tc>
      </w:tr>
      <w:tr w:rsidR="00102CF7" w:rsidRPr="00635ABF" w14:paraId="4352BD38" w14:textId="77777777" w:rsidTr="00F52B6A">
        <w:trPr>
          <w:trHeight w:val="397"/>
        </w:trPr>
        <w:tc>
          <w:tcPr>
            <w:tcW w:w="1949" w:type="dxa"/>
            <w:tcBorders>
              <w:top w:val="nil"/>
              <w:bottom w:val="single" w:sz="4" w:space="0" w:color="auto"/>
            </w:tcBorders>
            <w:shd w:val="clear" w:color="000000" w:fill="FFFFFF"/>
            <w:noWrap/>
            <w:vAlign w:val="center"/>
            <w:hideMark/>
          </w:tcPr>
          <w:p w14:paraId="7DC61BE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(+2;+2)</w:t>
            </w:r>
          </w:p>
        </w:tc>
        <w:tc>
          <w:tcPr>
            <w:tcW w:w="1949" w:type="dxa"/>
            <w:tcBorders>
              <w:top w:val="nil"/>
              <w:left w:val="nil"/>
              <w:bottom w:val="single" w:sz="4" w:space="0" w:color="auto"/>
            </w:tcBorders>
            <w:shd w:val="clear" w:color="000000" w:fill="FFFFFF"/>
            <w:noWrap/>
            <w:vAlign w:val="center"/>
            <w:hideMark/>
          </w:tcPr>
          <w:p w14:paraId="3429AAC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0,0170</w:t>
            </w:r>
          </w:p>
        </w:tc>
        <w:tc>
          <w:tcPr>
            <w:tcW w:w="1949" w:type="dxa"/>
            <w:tcBorders>
              <w:top w:val="nil"/>
              <w:left w:val="nil"/>
              <w:bottom w:val="single" w:sz="4" w:space="0" w:color="auto"/>
            </w:tcBorders>
            <w:shd w:val="clear" w:color="000000" w:fill="FFFFFF"/>
            <w:noWrap/>
            <w:vAlign w:val="center"/>
            <w:hideMark/>
          </w:tcPr>
          <w:p w14:paraId="3D89DC94"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0,0353</w:t>
            </w:r>
          </w:p>
        </w:tc>
        <w:tc>
          <w:tcPr>
            <w:tcW w:w="1949" w:type="dxa"/>
            <w:tcBorders>
              <w:top w:val="nil"/>
              <w:bottom w:val="single" w:sz="4" w:space="0" w:color="auto"/>
            </w:tcBorders>
            <w:shd w:val="clear" w:color="000000" w:fill="FFFFFF"/>
            <w:noWrap/>
            <w:vAlign w:val="center"/>
            <w:hideMark/>
          </w:tcPr>
          <w:p w14:paraId="6CDFE165"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0,9635</w:t>
            </w:r>
          </w:p>
        </w:tc>
      </w:tr>
      <w:tr w:rsidR="00102CF7" w:rsidRPr="00635ABF" w14:paraId="2D376030" w14:textId="77777777" w:rsidTr="00F52B6A">
        <w:trPr>
          <w:trHeight w:val="397"/>
        </w:trPr>
        <w:tc>
          <w:tcPr>
            <w:tcW w:w="1949" w:type="dxa"/>
            <w:tcBorders>
              <w:top w:val="nil"/>
              <w:bottom w:val="single" w:sz="4" w:space="0" w:color="auto"/>
            </w:tcBorders>
            <w:shd w:val="clear" w:color="000000" w:fill="FFFFFF"/>
            <w:noWrap/>
            <w:vAlign w:val="center"/>
            <w:hideMark/>
          </w:tcPr>
          <w:p w14:paraId="5831D43A"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(+2;+3)</w:t>
            </w:r>
          </w:p>
        </w:tc>
        <w:tc>
          <w:tcPr>
            <w:tcW w:w="1949" w:type="dxa"/>
            <w:tcBorders>
              <w:top w:val="nil"/>
              <w:left w:val="nil"/>
              <w:bottom w:val="single" w:sz="4" w:space="0" w:color="auto"/>
            </w:tcBorders>
            <w:shd w:val="clear" w:color="000000" w:fill="FFFFFF"/>
            <w:noWrap/>
            <w:vAlign w:val="center"/>
            <w:hideMark/>
          </w:tcPr>
          <w:p w14:paraId="0AA78878"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-0,0061</w:t>
            </w:r>
          </w:p>
        </w:tc>
        <w:tc>
          <w:tcPr>
            <w:tcW w:w="1949" w:type="dxa"/>
            <w:tcBorders>
              <w:top w:val="nil"/>
              <w:left w:val="nil"/>
              <w:bottom w:val="single" w:sz="4" w:space="0" w:color="auto"/>
            </w:tcBorders>
            <w:shd w:val="clear" w:color="000000" w:fill="FFFFFF"/>
            <w:noWrap/>
            <w:vAlign w:val="center"/>
            <w:hideMark/>
          </w:tcPr>
          <w:p w14:paraId="582B1D70"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0,0111</w:t>
            </w:r>
          </w:p>
        </w:tc>
        <w:tc>
          <w:tcPr>
            <w:tcW w:w="1949" w:type="dxa"/>
            <w:tcBorders>
              <w:top w:val="nil"/>
              <w:bottom w:val="single" w:sz="4" w:space="0" w:color="auto"/>
            </w:tcBorders>
            <w:shd w:val="clear" w:color="000000" w:fill="FFFFFF"/>
            <w:noWrap/>
            <w:vAlign w:val="center"/>
            <w:hideMark/>
          </w:tcPr>
          <w:p w14:paraId="0915343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-1,1094</w:t>
            </w:r>
          </w:p>
        </w:tc>
      </w:tr>
      <w:tr w:rsidR="00102CF7" w:rsidRPr="00635ABF" w14:paraId="62ABE086" w14:textId="77777777" w:rsidTr="00F52B6A">
        <w:trPr>
          <w:trHeight w:val="397"/>
        </w:trPr>
        <w:tc>
          <w:tcPr>
            <w:tcW w:w="1949" w:type="dxa"/>
            <w:tcBorders>
              <w:top w:val="nil"/>
              <w:bottom w:val="single" w:sz="4" w:space="0" w:color="auto"/>
            </w:tcBorders>
            <w:shd w:val="clear" w:color="000000" w:fill="FFFFFF"/>
            <w:noWrap/>
            <w:vAlign w:val="center"/>
            <w:hideMark/>
          </w:tcPr>
          <w:p w14:paraId="4071E4C2"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(+2;+4)</w:t>
            </w:r>
          </w:p>
        </w:tc>
        <w:tc>
          <w:tcPr>
            <w:tcW w:w="1949" w:type="dxa"/>
            <w:tcBorders>
              <w:top w:val="nil"/>
              <w:left w:val="nil"/>
              <w:bottom w:val="single" w:sz="4" w:space="0" w:color="auto"/>
            </w:tcBorders>
            <w:shd w:val="clear" w:color="000000" w:fill="FFFFFF"/>
            <w:noWrap/>
            <w:vAlign w:val="center"/>
            <w:hideMark/>
          </w:tcPr>
          <w:p w14:paraId="6C61BFB7"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0,0039</w:t>
            </w:r>
          </w:p>
        </w:tc>
        <w:tc>
          <w:tcPr>
            <w:tcW w:w="1949" w:type="dxa"/>
            <w:tcBorders>
              <w:top w:val="nil"/>
              <w:left w:val="nil"/>
              <w:bottom w:val="single" w:sz="4" w:space="0" w:color="auto"/>
            </w:tcBorders>
            <w:shd w:val="clear" w:color="000000" w:fill="FFFFFF"/>
            <w:noWrap/>
            <w:vAlign w:val="center"/>
            <w:hideMark/>
          </w:tcPr>
          <w:p w14:paraId="7D04B621"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0,0182</w:t>
            </w:r>
          </w:p>
        </w:tc>
        <w:tc>
          <w:tcPr>
            <w:tcW w:w="1949" w:type="dxa"/>
            <w:tcBorders>
              <w:top w:val="nil"/>
              <w:bottom w:val="single" w:sz="4" w:space="0" w:color="auto"/>
            </w:tcBorders>
            <w:shd w:val="clear" w:color="000000" w:fill="FFFFFF"/>
            <w:noWrap/>
            <w:vAlign w:val="center"/>
            <w:hideMark/>
          </w:tcPr>
          <w:p w14:paraId="38CC0A7F"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0,4328</w:t>
            </w:r>
          </w:p>
        </w:tc>
      </w:tr>
      <w:tr w:rsidR="00102CF7" w:rsidRPr="00635ABF" w14:paraId="738EBF87" w14:textId="77777777" w:rsidTr="00F52B6A">
        <w:trPr>
          <w:trHeight w:val="397"/>
        </w:trPr>
        <w:tc>
          <w:tcPr>
            <w:tcW w:w="1949" w:type="dxa"/>
            <w:tcBorders>
              <w:top w:val="single" w:sz="4" w:space="0" w:color="auto"/>
              <w:bottom w:val="single" w:sz="12" w:space="0" w:color="auto"/>
            </w:tcBorders>
            <w:shd w:val="clear" w:color="000000" w:fill="FFFFFF"/>
            <w:noWrap/>
            <w:vAlign w:val="center"/>
            <w:hideMark/>
          </w:tcPr>
          <w:p w14:paraId="76D16F0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(+2;+5)</w:t>
            </w:r>
          </w:p>
        </w:tc>
        <w:tc>
          <w:tcPr>
            <w:tcW w:w="1949" w:type="dxa"/>
            <w:tcBorders>
              <w:top w:val="single" w:sz="4" w:space="0" w:color="auto"/>
              <w:left w:val="nil"/>
              <w:bottom w:val="single" w:sz="12" w:space="0" w:color="auto"/>
            </w:tcBorders>
            <w:shd w:val="clear" w:color="000000" w:fill="FFFFFF"/>
            <w:noWrap/>
            <w:vAlign w:val="center"/>
            <w:hideMark/>
          </w:tcPr>
          <w:p w14:paraId="5B9D9DDC"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0,0258</w:t>
            </w:r>
          </w:p>
        </w:tc>
        <w:tc>
          <w:tcPr>
            <w:tcW w:w="1949" w:type="dxa"/>
            <w:tcBorders>
              <w:top w:val="single" w:sz="4" w:space="0" w:color="auto"/>
              <w:left w:val="nil"/>
              <w:bottom w:val="single" w:sz="12" w:space="0" w:color="auto"/>
            </w:tcBorders>
            <w:shd w:val="clear" w:color="000000" w:fill="FFFFFF"/>
            <w:noWrap/>
            <w:vAlign w:val="center"/>
            <w:hideMark/>
          </w:tcPr>
          <w:p w14:paraId="48BDE8D9"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0,0418</w:t>
            </w:r>
          </w:p>
        </w:tc>
        <w:tc>
          <w:tcPr>
            <w:tcW w:w="1949" w:type="dxa"/>
            <w:tcBorders>
              <w:top w:val="single" w:sz="4" w:space="0" w:color="auto"/>
              <w:bottom w:val="single" w:sz="12" w:space="0" w:color="auto"/>
            </w:tcBorders>
            <w:shd w:val="clear" w:color="000000" w:fill="FFFFFF"/>
            <w:noWrap/>
            <w:vAlign w:val="center"/>
            <w:hideMark/>
          </w:tcPr>
          <w:p w14:paraId="389AA433" w14:textId="77777777" w:rsidR="00102CF7" w:rsidRPr="00635ABF" w:rsidRDefault="00102CF7" w:rsidP="00F52B6A">
            <w:pPr>
              <w:spacing w:afterLines="0" w:after="0" w:line="240" w:lineRule="auto"/>
              <w:ind w:firstLine="0"/>
              <w:jc w:val="center"/>
              <w:rPr>
                <w:rFonts w:cs="Arial"/>
                <w:sz w:val="20"/>
                <w:szCs w:val="20"/>
              </w:rPr>
            </w:pPr>
            <w:r w:rsidRPr="00635ABF">
              <w:rPr>
                <w:rFonts w:cs="Arial"/>
                <w:sz w:val="20"/>
                <w:szCs w:val="20"/>
              </w:rPr>
              <w:t>1,2333</w:t>
            </w:r>
          </w:p>
        </w:tc>
      </w:tr>
    </w:tbl>
    <w:p w14:paraId="1C8D907F" w14:textId="4D68F30B" w:rsidR="00CA0B64" w:rsidRPr="00635ABF" w:rsidRDefault="00CA0B64" w:rsidP="00FE6BB8">
      <w:pPr>
        <w:spacing w:afterLines="0" w:after="0" w:line="240" w:lineRule="auto"/>
        <w:rPr>
          <w:rFonts w:cs="Arial"/>
          <w:szCs w:val="24"/>
        </w:rPr>
      </w:pPr>
    </w:p>
    <w:p w14:paraId="59882BA8" w14:textId="26510C11" w:rsidR="00F135B1" w:rsidRPr="00635ABF" w:rsidRDefault="00063BBE" w:rsidP="00FE6BB8">
      <w:pPr>
        <w:spacing w:afterLines="0" w:after="0" w:line="240" w:lineRule="auto"/>
        <w:rPr>
          <w:rFonts w:cs="Arial"/>
          <w:szCs w:val="24"/>
        </w:rPr>
      </w:pPr>
      <w:bookmarkStart w:id="8" w:name="_Hlk169436911"/>
      <w:r w:rsidRPr="00635ABF">
        <w:rPr>
          <w:rFonts w:cs="Arial"/>
          <w:szCs w:val="24"/>
        </w:rPr>
        <w:t xml:space="preserve">A análise dos dados apresentados na Tabela 8 sugere que, durante eventos com variação negativa da Selic no período de crise de 03/2020 a 06/2022, a maioria das janelas de tempo ao redor desses eventos não apresentam retornos acumulados </w:t>
      </w:r>
      <w:r w:rsidRPr="00635ABF">
        <w:rPr>
          <w:rFonts w:cs="Arial"/>
          <w:szCs w:val="24"/>
        </w:rPr>
        <w:lastRenderedPageBreak/>
        <w:t>estatisticamente significativos. A única exceção é a janela (+2;+5), onde há uma indicação de impacto significativo nos retornos acumulados do Ibovespa, com um nível de significância estatística marginalmente aceitável apenas ao nível de 10%. Isso sugere que, em geral, esses eventos não tiveram um impacto estatisticamente mensurável nos retornos acumulados do Ibovespa durante o período analisado.</w:t>
      </w:r>
    </w:p>
    <w:p w14:paraId="6ED421E7" w14:textId="77777777" w:rsidR="00C573D5" w:rsidRPr="00635ABF" w:rsidRDefault="00C573D5" w:rsidP="00FE6BB8">
      <w:pPr>
        <w:spacing w:afterLines="0" w:after="0" w:line="240" w:lineRule="auto"/>
        <w:rPr>
          <w:rFonts w:cs="Arial"/>
          <w:szCs w:val="24"/>
        </w:rPr>
      </w:pPr>
    </w:p>
    <w:bookmarkEnd w:id="8"/>
    <w:p w14:paraId="2AC9ECEC" w14:textId="51B9ED4D" w:rsidR="00B0790D" w:rsidRPr="00635ABF" w:rsidRDefault="00B0790D" w:rsidP="00FE6BB8">
      <w:pPr>
        <w:spacing w:afterLines="0" w:after="0" w:line="240" w:lineRule="auto"/>
        <w:rPr>
          <w:rFonts w:cs="Arial"/>
          <w:b/>
          <w:bCs/>
          <w:szCs w:val="24"/>
        </w:rPr>
      </w:pPr>
      <w:r w:rsidRPr="00635ABF">
        <w:rPr>
          <w:rFonts w:cs="Arial"/>
          <w:b/>
          <w:bCs/>
          <w:szCs w:val="24"/>
        </w:rPr>
        <w:t>C</w:t>
      </w:r>
      <w:r w:rsidR="00C573D5" w:rsidRPr="00635ABF">
        <w:rPr>
          <w:rFonts w:cs="Arial"/>
          <w:b/>
          <w:bCs/>
          <w:szCs w:val="24"/>
        </w:rPr>
        <w:t>onclusão</w:t>
      </w:r>
    </w:p>
    <w:p w14:paraId="54604137" w14:textId="77777777" w:rsidR="00C573D5" w:rsidRPr="00635ABF" w:rsidRDefault="00C573D5" w:rsidP="00FE6BB8">
      <w:pPr>
        <w:spacing w:afterLines="0" w:after="0" w:line="240" w:lineRule="auto"/>
        <w:rPr>
          <w:rFonts w:cs="Arial"/>
          <w:szCs w:val="24"/>
        </w:rPr>
      </w:pPr>
    </w:p>
    <w:p w14:paraId="24370D43" w14:textId="609D8030" w:rsidR="00D12E96" w:rsidRPr="00635ABF" w:rsidRDefault="00D12E96" w:rsidP="00FE6BB8">
      <w:pPr>
        <w:spacing w:afterLines="0" w:after="0" w:line="240" w:lineRule="auto"/>
        <w:rPr>
          <w:rFonts w:cs="Arial"/>
          <w:szCs w:val="24"/>
        </w:rPr>
      </w:pPr>
      <w:r w:rsidRPr="00635ABF">
        <w:rPr>
          <w:rFonts w:cs="Arial"/>
          <w:szCs w:val="24"/>
        </w:rPr>
        <w:t xml:space="preserve">O presente estudo teve como objetivo verificar o impacto </w:t>
      </w:r>
      <w:r w:rsidR="003A7EFD" w:rsidRPr="00635ABF">
        <w:rPr>
          <w:rFonts w:cs="Arial"/>
          <w:szCs w:val="24"/>
        </w:rPr>
        <w:t xml:space="preserve">prévio e posterior </w:t>
      </w:r>
      <w:r w:rsidRPr="00635ABF">
        <w:rPr>
          <w:rFonts w:cs="Arial"/>
          <w:szCs w:val="24"/>
        </w:rPr>
        <w:t xml:space="preserve">da variação da Taxa Selic </w:t>
      </w:r>
      <w:r w:rsidR="003D1F4C" w:rsidRPr="00635ABF">
        <w:rPr>
          <w:rFonts w:cs="Arial"/>
          <w:szCs w:val="24"/>
        </w:rPr>
        <w:t>sobre</w:t>
      </w:r>
      <w:r w:rsidRPr="00635ABF">
        <w:rPr>
          <w:rFonts w:cs="Arial"/>
          <w:szCs w:val="24"/>
        </w:rPr>
        <w:t xml:space="preserve"> Ibovespa</w:t>
      </w:r>
      <w:r w:rsidR="00897867" w:rsidRPr="00635ABF">
        <w:rPr>
          <w:rFonts w:cs="Arial"/>
          <w:szCs w:val="24"/>
        </w:rPr>
        <w:t xml:space="preserve"> e </w:t>
      </w:r>
      <w:r w:rsidRPr="00635ABF">
        <w:rPr>
          <w:rFonts w:cs="Arial"/>
          <w:szCs w:val="24"/>
        </w:rPr>
        <w:t>a</w:t>
      </w:r>
      <w:r w:rsidR="00897867" w:rsidRPr="00635ABF">
        <w:rPr>
          <w:rFonts w:cs="Arial"/>
          <w:szCs w:val="24"/>
        </w:rPr>
        <w:t>s</w:t>
      </w:r>
      <w:r w:rsidRPr="00635ABF">
        <w:rPr>
          <w:rFonts w:cs="Arial"/>
          <w:szCs w:val="24"/>
        </w:rPr>
        <w:t xml:space="preserve"> possíveis distorções do impacto em período de crise.</w:t>
      </w:r>
    </w:p>
    <w:p w14:paraId="2F3C99EE" w14:textId="77777777" w:rsidR="003D1F4C" w:rsidRPr="00635ABF" w:rsidRDefault="003D1F4C" w:rsidP="003D1F4C">
      <w:pPr>
        <w:spacing w:afterLines="0" w:after="0" w:line="240" w:lineRule="auto"/>
        <w:rPr>
          <w:rFonts w:cs="Arial"/>
          <w:szCs w:val="24"/>
        </w:rPr>
      </w:pPr>
      <w:r w:rsidRPr="00635ABF">
        <w:rPr>
          <w:rFonts w:cs="Arial"/>
          <w:szCs w:val="24"/>
        </w:rPr>
        <w:t>Com base na análise detalhada dos retornos acumulados do Ibovespa em torno das datas de divulgação de variações na taxa Selic, pode-se observar padrões distintos de reação do mercado em diferentes períodos e contextos econômicos.</w:t>
      </w:r>
    </w:p>
    <w:p w14:paraId="29F90F39" w14:textId="61416814" w:rsidR="003D1F4C" w:rsidRPr="00635ABF" w:rsidRDefault="003D1F4C" w:rsidP="003D1F4C">
      <w:pPr>
        <w:spacing w:afterLines="0" w:after="0" w:line="240" w:lineRule="auto"/>
        <w:rPr>
          <w:rFonts w:cs="Arial"/>
          <w:szCs w:val="24"/>
        </w:rPr>
      </w:pPr>
      <w:r w:rsidRPr="00635ABF">
        <w:rPr>
          <w:rFonts w:cs="Arial"/>
          <w:szCs w:val="24"/>
        </w:rPr>
        <w:t>Primeiramente, os resultados revelam que, em períodos sem crise, como observado na Tabela 6 para o período de 01/2012 a 12/2014 e 01/2017 a 02/2020, os eventos com variação negativa da Selic não influenciaram significativamente os retornos acumulados do Ibovespa. As janelas de tempo analisadas não mostraram retornos estatisticamente significativos, com a maioria dos valores de teste t-</w:t>
      </w:r>
      <w:proofErr w:type="spellStart"/>
      <w:r w:rsidRPr="00635ABF">
        <w:rPr>
          <w:rFonts w:cs="Arial"/>
          <w:szCs w:val="24"/>
        </w:rPr>
        <w:t>Student</w:t>
      </w:r>
      <w:proofErr w:type="spellEnd"/>
      <w:r w:rsidRPr="00635ABF">
        <w:rPr>
          <w:rFonts w:cs="Arial"/>
          <w:szCs w:val="24"/>
        </w:rPr>
        <w:t xml:space="preserve"> indicando ausência de impacto econômico mensurável.</w:t>
      </w:r>
      <w:r w:rsidR="00EC127F" w:rsidRPr="00635ABF">
        <w:rPr>
          <w:rFonts w:cs="Arial"/>
          <w:szCs w:val="24"/>
        </w:rPr>
        <w:t xml:space="preserve"> Estudos anteriores, como os de </w:t>
      </w:r>
      <w:bookmarkStart w:id="9" w:name="_Hlk169438364"/>
      <w:r w:rsidR="00550C98" w:rsidRPr="00635ABF">
        <w:rPr>
          <w:rFonts w:cs="Arial"/>
          <w:szCs w:val="24"/>
        </w:rPr>
        <w:t>Soares, Firme e Lima Junior</w:t>
      </w:r>
      <w:r w:rsidR="00EC127F" w:rsidRPr="00635ABF">
        <w:rPr>
          <w:rFonts w:cs="Arial"/>
          <w:szCs w:val="24"/>
        </w:rPr>
        <w:t xml:space="preserve"> (20</w:t>
      </w:r>
      <w:r w:rsidR="00550C98" w:rsidRPr="00635ABF">
        <w:rPr>
          <w:rFonts w:cs="Arial"/>
          <w:szCs w:val="24"/>
        </w:rPr>
        <w:t>21</w:t>
      </w:r>
      <w:r w:rsidR="00EC127F" w:rsidRPr="00635ABF">
        <w:rPr>
          <w:rFonts w:cs="Arial"/>
          <w:szCs w:val="24"/>
        </w:rPr>
        <w:t xml:space="preserve">) e </w:t>
      </w:r>
      <w:r w:rsidR="00561A0F" w:rsidRPr="00635ABF">
        <w:rPr>
          <w:rFonts w:cs="Arial"/>
          <w:szCs w:val="24"/>
        </w:rPr>
        <w:t>Melo e Gomes</w:t>
      </w:r>
      <w:r w:rsidR="00EC127F" w:rsidRPr="00635ABF">
        <w:rPr>
          <w:rFonts w:cs="Arial"/>
          <w:szCs w:val="24"/>
        </w:rPr>
        <w:t xml:space="preserve"> (202</w:t>
      </w:r>
      <w:r w:rsidR="00561A0F" w:rsidRPr="00635ABF">
        <w:rPr>
          <w:rFonts w:cs="Arial"/>
          <w:szCs w:val="24"/>
        </w:rPr>
        <w:t>3</w:t>
      </w:r>
      <w:r w:rsidR="00EC127F" w:rsidRPr="00635ABF">
        <w:rPr>
          <w:rFonts w:cs="Arial"/>
          <w:szCs w:val="24"/>
        </w:rPr>
        <w:t xml:space="preserve">), também indicam que, em tempos de estabilidade econômica, as variações na taxa Selic tendem a ter um impacto limitado ou não significativo sobre os retornos do mercado de ações brasileiro. A ausência de reações estatisticamente significativas observada nas janelas de tempo analisadas sugere que o mercado pode estar precificando eficientemente as mudanças na política monetária durante esses períodos. </w:t>
      </w:r>
    </w:p>
    <w:p w14:paraId="23425456" w14:textId="72BD8848" w:rsidR="003D1F4C" w:rsidRPr="00635ABF" w:rsidRDefault="003D1F4C" w:rsidP="003D1F4C">
      <w:pPr>
        <w:spacing w:afterLines="0" w:after="0" w:line="240" w:lineRule="auto"/>
        <w:rPr>
          <w:rFonts w:cs="Arial"/>
          <w:szCs w:val="24"/>
        </w:rPr>
      </w:pPr>
      <w:r w:rsidRPr="00635ABF">
        <w:rPr>
          <w:rFonts w:cs="Arial"/>
          <w:szCs w:val="24"/>
        </w:rPr>
        <w:t xml:space="preserve">Por outro lado, durante períodos de crise, como evidenciado na Tabela 7 para o período de 01/2015 a 12/2016, os eventos com variação negativa da Selic apresentaram resultados mistos. Embora a maioria das janelas de tempo ao redor desses eventos não tenha demonstrado retornos acumulados estatisticamente significativos, as janelas (+2;+2) e (+2;+5) destacaram-se por mostrar significância estatística ao nível de 5% e 1%, respectivamente. </w:t>
      </w:r>
      <w:r w:rsidR="00EC127F" w:rsidRPr="00635ABF">
        <w:rPr>
          <w:rFonts w:cs="Arial"/>
          <w:szCs w:val="24"/>
        </w:rPr>
        <w:t xml:space="preserve">Estudos como o de </w:t>
      </w:r>
      <w:r w:rsidR="00561A0F" w:rsidRPr="00635ABF">
        <w:rPr>
          <w:rFonts w:cs="Arial"/>
          <w:szCs w:val="24"/>
        </w:rPr>
        <w:t>Val</w:t>
      </w:r>
      <w:r w:rsidR="00EC127F" w:rsidRPr="00635ABF">
        <w:rPr>
          <w:rFonts w:cs="Arial"/>
          <w:szCs w:val="24"/>
        </w:rPr>
        <w:t xml:space="preserve"> </w:t>
      </w:r>
      <w:r w:rsidR="00EC127F" w:rsidRPr="00635ABF">
        <w:rPr>
          <w:rFonts w:cs="Arial"/>
          <w:i/>
          <w:iCs/>
          <w:szCs w:val="24"/>
        </w:rPr>
        <w:t>et al.</w:t>
      </w:r>
      <w:r w:rsidR="00EC127F" w:rsidRPr="00635ABF">
        <w:rPr>
          <w:rFonts w:cs="Arial"/>
          <w:szCs w:val="24"/>
        </w:rPr>
        <w:t xml:space="preserve"> (201</w:t>
      </w:r>
      <w:r w:rsidR="00561A0F" w:rsidRPr="00635ABF">
        <w:rPr>
          <w:rFonts w:cs="Arial"/>
          <w:szCs w:val="24"/>
        </w:rPr>
        <w:t>8</w:t>
      </w:r>
      <w:r w:rsidR="00EC127F" w:rsidRPr="00635ABF">
        <w:rPr>
          <w:rFonts w:cs="Arial"/>
          <w:szCs w:val="24"/>
        </w:rPr>
        <w:t xml:space="preserve">) e </w:t>
      </w:r>
      <w:r w:rsidR="00A41B43" w:rsidRPr="00635ABF">
        <w:rPr>
          <w:rFonts w:cs="Arial"/>
          <w:szCs w:val="24"/>
        </w:rPr>
        <w:t>Nunes, Ferrarini e Santos</w:t>
      </w:r>
      <w:r w:rsidR="00EC127F" w:rsidRPr="00635ABF">
        <w:rPr>
          <w:rFonts w:cs="Arial"/>
          <w:szCs w:val="24"/>
        </w:rPr>
        <w:t xml:space="preserve"> (20</w:t>
      </w:r>
      <w:r w:rsidR="00A41B43" w:rsidRPr="00635ABF">
        <w:rPr>
          <w:rFonts w:cs="Arial"/>
          <w:szCs w:val="24"/>
        </w:rPr>
        <w:t>23</w:t>
      </w:r>
      <w:r w:rsidR="00EC127F" w:rsidRPr="00635ABF">
        <w:rPr>
          <w:rFonts w:cs="Arial"/>
          <w:szCs w:val="24"/>
        </w:rPr>
        <w:t xml:space="preserve">) mostraram que crises econômicas </w:t>
      </w:r>
      <w:bookmarkEnd w:id="9"/>
      <w:r w:rsidR="00EC127F" w:rsidRPr="00635ABF">
        <w:rPr>
          <w:rFonts w:cs="Arial"/>
          <w:szCs w:val="24"/>
        </w:rPr>
        <w:t xml:space="preserve">tendem a amplificar a sensibilidade do mercado às decisões de política monetária, com algumas janelas de tempo mostrando impacto significativo nos retornos acumulados. Essas descobertas sugerem que, em momentos de incerteza econômica, os investidores podem reagir mais intensamente às mudanças na taxa Selic em busca de sinais de estabilização ou recuperação econômica. </w:t>
      </w:r>
    </w:p>
    <w:p w14:paraId="1664CD43" w14:textId="77777777" w:rsidR="003D1F4C" w:rsidRPr="00635ABF" w:rsidRDefault="003D1F4C" w:rsidP="003D1F4C">
      <w:pPr>
        <w:spacing w:afterLines="0" w:after="0" w:line="240" w:lineRule="auto"/>
        <w:rPr>
          <w:rFonts w:cs="Arial"/>
          <w:szCs w:val="24"/>
        </w:rPr>
      </w:pPr>
      <w:r w:rsidRPr="00635ABF">
        <w:rPr>
          <w:rFonts w:cs="Arial"/>
          <w:szCs w:val="24"/>
        </w:rPr>
        <w:t>Já na análise da Tabela 8, que cobre o período de crise mais recente de 03/2020 a 06/2022, os resultados apontam que a maioria das janelas de tempo ao redor dos eventos com variação negativa da Selic não apresentaram retornos acumulados estatisticamente significativos. A exceção foi a janela (+2;+5), onde foi observada uma indicação marginalmente significativa ao nível de 10%. Isso sugere que, embora tenha havido um impacto percebido em um período de alta volatilidade econômica, a reação do mercado não foi uniformemente significativa em termos estatísticos, mostrando uma relativa resiliência ou adaptação às mudanças na política monetária.</w:t>
      </w:r>
    </w:p>
    <w:p w14:paraId="122486B0" w14:textId="4A1F71E0" w:rsidR="003D1F4C" w:rsidRPr="00635ABF" w:rsidRDefault="003D1F4C" w:rsidP="00DC1F39">
      <w:pPr>
        <w:spacing w:afterLines="0" w:after="0" w:line="240" w:lineRule="auto"/>
        <w:rPr>
          <w:rFonts w:cs="Arial"/>
          <w:szCs w:val="24"/>
        </w:rPr>
      </w:pPr>
      <w:r w:rsidRPr="00635ABF">
        <w:rPr>
          <w:rFonts w:cs="Arial"/>
          <w:szCs w:val="24"/>
        </w:rPr>
        <w:t xml:space="preserve">Portanto, a análise desses dados revela a complexidade das interações entre as decisões de política monetária, o contexto econômico e as reações do mercado de capitais no Brasil. As variações nos retornos acumulados do Ibovespa refletem não </w:t>
      </w:r>
      <w:r w:rsidRPr="00635ABF">
        <w:rPr>
          <w:rFonts w:cs="Arial"/>
          <w:szCs w:val="24"/>
        </w:rPr>
        <w:lastRenderedPageBreak/>
        <w:t>apenas as expectativas em torno das mudanças na taxa Selic, mas também a percepção de estabilidade econômica e as condições gerais do mercado durante diferentes períodos analisados.</w:t>
      </w:r>
    </w:p>
    <w:p w14:paraId="16125521" w14:textId="77777777" w:rsidR="00E34F98" w:rsidRPr="00635ABF" w:rsidRDefault="00E34F98" w:rsidP="00FE6BB8">
      <w:pPr>
        <w:spacing w:afterLines="0" w:after="0" w:line="240" w:lineRule="auto"/>
        <w:rPr>
          <w:rFonts w:cs="Arial"/>
          <w:szCs w:val="24"/>
        </w:rPr>
      </w:pPr>
    </w:p>
    <w:p w14:paraId="125FDBDF" w14:textId="6694A865" w:rsidR="00CD3BF2" w:rsidRPr="00635ABF" w:rsidRDefault="00CD3BF2" w:rsidP="00FE6BB8">
      <w:pPr>
        <w:spacing w:afterLines="0" w:after="0" w:line="240" w:lineRule="auto"/>
        <w:rPr>
          <w:rFonts w:cs="Arial"/>
          <w:b/>
          <w:bCs/>
          <w:szCs w:val="24"/>
        </w:rPr>
      </w:pPr>
      <w:r w:rsidRPr="00635ABF">
        <w:rPr>
          <w:rFonts w:cs="Arial"/>
          <w:b/>
          <w:bCs/>
          <w:szCs w:val="24"/>
        </w:rPr>
        <w:t>R</w:t>
      </w:r>
      <w:r w:rsidR="00E34F98" w:rsidRPr="00635ABF">
        <w:rPr>
          <w:rFonts w:cs="Arial"/>
          <w:b/>
          <w:bCs/>
          <w:szCs w:val="24"/>
        </w:rPr>
        <w:t>eferências</w:t>
      </w:r>
    </w:p>
    <w:p w14:paraId="4205BDF4" w14:textId="77777777" w:rsidR="00E34F98" w:rsidRPr="00635ABF" w:rsidRDefault="00E34F98" w:rsidP="009C10D2">
      <w:pPr>
        <w:spacing w:afterLines="0" w:after="0" w:line="240" w:lineRule="auto"/>
        <w:rPr>
          <w:rFonts w:cs="Arial"/>
          <w:b/>
          <w:bCs/>
          <w:szCs w:val="24"/>
        </w:rPr>
      </w:pPr>
    </w:p>
    <w:p w14:paraId="061B1B8A" w14:textId="77777777" w:rsidR="00CD3BF2" w:rsidRPr="00635ABF" w:rsidRDefault="00CD3BF2" w:rsidP="009C10D2">
      <w:pPr>
        <w:spacing w:afterLines="0" w:after="0" w:line="240" w:lineRule="auto"/>
        <w:ind w:firstLine="0"/>
        <w:rPr>
          <w:rFonts w:cs="Arial"/>
          <w:szCs w:val="24"/>
        </w:rPr>
      </w:pPr>
      <w:r w:rsidRPr="00635ABF">
        <w:rPr>
          <w:rFonts w:cs="Arial"/>
          <w:szCs w:val="24"/>
        </w:rPr>
        <w:fldChar w:fldCharType="begin"/>
      </w:r>
      <w:r w:rsidRPr="00635ABF">
        <w:rPr>
          <w:rFonts w:cs="Arial"/>
          <w:szCs w:val="24"/>
        </w:rPr>
        <w:instrText xml:space="preserve"> BIBLIOGRAPHY  \l 1046 </w:instrText>
      </w:r>
      <w:r w:rsidRPr="00635ABF">
        <w:rPr>
          <w:rFonts w:cs="Arial"/>
          <w:szCs w:val="24"/>
        </w:rPr>
        <w:fldChar w:fldCharType="separate"/>
      </w:r>
      <w:r w:rsidRPr="00635ABF">
        <w:rPr>
          <w:rFonts w:cs="Arial"/>
          <w:szCs w:val="24"/>
        </w:rPr>
        <w:t xml:space="preserve">BERNARDELLI, L. V.; CASTRO, G. H. L. Mercado Acionário e Variáveis Macroeconômicas. </w:t>
      </w:r>
      <w:r w:rsidRPr="00DC1F39">
        <w:rPr>
          <w:rFonts w:cs="Arial"/>
          <w:b/>
          <w:bCs/>
          <w:szCs w:val="24"/>
        </w:rPr>
        <w:t>Revista Catarinense da Ciência Contábil</w:t>
      </w:r>
      <w:r w:rsidRPr="00635ABF">
        <w:rPr>
          <w:rFonts w:cs="Arial"/>
          <w:szCs w:val="24"/>
        </w:rPr>
        <w:t>, Florianópolis, v. 19, p. 1-15, 2020.</w:t>
      </w:r>
    </w:p>
    <w:p w14:paraId="2880A6EE" w14:textId="77777777" w:rsidR="001F5CAB" w:rsidRPr="00635ABF" w:rsidRDefault="001F5CAB" w:rsidP="009C10D2">
      <w:pPr>
        <w:spacing w:afterLines="0" w:after="0" w:line="240" w:lineRule="auto"/>
        <w:ind w:firstLine="0"/>
        <w:rPr>
          <w:rFonts w:cs="Arial"/>
          <w:szCs w:val="24"/>
        </w:rPr>
      </w:pPr>
    </w:p>
    <w:p w14:paraId="58FC34BA" w14:textId="2481F42A" w:rsidR="00CD3BF2" w:rsidRPr="00635ABF" w:rsidRDefault="00CD3BF2" w:rsidP="009C10D2">
      <w:pPr>
        <w:spacing w:afterLines="0" w:after="0" w:line="240" w:lineRule="auto"/>
        <w:ind w:firstLine="0"/>
        <w:rPr>
          <w:rFonts w:cs="Arial"/>
          <w:szCs w:val="24"/>
        </w:rPr>
      </w:pPr>
      <w:r w:rsidRPr="00635ABF">
        <w:rPr>
          <w:rFonts w:cs="Arial"/>
          <w:szCs w:val="24"/>
        </w:rPr>
        <w:t xml:space="preserve">GRÔPPO. G. S. </w:t>
      </w:r>
      <w:r w:rsidRPr="009C10D2">
        <w:rPr>
          <w:rFonts w:cs="Arial"/>
          <w:b/>
          <w:bCs/>
          <w:szCs w:val="24"/>
        </w:rPr>
        <w:t>Causalidade das variáveis macroeconômicas sobre o Ibovespa</w:t>
      </w:r>
      <w:r w:rsidRPr="00635ABF">
        <w:rPr>
          <w:rFonts w:cs="Arial"/>
          <w:szCs w:val="24"/>
        </w:rPr>
        <w:t>. Dissertação (Mestrado), Escola Superior de Agricultura Luiz de Queiroz, USP, Piracicaba, p. 107, 2004.</w:t>
      </w:r>
    </w:p>
    <w:p w14:paraId="788F59EB" w14:textId="77777777" w:rsidR="001F5CAB" w:rsidRPr="00635ABF" w:rsidRDefault="001F5CAB" w:rsidP="009C10D2">
      <w:pPr>
        <w:spacing w:afterLines="0" w:after="0" w:line="240" w:lineRule="auto"/>
        <w:ind w:firstLine="0"/>
        <w:rPr>
          <w:rFonts w:cs="Arial"/>
          <w:szCs w:val="24"/>
        </w:rPr>
      </w:pPr>
    </w:p>
    <w:p w14:paraId="405652C2" w14:textId="77777777" w:rsidR="00561A0F" w:rsidRPr="00635ABF" w:rsidRDefault="00561A0F" w:rsidP="009C10D2">
      <w:pPr>
        <w:spacing w:afterLines="0" w:after="0" w:line="240" w:lineRule="auto"/>
        <w:ind w:firstLine="0"/>
        <w:rPr>
          <w:rFonts w:cs="Arial"/>
          <w:szCs w:val="24"/>
        </w:rPr>
      </w:pPr>
      <w:r w:rsidRPr="00635ABF">
        <w:rPr>
          <w:rFonts w:cs="Arial"/>
          <w:szCs w:val="24"/>
        </w:rPr>
        <w:t xml:space="preserve">MELO, M. M.; GOMES, J. W. F. The Impact of Monetary Policy on the Brazilian Stock Market. </w:t>
      </w:r>
      <w:r w:rsidRPr="009C10D2">
        <w:rPr>
          <w:rFonts w:cs="Arial"/>
          <w:b/>
          <w:bCs/>
          <w:szCs w:val="24"/>
        </w:rPr>
        <w:t>Archives of Business Research</w:t>
      </w:r>
      <w:r w:rsidRPr="00635ABF">
        <w:rPr>
          <w:rFonts w:cs="Arial"/>
          <w:szCs w:val="24"/>
        </w:rPr>
        <w:t>, v. 11, n. 4, 2023.</w:t>
      </w:r>
    </w:p>
    <w:p w14:paraId="4AB1A53B" w14:textId="77777777" w:rsidR="00561A0F" w:rsidRPr="00635ABF" w:rsidRDefault="00561A0F" w:rsidP="009C10D2">
      <w:pPr>
        <w:spacing w:afterLines="0" w:after="0" w:line="240" w:lineRule="auto"/>
        <w:ind w:firstLine="0"/>
        <w:rPr>
          <w:rFonts w:cs="Arial"/>
          <w:szCs w:val="24"/>
        </w:rPr>
      </w:pPr>
    </w:p>
    <w:p w14:paraId="579CE843" w14:textId="77777777" w:rsidR="00651010" w:rsidRPr="00635ABF" w:rsidRDefault="00651010" w:rsidP="009C10D2">
      <w:pPr>
        <w:spacing w:afterLines="0" w:after="0" w:line="240" w:lineRule="auto"/>
        <w:ind w:firstLine="0"/>
        <w:rPr>
          <w:rFonts w:cs="Arial"/>
          <w:szCs w:val="24"/>
        </w:rPr>
      </w:pPr>
      <w:r w:rsidRPr="00635ABF">
        <w:rPr>
          <w:rFonts w:cs="Arial"/>
          <w:szCs w:val="24"/>
        </w:rPr>
        <w:t xml:space="preserve">NUNES, H. F. S.; FERRARINI, A. S. F.; SANTOS, H. C. Z. A. Variáveis macroeconômicas: influências no curto e longo prazo sobre o Ibovespa. </w:t>
      </w:r>
      <w:r w:rsidRPr="009C10D2">
        <w:rPr>
          <w:rFonts w:cs="Arial"/>
          <w:b/>
          <w:bCs/>
          <w:szCs w:val="24"/>
        </w:rPr>
        <w:t>Geosul</w:t>
      </w:r>
      <w:r w:rsidRPr="00635ABF">
        <w:rPr>
          <w:rFonts w:cs="Arial"/>
          <w:szCs w:val="24"/>
        </w:rPr>
        <w:t>, v. 38, n. 87, 2023.</w:t>
      </w:r>
      <w:r w:rsidRPr="00635ABF">
        <w:rPr>
          <w:rFonts w:cs="Arial"/>
        </w:rPr>
        <w:t xml:space="preserve"> </w:t>
      </w:r>
      <w:r w:rsidRPr="00635ABF">
        <w:rPr>
          <w:rFonts w:cs="Arial"/>
          <w:szCs w:val="24"/>
        </w:rPr>
        <w:t>https://doi.org/10.5007/2177-5230.2023.e76901.</w:t>
      </w:r>
    </w:p>
    <w:p w14:paraId="13EA190A" w14:textId="77777777" w:rsidR="00651010" w:rsidRPr="00635ABF" w:rsidRDefault="00651010" w:rsidP="009C10D2">
      <w:pPr>
        <w:spacing w:afterLines="0" w:after="0" w:line="240" w:lineRule="auto"/>
        <w:ind w:firstLine="0"/>
        <w:rPr>
          <w:rFonts w:cs="Arial"/>
          <w:szCs w:val="24"/>
        </w:rPr>
      </w:pPr>
    </w:p>
    <w:p w14:paraId="653EA358" w14:textId="39873ADE" w:rsidR="00CD3BF2" w:rsidRPr="00635ABF" w:rsidRDefault="00CD3BF2" w:rsidP="009C10D2">
      <w:pPr>
        <w:spacing w:afterLines="0" w:after="0" w:line="240" w:lineRule="auto"/>
        <w:ind w:firstLine="0"/>
        <w:rPr>
          <w:rFonts w:cs="Arial"/>
          <w:szCs w:val="24"/>
        </w:rPr>
      </w:pPr>
      <w:r w:rsidRPr="00635ABF">
        <w:rPr>
          <w:rFonts w:cs="Arial"/>
          <w:szCs w:val="24"/>
        </w:rPr>
        <w:t xml:space="preserve">OLIVEIRA, J. C. T.; FRASCAROLI, B. F. Impacto dos </w:t>
      </w:r>
      <w:r w:rsidR="00E40FEC" w:rsidRPr="00635ABF">
        <w:rPr>
          <w:rFonts w:cs="Arial"/>
          <w:szCs w:val="24"/>
        </w:rPr>
        <w:t>f</w:t>
      </w:r>
      <w:r w:rsidRPr="00635ABF">
        <w:rPr>
          <w:rFonts w:cs="Arial"/>
          <w:szCs w:val="24"/>
        </w:rPr>
        <w:t xml:space="preserve">atores </w:t>
      </w:r>
      <w:r w:rsidR="00E40FEC" w:rsidRPr="00635ABF">
        <w:rPr>
          <w:rFonts w:cs="Arial"/>
          <w:szCs w:val="24"/>
        </w:rPr>
        <w:t>m</w:t>
      </w:r>
      <w:r w:rsidRPr="00635ABF">
        <w:rPr>
          <w:rFonts w:cs="Arial"/>
          <w:szCs w:val="24"/>
        </w:rPr>
        <w:t xml:space="preserve">acroeconômicos na </w:t>
      </w:r>
      <w:r w:rsidR="00E40FEC" w:rsidRPr="00635ABF">
        <w:rPr>
          <w:rFonts w:cs="Arial"/>
          <w:szCs w:val="24"/>
        </w:rPr>
        <w:t>e</w:t>
      </w:r>
      <w:r w:rsidRPr="00635ABF">
        <w:rPr>
          <w:rFonts w:cs="Arial"/>
          <w:szCs w:val="24"/>
        </w:rPr>
        <w:t xml:space="preserve">missão de </w:t>
      </w:r>
      <w:r w:rsidR="00E40FEC" w:rsidRPr="00635ABF">
        <w:rPr>
          <w:rFonts w:cs="Arial"/>
          <w:szCs w:val="24"/>
        </w:rPr>
        <w:t>a</w:t>
      </w:r>
      <w:r w:rsidRPr="00635ABF">
        <w:rPr>
          <w:rFonts w:cs="Arial"/>
          <w:szCs w:val="24"/>
        </w:rPr>
        <w:t xml:space="preserve">ções na </w:t>
      </w:r>
      <w:r w:rsidR="00E40FEC" w:rsidRPr="00635ABF">
        <w:rPr>
          <w:rFonts w:cs="Arial"/>
          <w:szCs w:val="24"/>
        </w:rPr>
        <w:t>b</w:t>
      </w:r>
      <w:r w:rsidRPr="00635ABF">
        <w:rPr>
          <w:rFonts w:cs="Arial"/>
          <w:szCs w:val="24"/>
        </w:rPr>
        <w:t xml:space="preserve">olsa de </w:t>
      </w:r>
      <w:r w:rsidR="00E40FEC" w:rsidRPr="00635ABF">
        <w:rPr>
          <w:rFonts w:cs="Arial"/>
          <w:szCs w:val="24"/>
        </w:rPr>
        <w:t>v</w:t>
      </w:r>
      <w:r w:rsidRPr="00635ABF">
        <w:rPr>
          <w:rFonts w:cs="Arial"/>
          <w:szCs w:val="24"/>
        </w:rPr>
        <w:t xml:space="preserve">alores. </w:t>
      </w:r>
      <w:r w:rsidRPr="009C10D2">
        <w:rPr>
          <w:rFonts w:cs="Arial"/>
          <w:b/>
          <w:bCs/>
          <w:szCs w:val="24"/>
        </w:rPr>
        <w:t>Revista de Gestao, Financas e Contabilidade</w:t>
      </w:r>
      <w:r w:rsidRPr="00635ABF">
        <w:rPr>
          <w:rFonts w:cs="Arial"/>
          <w:szCs w:val="24"/>
        </w:rPr>
        <w:t>, p. 30-51, 2014.</w:t>
      </w:r>
    </w:p>
    <w:p w14:paraId="57DE6B5E" w14:textId="77777777" w:rsidR="001F5CAB" w:rsidRPr="00635ABF" w:rsidRDefault="001F5CAB" w:rsidP="009C10D2">
      <w:pPr>
        <w:spacing w:afterLines="0" w:after="0" w:line="240" w:lineRule="auto"/>
        <w:ind w:firstLine="0"/>
        <w:rPr>
          <w:rFonts w:cs="Arial"/>
          <w:szCs w:val="24"/>
        </w:rPr>
      </w:pPr>
    </w:p>
    <w:p w14:paraId="2F0D49CD" w14:textId="53A23F3F" w:rsidR="00CD3BF2" w:rsidRPr="00635ABF" w:rsidRDefault="00CD3BF2" w:rsidP="009C10D2">
      <w:pPr>
        <w:spacing w:afterLines="0" w:after="0" w:line="240" w:lineRule="auto"/>
        <w:ind w:firstLine="0"/>
        <w:rPr>
          <w:rFonts w:cs="Arial"/>
          <w:szCs w:val="24"/>
        </w:rPr>
      </w:pPr>
      <w:r w:rsidRPr="00635ABF">
        <w:rPr>
          <w:rFonts w:cs="Arial"/>
          <w:szCs w:val="24"/>
        </w:rPr>
        <w:t xml:space="preserve">PIMENTA JUNIOR, T.; HIGUCHI, R. H. Variáveis macroeconômicas e o Ibovespa: um estudo da relação de causalidade. </w:t>
      </w:r>
      <w:r w:rsidRPr="009C10D2">
        <w:rPr>
          <w:rFonts w:cs="Arial"/>
          <w:b/>
          <w:bCs/>
          <w:szCs w:val="24"/>
        </w:rPr>
        <w:t>REAd - Revista Eletrônica de Administração</w:t>
      </w:r>
      <w:r w:rsidRPr="00635ABF">
        <w:rPr>
          <w:rFonts w:cs="Arial"/>
          <w:szCs w:val="24"/>
        </w:rPr>
        <w:t>, Porto Alegre, v. 14, n. 2, p. 296-315, 2008.</w:t>
      </w:r>
    </w:p>
    <w:p w14:paraId="3A6A2A07" w14:textId="77777777" w:rsidR="00EC127F" w:rsidRPr="00635ABF" w:rsidRDefault="00EC127F" w:rsidP="009C10D2">
      <w:pPr>
        <w:spacing w:afterLines="0" w:after="0" w:line="240" w:lineRule="auto"/>
        <w:ind w:firstLine="0"/>
        <w:rPr>
          <w:rFonts w:cs="Arial"/>
          <w:szCs w:val="24"/>
        </w:rPr>
      </w:pPr>
    </w:p>
    <w:p w14:paraId="2BD5075A" w14:textId="09BD2137" w:rsidR="00CD3BF2" w:rsidRPr="00635ABF" w:rsidRDefault="00CD3BF2" w:rsidP="009C10D2">
      <w:pPr>
        <w:spacing w:afterLines="0" w:after="0" w:line="240" w:lineRule="auto"/>
        <w:ind w:firstLine="0"/>
        <w:rPr>
          <w:rFonts w:cs="Arial"/>
          <w:szCs w:val="24"/>
        </w:rPr>
      </w:pPr>
      <w:r w:rsidRPr="00635ABF">
        <w:rPr>
          <w:rFonts w:cs="Arial"/>
          <w:szCs w:val="24"/>
        </w:rPr>
        <w:t xml:space="preserve">MACHADO, M. R.; GARTNER, I. R.; SOUZA MACHADO, L. Relação entre Ibovespa e </w:t>
      </w:r>
      <w:r w:rsidR="00E40FEC" w:rsidRPr="00635ABF">
        <w:rPr>
          <w:rFonts w:cs="Arial"/>
          <w:szCs w:val="24"/>
        </w:rPr>
        <w:t>v</w:t>
      </w:r>
      <w:r w:rsidRPr="00635ABF">
        <w:rPr>
          <w:rFonts w:cs="Arial"/>
          <w:szCs w:val="24"/>
        </w:rPr>
        <w:t xml:space="preserve">ariáveis </w:t>
      </w:r>
      <w:r w:rsidR="00E40FEC" w:rsidRPr="00635ABF">
        <w:rPr>
          <w:rFonts w:cs="Arial"/>
          <w:szCs w:val="24"/>
        </w:rPr>
        <w:t>m</w:t>
      </w:r>
      <w:r w:rsidRPr="00635ABF">
        <w:rPr>
          <w:rFonts w:cs="Arial"/>
          <w:szCs w:val="24"/>
        </w:rPr>
        <w:t xml:space="preserve">acroeconômicas: </w:t>
      </w:r>
      <w:r w:rsidR="00E40FEC" w:rsidRPr="00635ABF">
        <w:rPr>
          <w:rFonts w:cs="Arial"/>
          <w:szCs w:val="24"/>
        </w:rPr>
        <w:t>e</w:t>
      </w:r>
      <w:r w:rsidRPr="00635ABF">
        <w:rPr>
          <w:rFonts w:cs="Arial"/>
          <w:szCs w:val="24"/>
        </w:rPr>
        <w:t xml:space="preserve">vidências a </w:t>
      </w:r>
      <w:r w:rsidR="00E40FEC" w:rsidRPr="00635ABF">
        <w:rPr>
          <w:rFonts w:cs="Arial"/>
          <w:szCs w:val="24"/>
        </w:rPr>
        <w:t>p</w:t>
      </w:r>
      <w:r w:rsidRPr="00635ABF">
        <w:rPr>
          <w:rFonts w:cs="Arial"/>
          <w:szCs w:val="24"/>
        </w:rPr>
        <w:t xml:space="preserve">artir de um </w:t>
      </w:r>
      <w:r w:rsidR="00E40FEC" w:rsidRPr="00635ABF">
        <w:rPr>
          <w:rFonts w:cs="Arial"/>
          <w:szCs w:val="24"/>
        </w:rPr>
        <w:t>m</w:t>
      </w:r>
      <w:r w:rsidRPr="00635ABF">
        <w:rPr>
          <w:rFonts w:cs="Arial"/>
          <w:szCs w:val="24"/>
        </w:rPr>
        <w:t xml:space="preserve">odelo Markov-Switching. </w:t>
      </w:r>
      <w:r w:rsidRPr="009C10D2">
        <w:rPr>
          <w:rFonts w:cs="Arial"/>
          <w:b/>
          <w:bCs/>
          <w:szCs w:val="24"/>
        </w:rPr>
        <w:t>Revista Brasileira de Finanças</w:t>
      </w:r>
      <w:r w:rsidRPr="00635ABF">
        <w:rPr>
          <w:rFonts w:cs="Arial"/>
          <w:szCs w:val="24"/>
        </w:rPr>
        <w:t>, Rio de Janeiro, v. 15, n. 3, p. 435-468, 2017.</w:t>
      </w:r>
    </w:p>
    <w:p w14:paraId="3404972D" w14:textId="77777777" w:rsidR="001F5CAB" w:rsidRPr="00635ABF" w:rsidRDefault="001F5CAB" w:rsidP="009C10D2">
      <w:pPr>
        <w:spacing w:afterLines="0" w:after="0" w:line="240" w:lineRule="auto"/>
        <w:ind w:firstLine="0"/>
        <w:rPr>
          <w:rFonts w:cs="Arial"/>
          <w:szCs w:val="24"/>
        </w:rPr>
      </w:pPr>
    </w:p>
    <w:p w14:paraId="2687E548" w14:textId="048FD821" w:rsidR="00CD3BF2" w:rsidRPr="00635ABF" w:rsidRDefault="00CD3BF2" w:rsidP="009C10D2">
      <w:pPr>
        <w:spacing w:afterLines="0" w:after="0" w:line="240" w:lineRule="auto"/>
        <w:ind w:firstLine="0"/>
        <w:rPr>
          <w:rFonts w:cs="Arial"/>
          <w:szCs w:val="24"/>
        </w:rPr>
      </w:pPr>
      <w:r w:rsidRPr="00635ABF">
        <w:rPr>
          <w:rFonts w:cs="Arial"/>
          <w:szCs w:val="24"/>
        </w:rPr>
        <w:t xml:space="preserve">SILVA JUNIOR, J. C.; MENEZES, G.; FERNANDEZ, R. N. Uma análise var das relações entre o mercado de ações e as variáveis macroeconômicas para o Brasil. </w:t>
      </w:r>
      <w:r w:rsidR="001F5CAB" w:rsidRPr="009C10D2">
        <w:rPr>
          <w:rFonts w:cs="Arial"/>
          <w:b/>
          <w:bCs/>
          <w:szCs w:val="24"/>
        </w:rPr>
        <w:t>Economia e Desenvolvimento</w:t>
      </w:r>
      <w:r w:rsidR="001F5CAB" w:rsidRPr="00635ABF">
        <w:rPr>
          <w:rFonts w:cs="Arial"/>
          <w:szCs w:val="24"/>
        </w:rPr>
        <w:t>, n. 23, p. 54–72, 2012. https://doi.org/10.5902/red.v0i23.4931</w:t>
      </w:r>
    </w:p>
    <w:p w14:paraId="3C4B1BF5" w14:textId="77777777" w:rsidR="001F5CAB" w:rsidRPr="00635ABF" w:rsidRDefault="00CD3BF2" w:rsidP="009C10D2">
      <w:pPr>
        <w:spacing w:afterLines="0" w:after="0" w:line="240" w:lineRule="auto"/>
        <w:ind w:firstLine="0"/>
        <w:rPr>
          <w:rFonts w:cs="Arial"/>
          <w:szCs w:val="24"/>
        </w:rPr>
      </w:pPr>
      <w:r w:rsidRPr="00635ABF">
        <w:rPr>
          <w:rFonts w:cs="Arial"/>
          <w:szCs w:val="24"/>
        </w:rPr>
        <w:fldChar w:fldCharType="end"/>
      </w:r>
    </w:p>
    <w:bookmarkEnd w:id="0"/>
    <w:bookmarkEnd w:id="1"/>
    <w:p w14:paraId="1839E366" w14:textId="19BE43A9" w:rsidR="00EC127F" w:rsidRPr="00635ABF" w:rsidRDefault="00550C98" w:rsidP="009C10D2">
      <w:pPr>
        <w:spacing w:afterLines="0" w:after="0" w:line="240" w:lineRule="auto"/>
        <w:ind w:firstLine="0"/>
        <w:rPr>
          <w:rFonts w:cs="Arial"/>
          <w:szCs w:val="24"/>
        </w:rPr>
      </w:pPr>
      <w:r w:rsidRPr="00635ABF">
        <w:rPr>
          <w:rFonts w:cs="Arial"/>
          <w:szCs w:val="24"/>
        </w:rPr>
        <w:t>SOARES, L. W. V.; FIRME, V. A. C.; LIMA JUNIOR, L. A.</w:t>
      </w:r>
      <w:r w:rsidR="00EC127F" w:rsidRPr="00635ABF">
        <w:rPr>
          <w:rFonts w:cs="Arial"/>
          <w:szCs w:val="24"/>
        </w:rPr>
        <w:t xml:space="preserve"> The </w:t>
      </w:r>
      <w:proofErr w:type="spellStart"/>
      <w:r w:rsidR="00EC127F" w:rsidRPr="00635ABF">
        <w:rPr>
          <w:rFonts w:cs="Arial"/>
          <w:szCs w:val="24"/>
        </w:rPr>
        <w:t>impact</w:t>
      </w:r>
      <w:proofErr w:type="spellEnd"/>
      <w:r w:rsidR="00EC127F" w:rsidRPr="00635ABF">
        <w:rPr>
          <w:rFonts w:cs="Arial"/>
          <w:szCs w:val="24"/>
        </w:rPr>
        <w:t xml:space="preserve"> </w:t>
      </w:r>
      <w:proofErr w:type="spellStart"/>
      <w:r w:rsidR="00EC127F" w:rsidRPr="00635ABF">
        <w:rPr>
          <w:rFonts w:cs="Arial"/>
          <w:szCs w:val="24"/>
        </w:rPr>
        <w:t>of</w:t>
      </w:r>
      <w:proofErr w:type="spellEnd"/>
      <w:r w:rsidR="00EC127F" w:rsidRPr="00635ABF">
        <w:rPr>
          <w:rFonts w:cs="Arial"/>
          <w:szCs w:val="24"/>
        </w:rPr>
        <w:t xml:space="preserve"> </w:t>
      </w:r>
      <w:proofErr w:type="spellStart"/>
      <w:r w:rsidR="00EC127F" w:rsidRPr="00635ABF">
        <w:rPr>
          <w:rFonts w:cs="Arial"/>
          <w:szCs w:val="24"/>
        </w:rPr>
        <w:t>monetary</w:t>
      </w:r>
      <w:proofErr w:type="spellEnd"/>
      <w:r w:rsidR="00EC127F" w:rsidRPr="00635ABF">
        <w:rPr>
          <w:rFonts w:cs="Arial"/>
          <w:szCs w:val="24"/>
        </w:rPr>
        <w:t xml:space="preserve"> </w:t>
      </w:r>
      <w:proofErr w:type="spellStart"/>
      <w:r w:rsidR="00EC127F" w:rsidRPr="00635ABF">
        <w:rPr>
          <w:rFonts w:cs="Arial"/>
          <w:szCs w:val="24"/>
        </w:rPr>
        <w:t>policy</w:t>
      </w:r>
      <w:proofErr w:type="spellEnd"/>
      <w:r w:rsidR="00EC127F" w:rsidRPr="00635ABF">
        <w:rPr>
          <w:rFonts w:cs="Arial"/>
          <w:szCs w:val="24"/>
        </w:rPr>
        <w:t xml:space="preserve"> </w:t>
      </w:r>
      <w:proofErr w:type="spellStart"/>
      <w:r w:rsidR="00EC127F" w:rsidRPr="00635ABF">
        <w:rPr>
          <w:rFonts w:cs="Arial"/>
          <w:szCs w:val="24"/>
        </w:rPr>
        <w:t>on</w:t>
      </w:r>
      <w:proofErr w:type="spellEnd"/>
      <w:r w:rsidR="00EC127F" w:rsidRPr="00635ABF">
        <w:rPr>
          <w:rFonts w:cs="Arial"/>
          <w:szCs w:val="24"/>
        </w:rPr>
        <w:t xml:space="preserve"> </w:t>
      </w:r>
      <w:proofErr w:type="spellStart"/>
      <w:r w:rsidR="00EC127F" w:rsidRPr="00635ABF">
        <w:rPr>
          <w:rFonts w:cs="Arial"/>
          <w:szCs w:val="24"/>
        </w:rPr>
        <w:t>the</w:t>
      </w:r>
      <w:proofErr w:type="spellEnd"/>
      <w:r w:rsidR="00EC127F" w:rsidRPr="00635ABF">
        <w:rPr>
          <w:rFonts w:cs="Arial"/>
          <w:szCs w:val="24"/>
        </w:rPr>
        <w:t xml:space="preserve"> </w:t>
      </w:r>
      <w:proofErr w:type="spellStart"/>
      <w:r w:rsidR="00EC127F" w:rsidRPr="00635ABF">
        <w:rPr>
          <w:rFonts w:cs="Arial"/>
          <w:szCs w:val="24"/>
        </w:rPr>
        <w:t>Brazilian</w:t>
      </w:r>
      <w:proofErr w:type="spellEnd"/>
      <w:r w:rsidR="00EC127F" w:rsidRPr="00635ABF">
        <w:rPr>
          <w:rFonts w:cs="Arial"/>
          <w:szCs w:val="24"/>
        </w:rPr>
        <w:t xml:space="preserve"> </w:t>
      </w:r>
      <w:proofErr w:type="spellStart"/>
      <w:r w:rsidRPr="00635ABF">
        <w:rPr>
          <w:rFonts w:cs="Arial"/>
          <w:szCs w:val="24"/>
        </w:rPr>
        <w:t>equity</w:t>
      </w:r>
      <w:proofErr w:type="spellEnd"/>
      <w:r w:rsidR="00EC127F" w:rsidRPr="00635ABF">
        <w:rPr>
          <w:rFonts w:cs="Arial"/>
          <w:szCs w:val="24"/>
        </w:rPr>
        <w:t xml:space="preserve"> </w:t>
      </w:r>
      <w:proofErr w:type="spellStart"/>
      <w:r w:rsidR="00EC127F" w:rsidRPr="00635ABF">
        <w:rPr>
          <w:rFonts w:cs="Arial"/>
          <w:szCs w:val="24"/>
        </w:rPr>
        <w:t>market</w:t>
      </w:r>
      <w:proofErr w:type="spellEnd"/>
      <w:r w:rsidR="00EC127F" w:rsidRPr="00635ABF">
        <w:rPr>
          <w:rFonts w:cs="Arial"/>
          <w:szCs w:val="24"/>
        </w:rPr>
        <w:t xml:space="preserve">. </w:t>
      </w:r>
      <w:proofErr w:type="spellStart"/>
      <w:r w:rsidRPr="009C10D2">
        <w:rPr>
          <w:rFonts w:cs="Arial"/>
          <w:b/>
          <w:bCs/>
          <w:szCs w:val="24"/>
        </w:rPr>
        <w:t>Brazilian</w:t>
      </w:r>
      <w:proofErr w:type="spellEnd"/>
      <w:r w:rsidR="00EC127F" w:rsidRPr="009C10D2">
        <w:rPr>
          <w:rFonts w:cs="Arial"/>
          <w:b/>
          <w:bCs/>
          <w:szCs w:val="24"/>
        </w:rPr>
        <w:t xml:space="preserve"> Review</w:t>
      </w:r>
      <w:r w:rsidRPr="009C10D2">
        <w:rPr>
          <w:rFonts w:cs="Arial"/>
          <w:b/>
          <w:bCs/>
          <w:szCs w:val="24"/>
        </w:rPr>
        <w:t xml:space="preserve"> </w:t>
      </w:r>
      <w:proofErr w:type="spellStart"/>
      <w:r w:rsidRPr="009C10D2">
        <w:rPr>
          <w:rFonts w:cs="Arial"/>
          <w:b/>
          <w:bCs/>
          <w:szCs w:val="24"/>
        </w:rPr>
        <w:t>of</w:t>
      </w:r>
      <w:proofErr w:type="spellEnd"/>
      <w:r w:rsidRPr="009C10D2">
        <w:rPr>
          <w:rFonts w:cs="Arial"/>
          <w:b/>
          <w:bCs/>
          <w:szCs w:val="24"/>
        </w:rPr>
        <w:t xml:space="preserve"> </w:t>
      </w:r>
      <w:proofErr w:type="spellStart"/>
      <w:r w:rsidRPr="009C10D2">
        <w:rPr>
          <w:rFonts w:cs="Arial"/>
          <w:b/>
          <w:bCs/>
          <w:szCs w:val="24"/>
        </w:rPr>
        <w:t>Finance</w:t>
      </w:r>
      <w:proofErr w:type="spellEnd"/>
      <w:r w:rsidRPr="00635ABF">
        <w:rPr>
          <w:rFonts w:cs="Arial"/>
          <w:szCs w:val="24"/>
        </w:rPr>
        <w:t>, v. 19, n. 1, 2021</w:t>
      </w:r>
      <w:r w:rsidR="00EC127F" w:rsidRPr="00635ABF">
        <w:rPr>
          <w:rFonts w:cs="Arial"/>
          <w:szCs w:val="24"/>
        </w:rPr>
        <w:t>.</w:t>
      </w:r>
      <w:r w:rsidRPr="00635ABF">
        <w:rPr>
          <w:rFonts w:cs="Arial"/>
          <w:szCs w:val="24"/>
        </w:rPr>
        <w:t xml:space="preserve"> https://doi.org/10.12660/rbfin.v19n1.2021.82149</w:t>
      </w:r>
    </w:p>
    <w:p w14:paraId="7FD56BE2" w14:textId="77777777" w:rsidR="00EC127F" w:rsidRPr="00635ABF" w:rsidRDefault="00EC127F" w:rsidP="00EC127F">
      <w:pPr>
        <w:spacing w:afterLines="0" w:after="0" w:line="240" w:lineRule="auto"/>
        <w:rPr>
          <w:rFonts w:cs="Arial"/>
          <w:szCs w:val="24"/>
        </w:rPr>
      </w:pPr>
    </w:p>
    <w:p w14:paraId="604AC893" w14:textId="0F0DB6D1" w:rsidR="00EC127F" w:rsidRPr="00635ABF" w:rsidRDefault="00561A0F" w:rsidP="00561A0F">
      <w:pPr>
        <w:spacing w:afterLines="0" w:after="0" w:line="240" w:lineRule="auto"/>
        <w:ind w:firstLine="0"/>
        <w:rPr>
          <w:rFonts w:cs="Arial"/>
          <w:szCs w:val="24"/>
        </w:rPr>
      </w:pPr>
      <w:r w:rsidRPr="00635ABF">
        <w:rPr>
          <w:rFonts w:cs="Arial"/>
          <w:szCs w:val="24"/>
        </w:rPr>
        <w:t xml:space="preserve">VAL, F. F.; KLOTZLE, M. C.; PINTO, A. C. F.; BARBEDO, C. H. S. Stock </w:t>
      </w:r>
      <w:proofErr w:type="spellStart"/>
      <w:r w:rsidR="00EA724F" w:rsidRPr="00635ABF">
        <w:rPr>
          <w:rFonts w:cs="Arial"/>
          <w:szCs w:val="24"/>
        </w:rPr>
        <w:t>m</w:t>
      </w:r>
      <w:r w:rsidRPr="00635ABF">
        <w:rPr>
          <w:rFonts w:cs="Arial"/>
          <w:szCs w:val="24"/>
        </w:rPr>
        <w:t>arket</w:t>
      </w:r>
      <w:proofErr w:type="spellEnd"/>
      <w:r w:rsidRPr="00635ABF">
        <w:rPr>
          <w:rFonts w:cs="Arial"/>
          <w:szCs w:val="24"/>
        </w:rPr>
        <w:t xml:space="preserve"> </w:t>
      </w:r>
      <w:proofErr w:type="spellStart"/>
      <w:r w:rsidR="00EA724F" w:rsidRPr="00635ABF">
        <w:rPr>
          <w:rFonts w:cs="Arial"/>
          <w:szCs w:val="24"/>
        </w:rPr>
        <w:t>r</w:t>
      </w:r>
      <w:r w:rsidRPr="00635ABF">
        <w:rPr>
          <w:rFonts w:cs="Arial"/>
          <w:szCs w:val="24"/>
        </w:rPr>
        <w:t>eaction</w:t>
      </w:r>
      <w:proofErr w:type="spellEnd"/>
      <w:r w:rsidRPr="00635ABF">
        <w:rPr>
          <w:rFonts w:cs="Arial"/>
          <w:szCs w:val="24"/>
        </w:rPr>
        <w:t xml:space="preserve"> </w:t>
      </w:r>
      <w:proofErr w:type="spellStart"/>
      <w:r w:rsidRPr="00635ABF">
        <w:rPr>
          <w:rFonts w:cs="Arial"/>
          <w:szCs w:val="24"/>
        </w:rPr>
        <w:t>to</w:t>
      </w:r>
      <w:proofErr w:type="spellEnd"/>
      <w:r w:rsidRPr="00635ABF">
        <w:rPr>
          <w:rFonts w:cs="Arial"/>
          <w:szCs w:val="24"/>
        </w:rPr>
        <w:t xml:space="preserve"> </w:t>
      </w:r>
      <w:proofErr w:type="spellStart"/>
      <w:r w:rsidR="00EA724F" w:rsidRPr="00635ABF">
        <w:rPr>
          <w:rFonts w:cs="Arial"/>
          <w:szCs w:val="24"/>
        </w:rPr>
        <w:t>m</w:t>
      </w:r>
      <w:r w:rsidRPr="00635ABF">
        <w:rPr>
          <w:rFonts w:cs="Arial"/>
          <w:szCs w:val="24"/>
        </w:rPr>
        <w:t>onetary</w:t>
      </w:r>
      <w:proofErr w:type="spellEnd"/>
      <w:r w:rsidRPr="00635ABF">
        <w:rPr>
          <w:rFonts w:cs="Arial"/>
          <w:szCs w:val="24"/>
        </w:rPr>
        <w:t xml:space="preserve"> </w:t>
      </w:r>
      <w:proofErr w:type="spellStart"/>
      <w:r w:rsidR="00EA724F" w:rsidRPr="00635ABF">
        <w:rPr>
          <w:rFonts w:cs="Arial"/>
          <w:szCs w:val="24"/>
        </w:rPr>
        <w:t>p</w:t>
      </w:r>
      <w:r w:rsidRPr="00635ABF">
        <w:rPr>
          <w:rFonts w:cs="Arial"/>
          <w:szCs w:val="24"/>
        </w:rPr>
        <w:t>olicy</w:t>
      </w:r>
      <w:proofErr w:type="spellEnd"/>
      <w:r w:rsidRPr="00635ABF">
        <w:rPr>
          <w:rFonts w:cs="Arial"/>
          <w:szCs w:val="24"/>
        </w:rPr>
        <w:t xml:space="preserve">: </w:t>
      </w:r>
      <w:proofErr w:type="spellStart"/>
      <w:r w:rsidR="00EA724F" w:rsidRPr="00635ABF">
        <w:rPr>
          <w:rFonts w:cs="Arial"/>
          <w:szCs w:val="24"/>
        </w:rPr>
        <w:t>a</w:t>
      </w:r>
      <w:r w:rsidRPr="00635ABF">
        <w:rPr>
          <w:rFonts w:cs="Arial"/>
          <w:szCs w:val="24"/>
        </w:rPr>
        <w:t>n</w:t>
      </w:r>
      <w:proofErr w:type="spellEnd"/>
      <w:r w:rsidRPr="00635ABF">
        <w:rPr>
          <w:rFonts w:cs="Arial"/>
          <w:szCs w:val="24"/>
        </w:rPr>
        <w:t xml:space="preserve"> </w:t>
      </w:r>
      <w:proofErr w:type="spellStart"/>
      <w:r w:rsidR="00EA724F" w:rsidRPr="00635ABF">
        <w:rPr>
          <w:rFonts w:cs="Arial"/>
          <w:szCs w:val="24"/>
        </w:rPr>
        <w:t>e</w:t>
      </w:r>
      <w:r w:rsidRPr="00635ABF">
        <w:rPr>
          <w:rFonts w:cs="Arial"/>
          <w:szCs w:val="24"/>
        </w:rPr>
        <w:t>vent</w:t>
      </w:r>
      <w:proofErr w:type="spellEnd"/>
      <w:r w:rsidRPr="00635ABF">
        <w:rPr>
          <w:rFonts w:cs="Arial"/>
          <w:szCs w:val="24"/>
        </w:rPr>
        <w:t xml:space="preserve"> </w:t>
      </w:r>
      <w:proofErr w:type="spellStart"/>
      <w:r w:rsidR="00EA724F" w:rsidRPr="00635ABF">
        <w:rPr>
          <w:rFonts w:cs="Arial"/>
          <w:szCs w:val="24"/>
        </w:rPr>
        <w:t>s</w:t>
      </w:r>
      <w:r w:rsidRPr="00635ABF">
        <w:rPr>
          <w:rFonts w:cs="Arial"/>
          <w:szCs w:val="24"/>
        </w:rPr>
        <w:t>tudy</w:t>
      </w:r>
      <w:proofErr w:type="spellEnd"/>
      <w:r w:rsidRPr="00635ABF">
        <w:rPr>
          <w:rFonts w:cs="Arial"/>
          <w:szCs w:val="24"/>
        </w:rPr>
        <w:t xml:space="preserve"> </w:t>
      </w:r>
      <w:proofErr w:type="spellStart"/>
      <w:r w:rsidR="00EA724F" w:rsidRPr="00635ABF">
        <w:rPr>
          <w:rFonts w:cs="Arial"/>
          <w:szCs w:val="24"/>
        </w:rPr>
        <w:t>a</w:t>
      </w:r>
      <w:r w:rsidRPr="00635ABF">
        <w:rPr>
          <w:rFonts w:cs="Arial"/>
          <w:szCs w:val="24"/>
        </w:rPr>
        <w:t>nalysis</w:t>
      </w:r>
      <w:proofErr w:type="spellEnd"/>
      <w:r w:rsidRPr="00635ABF">
        <w:rPr>
          <w:rFonts w:cs="Arial"/>
          <w:szCs w:val="24"/>
        </w:rPr>
        <w:t xml:space="preserve"> </w:t>
      </w:r>
      <w:proofErr w:type="spellStart"/>
      <w:r w:rsidRPr="00635ABF">
        <w:rPr>
          <w:rFonts w:cs="Arial"/>
          <w:szCs w:val="24"/>
        </w:rPr>
        <w:t>of</w:t>
      </w:r>
      <w:proofErr w:type="spellEnd"/>
      <w:r w:rsidRPr="00635ABF">
        <w:rPr>
          <w:rFonts w:cs="Arial"/>
          <w:szCs w:val="24"/>
        </w:rPr>
        <w:t xml:space="preserve"> </w:t>
      </w:r>
      <w:proofErr w:type="spellStart"/>
      <w:r w:rsidRPr="00635ABF">
        <w:rPr>
          <w:rFonts w:cs="Arial"/>
          <w:szCs w:val="24"/>
        </w:rPr>
        <w:t>the</w:t>
      </w:r>
      <w:proofErr w:type="spellEnd"/>
      <w:r w:rsidRPr="00635ABF">
        <w:rPr>
          <w:rFonts w:cs="Arial"/>
          <w:szCs w:val="24"/>
        </w:rPr>
        <w:t xml:space="preserve"> </w:t>
      </w:r>
      <w:proofErr w:type="spellStart"/>
      <w:r w:rsidRPr="00635ABF">
        <w:rPr>
          <w:rFonts w:cs="Arial"/>
          <w:szCs w:val="24"/>
        </w:rPr>
        <w:t>Brazilian</w:t>
      </w:r>
      <w:proofErr w:type="spellEnd"/>
      <w:r w:rsidRPr="00635ABF">
        <w:rPr>
          <w:rFonts w:cs="Arial"/>
          <w:szCs w:val="24"/>
        </w:rPr>
        <w:t xml:space="preserve"> </w:t>
      </w:r>
      <w:r w:rsidR="00EA724F" w:rsidRPr="00635ABF">
        <w:rPr>
          <w:rFonts w:cs="Arial"/>
          <w:szCs w:val="24"/>
        </w:rPr>
        <w:t>c</w:t>
      </w:r>
      <w:r w:rsidRPr="00635ABF">
        <w:rPr>
          <w:rFonts w:cs="Arial"/>
          <w:szCs w:val="24"/>
        </w:rPr>
        <w:t>ase.</w:t>
      </w:r>
      <w:r w:rsidR="00EC127F" w:rsidRPr="00635ABF">
        <w:rPr>
          <w:rFonts w:cs="Arial"/>
          <w:szCs w:val="24"/>
        </w:rPr>
        <w:t xml:space="preserve"> </w:t>
      </w:r>
      <w:proofErr w:type="spellStart"/>
      <w:r w:rsidRPr="009C10D2">
        <w:rPr>
          <w:rFonts w:cs="Arial"/>
          <w:b/>
          <w:bCs/>
          <w:szCs w:val="24"/>
        </w:rPr>
        <w:t>Emerging</w:t>
      </w:r>
      <w:proofErr w:type="spellEnd"/>
      <w:r w:rsidRPr="009C10D2">
        <w:rPr>
          <w:rFonts w:cs="Arial"/>
          <w:b/>
          <w:bCs/>
          <w:szCs w:val="24"/>
        </w:rPr>
        <w:t xml:space="preserve"> </w:t>
      </w:r>
      <w:proofErr w:type="spellStart"/>
      <w:r w:rsidRPr="009C10D2">
        <w:rPr>
          <w:rFonts w:cs="Arial"/>
          <w:b/>
          <w:bCs/>
          <w:szCs w:val="24"/>
        </w:rPr>
        <w:t>Markets</w:t>
      </w:r>
      <w:proofErr w:type="spellEnd"/>
      <w:r w:rsidRPr="009C10D2">
        <w:rPr>
          <w:rFonts w:cs="Arial"/>
          <w:b/>
          <w:bCs/>
          <w:szCs w:val="24"/>
        </w:rPr>
        <w:t xml:space="preserve"> </w:t>
      </w:r>
      <w:proofErr w:type="spellStart"/>
      <w:r w:rsidRPr="009C10D2">
        <w:rPr>
          <w:rFonts w:cs="Arial"/>
          <w:b/>
          <w:bCs/>
          <w:szCs w:val="24"/>
        </w:rPr>
        <w:t>Finance</w:t>
      </w:r>
      <w:proofErr w:type="spellEnd"/>
      <w:r w:rsidRPr="009C10D2">
        <w:rPr>
          <w:rFonts w:cs="Arial"/>
          <w:b/>
          <w:bCs/>
          <w:szCs w:val="24"/>
        </w:rPr>
        <w:t xml:space="preserve"> </w:t>
      </w:r>
      <w:proofErr w:type="spellStart"/>
      <w:proofErr w:type="gramStart"/>
      <w:r w:rsidRPr="009C10D2">
        <w:rPr>
          <w:rFonts w:cs="Arial"/>
          <w:b/>
          <w:bCs/>
          <w:szCs w:val="24"/>
        </w:rPr>
        <w:t>and</w:t>
      </w:r>
      <w:proofErr w:type="spellEnd"/>
      <w:r w:rsidR="00A460F6" w:rsidRPr="009C10D2">
        <w:rPr>
          <w:rFonts w:cs="Arial"/>
          <w:b/>
          <w:bCs/>
          <w:szCs w:val="24"/>
        </w:rPr>
        <w:t xml:space="preserve"> </w:t>
      </w:r>
      <w:r w:rsidRPr="009C10D2">
        <w:rPr>
          <w:rFonts w:cs="Arial"/>
          <w:b/>
          <w:bCs/>
          <w:szCs w:val="24"/>
        </w:rPr>
        <w:t>Trade</w:t>
      </w:r>
      <w:proofErr w:type="gramEnd"/>
      <w:r w:rsidRPr="00635ABF">
        <w:rPr>
          <w:rFonts w:cs="Arial"/>
          <w:szCs w:val="24"/>
        </w:rPr>
        <w:t>, v. 54, n. 11, p. 2577–2595, 2018. https://doi.org/10.1080/1540496X.2017.1364622</w:t>
      </w:r>
      <w:r w:rsidR="00EC127F" w:rsidRPr="00635ABF">
        <w:rPr>
          <w:rFonts w:cs="Arial"/>
          <w:szCs w:val="24"/>
        </w:rPr>
        <w:t>.</w:t>
      </w:r>
    </w:p>
    <w:p w14:paraId="2FFD8918" w14:textId="77777777" w:rsidR="00EC127F" w:rsidRPr="00635ABF" w:rsidRDefault="00EC127F" w:rsidP="00EC127F">
      <w:pPr>
        <w:spacing w:afterLines="0" w:after="0" w:line="240" w:lineRule="auto"/>
        <w:rPr>
          <w:rFonts w:cs="Arial"/>
          <w:szCs w:val="24"/>
        </w:rPr>
      </w:pPr>
    </w:p>
    <w:p w14:paraId="7E649817" w14:textId="1EB8FAEF" w:rsidR="00C573D5" w:rsidRPr="00635ABF" w:rsidRDefault="00C573D5" w:rsidP="00561A0F">
      <w:pPr>
        <w:spacing w:afterLines="0" w:after="0" w:line="240" w:lineRule="auto"/>
        <w:ind w:firstLine="0"/>
        <w:rPr>
          <w:rFonts w:cs="Arial"/>
          <w:szCs w:val="24"/>
        </w:rPr>
      </w:pPr>
    </w:p>
    <w:sectPr w:rsidR="00C573D5" w:rsidRPr="00635ABF" w:rsidSect="00635AB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1134"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B2C7" w14:textId="77777777" w:rsidR="00B25A5A" w:rsidRDefault="00B25A5A" w:rsidP="00CD7207">
      <w:pPr>
        <w:spacing w:after="168" w:line="240" w:lineRule="auto"/>
      </w:pPr>
      <w:r>
        <w:separator/>
      </w:r>
    </w:p>
  </w:endnote>
  <w:endnote w:type="continuationSeparator" w:id="0">
    <w:p w14:paraId="0732DF52" w14:textId="77777777" w:rsidR="00B25A5A" w:rsidRDefault="00B25A5A" w:rsidP="00CD7207">
      <w:pPr>
        <w:spacing w:after="16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09DD" w14:textId="77777777" w:rsidR="00A647D9" w:rsidRDefault="00A647D9">
    <w:pPr>
      <w:pStyle w:val="Rodap"/>
      <w:spacing w:after="1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89C4" w14:textId="77777777" w:rsidR="00F33BB0" w:rsidRDefault="00F33BB0">
    <w:pPr>
      <w:pStyle w:val="Rodap"/>
      <w:spacing w:after="16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B89A" w14:textId="77777777" w:rsidR="00A647D9" w:rsidRDefault="00A647D9">
    <w:pPr>
      <w:pStyle w:val="Rodap"/>
      <w:spacing w:after="1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CC377" w14:textId="77777777" w:rsidR="00B25A5A" w:rsidRDefault="00B25A5A" w:rsidP="00CD7207">
      <w:pPr>
        <w:spacing w:after="168" w:line="240" w:lineRule="auto"/>
      </w:pPr>
      <w:r>
        <w:separator/>
      </w:r>
    </w:p>
  </w:footnote>
  <w:footnote w:type="continuationSeparator" w:id="0">
    <w:p w14:paraId="69148603" w14:textId="77777777" w:rsidR="00B25A5A" w:rsidRDefault="00B25A5A" w:rsidP="00CD7207">
      <w:pPr>
        <w:spacing w:after="16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8F85" w14:textId="77777777" w:rsidR="00A647D9" w:rsidRDefault="00A647D9">
    <w:pPr>
      <w:pStyle w:val="Cabealho"/>
      <w:spacing w:after="1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6A4B" w14:textId="77777777" w:rsidR="00421460" w:rsidRDefault="00421460" w:rsidP="00CD7207">
    <w:pPr>
      <w:pStyle w:val="Cabealho"/>
      <w:spacing w:after="1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D4D6" w14:textId="77777777" w:rsidR="00A647D9" w:rsidRDefault="00A647D9">
    <w:pPr>
      <w:pStyle w:val="Cabealho"/>
      <w:spacing w:after="1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F7417E6"/>
    <w:lvl w:ilvl="0">
      <w:start w:val="1"/>
      <w:numFmt w:val="decimal"/>
      <w:lvlText w:val="%1 "/>
      <w:lvlJc w:val="left"/>
      <w:pPr>
        <w:tabs>
          <w:tab w:val="num" w:pos="3403"/>
        </w:tabs>
        <w:ind w:left="3403" w:firstLine="0"/>
      </w:pPr>
      <w:rPr>
        <w:rFonts w:hint="default"/>
      </w:rPr>
    </w:lvl>
    <w:lvl w:ilvl="1">
      <w:start w:val="2"/>
      <w:numFmt w:val="decimal"/>
      <w:lvlText w:val="%1.%2 "/>
      <w:lvlJc w:val="left"/>
      <w:pPr>
        <w:tabs>
          <w:tab w:val="num" w:pos="3403"/>
        </w:tabs>
        <w:ind w:left="3403" w:firstLine="0"/>
      </w:pPr>
      <w:rPr>
        <w:rFonts w:hint="default"/>
      </w:rPr>
    </w:lvl>
    <w:lvl w:ilvl="2">
      <w:start w:val="1"/>
      <w:numFmt w:val="decimal"/>
      <w:lvlText w:val="%1.%2.%3 "/>
      <w:lvlJc w:val="left"/>
      <w:pPr>
        <w:tabs>
          <w:tab w:val="num" w:pos="3403"/>
        </w:tabs>
        <w:ind w:left="3403" w:firstLine="0"/>
      </w:pPr>
      <w:rPr>
        <w:rFonts w:hint="default"/>
      </w:rPr>
    </w:lvl>
    <w:lvl w:ilvl="3">
      <w:start w:val="1"/>
      <w:numFmt w:val="decimal"/>
      <w:lvlText w:val="%1.%2.%3.%4 "/>
      <w:lvlJc w:val="left"/>
      <w:pPr>
        <w:tabs>
          <w:tab w:val="num" w:pos="3403"/>
        </w:tabs>
        <w:ind w:left="3403" w:firstLine="0"/>
      </w:pPr>
      <w:rPr>
        <w:rFonts w:hint="default"/>
      </w:rPr>
    </w:lvl>
    <w:lvl w:ilvl="4">
      <w:start w:val="1"/>
      <w:numFmt w:val="decimal"/>
      <w:lvlText w:val="%1.%2.%3.%4.%5 "/>
      <w:lvlJc w:val="left"/>
      <w:pPr>
        <w:tabs>
          <w:tab w:val="num" w:pos="3403"/>
        </w:tabs>
        <w:ind w:left="3403" w:firstLine="0"/>
      </w:pPr>
      <w:rPr>
        <w:rFonts w:hint="default"/>
      </w:rPr>
    </w:lvl>
    <w:lvl w:ilvl="5">
      <w:start w:val="1"/>
      <w:numFmt w:val="decimal"/>
      <w:lvlText w:val="%1.%2.%3.%4.%5.%6 "/>
      <w:lvlJc w:val="left"/>
      <w:pPr>
        <w:tabs>
          <w:tab w:val="num" w:pos="3403"/>
        </w:tabs>
        <w:ind w:left="3403" w:firstLine="0"/>
      </w:pPr>
      <w:rPr>
        <w:rFonts w:hint="default"/>
      </w:rPr>
    </w:lvl>
    <w:lvl w:ilvl="6">
      <w:start w:val="1"/>
      <w:numFmt w:val="decimal"/>
      <w:lvlText w:val="%1.%2.%3.%4.%5.%6.%7 "/>
      <w:lvlJc w:val="left"/>
      <w:pPr>
        <w:tabs>
          <w:tab w:val="num" w:pos="3403"/>
        </w:tabs>
        <w:ind w:left="3403" w:firstLine="0"/>
      </w:pPr>
      <w:rPr>
        <w:rFonts w:hint="default"/>
      </w:rPr>
    </w:lvl>
    <w:lvl w:ilvl="7">
      <w:start w:val="1"/>
      <w:numFmt w:val="decimal"/>
      <w:lvlText w:val="%1.%2.%3.%4.%5.%6.%7.%8 "/>
      <w:lvlJc w:val="left"/>
      <w:pPr>
        <w:tabs>
          <w:tab w:val="num" w:pos="3403"/>
        </w:tabs>
        <w:ind w:left="3403" w:firstLine="0"/>
      </w:pPr>
      <w:rPr>
        <w:rFonts w:hint="default"/>
      </w:rPr>
    </w:lvl>
    <w:lvl w:ilvl="8">
      <w:start w:val="1"/>
      <w:numFmt w:val="decimal"/>
      <w:lvlText w:val="%1.%2.%3.%4.%5.%6.%7.%8.%9 "/>
      <w:lvlJc w:val="left"/>
      <w:pPr>
        <w:tabs>
          <w:tab w:val="num" w:pos="3403"/>
        </w:tabs>
        <w:ind w:left="3403" w:firstLine="0"/>
      </w:pPr>
      <w:rPr>
        <w:rFonts w:hint="default"/>
      </w:rPr>
    </w:lvl>
  </w:abstractNum>
  <w:abstractNum w:abstractNumId="1" w15:restartNumberingAfterBreak="0">
    <w:nsid w:val="041B36EB"/>
    <w:multiLevelType w:val="multilevel"/>
    <w:tmpl w:val="C060C53C"/>
    <w:lvl w:ilvl="0">
      <w:start w:val="2"/>
      <w:numFmt w:val="decimal"/>
      <w:lvlText w:val="%1 "/>
      <w:lvlJc w:val="left"/>
      <w:pPr>
        <w:tabs>
          <w:tab w:val="num" w:pos="0"/>
        </w:tabs>
        <w:ind w:left="0" w:firstLine="0"/>
      </w:pPr>
      <w:rPr>
        <w:rFonts w:hint="default"/>
      </w:rPr>
    </w:lvl>
    <w:lvl w:ilvl="1">
      <w:start w:val="1"/>
      <w:numFmt w:val="decimal"/>
      <w:lvlText w:val="%1.%2 "/>
      <w:lvlJc w:val="left"/>
      <w:pPr>
        <w:tabs>
          <w:tab w:val="num" w:pos="426"/>
        </w:tabs>
        <w:ind w:left="426"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
      <w:lvlJc w:val="left"/>
      <w:pPr>
        <w:tabs>
          <w:tab w:val="num" w:pos="0"/>
        </w:tabs>
        <w:ind w:left="0" w:firstLine="0"/>
      </w:pPr>
      <w:rPr>
        <w:rFonts w:hint="default"/>
      </w:rPr>
    </w:lvl>
    <w:lvl w:ilvl="5">
      <w:start w:val="1"/>
      <w:numFmt w:val="decimal"/>
      <w:lvlText w:val="%1.%2.%3.%4.%5.%6 "/>
      <w:lvlJc w:val="left"/>
      <w:pPr>
        <w:tabs>
          <w:tab w:val="num" w:pos="0"/>
        </w:tabs>
        <w:ind w:left="0" w:firstLine="0"/>
      </w:pPr>
      <w:rPr>
        <w:rFonts w:hint="default"/>
      </w:rPr>
    </w:lvl>
    <w:lvl w:ilvl="6">
      <w:start w:val="1"/>
      <w:numFmt w:val="decimal"/>
      <w:lvlText w:val="%1.%2.%3.%4.%5.%6.%7 "/>
      <w:lvlJc w:val="left"/>
      <w:pPr>
        <w:tabs>
          <w:tab w:val="num" w:pos="0"/>
        </w:tabs>
        <w:ind w:left="0" w:firstLine="0"/>
      </w:pPr>
      <w:rPr>
        <w:rFonts w:hint="default"/>
      </w:rPr>
    </w:lvl>
    <w:lvl w:ilvl="7">
      <w:start w:val="1"/>
      <w:numFmt w:val="decimal"/>
      <w:lvlText w:val="%1.%2.%3.%4.%5.%6.%7.%8 "/>
      <w:lvlJc w:val="left"/>
      <w:pPr>
        <w:tabs>
          <w:tab w:val="num" w:pos="0"/>
        </w:tabs>
        <w:ind w:left="0" w:firstLine="0"/>
      </w:pPr>
      <w:rPr>
        <w:rFonts w:hint="default"/>
      </w:rPr>
    </w:lvl>
    <w:lvl w:ilvl="8">
      <w:start w:val="1"/>
      <w:numFmt w:val="decimal"/>
      <w:lvlText w:val="%1.%2.%3.%4.%5.%6.%7.%8.%9 "/>
      <w:lvlJc w:val="left"/>
      <w:pPr>
        <w:tabs>
          <w:tab w:val="num" w:pos="0"/>
        </w:tabs>
        <w:ind w:left="0" w:firstLine="0"/>
      </w:pPr>
      <w:rPr>
        <w:rFonts w:hint="default"/>
      </w:rPr>
    </w:lvl>
  </w:abstractNum>
  <w:abstractNum w:abstractNumId="2" w15:restartNumberingAfterBreak="0">
    <w:nsid w:val="0DC90EEF"/>
    <w:multiLevelType w:val="hybridMultilevel"/>
    <w:tmpl w:val="14F4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0E305DB"/>
    <w:multiLevelType w:val="multilevel"/>
    <w:tmpl w:val="B4F47EE2"/>
    <w:lvl w:ilvl="0">
      <w:start w:val="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F37D8"/>
    <w:multiLevelType w:val="hybridMultilevel"/>
    <w:tmpl w:val="1AF693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AA2A66"/>
    <w:multiLevelType w:val="hybridMultilevel"/>
    <w:tmpl w:val="8E84E6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B3705"/>
    <w:multiLevelType w:val="multilevel"/>
    <w:tmpl w:val="0888BE64"/>
    <w:lvl w:ilvl="0">
      <w:start w:val="3"/>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25241557"/>
    <w:multiLevelType w:val="hybridMultilevel"/>
    <w:tmpl w:val="C61A8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325B035C"/>
    <w:multiLevelType w:val="hybridMultilevel"/>
    <w:tmpl w:val="31AE4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9DA1DBD"/>
    <w:multiLevelType w:val="hybridMultilevel"/>
    <w:tmpl w:val="04404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783B4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DE23ED"/>
    <w:multiLevelType w:val="hybridMultilevel"/>
    <w:tmpl w:val="FAFA11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FDC1490"/>
    <w:multiLevelType w:val="hybridMultilevel"/>
    <w:tmpl w:val="FD72C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FD71A0"/>
    <w:multiLevelType w:val="hybridMultilevel"/>
    <w:tmpl w:val="30B03740"/>
    <w:lvl w:ilvl="0" w:tplc="04160001">
      <w:start w:val="1"/>
      <w:numFmt w:val="bullet"/>
      <w:lvlText w:val=""/>
      <w:lvlJc w:val="left"/>
      <w:pPr>
        <w:ind w:left="1487" w:hanging="360"/>
      </w:pPr>
      <w:rPr>
        <w:rFonts w:ascii="Symbol" w:hAnsi="Symbol" w:hint="default"/>
      </w:rPr>
    </w:lvl>
    <w:lvl w:ilvl="1" w:tplc="04160003" w:tentative="1">
      <w:start w:val="1"/>
      <w:numFmt w:val="bullet"/>
      <w:lvlText w:val="o"/>
      <w:lvlJc w:val="left"/>
      <w:pPr>
        <w:ind w:left="2207" w:hanging="360"/>
      </w:pPr>
      <w:rPr>
        <w:rFonts w:ascii="Courier New" w:hAnsi="Courier New" w:cs="Courier New" w:hint="default"/>
      </w:rPr>
    </w:lvl>
    <w:lvl w:ilvl="2" w:tplc="04160005" w:tentative="1">
      <w:start w:val="1"/>
      <w:numFmt w:val="bullet"/>
      <w:lvlText w:val=""/>
      <w:lvlJc w:val="left"/>
      <w:pPr>
        <w:ind w:left="2927" w:hanging="360"/>
      </w:pPr>
      <w:rPr>
        <w:rFonts w:ascii="Wingdings" w:hAnsi="Wingdings" w:hint="default"/>
      </w:rPr>
    </w:lvl>
    <w:lvl w:ilvl="3" w:tplc="04160001" w:tentative="1">
      <w:start w:val="1"/>
      <w:numFmt w:val="bullet"/>
      <w:lvlText w:val=""/>
      <w:lvlJc w:val="left"/>
      <w:pPr>
        <w:ind w:left="3647" w:hanging="360"/>
      </w:pPr>
      <w:rPr>
        <w:rFonts w:ascii="Symbol" w:hAnsi="Symbol" w:hint="default"/>
      </w:rPr>
    </w:lvl>
    <w:lvl w:ilvl="4" w:tplc="04160003" w:tentative="1">
      <w:start w:val="1"/>
      <w:numFmt w:val="bullet"/>
      <w:lvlText w:val="o"/>
      <w:lvlJc w:val="left"/>
      <w:pPr>
        <w:ind w:left="4367" w:hanging="360"/>
      </w:pPr>
      <w:rPr>
        <w:rFonts w:ascii="Courier New" w:hAnsi="Courier New" w:cs="Courier New" w:hint="default"/>
      </w:rPr>
    </w:lvl>
    <w:lvl w:ilvl="5" w:tplc="04160005" w:tentative="1">
      <w:start w:val="1"/>
      <w:numFmt w:val="bullet"/>
      <w:lvlText w:val=""/>
      <w:lvlJc w:val="left"/>
      <w:pPr>
        <w:ind w:left="5087" w:hanging="360"/>
      </w:pPr>
      <w:rPr>
        <w:rFonts w:ascii="Wingdings" w:hAnsi="Wingdings" w:hint="default"/>
      </w:rPr>
    </w:lvl>
    <w:lvl w:ilvl="6" w:tplc="04160001" w:tentative="1">
      <w:start w:val="1"/>
      <w:numFmt w:val="bullet"/>
      <w:lvlText w:val=""/>
      <w:lvlJc w:val="left"/>
      <w:pPr>
        <w:ind w:left="5807" w:hanging="360"/>
      </w:pPr>
      <w:rPr>
        <w:rFonts w:ascii="Symbol" w:hAnsi="Symbol" w:hint="default"/>
      </w:rPr>
    </w:lvl>
    <w:lvl w:ilvl="7" w:tplc="04160003" w:tentative="1">
      <w:start w:val="1"/>
      <w:numFmt w:val="bullet"/>
      <w:lvlText w:val="o"/>
      <w:lvlJc w:val="left"/>
      <w:pPr>
        <w:ind w:left="6527" w:hanging="360"/>
      </w:pPr>
      <w:rPr>
        <w:rFonts w:ascii="Courier New" w:hAnsi="Courier New" w:cs="Courier New" w:hint="default"/>
      </w:rPr>
    </w:lvl>
    <w:lvl w:ilvl="8" w:tplc="04160005" w:tentative="1">
      <w:start w:val="1"/>
      <w:numFmt w:val="bullet"/>
      <w:lvlText w:val=""/>
      <w:lvlJc w:val="left"/>
      <w:pPr>
        <w:ind w:left="7247" w:hanging="360"/>
      </w:pPr>
      <w:rPr>
        <w:rFonts w:ascii="Wingdings" w:hAnsi="Wingdings" w:hint="default"/>
      </w:rPr>
    </w:lvl>
  </w:abstractNum>
  <w:abstractNum w:abstractNumId="14" w15:restartNumberingAfterBreak="0">
    <w:nsid w:val="48A47250"/>
    <w:multiLevelType w:val="multilevel"/>
    <w:tmpl w:val="D52EE56A"/>
    <w:lvl w:ilvl="0">
      <w:start w:val="6"/>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9F0416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3D78D4"/>
    <w:multiLevelType w:val="hybridMultilevel"/>
    <w:tmpl w:val="7112362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7" w15:restartNumberingAfterBreak="0">
    <w:nsid w:val="500046E9"/>
    <w:multiLevelType w:val="hybridMultilevel"/>
    <w:tmpl w:val="5C2805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5000554A"/>
    <w:multiLevelType w:val="hybridMultilevel"/>
    <w:tmpl w:val="73D05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E4425D0"/>
    <w:multiLevelType w:val="hybridMultilevel"/>
    <w:tmpl w:val="87A66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0043ADC"/>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80424E5"/>
    <w:multiLevelType w:val="hybridMultilevel"/>
    <w:tmpl w:val="5672C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C830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21506F"/>
    <w:multiLevelType w:val="multilevel"/>
    <w:tmpl w:val="00000001"/>
    <w:lvl w:ilvl="0">
      <w:start w:val="1"/>
      <w:numFmt w:val="decimal"/>
      <w:lvlText w:val="%1 "/>
      <w:lvlJc w:val="left"/>
      <w:pPr>
        <w:tabs>
          <w:tab w:val="num" w:pos="3403"/>
        </w:tabs>
        <w:ind w:left="3403" w:firstLine="0"/>
      </w:pPr>
    </w:lvl>
    <w:lvl w:ilvl="1">
      <w:start w:val="1"/>
      <w:numFmt w:val="decimal"/>
      <w:lvlText w:val="%1.%2 "/>
      <w:lvlJc w:val="left"/>
      <w:pPr>
        <w:tabs>
          <w:tab w:val="num" w:pos="3403"/>
        </w:tabs>
        <w:ind w:left="3403" w:firstLine="0"/>
      </w:pPr>
    </w:lvl>
    <w:lvl w:ilvl="2">
      <w:start w:val="1"/>
      <w:numFmt w:val="decimal"/>
      <w:lvlText w:val="%1.%2.%3 "/>
      <w:lvlJc w:val="left"/>
      <w:pPr>
        <w:tabs>
          <w:tab w:val="num" w:pos="3403"/>
        </w:tabs>
        <w:ind w:left="3403" w:firstLine="0"/>
      </w:pPr>
    </w:lvl>
    <w:lvl w:ilvl="3">
      <w:start w:val="1"/>
      <w:numFmt w:val="decimal"/>
      <w:lvlText w:val="%1.%2.%3.%4 "/>
      <w:lvlJc w:val="left"/>
      <w:pPr>
        <w:tabs>
          <w:tab w:val="num" w:pos="3403"/>
        </w:tabs>
        <w:ind w:left="3403" w:firstLine="0"/>
      </w:pPr>
    </w:lvl>
    <w:lvl w:ilvl="4">
      <w:start w:val="1"/>
      <w:numFmt w:val="decimal"/>
      <w:lvlText w:val="%1.%2.%3.%4.%5 "/>
      <w:lvlJc w:val="left"/>
      <w:pPr>
        <w:tabs>
          <w:tab w:val="num" w:pos="3403"/>
        </w:tabs>
        <w:ind w:left="3403" w:firstLine="0"/>
      </w:pPr>
    </w:lvl>
    <w:lvl w:ilvl="5">
      <w:start w:val="1"/>
      <w:numFmt w:val="decimal"/>
      <w:lvlText w:val="%1.%2.%3.%4.%5.%6 "/>
      <w:lvlJc w:val="left"/>
      <w:pPr>
        <w:tabs>
          <w:tab w:val="num" w:pos="3403"/>
        </w:tabs>
        <w:ind w:left="3403" w:firstLine="0"/>
      </w:pPr>
    </w:lvl>
    <w:lvl w:ilvl="6">
      <w:start w:val="1"/>
      <w:numFmt w:val="decimal"/>
      <w:lvlText w:val="%1.%2.%3.%4.%5.%6.%7 "/>
      <w:lvlJc w:val="left"/>
      <w:pPr>
        <w:tabs>
          <w:tab w:val="num" w:pos="3403"/>
        </w:tabs>
        <w:ind w:left="3403" w:firstLine="0"/>
      </w:pPr>
    </w:lvl>
    <w:lvl w:ilvl="7">
      <w:start w:val="1"/>
      <w:numFmt w:val="decimal"/>
      <w:lvlText w:val="%1.%2.%3.%4.%5.%6.%7.%8 "/>
      <w:lvlJc w:val="left"/>
      <w:pPr>
        <w:tabs>
          <w:tab w:val="num" w:pos="3403"/>
        </w:tabs>
        <w:ind w:left="3403" w:firstLine="0"/>
      </w:pPr>
    </w:lvl>
    <w:lvl w:ilvl="8">
      <w:start w:val="1"/>
      <w:numFmt w:val="decimal"/>
      <w:lvlText w:val="%1.%2.%3.%4.%5.%6.%7.%8.%9 "/>
      <w:lvlJc w:val="left"/>
      <w:pPr>
        <w:tabs>
          <w:tab w:val="num" w:pos="3403"/>
        </w:tabs>
        <w:ind w:left="3403" w:firstLine="0"/>
      </w:pPr>
    </w:lvl>
  </w:abstractNum>
  <w:abstractNum w:abstractNumId="24" w15:restartNumberingAfterBreak="0">
    <w:nsid w:val="6D6E7634"/>
    <w:multiLevelType w:val="hybridMultilevel"/>
    <w:tmpl w:val="DF9C1E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DF802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69015A"/>
    <w:multiLevelType w:val="hybridMultilevel"/>
    <w:tmpl w:val="DF600904"/>
    <w:lvl w:ilvl="0" w:tplc="9F121960">
      <w:start w:val="1"/>
      <w:numFmt w:val="decimalZero"/>
      <w:lvlText w:val="%1."/>
      <w:lvlJc w:val="left"/>
      <w:pPr>
        <w:ind w:left="1114" w:hanging="4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76C0764B"/>
    <w:multiLevelType w:val="hybridMultilevel"/>
    <w:tmpl w:val="F28476D2"/>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8" w15:restartNumberingAfterBreak="0">
    <w:nsid w:val="7A5B587B"/>
    <w:multiLevelType w:val="multilevel"/>
    <w:tmpl w:val="644C3444"/>
    <w:lvl w:ilvl="0">
      <w:start w:val="2"/>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7C010E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B7E8F"/>
    <w:multiLevelType w:val="multilevel"/>
    <w:tmpl w:val="A98C0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00604375">
    <w:abstractNumId w:val="0"/>
  </w:num>
  <w:num w:numId="2" w16cid:durableId="1643726466">
    <w:abstractNumId w:val="23"/>
  </w:num>
  <w:num w:numId="3" w16cid:durableId="1254432420">
    <w:abstractNumId w:val="3"/>
  </w:num>
  <w:num w:numId="4" w16cid:durableId="1329406069">
    <w:abstractNumId w:val="1"/>
  </w:num>
  <w:num w:numId="5" w16cid:durableId="1380010982">
    <w:abstractNumId w:val="28"/>
  </w:num>
  <w:num w:numId="6" w16cid:durableId="78841251">
    <w:abstractNumId w:val="6"/>
  </w:num>
  <w:num w:numId="7" w16cid:durableId="982923915">
    <w:abstractNumId w:val="14"/>
  </w:num>
  <w:num w:numId="8" w16cid:durableId="1573738904">
    <w:abstractNumId w:val="21"/>
  </w:num>
  <w:num w:numId="9" w16cid:durableId="1392117500">
    <w:abstractNumId w:val="4"/>
  </w:num>
  <w:num w:numId="10" w16cid:durableId="661354619">
    <w:abstractNumId w:val="19"/>
  </w:num>
  <w:num w:numId="11" w16cid:durableId="1844321510">
    <w:abstractNumId w:val="9"/>
  </w:num>
  <w:num w:numId="12" w16cid:durableId="981696165">
    <w:abstractNumId w:val="12"/>
  </w:num>
  <w:num w:numId="13" w16cid:durableId="23069021">
    <w:abstractNumId w:val="8"/>
  </w:num>
  <w:num w:numId="14" w16cid:durableId="1130396419">
    <w:abstractNumId w:val="30"/>
  </w:num>
  <w:num w:numId="15" w16cid:durableId="2127578884">
    <w:abstractNumId w:val="2"/>
  </w:num>
  <w:num w:numId="16" w16cid:durableId="931936353">
    <w:abstractNumId w:val="11"/>
  </w:num>
  <w:num w:numId="17" w16cid:durableId="1198665658">
    <w:abstractNumId w:val="17"/>
  </w:num>
  <w:num w:numId="18" w16cid:durableId="65035602">
    <w:abstractNumId w:val="7"/>
  </w:num>
  <w:num w:numId="19" w16cid:durableId="1372610081">
    <w:abstractNumId w:val="26"/>
  </w:num>
  <w:num w:numId="20" w16cid:durableId="1700206484">
    <w:abstractNumId w:val="16"/>
  </w:num>
  <w:num w:numId="21" w16cid:durableId="1134568162">
    <w:abstractNumId w:val="27"/>
  </w:num>
  <w:num w:numId="22" w16cid:durableId="1169831841">
    <w:abstractNumId w:val="24"/>
  </w:num>
  <w:num w:numId="23" w16cid:durableId="1447504333">
    <w:abstractNumId w:val="15"/>
  </w:num>
  <w:num w:numId="24" w16cid:durableId="1763377576">
    <w:abstractNumId w:val="13"/>
  </w:num>
  <w:num w:numId="25" w16cid:durableId="1694070640">
    <w:abstractNumId w:val="20"/>
  </w:num>
  <w:num w:numId="26" w16cid:durableId="238756746">
    <w:abstractNumId w:val="5"/>
  </w:num>
  <w:num w:numId="27" w16cid:durableId="1760904971">
    <w:abstractNumId w:val="10"/>
  </w:num>
  <w:num w:numId="28" w16cid:durableId="11686383">
    <w:abstractNumId w:val="29"/>
  </w:num>
  <w:num w:numId="29" w16cid:durableId="938298312">
    <w:abstractNumId w:val="22"/>
  </w:num>
  <w:num w:numId="30" w16cid:durableId="1741978594">
    <w:abstractNumId w:val="25"/>
  </w:num>
  <w:num w:numId="31" w16cid:durableId="1973827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C7"/>
    <w:rsid w:val="00007AEB"/>
    <w:rsid w:val="00010E4A"/>
    <w:rsid w:val="000178A6"/>
    <w:rsid w:val="000315BA"/>
    <w:rsid w:val="00031D61"/>
    <w:rsid w:val="00031D86"/>
    <w:rsid w:val="00042394"/>
    <w:rsid w:val="00046C0A"/>
    <w:rsid w:val="00051A8B"/>
    <w:rsid w:val="00053D3A"/>
    <w:rsid w:val="00062B0B"/>
    <w:rsid w:val="00063BBE"/>
    <w:rsid w:val="00064491"/>
    <w:rsid w:val="000666E6"/>
    <w:rsid w:val="00080460"/>
    <w:rsid w:val="000815E1"/>
    <w:rsid w:val="00087165"/>
    <w:rsid w:val="00087D0C"/>
    <w:rsid w:val="00094BBD"/>
    <w:rsid w:val="000A0223"/>
    <w:rsid w:val="000A5DD8"/>
    <w:rsid w:val="000B1D44"/>
    <w:rsid w:val="000B4754"/>
    <w:rsid w:val="000B4DAA"/>
    <w:rsid w:val="000B7587"/>
    <w:rsid w:val="000D337E"/>
    <w:rsid w:val="000F6285"/>
    <w:rsid w:val="00102CF7"/>
    <w:rsid w:val="00104067"/>
    <w:rsid w:val="001078C7"/>
    <w:rsid w:val="00114A0C"/>
    <w:rsid w:val="00121951"/>
    <w:rsid w:val="0012206B"/>
    <w:rsid w:val="00122793"/>
    <w:rsid w:val="001258AC"/>
    <w:rsid w:val="00141B69"/>
    <w:rsid w:val="00141BAB"/>
    <w:rsid w:val="00143105"/>
    <w:rsid w:val="00151864"/>
    <w:rsid w:val="0015288F"/>
    <w:rsid w:val="001556DC"/>
    <w:rsid w:val="001559B7"/>
    <w:rsid w:val="00155CA0"/>
    <w:rsid w:val="0015627F"/>
    <w:rsid w:val="00165A7C"/>
    <w:rsid w:val="00167006"/>
    <w:rsid w:val="0017313E"/>
    <w:rsid w:val="001802F7"/>
    <w:rsid w:val="001812E7"/>
    <w:rsid w:val="001856AA"/>
    <w:rsid w:val="001870B5"/>
    <w:rsid w:val="001907B7"/>
    <w:rsid w:val="00193131"/>
    <w:rsid w:val="00193EB1"/>
    <w:rsid w:val="001A2655"/>
    <w:rsid w:val="001A52A8"/>
    <w:rsid w:val="001A68B7"/>
    <w:rsid w:val="001A6B8F"/>
    <w:rsid w:val="001A6ECE"/>
    <w:rsid w:val="001B0E01"/>
    <w:rsid w:val="001B385D"/>
    <w:rsid w:val="001C02AE"/>
    <w:rsid w:val="001C151B"/>
    <w:rsid w:val="001C1B44"/>
    <w:rsid w:val="001C41E4"/>
    <w:rsid w:val="001C7427"/>
    <w:rsid w:val="001C7D3B"/>
    <w:rsid w:val="001D0C53"/>
    <w:rsid w:val="001D5A1B"/>
    <w:rsid w:val="001D5A26"/>
    <w:rsid w:val="001E09C8"/>
    <w:rsid w:val="001E1767"/>
    <w:rsid w:val="001E3309"/>
    <w:rsid w:val="001E4967"/>
    <w:rsid w:val="001E658B"/>
    <w:rsid w:val="001F5CAB"/>
    <w:rsid w:val="001F7057"/>
    <w:rsid w:val="00201845"/>
    <w:rsid w:val="002055AA"/>
    <w:rsid w:val="002166D3"/>
    <w:rsid w:val="00221216"/>
    <w:rsid w:val="00226866"/>
    <w:rsid w:val="002332A0"/>
    <w:rsid w:val="00236977"/>
    <w:rsid w:val="00250364"/>
    <w:rsid w:val="00257FAD"/>
    <w:rsid w:val="00260107"/>
    <w:rsid w:val="002659EF"/>
    <w:rsid w:val="00266B31"/>
    <w:rsid w:val="002706F4"/>
    <w:rsid w:val="0028246A"/>
    <w:rsid w:val="00286CD3"/>
    <w:rsid w:val="00287839"/>
    <w:rsid w:val="00297772"/>
    <w:rsid w:val="002A61ED"/>
    <w:rsid w:val="002A7323"/>
    <w:rsid w:val="002B27BC"/>
    <w:rsid w:val="002B4F0B"/>
    <w:rsid w:val="002B7622"/>
    <w:rsid w:val="002C2D7C"/>
    <w:rsid w:val="002C33C1"/>
    <w:rsid w:val="002C4A86"/>
    <w:rsid w:val="002D59F8"/>
    <w:rsid w:val="002E4E98"/>
    <w:rsid w:val="002E6D8D"/>
    <w:rsid w:val="002F23AE"/>
    <w:rsid w:val="002F6937"/>
    <w:rsid w:val="0030152F"/>
    <w:rsid w:val="00312C4E"/>
    <w:rsid w:val="00314317"/>
    <w:rsid w:val="003329E7"/>
    <w:rsid w:val="00332C15"/>
    <w:rsid w:val="00336F1A"/>
    <w:rsid w:val="003437C3"/>
    <w:rsid w:val="0035356A"/>
    <w:rsid w:val="00353E23"/>
    <w:rsid w:val="00361C8F"/>
    <w:rsid w:val="003628B4"/>
    <w:rsid w:val="00367883"/>
    <w:rsid w:val="003727CB"/>
    <w:rsid w:val="00374BCD"/>
    <w:rsid w:val="003861B0"/>
    <w:rsid w:val="0038689E"/>
    <w:rsid w:val="00393FA9"/>
    <w:rsid w:val="003A367F"/>
    <w:rsid w:val="003A7EFD"/>
    <w:rsid w:val="003B0307"/>
    <w:rsid w:val="003B47B2"/>
    <w:rsid w:val="003B55B6"/>
    <w:rsid w:val="003D1F4C"/>
    <w:rsid w:val="003E6A41"/>
    <w:rsid w:val="003F0B48"/>
    <w:rsid w:val="003F4A6B"/>
    <w:rsid w:val="003F6E0B"/>
    <w:rsid w:val="00404245"/>
    <w:rsid w:val="00415F61"/>
    <w:rsid w:val="00417265"/>
    <w:rsid w:val="00421460"/>
    <w:rsid w:val="00422F88"/>
    <w:rsid w:val="00423096"/>
    <w:rsid w:val="004249CD"/>
    <w:rsid w:val="004369A2"/>
    <w:rsid w:val="00437EB0"/>
    <w:rsid w:val="00446716"/>
    <w:rsid w:val="00446BC3"/>
    <w:rsid w:val="00453AC6"/>
    <w:rsid w:val="00455559"/>
    <w:rsid w:val="00455D7C"/>
    <w:rsid w:val="00457B80"/>
    <w:rsid w:val="0047589C"/>
    <w:rsid w:val="0049455A"/>
    <w:rsid w:val="00494681"/>
    <w:rsid w:val="00494B11"/>
    <w:rsid w:val="004A15BA"/>
    <w:rsid w:val="004A1D34"/>
    <w:rsid w:val="004A4D26"/>
    <w:rsid w:val="004A55D2"/>
    <w:rsid w:val="004B0520"/>
    <w:rsid w:val="004C11BA"/>
    <w:rsid w:val="004C21A2"/>
    <w:rsid w:val="004C4DFD"/>
    <w:rsid w:val="004C53F4"/>
    <w:rsid w:val="004C7002"/>
    <w:rsid w:val="004D53EC"/>
    <w:rsid w:val="004E72AC"/>
    <w:rsid w:val="004E7775"/>
    <w:rsid w:val="004E7F61"/>
    <w:rsid w:val="004F458B"/>
    <w:rsid w:val="004F55B2"/>
    <w:rsid w:val="0051362D"/>
    <w:rsid w:val="00516C91"/>
    <w:rsid w:val="00520BCC"/>
    <w:rsid w:val="005213B8"/>
    <w:rsid w:val="00522D94"/>
    <w:rsid w:val="005234AA"/>
    <w:rsid w:val="00530F0E"/>
    <w:rsid w:val="00533DAF"/>
    <w:rsid w:val="00534868"/>
    <w:rsid w:val="00536AB2"/>
    <w:rsid w:val="00542EED"/>
    <w:rsid w:val="00543C80"/>
    <w:rsid w:val="00550C98"/>
    <w:rsid w:val="00557240"/>
    <w:rsid w:val="00561A0F"/>
    <w:rsid w:val="005674CE"/>
    <w:rsid w:val="00567FB8"/>
    <w:rsid w:val="00571704"/>
    <w:rsid w:val="00581F39"/>
    <w:rsid w:val="00582B4C"/>
    <w:rsid w:val="00584331"/>
    <w:rsid w:val="00590B48"/>
    <w:rsid w:val="00595811"/>
    <w:rsid w:val="00595ED5"/>
    <w:rsid w:val="00597079"/>
    <w:rsid w:val="005A360A"/>
    <w:rsid w:val="005B7AE8"/>
    <w:rsid w:val="005C28BF"/>
    <w:rsid w:val="005C2D92"/>
    <w:rsid w:val="005C31DC"/>
    <w:rsid w:val="005C3870"/>
    <w:rsid w:val="005C3B38"/>
    <w:rsid w:val="005D12C3"/>
    <w:rsid w:val="005D143C"/>
    <w:rsid w:val="005D3F16"/>
    <w:rsid w:val="005D4B78"/>
    <w:rsid w:val="005E0928"/>
    <w:rsid w:val="005E6DE7"/>
    <w:rsid w:val="005F0F5E"/>
    <w:rsid w:val="006052C5"/>
    <w:rsid w:val="006148E0"/>
    <w:rsid w:val="006212EE"/>
    <w:rsid w:val="00621BCA"/>
    <w:rsid w:val="00626355"/>
    <w:rsid w:val="0063169A"/>
    <w:rsid w:val="00635ABF"/>
    <w:rsid w:val="00647B1E"/>
    <w:rsid w:val="00651010"/>
    <w:rsid w:val="00655B6E"/>
    <w:rsid w:val="00656AC3"/>
    <w:rsid w:val="00660635"/>
    <w:rsid w:val="00670221"/>
    <w:rsid w:val="00680442"/>
    <w:rsid w:val="00680B79"/>
    <w:rsid w:val="00682F9D"/>
    <w:rsid w:val="0068367C"/>
    <w:rsid w:val="006911DD"/>
    <w:rsid w:val="006939F0"/>
    <w:rsid w:val="00696074"/>
    <w:rsid w:val="006A1015"/>
    <w:rsid w:val="006B05D7"/>
    <w:rsid w:val="006C1813"/>
    <w:rsid w:val="006C5A9A"/>
    <w:rsid w:val="006C6033"/>
    <w:rsid w:val="006C61ED"/>
    <w:rsid w:val="006C7770"/>
    <w:rsid w:val="006D5E32"/>
    <w:rsid w:val="006D6374"/>
    <w:rsid w:val="006E0368"/>
    <w:rsid w:val="006E55D4"/>
    <w:rsid w:val="006F03A7"/>
    <w:rsid w:val="00711614"/>
    <w:rsid w:val="00715091"/>
    <w:rsid w:val="0072228C"/>
    <w:rsid w:val="007306B8"/>
    <w:rsid w:val="00735885"/>
    <w:rsid w:val="00736FB3"/>
    <w:rsid w:val="00747603"/>
    <w:rsid w:val="00753F60"/>
    <w:rsid w:val="007551EA"/>
    <w:rsid w:val="00762022"/>
    <w:rsid w:val="007713FB"/>
    <w:rsid w:val="00773296"/>
    <w:rsid w:val="007735F7"/>
    <w:rsid w:val="0078141B"/>
    <w:rsid w:val="00787C80"/>
    <w:rsid w:val="007A2A4F"/>
    <w:rsid w:val="007B28CD"/>
    <w:rsid w:val="007B5A8E"/>
    <w:rsid w:val="007C2062"/>
    <w:rsid w:val="007C20A6"/>
    <w:rsid w:val="007C3DC2"/>
    <w:rsid w:val="007D2C51"/>
    <w:rsid w:val="007D4739"/>
    <w:rsid w:val="007E066B"/>
    <w:rsid w:val="007E1F11"/>
    <w:rsid w:val="007F2E94"/>
    <w:rsid w:val="008000EF"/>
    <w:rsid w:val="00804914"/>
    <w:rsid w:val="00804E9F"/>
    <w:rsid w:val="00805691"/>
    <w:rsid w:val="008079CC"/>
    <w:rsid w:val="00823EB1"/>
    <w:rsid w:val="00825D8B"/>
    <w:rsid w:val="00825F9F"/>
    <w:rsid w:val="008261AF"/>
    <w:rsid w:val="00837B99"/>
    <w:rsid w:val="0084481D"/>
    <w:rsid w:val="00844D75"/>
    <w:rsid w:val="008450AA"/>
    <w:rsid w:val="00857E2C"/>
    <w:rsid w:val="00866660"/>
    <w:rsid w:val="008675F5"/>
    <w:rsid w:val="00867C29"/>
    <w:rsid w:val="00867EED"/>
    <w:rsid w:val="00871276"/>
    <w:rsid w:val="00876CD1"/>
    <w:rsid w:val="008867A0"/>
    <w:rsid w:val="008916A9"/>
    <w:rsid w:val="00892668"/>
    <w:rsid w:val="00893322"/>
    <w:rsid w:val="008970F0"/>
    <w:rsid w:val="00897867"/>
    <w:rsid w:val="008A5D04"/>
    <w:rsid w:val="008B0A19"/>
    <w:rsid w:val="008B194D"/>
    <w:rsid w:val="008B4118"/>
    <w:rsid w:val="008B4C57"/>
    <w:rsid w:val="008B67DA"/>
    <w:rsid w:val="008B6B9C"/>
    <w:rsid w:val="008C02B5"/>
    <w:rsid w:val="008D60C8"/>
    <w:rsid w:val="008E7454"/>
    <w:rsid w:val="008F1F38"/>
    <w:rsid w:val="008F2AB3"/>
    <w:rsid w:val="008F4370"/>
    <w:rsid w:val="00913486"/>
    <w:rsid w:val="00916862"/>
    <w:rsid w:val="00920420"/>
    <w:rsid w:val="009257D9"/>
    <w:rsid w:val="00925BF3"/>
    <w:rsid w:val="00930C2C"/>
    <w:rsid w:val="009330EB"/>
    <w:rsid w:val="009345A2"/>
    <w:rsid w:val="00940C99"/>
    <w:rsid w:val="00941957"/>
    <w:rsid w:val="009449E4"/>
    <w:rsid w:val="00950523"/>
    <w:rsid w:val="00956B63"/>
    <w:rsid w:val="0096254D"/>
    <w:rsid w:val="009651FE"/>
    <w:rsid w:val="009751E1"/>
    <w:rsid w:val="009857A9"/>
    <w:rsid w:val="0098738F"/>
    <w:rsid w:val="00990168"/>
    <w:rsid w:val="00991E21"/>
    <w:rsid w:val="009930F7"/>
    <w:rsid w:val="009A3B2F"/>
    <w:rsid w:val="009A40FC"/>
    <w:rsid w:val="009A5139"/>
    <w:rsid w:val="009A6304"/>
    <w:rsid w:val="009B2657"/>
    <w:rsid w:val="009B4546"/>
    <w:rsid w:val="009B5060"/>
    <w:rsid w:val="009B735B"/>
    <w:rsid w:val="009C10D2"/>
    <w:rsid w:val="009D032F"/>
    <w:rsid w:val="009D4D59"/>
    <w:rsid w:val="009E1B1B"/>
    <w:rsid w:val="009E22C9"/>
    <w:rsid w:val="009E24C2"/>
    <w:rsid w:val="009E2526"/>
    <w:rsid w:val="009E30D0"/>
    <w:rsid w:val="009F41FB"/>
    <w:rsid w:val="00A04F1B"/>
    <w:rsid w:val="00A05CF7"/>
    <w:rsid w:val="00A10B12"/>
    <w:rsid w:val="00A13EEC"/>
    <w:rsid w:val="00A149DE"/>
    <w:rsid w:val="00A25C6A"/>
    <w:rsid w:val="00A35BBB"/>
    <w:rsid w:val="00A37BE7"/>
    <w:rsid w:val="00A41B43"/>
    <w:rsid w:val="00A4401C"/>
    <w:rsid w:val="00A460F6"/>
    <w:rsid w:val="00A475BF"/>
    <w:rsid w:val="00A5008D"/>
    <w:rsid w:val="00A509D9"/>
    <w:rsid w:val="00A647D9"/>
    <w:rsid w:val="00A75203"/>
    <w:rsid w:val="00A7573A"/>
    <w:rsid w:val="00A76F75"/>
    <w:rsid w:val="00A86F75"/>
    <w:rsid w:val="00A90976"/>
    <w:rsid w:val="00A91BC6"/>
    <w:rsid w:val="00A92194"/>
    <w:rsid w:val="00A9516B"/>
    <w:rsid w:val="00AA5CE4"/>
    <w:rsid w:val="00AA6010"/>
    <w:rsid w:val="00AB0F7C"/>
    <w:rsid w:val="00AB2D69"/>
    <w:rsid w:val="00AB4B6D"/>
    <w:rsid w:val="00AB5378"/>
    <w:rsid w:val="00AC6E4B"/>
    <w:rsid w:val="00AD0D2F"/>
    <w:rsid w:val="00AD1D5D"/>
    <w:rsid w:val="00B0790D"/>
    <w:rsid w:val="00B07B93"/>
    <w:rsid w:val="00B22FE9"/>
    <w:rsid w:val="00B25A5A"/>
    <w:rsid w:val="00B26452"/>
    <w:rsid w:val="00B35184"/>
    <w:rsid w:val="00B35F2E"/>
    <w:rsid w:val="00B42D44"/>
    <w:rsid w:val="00B442F2"/>
    <w:rsid w:val="00B44664"/>
    <w:rsid w:val="00B46884"/>
    <w:rsid w:val="00B62BC8"/>
    <w:rsid w:val="00B70994"/>
    <w:rsid w:val="00B73957"/>
    <w:rsid w:val="00B828AC"/>
    <w:rsid w:val="00B83238"/>
    <w:rsid w:val="00B90EC1"/>
    <w:rsid w:val="00BA055A"/>
    <w:rsid w:val="00BA2DF2"/>
    <w:rsid w:val="00BB1C6C"/>
    <w:rsid w:val="00BC17B3"/>
    <w:rsid w:val="00BD26DD"/>
    <w:rsid w:val="00BD34E5"/>
    <w:rsid w:val="00BD42FC"/>
    <w:rsid w:val="00BE4434"/>
    <w:rsid w:val="00BF7145"/>
    <w:rsid w:val="00C0097D"/>
    <w:rsid w:val="00C0141D"/>
    <w:rsid w:val="00C05C0A"/>
    <w:rsid w:val="00C20064"/>
    <w:rsid w:val="00C2443B"/>
    <w:rsid w:val="00C32470"/>
    <w:rsid w:val="00C424D4"/>
    <w:rsid w:val="00C507B9"/>
    <w:rsid w:val="00C53253"/>
    <w:rsid w:val="00C537F5"/>
    <w:rsid w:val="00C573D5"/>
    <w:rsid w:val="00C61E75"/>
    <w:rsid w:val="00C620AF"/>
    <w:rsid w:val="00C6457C"/>
    <w:rsid w:val="00C70B02"/>
    <w:rsid w:val="00C75C2E"/>
    <w:rsid w:val="00C91F45"/>
    <w:rsid w:val="00C92653"/>
    <w:rsid w:val="00C97774"/>
    <w:rsid w:val="00CA0B64"/>
    <w:rsid w:val="00CA1EA9"/>
    <w:rsid w:val="00CA2943"/>
    <w:rsid w:val="00CA31B0"/>
    <w:rsid w:val="00CA3F2D"/>
    <w:rsid w:val="00CB1E8B"/>
    <w:rsid w:val="00CC3D49"/>
    <w:rsid w:val="00CC6F15"/>
    <w:rsid w:val="00CD3BF2"/>
    <w:rsid w:val="00CD7207"/>
    <w:rsid w:val="00CE15A3"/>
    <w:rsid w:val="00CE4A27"/>
    <w:rsid w:val="00CE78D8"/>
    <w:rsid w:val="00CE7963"/>
    <w:rsid w:val="00CF4D74"/>
    <w:rsid w:val="00CF4F46"/>
    <w:rsid w:val="00CF59D1"/>
    <w:rsid w:val="00CF5D94"/>
    <w:rsid w:val="00CF5EF2"/>
    <w:rsid w:val="00CF7676"/>
    <w:rsid w:val="00D10148"/>
    <w:rsid w:val="00D12E96"/>
    <w:rsid w:val="00D13E0D"/>
    <w:rsid w:val="00D357B8"/>
    <w:rsid w:val="00D37EA8"/>
    <w:rsid w:val="00D4686A"/>
    <w:rsid w:val="00D46BF8"/>
    <w:rsid w:val="00D46C95"/>
    <w:rsid w:val="00D518B9"/>
    <w:rsid w:val="00D52223"/>
    <w:rsid w:val="00D76A50"/>
    <w:rsid w:val="00D867C0"/>
    <w:rsid w:val="00D92396"/>
    <w:rsid w:val="00D92434"/>
    <w:rsid w:val="00D941C1"/>
    <w:rsid w:val="00DA03D2"/>
    <w:rsid w:val="00DA7C30"/>
    <w:rsid w:val="00DB35EF"/>
    <w:rsid w:val="00DC084A"/>
    <w:rsid w:val="00DC1F39"/>
    <w:rsid w:val="00DC3CFE"/>
    <w:rsid w:val="00DD02DA"/>
    <w:rsid w:val="00DD2EF6"/>
    <w:rsid w:val="00DD650F"/>
    <w:rsid w:val="00DD7728"/>
    <w:rsid w:val="00DF307C"/>
    <w:rsid w:val="00E0667C"/>
    <w:rsid w:val="00E06DB6"/>
    <w:rsid w:val="00E1403B"/>
    <w:rsid w:val="00E14569"/>
    <w:rsid w:val="00E2678E"/>
    <w:rsid w:val="00E3429C"/>
    <w:rsid w:val="00E34F98"/>
    <w:rsid w:val="00E40876"/>
    <w:rsid w:val="00E40FEC"/>
    <w:rsid w:val="00E5007C"/>
    <w:rsid w:val="00E5220A"/>
    <w:rsid w:val="00E53A31"/>
    <w:rsid w:val="00E5500C"/>
    <w:rsid w:val="00E607AE"/>
    <w:rsid w:val="00E6577C"/>
    <w:rsid w:val="00E72066"/>
    <w:rsid w:val="00E84603"/>
    <w:rsid w:val="00EA136D"/>
    <w:rsid w:val="00EA15E3"/>
    <w:rsid w:val="00EA48B8"/>
    <w:rsid w:val="00EA55CA"/>
    <w:rsid w:val="00EA724F"/>
    <w:rsid w:val="00EB4143"/>
    <w:rsid w:val="00EC127F"/>
    <w:rsid w:val="00EC43A9"/>
    <w:rsid w:val="00ED4841"/>
    <w:rsid w:val="00ED4C90"/>
    <w:rsid w:val="00ED5917"/>
    <w:rsid w:val="00EE07ED"/>
    <w:rsid w:val="00EE1CDD"/>
    <w:rsid w:val="00EE5060"/>
    <w:rsid w:val="00EF00D5"/>
    <w:rsid w:val="00EF4749"/>
    <w:rsid w:val="00EF57B9"/>
    <w:rsid w:val="00F135B1"/>
    <w:rsid w:val="00F13C8B"/>
    <w:rsid w:val="00F142DA"/>
    <w:rsid w:val="00F3028D"/>
    <w:rsid w:val="00F33BB0"/>
    <w:rsid w:val="00F357E9"/>
    <w:rsid w:val="00F410FE"/>
    <w:rsid w:val="00F41B2B"/>
    <w:rsid w:val="00F45CC4"/>
    <w:rsid w:val="00F5180F"/>
    <w:rsid w:val="00F52B6A"/>
    <w:rsid w:val="00F55015"/>
    <w:rsid w:val="00F57412"/>
    <w:rsid w:val="00F61986"/>
    <w:rsid w:val="00F629C7"/>
    <w:rsid w:val="00F63B4E"/>
    <w:rsid w:val="00F70E74"/>
    <w:rsid w:val="00F7470F"/>
    <w:rsid w:val="00F77EFF"/>
    <w:rsid w:val="00F85B8A"/>
    <w:rsid w:val="00F860EB"/>
    <w:rsid w:val="00F86CD0"/>
    <w:rsid w:val="00F923D5"/>
    <w:rsid w:val="00F9308C"/>
    <w:rsid w:val="00F961A7"/>
    <w:rsid w:val="00FA4D21"/>
    <w:rsid w:val="00FA5C5D"/>
    <w:rsid w:val="00FB2192"/>
    <w:rsid w:val="00FB230E"/>
    <w:rsid w:val="00FB3EA5"/>
    <w:rsid w:val="00FB4076"/>
    <w:rsid w:val="00FC103A"/>
    <w:rsid w:val="00FD029D"/>
    <w:rsid w:val="00FD6584"/>
    <w:rsid w:val="00FD6EC9"/>
    <w:rsid w:val="00FE2042"/>
    <w:rsid w:val="00FE4811"/>
    <w:rsid w:val="00FE5462"/>
    <w:rsid w:val="00FE5B25"/>
    <w:rsid w:val="00FE6BB8"/>
    <w:rsid w:val="00FF0AC2"/>
    <w:rsid w:val="00FF2E6F"/>
    <w:rsid w:val="00FF436C"/>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07"/>
    <w:pPr>
      <w:spacing w:afterLines="70" w:line="360" w:lineRule="auto"/>
      <w:ind w:firstLine="709"/>
      <w:jc w:val="both"/>
    </w:pPr>
    <w:rPr>
      <w:rFonts w:ascii="Arial" w:hAnsi="Arial"/>
      <w:sz w:val="24"/>
    </w:rPr>
  </w:style>
  <w:style w:type="paragraph" w:styleId="Ttulo1">
    <w:name w:val="heading 1"/>
    <w:basedOn w:val="Normal"/>
    <w:next w:val="Normal"/>
    <w:link w:val="Ttulo1Char"/>
    <w:uiPriority w:val="9"/>
    <w:qFormat/>
    <w:rsid w:val="001C151B"/>
    <w:pPr>
      <w:keepNext/>
      <w:keepLines/>
      <w:spacing w:before="100" w:beforeAutospacing="1" w:afterLines="0" w:after="100" w:afterAutospacing="1"/>
      <w:ind w:firstLine="0"/>
      <w:jc w:val="left"/>
      <w:outlineLvl w:val="0"/>
    </w:pPr>
    <w:rPr>
      <w:rFonts w:eastAsiaTheme="majorEastAsia" w:cstheme="majorBidi"/>
      <w:b/>
      <w:bCs/>
      <w:caps/>
      <w:szCs w:val="28"/>
    </w:rPr>
  </w:style>
  <w:style w:type="paragraph" w:styleId="Ttulo2">
    <w:name w:val="heading 2"/>
    <w:basedOn w:val="Ttulo1"/>
    <w:next w:val="Normal"/>
    <w:link w:val="Ttulo2Char"/>
    <w:qFormat/>
    <w:rsid w:val="001C151B"/>
    <w:pPr>
      <w:keepLines w:val="0"/>
      <w:widowControl w:val="0"/>
      <w:tabs>
        <w:tab w:val="num" w:pos="0"/>
      </w:tabs>
      <w:overflowPunct w:val="0"/>
      <w:autoSpaceDE w:val="0"/>
      <w:textAlignment w:val="baseline"/>
      <w:outlineLvl w:val="1"/>
    </w:pPr>
    <w:rPr>
      <w:rFonts w:eastAsia="Times New Roman" w:cs="Arial"/>
      <w:b w:val="0"/>
      <w:kern w:val="28"/>
      <w:lang w:eastAsia="ar-SA"/>
    </w:rPr>
  </w:style>
  <w:style w:type="paragraph" w:styleId="Ttulo3">
    <w:name w:val="heading 3"/>
    <w:basedOn w:val="Normal"/>
    <w:next w:val="Normal"/>
    <w:link w:val="Ttulo3Char"/>
    <w:uiPriority w:val="9"/>
    <w:unhideWhenUsed/>
    <w:qFormat/>
    <w:rsid w:val="001C151B"/>
    <w:pPr>
      <w:keepNext/>
      <w:keepLines/>
      <w:spacing w:afterLines="0"/>
      <w:ind w:firstLine="0"/>
      <w:jc w:val="left"/>
      <w:outlineLvl w:val="2"/>
    </w:pPr>
    <w:rPr>
      <w:rFonts w:eastAsiaTheme="majorEastAsia" w:cstheme="majorBidi"/>
      <w:b/>
      <w:bCs/>
    </w:rPr>
  </w:style>
  <w:style w:type="paragraph" w:styleId="Ttulo4">
    <w:name w:val="heading 4"/>
    <w:basedOn w:val="Ttulo3"/>
    <w:next w:val="Normal"/>
    <w:link w:val="Ttulo4Char"/>
    <w:uiPriority w:val="9"/>
    <w:unhideWhenUsed/>
    <w:qFormat/>
    <w:rsid w:val="00866660"/>
    <w:pPr>
      <w:spacing w:before="100" w:beforeAutospacing="1" w:after="100" w:afterAutospacing="1"/>
      <w:outlineLvl w:val="3"/>
    </w:pPr>
    <w:rPr>
      <w:b w:val="0"/>
      <w:bCs w:val="0"/>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apa"/>
    <w:next w:val="Normal"/>
    <w:qFormat/>
    <w:rsid w:val="00FF0AC2"/>
    <w:pPr>
      <w:suppressAutoHyphens/>
      <w:spacing w:after="0" w:line="360" w:lineRule="auto"/>
      <w:jc w:val="center"/>
    </w:pPr>
    <w:rPr>
      <w:rFonts w:ascii="Arial" w:eastAsia="Times New Roman" w:hAnsi="Arial" w:cs="Times New Roman"/>
      <w:b/>
      <w:caps/>
      <w:sz w:val="24"/>
      <w:szCs w:val="20"/>
      <w:lang w:eastAsia="ar-SA"/>
    </w:rPr>
  </w:style>
  <w:style w:type="paragraph" w:styleId="Cabealho">
    <w:name w:val="header"/>
    <w:basedOn w:val="Normal"/>
    <w:link w:val="CabealhoChar"/>
    <w:uiPriority w:val="99"/>
    <w:unhideWhenUsed/>
    <w:rsid w:val="00F629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29C7"/>
  </w:style>
  <w:style w:type="paragraph" w:styleId="Rodap">
    <w:name w:val="footer"/>
    <w:basedOn w:val="Normal"/>
    <w:link w:val="RodapChar"/>
    <w:uiPriority w:val="99"/>
    <w:unhideWhenUsed/>
    <w:rsid w:val="00F629C7"/>
    <w:pPr>
      <w:tabs>
        <w:tab w:val="center" w:pos="4252"/>
        <w:tab w:val="right" w:pos="8504"/>
      </w:tabs>
      <w:spacing w:after="0" w:line="240" w:lineRule="auto"/>
    </w:pPr>
  </w:style>
  <w:style w:type="character" w:customStyle="1" w:styleId="RodapChar">
    <w:name w:val="Rodapé Char"/>
    <w:basedOn w:val="Fontepargpadro"/>
    <w:link w:val="Rodap"/>
    <w:uiPriority w:val="99"/>
    <w:rsid w:val="00F629C7"/>
  </w:style>
  <w:style w:type="character" w:styleId="Hyperlink">
    <w:name w:val="Hyperlink"/>
    <w:uiPriority w:val="99"/>
    <w:rsid w:val="002C4A86"/>
    <w:rPr>
      <w:color w:val="auto"/>
      <w:u w:val="none"/>
    </w:rPr>
  </w:style>
  <w:style w:type="paragraph" w:styleId="Sumrio1">
    <w:name w:val="toc 1"/>
    <w:basedOn w:val="Normal"/>
    <w:uiPriority w:val="39"/>
    <w:qFormat/>
    <w:rsid w:val="00C05C0A"/>
    <w:pPr>
      <w:tabs>
        <w:tab w:val="right" w:leader="dot" w:pos="9071"/>
      </w:tabs>
      <w:overflowPunct w:val="0"/>
      <w:autoSpaceDE w:val="0"/>
      <w:spacing w:before="480" w:afterLines="0" w:after="0" w:line="240" w:lineRule="auto"/>
      <w:ind w:firstLine="0"/>
      <w:textAlignment w:val="baseline"/>
    </w:pPr>
    <w:rPr>
      <w:rFonts w:eastAsia="Times New Roman" w:cs="Arial"/>
      <w:b/>
      <w:caps/>
      <w:kern w:val="24"/>
      <w:szCs w:val="24"/>
      <w:lang w:eastAsia="ar-SA"/>
    </w:rPr>
  </w:style>
  <w:style w:type="paragraph" w:styleId="Sumrio2">
    <w:name w:val="toc 2"/>
    <w:basedOn w:val="Sumrio1"/>
    <w:uiPriority w:val="39"/>
    <w:qFormat/>
    <w:rsid w:val="001C151B"/>
    <w:pPr>
      <w:spacing w:before="120"/>
    </w:pPr>
    <w:rPr>
      <w:b w:val="0"/>
      <w:szCs w:val="22"/>
    </w:rPr>
  </w:style>
  <w:style w:type="paragraph" w:styleId="Sumrio3">
    <w:name w:val="toc 3"/>
    <w:basedOn w:val="Sumrio2"/>
    <w:uiPriority w:val="39"/>
    <w:qFormat/>
    <w:rsid w:val="001C151B"/>
    <w:pPr>
      <w:spacing w:before="0" w:after="120"/>
    </w:pPr>
    <w:rPr>
      <w:b/>
      <w:caps w:val="0"/>
      <w:szCs w:val="20"/>
    </w:rPr>
  </w:style>
  <w:style w:type="character" w:customStyle="1" w:styleId="Ttulo2Char">
    <w:name w:val="Título 2 Char"/>
    <w:basedOn w:val="Fontepargpadro"/>
    <w:link w:val="Ttulo2"/>
    <w:rsid w:val="001C151B"/>
    <w:rPr>
      <w:rFonts w:ascii="Arial" w:eastAsia="Times New Roman" w:hAnsi="Arial" w:cs="Arial"/>
      <w:bCs/>
      <w:caps/>
      <w:kern w:val="28"/>
      <w:sz w:val="24"/>
      <w:szCs w:val="28"/>
      <w:lang w:eastAsia="ar-SA"/>
    </w:rPr>
  </w:style>
  <w:style w:type="character" w:customStyle="1" w:styleId="Ttulo1Char">
    <w:name w:val="Título 1 Char"/>
    <w:basedOn w:val="Fontepargpadro"/>
    <w:link w:val="Ttulo1"/>
    <w:uiPriority w:val="9"/>
    <w:rsid w:val="001C151B"/>
    <w:rPr>
      <w:rFonts w:ascii="Arial" w:eastAsiaTheme="majorEastAsia" w:hAnsi="Arial" w:cstheme="majorBidi"/>
      <w:b/>
      <w:bCs/>
      <w:caps/>
      <w:sz w:val="24"/>
      <w:szCs w:val="28"/>
    </w:rPr>
  </w:style>
  <w:style w:type="paragraph" w:styleId="PargrafodaLista">
    <w:name w:val="List Paragraph"/>
    <w:basedOn w:val="Normal"/>
    <w:uiPriority w:val="34"/>
    <w:qFormat/>
    <w:rsid w:val="002C4A86"/>
    <w:pPr>
      <w:ind w:left="720"/>
      <w:contextualSpacing/>
    </w:pPr>
  </w:style>
  <w:style w:type="paragraph" w:customStyle="1" w:styleId="Contedodatabela">
    <w:name w:val="Conteúdo da tabela"/>
    <w:basedOn w:val="Normal"/>
    <w:rsid w:val="002C4A86"/>
    <w:pPr>
      <w:suppressLineNumbers/>
      <w:overflowPunct w:val="0"/>
      <w:autoSpaceDE w:val="0"/>
      <w:spacing w:before="120" w:after="120"/>
      <w:ind w:firstLine="425"/>
      <w:textAlignment w:val="baseline"/>
    </w:pPr>
    <w:rPr>
      <w:rFonts w:ascii="Times New Roman" w:eastAsia="Times New Roman" w:hAnsi="Times New Roman" w:cs="Times New Roman"/>
      <w:szCs w:val="24"/>
      <w:lang w:eastAsia="ar-SA"/>
    </w:rPr>
  </w:style>
  <w:style w:type="character" w:customStyle="1" w:styleId="Ttulo3Char">
    <w:name w:val="Título 3 Char"/>
    <w:basedOn w:val="Fontepargpadro"/>
    <w:link w:val="Ttulo3"/>
    <w:uiPriority w:val="9"/>
    <w:rsid w:val="001C151B"/>
    <w:rPr>
      <w:rFonts w:ascii="Arial" w:eastAsiaTheme="majorEastAsia" w:hAnsi="Arial" w:cstheme="majorBidi"/>
      <w:b/>
      <w:bCs/>
      <w:sz w:val="24"/>
    </w:rPr>
  </w:style>
  <w:style w:type="paragraph" w:customStyle="1" w:styleId="Ilustrao">
    <w:name w:val="Ilustração"/>
    <w:basedOn w:val="Normal"/>
    <w:rsid w:val="00930C2C"/>
    <w:pPr>
      <w:overflowPunct w:val="0"/>
      <w:autoSpaceDE w:val="0"/>
      <w:spacing w:before="120" w:after="120"/>
      <w:jc w:val="center"/>
      <w:textAlignment w:val="baseline"/>
    </w:pPr>
    <w:rPr>
      <w:rFonts w:eastAsia="Times New Roman" w:cs="Arial"/>
      <w:b/>
      <w:bCs/>
      <w:sz w:val="20"/>
      <w:szCs w:val="20"/>
      <w:lang w:eastAsia="ar-SA"/>
    </w:rPr>
  </w:style>
  <w:style w:type="paragraph" w:styleId="Textodebalo">
    <w:name w:val="Balloon Text"/>
    <w:basedOn w:val="Normal"/>
    <w:link w:val="TextodebaloChar"/>
    <w:uiPriority w:val="99"/>
    <w:semiHidden/>
    <w:unhideWhenUsed/>
    <w:rsid w:val="00930C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0C2C"/>
    <w:rPr>
      <w:rFonts w:ascii="Tahoma" w:hAnsi="Tahoma" w:cs="Tahoma"/>
      <w:sz w:val="16"/>
      <w:szCs w:val="16"/>
    </w:rPr>
  </w:style>
  <w:style w:type="paragraph" w:customStyle="1" w:styleId="RefernciaBibliogrfica">
    <w:name w:val="Referência Bibliográfica"/>
    <w:basedOn w:val="Normal"/>
    <w:rsid w:val="00DF307C"/>
    <w:pPr>
      <w:tabs>
        <w:tab w:val="left" w:pos="426"/>
      </w:tabs>
      <w:overflowPunct w:val="0"/>
      <w:autoSpaceDE w:val="0"/>
      <w:spacing w:before="120" w:after="120" w:line="100" w:lineRule="atLeast"/>
      <w:textAlignment w:val="baseline"/>
    </w:pPr>
    <w:rPr>
      <w:rFonts w:ascii="Times New Roman" w:eastAsia="Times New Roman" w:hAnsi="Times New Roman" w:cs="Times New Roman"/>
      <w:kern w:val="1"/>
      <w:szCs w:val="24"/>
      <w:lang w:eastAsia="ar-SA"/>
    </w:rPr>
  </w:style>
  <w:style w:type="character" w:customStyle="1" w:styleId="apple-style-span">
    <w:name w:val="apple-style-span"/>
    <w:basedOn w:val="Fontepargpadro"/>
    <w:rsid w:val="00753F60"/>
  </w:style>
  <w:style w:type="character" w:customStyle="1" w:styleId="apple-converted-space">
    <w:name w:val="apple-converted-space"/>
    <w:basedOn w:val="Fontepargpadro"/>
    <w:rsid w:val="00753F60"/>
  </w:style>
  <w:style w:type="character" w:customStyle="1" w:styleId="arial121">
    <w:name w:val="arial121"/>
    <w:basedOn w:val="Fontepargpadro"/>
    <w:rsid w:val="00940C99"/>
    <w:rPr>
      <w:rFonts w:ascii="Arial" w:hAnsi="Arial" w:cs="Arial" w:hint="default"/>
      <w:i w:val="0"/>
      <w:iCs w:val="0"/>
      <w:sz w:val="24"/>
      <w:szCs w:val="24"/>
    </w:rPr>
  </w:style>
  <w:style w:type="paragraph" w:customStyle="1" w:styleId="Capa3-Ttulo">
    <w:name w:val="Capa 3 - Título"/>
    <w:basedOn w:val="Normal"/>
    <w:next w:val="Normal"/>
    <w:rsid w:val="00CD7207"/>
    <w:pPr>
      <w:overflowPunct w:val="0"/>
      <w:autoSpaceDE w:val="0"/>
      <w:spacing w:before="3960" w:after="3960" w:line="100" w:lineRule="atLeast"/>
      <w:jc w:val="center"/>
      <w:textAlignment w:val="baseline"/>
    </w:pPr>
    <w:rPr>
      <w:rFonts w:eastAsia="Times New Roman" w:cs="Times New Roman"/>
      <w:b/>
      <w:bCs/>
      <w:smallCaps/>
      <w:kern w:val="1"/>
      <w:sz w:val="36"/>
      <w:szCs w:val="36"/>
      <w:lang w:eastAsia="ar-SA"/>
    </w:rPr>
  </w:style>
  <w:style w:type="paragraph" w:customStyle="1" w:styleId="CitaoCapa">
    <w:name w:val="Citação Capa"/>
    <w:qFormat/>
    <w:rsid w:val="00CD7207"/>
    <w:pPr>
      <w:spacing w:after="0" w:line="240" w:lineRule="auto"/>
      <w:ind w:left="4536"/>
      <w:jc w:val="both"/>
    </w:pPr>
    <w:rPr>
      <w:rFonts w:ascii="Arial" w:eastAsia="Times New Roman" w:hAnsi="Arial" w:cs="Times New Roman"/>
      <w:b/>
      <w:sz w:val="24"/>
      <w:szCs w:val="20"/>
      <w:lang w:eastAsia="ar-SA"/>
    </w:rPr>
  </w:style>
  <w:style w:type="paragraph" w:customStyle="1" w:styleId="Agradecimentos">
    <w:name w:val="Agradecimentos"/>
    <w:qFormat/>
    <w:rsid w:val="00CD7207"/>
    <w:pPr>
      <w:spacing w:after="0" w:line="360" w:lineRule="auto"/>
      <w:ind w:left="4536"/>
      <w:jc w:val="both"/>
    </w:pPr>
    <w:rPr>
      <w:rFonts w:ascii="Arial" w:eastAsia="Times New Roman" w:hAnsi="Arial" w:cs="Times New Roman"/>
      <w:sz w:val="24"/>
      <w:szCs w:val="20"/>
      <w:lang w:eastAsia="ar-SA"/>
    </w:rPr>
  </w:style>
  <w:style w:type="paragraph" w:styleId="CabealhodoSumrio">
    <w:name w:val="TOC Heading"/>
    <w:basedOn w:val="Ttulo1"/>
    <w:next w:val="Normal"/>
    <w:uiPriority w:val="39"/>
    <w:unhideWhenUsed/>
    <w:qFormat/>
    <w:rsid w:val="00DD7728"/>
    <w:pPr>
      <w:spacing w:line="276" w:lineRule="auto"/>
      <w:outlineLvl w:val="9"/>
    </w:pPr>
    <w:rPr>
      <w:lang w:eastAsia="pt-BR"/>
    </w:rPr>
  </w:style>
  <w:style w:type="paragraph" w:styleId="Legenda">
    <w:name w:val="caption"/>
    <w:basedOn w:val="Normal"/>
    <w:next w:val="Normal"/>
    <w:uiPriority w:val="35"/>
    <w:unhideWhenUsed/>
    <w:qFormat/>
    <w:rsid w:val="00CA1EA9"/>
    <w:pPr>
      <w:spacing w:line="240" w:lineRule="auto"/>
    </w:pPr>
    <w:rPr>
      <w:b/>
      <w:bCs/>
      <w:color w:val="4F81BD" w:themeColor="accent1"/>
      <w:sz w:val="18"/>
      <w:szCs w:val="18"/>
    </w:rPr>
  </w:style>
  <w:style w:type="paragraph" w:customStyle="1" w:styleId="Graficos">
    <w:name w:val="Graficos"/>
    <w:basedOn w:val="Legenda"/>
    <w:qFormat/>
    <w:rsid w:val="005C2D92"/>
    <w:pPr>
      <w:spacing w:afterLines="0"/>
      <w:ind w:firstLine="0"/>
    </w:pPr>
    <w:rPr>
      <w:caps/>
      <w:color w:val="auto"/>
      <w:sz w:val="20"/>
    </w:rPr>
  </w:style>
  <w:style w:type="paragraph" w:customStyle="1" w:styleId="Figura">
    <w:name w:val="Figura"/>
    <w:qFormat/>
    <w:rsid w:val="005D12C3"/>
    <w:pPr>
      <w:spacing w:after="0" w:line="240" w:lineRule="auto"/>
      <w:jc w:val="both"/>
    </w:pPr>
    <w:rPr>
      <w:rFonts w:ascii="Arial" w:hAnsi="Arial"/>
      <w:bCs/>
      <w:sz w:val="20"/>
      <w:szCs w:val="18"/>
    </w:rPr>
  </w:style>
  <w:style w:type="paragraph" w:styleId="ndicedeilustraes">
    <w:name w:val="table of figures"/>
    <w:basedOn w:val="Normal"/>
    <w:next w:val="Normal"/>
    <w:uiPriority w:val="99"/>
    <w:unhideWhenUsed/>
    <w:rsid w:val="00E53A31"/>
    <w:pPr>
      <w:spacing w:after="0"/>
    </w:pPr>
  </w:style>
  <w:style w:type="paragraph" w:customStyle="1" w:styleId="CitaoDiretaRecuo">
    <w:name w:val="Citação Direta Recuo"/>
    <w:basedOn w:val="Normal"/>
    <w:link w:val="CitaoDiretaRecuoChar"/>
    <w:qFormat/>
    <w:rsid w:val="00B828AC"/>
    <w:pPr>
      <w:spacing w:afterLines="200" w:line="240" w:lineRule="auto"/>
      <w:ind w:left="2268" w:firstLine="0"/>
    </w:pPr>
    <w:rPr>
      <w:rFonts w:eastAsia="Calibri" w:cs="Arial"/>
      <w:sz w:val="20"/>
      <w:szCs w:val="20"/>
      <w:shd w:val="clear" w:color="auto" w:fill="FFFFFF"/>
    </w:rPr>
  </w:style>
  <w:style w:type="character" w:customStyle="1" w:styleId="CitaoDiretaRecuoChar">
    <w:name w:val="Citação Direta Recuo Char"/>
    <w:link w:val="CitaoDiretaRecuo"/>
    <w:rsid w:val="00B828AC"/>
    <w:rPr>
      <w:rFonts w:ascii="Arial" w:eastAsia="Calibri" w:hAnsi="Arial" w:cs="Arial"/>
      <w:sz w:val="20"/>
      <w:szCs w:val="20"/>
    </w:rPr>
  </w:style>
  <w:style w:type="paragraph" w:styleId="Bibliografia">
    <w:name w:val="Bibliography"/>
    <w:basedOn w:val="Normal"/>
    <w:next w:val="Normal"/>
    <w:uiPriority w:val="37"/>
    <w:unhideWhenUsed/>
    <w:rsid w:val="008970F0"/>
  </w:style>
  <w:style w:type="character" w:customStyle="1" w:styleId="freebirdformeditorviewresponsessummaryquestiontitle">
    <w:name w:val="freebirdformeditorviewresponsessummaryquestiontitle"/>
    <w:basedOn w:val="Fontepargpadro"/>
    <w:rsid w:val="00121951"/>
  </w:style>
  <w:style w:type="table" w:styleId="Tabelacomgrade">
    <w:name w:val="Table Grid"/>
    <w:basedOn w:val="Tabelanormal"/>
    <w:uiPriority w:val="59"/>
    <w:rsid w:val="0012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36F1A"/>
    <w:rPr>
      <w:i/>
      <w:iCs/>
    </w:rPr>
  </w:style>
  <w:style w:type="paragraph" w:styleId="Remissivo1">
    <w:name w:val="index 1"/>
    <w:basedOn w:val="Normal"/>
    <w:next w:val="Normal"/>
    <w:autoRedefine/>
    <w:uiPriority w:val="99"/>
    <w:semiHidden/>
    <w:unhideWhenUsed/>
    <w:rsid w:val="00E84603"/>
    <w:pPr>
      <w:spacing w:after="0" w:line="240" w:lineRule="auto"/>
      <w:ind w:left="240" w:hanging="240"/>
    </w:pPr>
  </w:style>
  <w:style w:type="character" w:customStyle="1" w:styleId="Ttulo4Char">
    <w:name w:val="Título 4 Char"/>
    <w:basedOn w:val="Fontepargpadro"/>
    <w:link w:val="Ttulo4"/>
    <w:uiPriority w:val="9"/>
    <w:rsid w:val="00866660"/>
    <w:rPr>
      <w:rFonts w:ascii="Arial" w:eastAsiaTheme="majorEastAsia" w:hAnsi="Arial" w:cstheme="majorBidi"/>
      <w:i/>
      <w:iCs/>
      <w:sz w:val="24"/>
    </w:rPr>
  </w:style>
  <w:style w:type="paragraph" w:styleId="Pr-formataoHTML">
    <w:name w:val="HTML Preformatted"/>
    <w:basedOn w:val="Normal"/>
    <w:link w:val="Pr-formataoHTMLChar"/>
    <w:uiPriority w:val="99"/>
    <w:semiHidden/>
    <w:unhideWhenUsed/>
    <w:rsid w:val="004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21460"/>
    <w:rPr>
      <w:rFonts w:ascii="Courier New" w:eastAsia="Times New Roman" w:hAnsi="Courier New" w:cs="Courier New"/>
      <w:sz w:val="20"/>
      <w:szCs w:val="20"/>
      <w:lang w:eastAsia="pt-BR"/>
    </w:rPr>
  </w:style>
  <w:style w:type="paragraph" w:styleId="Sumrio4">
    <w:name w:val="toc 4"/>
    <w:basedOn w:val="Sumrio3"/>
    <w:autoRedefine/>
    <w:uiPriority w:val="39"/>
    <w:semiHidden/>
    <w:unhideWhenUsed/>
    <w:qFormat/>
    <w:rsid w:val="00866660"/>
    <w:rPr>
      <w:b w:val="0"/>
      <w:i/>
    </w:rPr>
  </w:style>
  <w:style w:type="paragraph" w:customStyle="1" w:styleId="centralizado">
    <w:name w:val="centralizado"/>
    <w:basedOn w:val="Normal"/>
    <w:pPr>
      <w:spacing w:afterLines="0" w:after="160" w:line="240" w:lineRule="auto"/>
      <w:ind w:firstLine="0"/>
      <w:jc w:val="center"/>
    </w:pPr>
    <w:rPr>
      <w:rFonts w:eastAsia="Arial" w:cs="Arial"/>
      <w:szCs w:val="24"/>
      <w:lang w:val="en-US" w:eastAsia="pt-BR"/>
    </w:rPr>
  </w:style>
  <w:style w:type="paragraph" w:customStyle="1" w:styleId="Pa9">
    <w:name w:val="Pa9"/>
    <w:basedOn w:val="Normal"/>
    <w:next w:val="Normal"/>
    <w:uiPriority w:val="99"/>
    <w:rsid w:val="00ED5917"/>
    <w:pPr>
      <w:autoSpaceDE w:val="0"/>
      <w:autoSpaceDN w:val="0"/>
      <w:adjustRightInd w:val="0"/>
      <w:spacing w:afterLines="0" w:after="0" w:line="161" w:lineRule="atLeast"/>
      <w:ind w:firstLine="0"/>
      <w:jc w:val="left"/>
    </w:pPr>
    <w:rPr>
      <w:rFonts w:ascii="Amasis MT" w:hAnsi="Amasis MT"/>
      <w:szCs w:val="24"/>
    </w:rPr>
  </w:style>
  <w:style w:type="paragraph" w:customStyle="1" w:styleId="Pa4">
    <w:name w:val="Pa4"/>
    <w:basedOn w:val="Normal"/>
    <w:next w:val="Normal"/>
    <w:uiPriority w:val="99"/>
    <w:rsid w:val="00F61986"/>
    <w:pPr>
      <w:autoSpaceDE w:val="0"/>
      <w:autoSpaceDN w:val="0"/>
      <w:adjustRightInd w:val="0"/>
      <w:spacing w:afterLines="0" w:after="0" w:line="181" w:lineRule="atLeast"/>
      <w:ind w:firstLine="0"/>
      <w:jc w:val="left"/>
    </w:pPr>
    <w:rPr>
      <w:rFonts w:ascii="Amasis MT" w:hAnsi="Amasis MT"/>
      <w:szCs w:val="24"/>
    </w:rPr>
  </w:style>
  <w:style w:type="paragraph" w:customStyle="1" w:styleId="Pa12">
    <w:name w:val="Pa12"/>
    <w:basedOn w:val="Normal"/>
    <w:next w:val="Normal"/>
    <w:uiPriority w:val="99"/>
    <w:rsid w:val="00F61986"/>
    <w:pPr>
      <w:autoSpaceDE w:val="0"/>
      <w:autoSpaceDN w:val="0"/>
      <w:adjustRightInd w:val="0"/>
      <w:spacing w:afterLines="0" w:after="0" w:line="161" w:lineRule="atLeast"/>
      <w:ind w:firstLine="0"/>
      <w:jc w:val="left"/>
    </w:pPr>
    <w:rPr>
      <w:rFonts w:ascii="Amasis MT" w:hAnsi="Amasis MT"/>
      <w:szCs w:val="24"/>
    </w:rPr>
  </w:style>
  <w:style w:type="character" w:customStyle="1" w:styleId="y2iqfc">
    <w:name w:val="y2iqfc"/>
    <w:basedOn w:val="Fontepargpadro"/>
    <w:rsid w:val="00046C0A"/>
  </w:style>
  <w:style w:type="character" w:styleId="MenoPendente">
    <w:name w:val="Unresolved Mention"/>
    <w:basedOn w:val="Fontepargpadro"/>
    <w:uiPriority w:val="99"/>
    <w:semiHidden/>
    <w:unhideWhenUsed/>
    <w:rsid w:val="00DD02DA"/>
    <w:rPr>
      <w:color w:val="605E5C"/>
      <w:shd w:val="clear" w:color="auto" w:fill="E1DFDD"/>
    </w:rPr>
  </w:style>
  <w:style w:type="paragraph" w:styleId="NormalWeb">
    <w:name w:val="Normal (Web)"/>
    <w:basedOn w:val="Normal"/>
    <w:uiPriority w:val="99"/>
    <w:unhideWhenUsed/>
    <w:rsid w:val="006D5E32"/>
    <w:pPr>
      <w:spacing w:before="100" w:beforeAutospacing="1" w:afterLines="0" w:after="100" w:afterAutospacing="1" w:line="240" w:lineRule="auto"/>
      <w:ind w:firstLine="0"/>
      <w:jc w:val="left"/>
    </w:pPr>
    <w:rPr>
      <w:rFonts w:ascii="Times New Roman" w:eastAsia="Times New Roman" w:hAnsi="Times New Roman" w:cs="Times New Roman"/>
      <w:szCs w:val="24"/>
      <w:lang w:eastAsia="pt-BR"/>
    </w:rPr>
  </w:style>
  <w:style w:type="paragraph" w:customStyle="1" w:styleId="Default">
    <w:name w:val="Default"/>
    <w:rsid w:val="00C91F45"/>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2B4F0B"/>
    <w:rPr>
      <w:color w:val="808080"/>
    </w:rPr>
  </w:style>
  <w:style w:type="character" w:styleId="Forte">
    <w:name w:val="Strong"/>
    <w:basedOn w:val="Fontepargpadro"/>
    <w:uiPriority w:val="22"/>
    <w:qFormat/>
    <w:rsid w:val="0047589C"/>
    <w:rPr>
      <w:b/>
      <w:bCs/>
    </w:rPr>
  </w:style>
  <w:style w:type="character" w:styleId="Refdecomentrio">
    <w:name w:val="annotation reference"/>
    <w:basedOn w:val="Fontepargpadro"/>
    <w:uiPriority w:val="99"/>
    <w:semiHidden/>
    <w:unhideWhenUsed/>
    <w:rsid w:val="00CD3BF2"/>
    <w:rPr>
      <w:sz w:val="16"/>
      <w:szCs w:val="16"/>
    </w:rPr>
  </w:style>
  <w:style w:type="paragraph" w:styleId="Textodecomentrio">
    <w:name w:val="annotation text"/>
    <w:basedOn w:val="Normal"/>
    <w:link w:val="TextodecomentrioChar"/>
    <w:uiPriority w:val="99"/>
    <w:semiHidden/>
    <w:unhideWhenUsed/>
    <w:rsid w:val="00CD3B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3BF2"/>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CD3BF2"/>
    <w:rPr>
      <w:b/>
      <w:bCs/>
    </w:rPr>
  </w:style>
  <w:style w:type="character" w:customStyle="1" w:styleId="AssuntodocomentrioChar">
    <w:name w:val="Assunto do comentário Char"/>
    <w:basedOn w:val="TextodecomentrioChar"/>
    <w:link w:val="Assuntodocomentrio"/>
    <w:uiPriority w:val="99"/>
    <w:semiHidden/>
    <w:rsid w:val="00CD3B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5493">
      <w:bodyDiv w:val="1"/>
      <w:marLeft w:val="0"/>
      <w:marRight w:val="0"/>
      <w:marTop w:val="0"/>
      <w:marBottom w:val="0"/>
      <w:divBdr>
        <w:top w:val="none" w:sz="0" w:space="0" w:color="auto"/>
        <w:left w:val="none" w:sz="0" w:space="0" w:color="auto"/>
        <w:bottom w:val="none" w:sz="0" w:space="0" w:color="auto"/>
        <w:right w:val="none" w:sz="0" w:space="0" w:color="auto"/>
      </w:divBdr>
    </w:div>
    <w:div w:id="177891609">
      <w:bodyDiv w:val="1"/>
      <w:marLeft w:val="0"/>
      <w:marRight w:val="0"/>
      <w:marTop w:val="0"/>
      <w:marBottom w:val="0"/>
      <w:divBdr>
        <w:top w:val="none" w:sz="0" w:space="0" w:color="auto"/>
        <w:left w:val="none" w:sz="0" w:space="0" w:color="auto"/>
        <w:bottom w:val="none" w:sz="0" w:space="0" w:color="auto"/>
        <w:right w:val="none" w:sz="0" w:space="0" w:color="auto"/>
      </w:divBdr>
    </w:div>
    <w:div w:id="307321768">
      <w:bodyDiv w:val="1"/>
      <w:marLeft w:val="0"/>
      <w:marRight w:val="0"/>
      <w:marTop w:val="0"/>
      <w:marBottom w:val="0"/>
      <w:divBdr>
        <w:top w:val="none" w:sz="0" w:space="0" w:color="auto"/>
        <w:left w:val="none" w:sz="0" w:space="0" w:color="auto"/>
        <w:bottom w:val="none" w:sz="0" w:space="0" w:color="auto"/>
        <w:right w:val="none" w:sz="0" w:space="0" w:color="auto"/>
      </w:divBdr>
    </w:div>
    <w:div w:id="371883251">
      <w:bodyDiv w:val="1"/>
      <w:marLeft w:val="0"/>
      <w:marRight w:val="0"/>
      <w:marTop w:val="0"/>
      <w:marBottom w:val="0"/>
      <w:divBdr>
        <w:top w:val="none" w:sz="0" w:space="0" w:color="auto"/>
        <w:left w:val="none" w:sz="0" w:space="0" w:color="auto"/>
        <w:bottom w:val="none" w:sz="0" w:space="0" w:color="auto"/>
        <w:right w:val="none" w:sz="0" w:space="0" w:color="auto"/>
      </w:divBdr>
    </w:div>
    <w:div w:id="425079068">
      <w:bodyDiv w:val="1"/>
      <w:marLeft w:val="0"/>
      <w:marRight w:val="0"/>
      <w:marTop w:val="0"/>
      <w:marBottom w:val="0"/>
      <w:divBdr>
        <w:top w:val="none" w:sz="0" w:space="0" w:color="auto"/>
        <w:left w:val="none" w:sz="0" w:space="0" w:color="auto"/>
        <w:bottom w:val="none" w:sz="0" w:space="0" w:color="auto"/>
        <w:right w:val="none" w:sz="0" w:space="0" w:color="auto"/>
      </w:divBdr>
    </w:div>
    <w:div w:id="441263877">
      <w:bodyDiv w:val="1"/>
      <w:marLeft w:val="0"/>
      <w:marRight w:val="0"/>
      <w:marTop w:val="0"/>
      <w:marBottom w:val="0"/>
      <w:divBdr>
        <w:top w:val="none" w:sz="0" w:space="0" w:color="auto"/>
        <w:left w:val="none" w:sz="0" w:space="0" w:color="auto"/>
        <w:bottom w:val="none" w:sz="0" w:space="0" w:color="auto"/>
        <w:right w:val="none" w:sz="0" w:space="0" w:color="auto"/>
      </w:divBdr>
    </w:div>
    <w:div w:id="482816677">
      <w:bodyDiv w:val="1"/>
      <w:marLeft w:val="0"/>
      <w:marRight w:val="0"/>
      <w:marTop w:val="0"/>
      <w:marBottom w:val="0"/>
      <w:divBdr>
        <w:top w:val="none" w:sz="0" w:space="0" w:color="auto"/>
        <w:left w:val="none" w:sz="0" w:space="0" w:color="auto"/>
        <w:bottom w:val="none" w:sz="0" w:space="0" w:color="auto"/>
        <w:right w:val="none" w:sz="0" w:space="0" w:color="auto"/>
      </w:divBdr>
    </w:div>
    <w:div w:id="700281992">
      <w:bodyDiv w:val="1"/>
      <w:marLeft w:val="0"/>
      <w:marRight w:val="0"/>
      <w:marTop w:val="0"/>
      <w:marBottom w:val="0"/>
      <w:divBdr>
        <w:top w:val="none" w:sz="0" w:space="0" w:color="auto"/>
        <w:left w:val="none" w:sz="0" w:space="0" w:color="auto"/>
        <w:bottom w:val="none" w:sz="0" w:space="0" w:color="auto"/>
        <w:right w:val="none" w:sz="0" w:space="0" w:color="auto"/>
      </w:divBdr>
    </w:div>
    <w:div w:id="763112917">
      <w:bodyDiv w:val="1"/>
      <w:marLeft w:val="0"/>
      <w:marRight w:val="0"/>
      <w:marTop w:val="0"/>
      <w:marBottom w:val="0"/>
      <w:divBdr>
        <w:top w:val="none" w:sz="0" w:space="0" w:color="auto"/>
        <w:left w:val="none" w:sz="0" w:space="0" w:color="auto"/>
        <w:bottom w:val="none" w:sz="0" w:space="0" w:color="auto"/>
        <w:right w:val="none" w:sz="0" w:space="0" w:color="auto"/>
      </w:divBdr>
    </w:div>
    <w:div w:id="899900094">
      <w:bodyDiv w:val="1"/>
      <w:marLeft w:val="0"/>
      <w:marRight w:val="0"/>
      <w:marTop w:val="0"/>
      <w:marBottom w:val="0"/>
      <w:divBdr>
        <w:top w:val="none" w:sz="0" w:space="0" w:color="auto"/>
        <w:left w:val="none" w:sz="0" w:space="0" w:color="auto"/>
        <w:bottom w:val="none" w:sz="0" w:space="0" w:color="auto"/>
        <w:right w:val="none" w:sz="0" w:space="0" w:color="auto"/>
      </w:divBdr>
    </w:div>
    <w:div w:id="940063984">
      <w:bodyDiv w:val="1"/>
      <w:marLeft w:val="0"/>
      <w:marRight w:val="0"/>
      <w:marTop w:val="0"/>
      <w:marBottom w:val="0"/>
      <w:divBdr>
        <w:top w:val="none" w:sz="0" w:space="0" w:color="auto"/>
        <w:left w:val="none" w:sz="0" w:space="0" w:color="auto"/>
        <w:bottom w:val="none" w:sz="0" w:space="0" w:color="auto"/>
        <w:right w:val="none" w:sz="0" w:space="0" w:color="auto"/>
      </w:divBdr>
    </w:div>
    <w:div w:id="1166476394">
      <w:bodyDiv w:val="1"/>
      <w:marLeft w:val="0"/>
      <w:marRight w:val="0"/>
      <w:marTop w:val="0"/>
      <w:marBottom w:val="0"/>
      <w:divBdr>
        <w:top w:val="none" w:sz="0" w:space="0" w:color="auto"/>
        <w:left w:val="none" w:sz="0" w:space="0" w:color="auto"/>
        <w:bottom w:val="none" w:sz="0" w:space="0" w:color="auto"/>
        <w:right w:val="none" w:sz="0" w:space="0" w:color="auto"/>
      </w:divBdr>
    </w:div>
    <w:div w:id="1181698766">
      <w:bodyDiv w:val="1"/>
      <w:marLeft w:val="0"/>
      <w:marRight w:val="0"/>
      <w:marTop w:val="0"/>
      <w:marBottom w:val="0"/>
      <w:divBdr>
        <w:top w:val="none" w:sz="0" w:space="0" w:color="auto"/>
        <w:left w:val="none" w:sz="0" w:space="0" w:color="auto"/>
        <w:bottom w:val="none" w:sz="0" w:space="0" w:color="auto"/>
        <w:right w:val="none" w:sz="0" w:space="0" w:color="auto"/>
      </w:divBdr>
    </w:div>
    <w:div w:id="1336689172">
      <w:bodyDiv w:val="1"/>
      <w:marLeft w:val="0"/>
      <w:marRight w:val="0"/>
      <w:marTop w:val="0"/>
      <w:marBottom w:val="0"/>
      <w:divBdr>
        <w:top w:val="none" w:sz="0" w:space="0" w:color="auto"/>
        <w:left w:val="none" w:sz="0" w:space="0" w:color="auto"/>
        <w:bottom w:val="none" w:sz="0" w:space="0" w:color="auto"/>
        <w:right w:val="none" w:sz="0" w:space="0" w:color="auto"/>
      </w:divBdr>
    </w:div>
    <w:div w:id="1339843505">
      <w:bodyDiv w:val="1"/>
      <w:marLeft w:val="0"/>
      <w:marRight w:val="0"/>
      <w:marTop w:val="0"/>
      <w:marBottom w:val="0"/>
      <w:divBdr>
        <w:top w:val="none" w:sz="0" w:space="0" w:color="auto"/>
        <w:left w:val="none" w:sz="0" w:space="0" w:color="auto"/>
        <w:bottom w:val="none" w:sz="0" w:space="0" w:color="auto"/>
        <w:right w:val="none" w:sz="0" w:space="0" w:color="auto"/>
      </w:divBdr>
    </w:div>
    <w:div w:id="1348022518">
      <w:bodyDiv w:val="1"/>
      <w:marLeft w:val="0"/>
      <w:marRight w:val="0"/>
      <w:marTop w:val="0"/>
      <w:marBottom w:val="0"/>
      <w:divBdr>
        <w:top w:val="none" w:sz="0" w:space="0" w:color="auto"/>
        <w:left w:val="none" w:sz="0" w:space="0" w:color="auto"/>
        <w:bottom w:val="none" w:sz="0" w:space="0" w:color="auto"/>
        <w:right w:val="none" w:sz="0" w:space="0" w:color="auto"/>
      </w:divBdr>
    </w:div>
    <w:div w:id="1404525141">
      <w:bodyDiv w:val="1"/>
      <w:marLeft w:val="0"/>
      <w:marRight w:val="0"/>
      <w:marTop w:val="0"/>
      <w:marBottom w:val="0"/>
      <w:divBdr>
        <w:top w:val="none" w:sz="0" w:space="0" w:color="auto"/>
        <w:left w:val="none" w:sz="0" w:space="0" w:color="auto"/>
        <w:bottom w:val="none" w:sz="0" w:space="0" w:color="auto"/>
        <w:right w:val="none" w:sz="0" w:space="0" w:color="auto"/>
      </w:divBdr>
    </w:div>
    <w:div w:id="1417747046">
      <w:bodyDiv w:val="1"/>
      <w:marLeft w:val="0"/>
      <w:marRight w:val="0"/>
      <w:marTop w:val="0"/>
      <w:marBottom w:val="0"/>
      <w:divBdr>
        <w:top w:val="none" w:sz="0" w:space="0" w:color="auto"/>
        <w:left w:val="none" w:sz="0" w:space="0" w:color="auto"/>
        <w:bottom w:val="none" w:sz="0" w:space="0" w:color="auto"/>
        <w:right w:val="none" w:sz="0" w:space="0" w:color="auto"/>
      </w:divBdr>
    </w:div>
    <w:div w:id="1444692806">
      <w:bodyDiv w:val="1"/>
      <w:marLeft w:val="0"/>
      <w:marRight w:val="0"/>
      <w:marTop w:val="0"/>
      <w:marBottom w:val="0"/>
      <w:divBdr>
        <w:top w:val="none" w:sz="0" w:space="0" w:color="auto"/>
        <w:left w:val="none" w:sz="0" w:space="0" w:color="auto"/>
        <w:bottom w:val="none" w:sz="0" w:space="0" w:color="auto"/>
        <w:right w:val="none" w:sz="0" w:space="0" w:color="auto"/>
      </w:divBdr>
    </w:div>
    <w:div w:id="1547914435">
      <w:bodyDiv w:val="1"/>
      <w:marLeft w:val="0"/>
      <w:marRight w:val="0"/>
      <w:marTop w:val="0"/>
      <w:marBottom w:val="0"/>
      <w:divBdr>
        <w:top w:val="none" w:sz="0" w:space="0" w:color="auto"/>
        <w:left w:val="none" w:sz="0" w:space="0" w:color="auto"/>
        <w:bottom w:val="none" w:sz="0" w:space="0" w:color="auto"/>
        <w:right w:val="none" w:sz="0" w:space="0" w:color="auto"/>
      </w:divBdr>
    </w:div>
    <w:div w:id="1593734137">
      <w:bodyDiv w:val="1"/>
      <w:marLeft w:val="0"/>
      <w:marRight w:val="0"/>
      <w:marTop w:val="0"/>
      <w:marBottom w:val="0"/>
      <w:divBdr>
        <w:top w:val="none" w:sz="0" w:space="0" w:color="auto"/>
        <w:left w:val="none" w:sz="0" w:space="0" w:color="auto"/>
        <w:bottom w:val="none" w:sz="0" w:space="0" w:color="auto"/>
        <w:right w:val="none" w:sz="0" w:space="0" w:color="auto"/>
      </w:divBdr>
    </w:div>
    <w:div w:id="1650205030">
      <w:bodyDiv w:val="1"/>
      <w:marLeft w:val="0"/>
      <w:marRight w:val="0"/>
      <w:marTop w:val="0"/>
      <w:marBottom w:val="0"/>
      <w:divBdr>
        <w:top w:val="none" w:sz="0" w:space="0" w:color="auto"/>
        <w:left w:val="none" w:sz="0" w:space="0" w:color="auto"/>
        <w:bottom w:val="none" w:sz="0" w:space="0" w:color="auto"/>
        <w:right w:val="none" w:sz="0" w:space="0" w:color="auto"/>
      </w:divBdr>
    </w:div>
    <w:div w:id="1665739844">
      <w:bodyDiv w:val="1"/>
      <w:marLeft w:val="0"/>
      <w:marRight w:val="0"/>
      <w:marTop w:val="0"/>
      <w:marBottom w:val="0"/>
      <w:divBdr>
        <w:top w:val="none" w:sz="0" w:space="0" w:color="auto"/>
        <w:left w:val="none" w:sz="0" w:space="0" w:color="auto"/>
        <w:bottom w:val="none" w:sz="0" w:space="0" w:color="auto"/>
        <w:right w:val="none" w:sz="0" w:space="0" w:color="auto"/>
      </w:divBdr>
    </w:div>
    <w:div w:id="1709723867">
      <w:bodyDiv w:val="1"/>
      <w:marLeft w:val="0"/>
      <w:marRight w:val="0"/>
      <w:marTop w:val="0"/>
      <w:marBottom w:val="0"/>
      <w:divBdr>
        <w:top w:val="none" w:sz="0" w:space="0" w:color="auto"/>
        <w:left w:val="none" w:sz="0" w:space="0" w:color="auto"/>
        <w:bottom w:val="none" w:sz="0" w:space="0" w:color="auto"/>
        <w:right w:val="none" w:sz="0" w:space="0" w:color="auto"/>
      </w:divBdr>
    </w:div>
    <w:div w:id="1710184536">
      <w:bodyDiv w:val="1"/>
      <w:marLeft w:val="0"/>
      <w:marRight w:val="0"/>
      <w:marTop w:val="0"/>
      <w:marBottom w:val="0"/>
      <w:divBdr>
        <w:top w:val="none" w:sz="0" w:space="0" w:color="auto"/>
        <w:left w:val="none" w:sz="0" w:space="0" w:color="auto"/>
        <w:bottom w:val="none" w:sz="0" w:space="0" w:color="auto"/>
        <w:right w:val="none" w:sz="0" w:space="0" w:color="auto"/>
      </w:divBdr>
    </w:div>
    <w:div w:id="1746755708">
      <w:bodyDiv w:val="1"/>
      <w:marLeft w:val="0"/>
      <w:marRight w:val="0"/>
      <w:marTop w:val="0"/>
      <w:marBottom w:val="0"/>
      <w:divBdr>
        <w:top w:val="none" w:sz="0" w:space="0" w:color="auto"/>
        <w:left w:val="none" w:sz="0" w:space="0" w:color="auto"/>
        <w:bottom w:val="none" w:sz="0" w:space="0" w:color="auto"/>
        <w:right w:val="none" w:sz="0" w:space="0" w:color="auto"/>
      </w:divBdr>
    </w:div>
    <w:div w:id="1752703031">
      <w:bodyDiv w:val="1"/>
      <w:marLeft w:val="0"/>
      <w:marRight w:val="0"/>
      <w:marTop w:val="0"/>
      <w:marBottom w:val="0"/>
      <w:divBdr>
        <w:top w:val="none" w:sz="0" w:space="0" w:color="auto"/>
        <w:left w:val="none" w:sz="0" w:space="0" w:color="auto"/>
        <w:bottom w:val="none" w:sz="0" w:space="0" w:color="auto"/>
        <w:right w:val="none" w:sz="0" w:space="0" w:color="auto"/>
      </w:divBdr>
    </w:div>
    <w:div w:id="1803230734">
      <w:bodyDiv w:val="1"/>
      <w:marLeft w:val="0"/>
      <w:marRight w:val="0"/>
      <w:marTop w:val="0"/>
      <w:marBottom w:val="0"/>
      <w:divBdr>
        <w:top w:val="none" w:sz="0" w:space="0" w:color="auto"/>
        <w:left w:val="none" w:sz="0" w:space="0" w:color="auto"/>
        <w:bottom w:val="none" w:sz="0" w:space="0" w:color="auto"/>
        <w:right w:val="none" w:sz="0" w:space="0" w:color="auto"/>
      </w:divBdr>
    </w:div>
    <w:div w:id="1925217998">
      <w:bodyDiv w:val="1"/>
      <w:marLeft w:val="0"/>
      <w:marRight w:val="0"/>
      <w:marTop w:val="0"/>
      <w:marBottom w:val="0"/>
      <w:divBdr>
        <w:top w:val="none" w:sz="0" w:space="0" w:color="auto"/>
        <w:left w:val="none" w:sz="0" w:space="0" w:color="auto"/>
        <w:bottom w:val="none" w:sz="0" w:space="0" w:color="auto"/>
        <w:right w:val="none" w:sz="0" w:space="0" w:color="auto"/>
      </w:divBdr>
    </w:div>
    <w:div w:id="1944263071">
      <w:bodyDiv w:val="1"/>
      <w:marLeft w:val="0"/>
      <w:marRight w:val="0"/>
      <w:marTop w:val="0"/>
      <w:marBottom w:val="0"/>
      <w:divBdr>
        <w:top w:val="none" w:sz="0" w:space="0" w:color="auto"/>
        <w:left w:val="none" w:sz="0" w:space="0" w:color="auto"/>
        <w:bottom w:val="none" w:sz="0" w:space="0" w:color="auto"/>
        <w:right w:val="none" w:sz="0" w:space="0" w:color="auto"/>
      </w:divBdr>
    </w:div>
    <w:div w:id="1967268770">
      <w:bodyDiv w:val="1"/>
      <w:marLeft w:val="0"/>
      <w:marRight w:val="0"/>
      <w:marTop w:val="0"/>
      <w:marBottom w:val="0"/>
      <w:divBdr>
        <w:top w:val="none" w:sz="0" w:space="0" w:color="auto"/>
        <w:left w:val="none" w:sz="0" w:space="0" w:color="auto"/>
        <w:bottom w:val="none" w:sz="0" w:space="0" w:color="auto"/>
        <w:right w:val="none" w:sz="0" w:space="0" w:color="auto"/>
      </w:divBdr>
    </w:div>
    <w:div w:id="2021614780">
      <w:bodyDiv w:val="1"/>
      <w:marLeft w:val="0"/>
      <w:marRight w:val="0"/>
      <w:marTop w:val="0"/>
      <w:marBottom w:val="0"/>
      <w:divBdr>
        <w:top w:val="none" w:sz="0" w:space="0" w:color="auto"/>
        <w:left w:val="none" w:sz="0" w:space="0" w:color="auto"/>
        <w:bottom w:val="none" w:sz="0" w:space="0" w:color="auto"/>
        <w:right w:val="none" w:sz="0" w:space="0" w:color="auto"/>
      </w:divBdr>
    </w:div>
    <w:div w:id="2067024433">
      <w:bodyDiv w:val="1"/>
      <w:marLeft w:val="0"/>
      <w:marRight w:val="0"/>
      <w:marTop w:val="0"/>
      <w:marBottom w:val="0"/>
      <w:divBdr>
        <w:top w:val="none" w:sz="0" w:space="0" w:color="auto"/>
        <w:left w:val="none" w:sz="0" w:space="0" w:color="auto"/>
        <w:bottom w:val="none" w:sz="0" w:space="0" w:color="auto"/>
        <w:right w:val="none" w:sz="0" w:space="0" w:color="auto"/>
      </w:divBdr>
    </w:div>
    <w:div w:id="2069836381">
      <w:bodyDiv w:val="1"/>
      <w:marLeft w:val="0"/>
      <w:marRight w:val="0"/>
      <w:marTop w:val="0"/>
      <w:marBottom w:val="0"/>
      <w:divBdr>
        <w:top w:val="none" w:sz="0" w:space="0" w:color="auto"/>
        <w:left w:val="none" w:sz="0" w:space="0" w:color="auto"/>
        <w:bottom w:val="none" w:sz="0" w:space="0" w:color="auto"/>
        <w:right w:val="none" w:sz="0" w:space="0" w:color="auto"/>
      </w:divBdr>
    </w:div>
    <w:div w:id="2074233932">
      <w:bodyDiv w:val="1"/>
      <w:marLeft w:val="0"/>
      <w:marRight w:val="0"/>
      <w:marTop w:val="0"/>
      <w:marBottom w:val="0"/>
      <w:divBdr>
        <w:top w:val="none" w:sz="0" w:space="0" w:color="auto"/>
        <w:left w:val="none" w:sz="0" w:space="0" w:color="auto"/>
        <w:bottom w:val="none" w:sz="0" w:space="0" w:color="auto"/>
        <w:right w:val="none" w:sz="0" w:space="0" w:color="auto"/>
      </w:divBdr>
    </w:div>
    <w:div w:id="2099864097">
      <w:bodyDiv w:val="1"/>
      <w:marLeft w:val="0"/>
      <w:marRight w:val="0"/>
      <w:marTop w:val="0"/>
      <w:marBottom w:val="0"/>
      <w:divBdr>
        <w:top w:val="none" w:sz="0" w:space="0" w:color="auto"/>
        <w:left w:val="none" w:sz="0" w:space="0" w:color="auto"/>
        <w:bottom w:val="none" w:sz="0" w:space="0" w:color="auto"/>
        <w:right w:val="none" w:sz="0" w:space="0" w:color="auto"/>
      </w:divBdr>
    </w:div>
    <w:div w:id="21408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5373</Words>
  <Characters>29017</Characters>
  <Application>Microsoft Office Word</Application>
  <DocSecurity>0</DocSecurity>
  <Lines>241</Lines>
  <Paragraphs>68</Paragraphs>
  <ScaleCrop>false</ScaleCrop>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2024-07-13T17:27:00Z</dcterms:created>
  <dcterms:modified xsi:type="dcterms:W3CDTF">2024-07-13T17:29:00Z</dcterms:modified>
</cp:coreProperties>
</file>