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D958B" w14:textId="77777777" w:rsidR="00047138" w:rsidRDefault="00047138">
      <w:pPr>
        <w:pStyle w:val="Corpodetexto"/>
        <w:spacing w:before="121"/>
      </w:pPr>
    </w:p>
    <w:p w14:paraId="71ADF147" w14:textId="05A55892" w:rsidR="00047138" w:rsidRDefault="005E616E" w:rsidP="001E5477">
      <w:pPr>
        <w:pStyle w:val="Ttulo1"/>
        <w:ind w:left="0" w:right="4"/>
        <w:jc w:val="center"/>
        <w:rPr>
          <w:spacing w:val="-2"/>
        </w:rPr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40C3D336" w14:textId="77777777" w:rsidR="00BA3F71" w:rsidRPr="001E5477" w:rsidRDefault="00BA3F71" w:rsidP="001E5477">
      <w:pPr>
        <w:pStyle w:val="Ttulo1"/>
        <w:ind w:left="0" w:right="4"/>
        <w:jc w:val="center"/>
      </w:pPr>
    </w:p>
    <w:p w14:paraId="61767DD3" w14:textId="77777777" w:rsidR="00D24F6F" w:rsidRPr="00D24F6F" w:rsidRDefault="00D24F6F" w:rsidP="00D24F6F">
      <w:pPr>
        <w:widowControl/>
        <w:autoSpaceDE/>
        <w:autoSpaceDN/>
        <w:ind w:left="184" w:right="184"/>
        <w:jc w:val="center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>O USO DO PRONTUÁRIO ELETRÔNICO DO CIDADÃO (PEC) NO CENTRO DE ESPECIALIDADES ODONTOLÓGICAS DA UNIVERSIDADE DO ESTADO DO AMAZONAS: RELATO DE EXPERIÊNCIA.</w:t>
      </w:r>
    </w:p>
    <w:p w14:paraId="19C60383" w14:textId="0B46BC0C" w:rsidR="00D24F6F" w:rsidRPr="00D24F6F" w:rsidRDefault="00C2384C" w:rsidP="00D24F6F">
      <w:pPr>
        <w:widowControl/>
        <w:autoSpaceDE/>
        <w:autoSpaceDN/>
        <w:spacing w:before="243"/>
        <w:ind w:left="184" w:right="191"/>
        <w:jc w:val="center"/>
        <w:divId w:val="1364553107"/>
        <w:rPr>
          <w:rFonts w:eastAsiaTheme="minorEastAsia"/>
          <w:sz w:val="24"/>
          <w:szCs w:val="24"/>
          <w:lang w:val="pt-BR" w:eastAsia="pt-BR"/>
        </w:rPr>
      </w:pPr>
      <w:r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1</w:t>
      </w:r>
      <w:r w:rsidR="00D24F6F"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Mateus Ferreira da Mota; ¹Igor de Souza Oliveira; ¹ Matheus Monteiro Azevedo Vasconcelos de Azevedo; </w:t>
      </w:r>
      <w:r w:rsidR="00D24F6F" w:rsidRPr="00D24F6F"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2</w:t>
      </w:r>
      <w:r w:rsidR="00D24F6F" w:rsidRPr="00D24F6F">
        <w:rPr>
          <w:rFonts w:eastAsiaTheme="minorEastAsia"/>
          <w:color w:val="000000"/>
          <w:sz w:val="24"/>
          <w:szCs w:val="24"/>
          <w:lang w:val="pt-BR" w:eastAsia="pt-BR"/>
        </w:rPr>
        <w:t>Fabíola Mendonça da Silva Chui.</w:t>
      </w:r>
    </w:p>
    <w:p w14:paraId="5C8175BB" w14:textId="77777777" w:rsidR="00D24F6F" w:rsidRPr="00D24F6F" w:rsidRDefault="00D24F6F" w:rsidP="00D24F6F">
      <w:pPr>
        <w:widowControl/>
        <w:autoSpaceDE/>
        <w:autoSpaceDN/>
        <w:spacing w:before="237"/>
        <w:ind w:left="184" w:right="174"/>
        <w:jc w:val="center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1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Graduando em Odontologia pela Universidade do Estado  do Amazonas; </w:t>
      </w:r>
      <w:r w:rsidRPr="00D24F6F"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2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Professora Associada da Universidade do Estado do Amazonas</w:t>
      </w:r>
    </w:p>
    <w:p w14:paraId="6D8E692A" w14:textId="77777777" w:rsidR="00D24F6F" w:rsidRPr="00D24F6F" w:rsidRDefault="00D24F6F" w:rsidP="00D24F6F">
      <w:pPr>
        <w:widowControl/>
        <w:autoSpaceDE/>
        <w:autoSpaceDN/>
        <w:divId w:val="1364553107"/>
        <w:rPr>
          <w:sz w:val="24"/>
          <w:szCs w:val="24"/>
          <w:lang w:val="pt-BR" w:eastAsia="pt-BR"/>
        </w:rPr>
      </w:pPr>
    </w:p>
    <w:p w14:paraId="0B654F1F" w14:textId="14BAB65C" w:rsidR="00D24F6F" w:rsidRPr="00D24F6F" w:rsidRDefault="00D24F6F" w:rsidP="00D24F6F">
      <w:pPr>
        <w:widowControl/>
        <w:autoSpaceDE/>
        <w:autoSpaceDN/>
        <w:jc w:val="both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 xml:space="preserve">  Área temática: 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SAÚDE </w:t>
      </w:r>
      <w:r w:rsidR="00EF6143">
        <w:rPr>
          <w:rFonts w:eastAsiaTheme="minorEastAsia"/>
          <w:color w:val="000000"/>
          <w:sz w:val="24"/>
          <w:szCs w:val="24"/>
          <w:lang w:val="pt-BR" w:eastAsia="pt-BR"/>
        </w:rPr>
        <w:t>COLETIVA</w:t>
      </w:r>
    </w:p>
    <w:p w14:paraId="48990A17" w14:textId="77777777" w:rsidR="00D24F6F" w:rsidRPr="00D24F6F" w:rsidRDefault="00D24F6F" w:rsidP="00D24F6F">
      <w:pPr>
        <w:widowControl/>
        <w:autoSpaceDE/>
        <w:autoSpaceDN/>
        <w:spacing w:before="247"/>
        <w:ind w:left="130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 xml:space="preserve">Modalidade: 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RELATO DE EXPERIÊNCIA </w:t>
      </w:r>
    </w:p>
    <w:p w14:paraId="3224E62E" w14:textId="77777777" w:rsidR="00D24F6F" w:rsidRPr="00D24F6F" w:rsidRDefault="00D24F6F" w:rsidP="00D24F6F">
      <w:pPr>
        <w:widowControl/>
        <w:autoSpaceDE/>
        <w:autoSpaceDN/>
        <w:spacing w:before="243"/>
        <w:ind w:left="130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t xml:space="preserve">E-mail dos autores: 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mfdm.odo21@uea.edu.br¹; isdo.odo17@uea.edu.br</w:t>
      </w:r>
      <w:r w:rsidRPr="00D24F6F">
        <w:rPr>
          <w:rFonts w:eastAsiaTheme="minorEastAsia"/>
          <w:color w:val="467885"/>
          <w:sz w:val="24"/>
          <w:szCs w:val="24"/>
          <w:lang w:val="pt-BR" w:eastAsia="pt-BR"/>
        </w:rPr>
        <w:t xml:space="preserve"> 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²; 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mmvda.odo19@uea.edu.br</w:t>
      </w:r>
      <w:r w:rsidRPr="00D24F6F"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3</w:t>
      </w:r>
      <w:proofErr w:type="spellEnd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; 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fchui@uea.edu.br</w:t>
      </w:r>
      <w:r w:rsidRPr="00D24F6F">
        <w:rPr>
          <w:rFonts w:eastAsiaTheme="minorEastAsia"/>
          <w:color w:val="000000"/>
          <w:sz w:val="14"/>
          <w:szCs w:val="14"/>
          <w:vertAlign w:val="superscript"/>
          <w:lang w:val="pt-BR" w:eastAsia="pt-BR"/>
        </w:rPr>
        <w:t>4</w:t>
      </w:r>
      <w:proofErr w:type="spellEnd"/>
    </w:p>
    <w:p w14:paraId="4C9F33AC" w14:textId="77777777" w:rsidR="00D24F6F" w:rsidRPr="00D24F6F" w:rsidRDefault="00D24F6F" w:rsidP="00D24F6F">
      <w:pPr>
        <w:widowControl/>
        <w:autoSpaceDE/>
        <w:autoSpaceDN/>
        <w:divId w:val="1364553107"/>
        <w:rPr>
          <w:sz w:val="24"/>
          <w:szCs w:val="24"/>
          <w:lang w:val="pt-BR" w:eastAsia="pt-BR"/>
        </w:rPr>
      </w:pPr>
    </w:p>
    <w:p w14:paraId="128E39D5" w14:textId="77777777" w:rsidR="00D24F6F" w:rsidRPr="00D24F6F" w:rsidRDefault="00D24F6F" w:rsidP="00D24F6F">
      <w:pPr>
        <w:widowControl/>
        <w:autoSpaceDE/>
        <w:autoSpaceDN/>
        <w:spacing w:before="1"/>
        <w:ind w:right="184"/>
        <w:jc w:val="center"/>
        <w:outlineLvl w:val="0"/>
        <w:divId w:val="1364553107"/>
        <w:rPr>
          <w:b/>
          <w:bCs/>
          <w:kern w:val="36"/>
          <w:sz w:val="48"/>
          <w:szCs w:val="48"/>
          <w:lang w:val="pt-BR" w:eastAsia="pt-BR"/>
        </w:rPr>
      </w:pPr>
      <w:r w:rsidRPr="00D24F6F">
        <w:rPr>
          <w:b/>
          <w:bCs/>
          <w:color w:val="000000"/>
          <w:kern w:val="36"/>
          <w:sz w:val="24"/>
          <w:szCs w:val="24"/>
          <w:lang w:val="pt-BR" w:eastAsia="pt-BR"/>
        </w:rPr>
        <w:t>RESUMO</w:t>
      </w:r>
    </w:p>
    <w:p w14:paraId="754D6CE1" w14:textId="77777777" w:rsidR="00D24F6F" w:rsidRPr="00D24F6F" w:rsidRDefault="00D24F6F" w:rsidP="00D24F6F">
      <w:pPr>
        <w:widowControl/>
        <w:autoSpaceDE/>
        <w:autoSpaceDN/>
        <w:spacing w:before="240" w:after="240"/>
        <w:jc w:val="both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Como estudante de odontologia, tive a oportunidade de vivenciar a rotina de um Centro de Especialidades Odontológicas (CEO) e, com ela, a experiência de utilizar o Prontuário Eletrônico do Cidadão (PEC). A complexidade do sistema exigiu um período de adaptação e treinamento para que pudéssemos dominar suas funcionalidades e potencializar seu uso na prática clínica. Uma das maiores dificuldades encontradas foi a familiarização com a nomenclatura e os campos específicos do PEC. No entanto, com o auxílio de tutores e colegas, conseguimos compreender a importância de cada informação inserida no prontuário. Aprender a preencher corretamente campos como “exame subjetivo”, “exame objetivo”, “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odontograma</w:t>
      </w:r>
      <w:proofErr w:type="spellEnd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” e “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periograma</w:t>
      </w:r>
      <w:proofErr w:type="spellEnd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 simplificado” foi fundamental para a construção de um diagnóstico preciso e a elaboração de um plano de tratamento eficaz. A utilização do PEC nos proporcionou um aprendizado prático e significativo. Ao registrar detalhadamente cada etapa do atendimento, desde a anamnese até o plano de tratamento, desenvolvemos habilidades de comunicação escrita e organização. Além disso, a centralização das informações do paciente permitiu um acompanhamento mais eficiente da evolução do tratamento e a identificação de possíveis complicações. A discussão de casos clínicos em equipe, com base nos dados registrados no PEC, foi outro ponto alto da nossa experiência. Ao compartilhar nossas observações e análises, aprendemos a construir um olhar mais crítico e a tomar decisões clínicas mais seguras. A possibilidade de acessar o histórico completo do paciente, incluindo tratamentos anteriores e medicamentos utilizados, contribuiu para a personalização do atendimento e a prevenção de erros. A experiência com o PEC nos proporcionou um contato mais próximo com a realidade da saúde bucal no SUS, além de desenvolver habilidades essenciais para a prática odontológica. Ao dominar o PEC, estamos mais preparados para atuar em equipes multidisciplinares e contribuir para a melhoria da qualidade de vida dos nossos pacientes.</w:t>
      </w:r>
    </w:p>
    <w:p w14:paraId="3656DF09" w14:textId="77777777" w:rsidR="00D24F6F" w:rsidRPr="00D24F6F" w:rsidRDefault="00D24F6F" w:rsidP="00D24F6F">
      <w:pPr>
        <w:widowControl/>
        <w:autoSpaceDE/>
        <w:autoSpaceDN/>
        <w:spacing w:before="240" w:after="240"/>
        <w:jc w:val="both"/>
        <w:divId w:val="1364553107"/>
        <w:rPr>
          <w:rFonts w:eastAsiaTheme="minorEastAsia"/>
          <w:sz w:val="24"/>
          <w:szCs w:val="24"/>
          <w:lang w:val="pt-BR" w:eastAsia="pt-BR"/>
        </w:rPr>
      </w:pPr>
      <w:r w:rsidRPr="00D24F6F">
        <w:rPr>
          <w:rFonts w:eastAsiaTheme="minorEastAsia"/>
          <w:b/>
          <w:bCs/>
          <w:color w:val="000000"/>
          <w:sz w:val="24"/>
          <w:szCs w:val="24"/>
          <w:lang w:val="pt-BR" w:eastAsia="pt-BR"/>
        </w:rPr>
        <w:lastRenderedPageBreak/>
        <w:t xml:space="preserve">Palavras-chave: </w:t>
      </w: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Prontuário Eletrônico, Registros Eletrônicos de Saúde, Saúde Pública.</w:t>
      </w:r>
    </w:p>
    <w:p w14:paraId="3DB73A4E" w14:textId="77777777" w:rsidR="00D24F6F" w:rsidRPr="00D24F6F" w:rsidRDefault="00D24F6F" w:rsidP="00D24F6F">
      <w:pPr>
        <w:widowControl/>
        <w:autoSpaceDE/>
        <w:autoSpaceDN/>
        <w:divId w:val="1364553107"/>
        <w:rPr>
          <w:sz w:val="24"/>
          <w:szCs w:val="24"/>
          <w:lang w:val="pt-BR" w:eastAsia="pt-BR"/>
        </w:rPr>
      </w:pPr>
    </w:p>
    <w:p w14:paraId="39449A9A" w14:textId="77777777" w:rsidR="00D24F6F" w:rsidRPr="00D24F6F" w:rsidRDefault="00D24F6F" w:rsidP="00D24F6F">
      <w:pPr>
        <w:widowControl/>
        <w:autoSpaceDE/>
        <w:autoSpaceDN/>
        <w:jc w:val="both"/>
        <w:outlineLvl w:val="0"/>
        <w:divId w:val="1364553107"/>
        <w:rPr>
          <w:b/>
          <w:bCs/>
          <w:kern w:val="36"/>
          <w:sz w:val="48"/>
          <w:szCs w:val="48"/>
          <w:lang w:val="pt-BR" w:eastAsia="pt-BR"/>
        </w:rPr>
      </w:pPr>
      <w:r w:rsidRPr="00D24F6F">
        <w:rPr>
          <w:b/>
          <w:bCs/>
          <w:color w:val="000000"/>
          <w:kern w:val="36"/>
          <w:sz w:val="24"/>
          <w:szCs w:val="24"/>
          <w:lang w:val="pt-BR" w:eastAsia="pt-BR"/>
        </w:rPr>
        <w:t>REFERÊNCIAS: </w:t>
      </w:r>
    </w:p>
    <w:p w14:paraId="17EBDEBD" w14:textId="77777777" w:rsidR="00D24F6F" w:rsidRPr="00D24F6F" w:rsidRDefault="00D24F6F" w:rsidP="00D24F6F">
      <w:pPr>
        <w:widowControl/>
        <w:numPr>
          <w:ilvl w:val="0"/>
          <w:numId w:val="5"/>
        </w:numPr>
        <w:autoSpaceDE/>
        <w:autoSpaceDN/>
        <w:spacing w:before="243"/>
        <w:ind w:left="490"/>
        <w:textAlignment w:val="baseline"/>
        <w:divId w:val="1364553107"/>
        <w:rPr>
          <w:rFonts w:eastAsiaTheme="minorEastAsia"/>
          <w:color w:val="000000"/>
          <w:sz w:val="24"/>
          <w:szCs w:val="24"/>
          <w:lang w:val="pt-BR" w:eastAsia="pt-BR"/>
        </w:rPr>
      </w:pP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Barbosa DV, Nóbrega WFS, Silva GCB, Melo Neto G de M, Feitosa F de SQ. Prontuário eletrônico do cidadão: aceitação e facilidade de uso pelos cirurgiões-dentistas da atenção básica. 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Arch</w:t>
      </w:r>
      <w:proofErr w:type="spellEnd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 xml:space="preserve"> Health Invest. 2020;9(5):414-9. 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doi</w:t>
      </w:r>
      <w:proofErr w:type="spellEnd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: 10.21270/</w:t>
      </w:r>
      <w:proofErr w:type="spellStart"/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archi.v9i5.4795</w:t>
      </w:r>
      <w:proofErr w:type="spellEnd"/>
    </w:p>
    <w:p w14:paraId="4ECCB580" w14:textId="77777777" w:rsidR="00D24F6F" w:rsidRPr="00D24F6F" w:rsidRDefault="00D24F6F" w:rsidP="00D24F6F">
      <w:pPr>
        <w:widowControl/>
        <w:numPr>
          <w:ilvl w:val="0"/>
          <w:numId w:val="5"/>
        </w:numPr>
        <w:autoSpaceDE/>
        <w:autoSpaceDN/>
        <w:spacing w:before="243"/>
        <w:ind w:left="490"/>
        <w:textAlignment w:val="baseline"/>
        <w:divId w:val="1364553107"/>
        <w:rPr>
          <w:rFonts w:eastAsiaTheme="minorEastAsia"/>
          <w:color w:val="000000"/>
          <w:sz w:val="24"/>
          <w:szCs w:val="24"/>
          <w:lang w:val="pt-BR" w:eastAsia="pt-BR"/>
        </w:rPr>
      </w:pP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Nascimento RCD. Potencialidades e limitações do Prontuário Eletrônico do Cidadão (PEC) enquanto ferramenta de gestão de cuidado e planejamento:  avaliação a nível nacional e local. Natal. [dissertação]. : Universidade Federal do Rio Grande do Norte; 2023</w:t>
      </w:r>
    </w:p>
    <w:p w14:paraId="1E5BDC39" w14:textId="77777777" w:rsidR="00D24F6F" w:rsidRPr="00D24F6F" w:rsidRDefault="00D24F6F" w:rsidP="00D24F6F">
      <w:pPr>
        <w:widowControl/>
        <w:numPr>
          <w:ilvl w:val="0"/>
          <w:numId w:val="5"/>
        </w:numPr>
        <w:autoSpaceDE/>
        <w:autoSpaceDN/>
        <w:spacing w:before="243"/>
        <w:ind w:left="490"/>
        <w:textAlignment w:val="baseline"/>
        <w:divId w:val="1364553107"/>
        <w:rPr>
          <w:rFonts w:eastAsiaTheme="minorEastAsia"/>
          <w:color w:val="000000"/>
          <w:sz w:val="24"/>
          <w:szCs w:val="24"/>
          <w:lang w:val="pt-BR" w:eastAsia="pt-BR"/>
        </w:rPr>
      </w:pPr>
      <w:r w:rsidRPr="00D24F6F">
        <w:rPr>
          <w:rFonts w:eastAsiaTheme="minorEastAsia"/>
          <w:color w:val="000000"/>
          <w:sz w:val="24"/>
          <w:szCs w:val="24"/>
          <w:lang w:val="pt-BR" w:eastAsia="pt-BR"/>
        </w:rPr>
        <w:t>Valente APPC. O Prontuário Eletrônico do Cidadão na Atenção à Saúde Bucal no Sus. Salvador. [dissertação]: Universidade Federal da Bahia; 2023</w:t>
      </w:r>
    </w:p>
    <w:p w14:paraId="451C3FB0" w14:textId="77777777" w:rsidR="00D24F6F" w:rsidRPr="00D24F6F" w:rsidRDefault="00D24F6F" w:rsidP="00D24F6F">
      <w:pPr>
        <w:widowControl/>
        <w:autoSpaceDE/>
        <w:autoSpaceDN/>
        <w:divId w:val="1364553107"/>
        <w:rPr>
          <w:sz w:val="24"/>
          <w:szCs w:val="24"/>
          <w:lang w:val="pt-BR" w:eastAsia="pt-BR"/>
        </w:rPr>
      </w:pPr>
    </w:p>
    <w:p w14:paraId="369EFB82" w14:textId="3F6359BD" w:rsidR="008950AF" w:rsidRPr="00447988" w:rsidRDefault="008950AF" w:rsidP="00D24F6F">
      <w:pPr>
        <w:pStyle w:val="NormalWeb"/>
        <w:spacing w:before="0" w:beforeAutospacing="0" w:after="0" w:afterAutospacing="0"/>
        <w:ind w:left="184" w:right="184"/>
        <w:jc w:val="center"/>
        <w:divId w:val="74674661"/>
      </w:pPr>
    </w:p>
    <w:sectPr w:rsidR="008950AF" w:rsidRPr="00447988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CA75" w14:textId="77777777" w:rsidR="00DF0DC2" w:rsidRDefault="00DF0DC2">
      <w:r>
        <w:separator/>
      </w:r>
    </w:p>
  </w:endnote>
  <w:endnote w:type="continuationSeparator" w:id="0">
    <w:p w14:paraId="022C1670" w14:textId="77777777" w:rsidR="00DF0DC2" w:rsidRDefault="00DF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0.0pt;margin-top:736.035583pt;width:547.4pt;height:105.3pt;mso-position-horizontal-relative:page;mso-position-vertical-relative:page;z-index:-15849472" id="docshapegroup5" coordorigin="0,14721" coordsize="10948,2106">
              <v:shape style="position:absolute;left:0;top:14720;width:10948;height:2106" type="#_x0000_t75" id="docshape6" stroked="false">
                <v:imagedata r:id="rId2" o:title=""/>
              </v:shape>
              <v:rect style="position:absolute;left:5095;top:15109;width:4599;height:1110" id="docshape7" filled="true" fillcolor="#ffffff" stroked="false">
                <v:fill type="solid"/>
              </v:rect>
              <v:rect style="position:absolute;left:5095;top:15109;width:4599;height:1110" id="docshape8" filled="false" stroked="true" strokeweight="1pt" strokecolor="#ffffff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0605" w14:textId="77777777" w:rsidR="00DF0DC2" w:rsidRDefault="00DF0DC2">
      <w:r>
        <w:separator/>
      </w:r>
    </w:p>
  </w:footnote>
  <w:footnote w:type="continuationSeparator" w:id="0">
    <w:p w14:paraId="06DF45A0" w14:textId="77777777" w:rsidR="00DF0DC2" w:rsidRDefault="00DF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0pt;margin-top:0pt;width:595.950pt;height:103.5pt;mso-position-horizontal-relative:page;mso-position-vertical-relative:page;z-index:-15849984" id="docshapegroup1" coordorigin="0,0" coordsize="11919,2070">
              <v:shape style="position:absolute;left:0;top:0;width:9025;height:2070" type="#_x0000_t75" id="docshape2" stroked="false">
                <v:imagedata r:id="rId4" o:title=""/>
              </v:shape>
              <v:shape style="position:absolute;left:6660;top:0;width:5259;height:2070" type="#_x0000_t75" id="docshape3" stroked="false">
                <v:imagedata r:id="rId5" o:title=""/>
              </v:shape>
              <v:shape style="position:absolute;left:2802;top:30;width:6285;height:1980" type="#_x0000_t75" id="docshape4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38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15782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20F6E"/>
    <w:rsid w:val="000323EA"/>
    <w:rsid w:val="00047138"/>
    <w:rsid w:val="000A1D0B"/>
    <w:rsid w:val="000B3275"/>
    <w:rsid w:val="00104B76"/>
    <w:rsid w:val="00110817"/>
    <w:rsid w:val="00155898"/>
    <w:rsid w:val="00166100"/>
    <w:rsid w:val="00167CDE"/>
    <w:rsid w:val="00174E56"/>
    <w:rsid w:val="00176A55"/>
    <w:rsid w:val="00182BF3"/>
    <w:rsid w:val="00194ABF"/>
    <w:rsid w:val="0019521B"/>
    <w:rsid w:val="001B1039"/>
    <w:rsid w:val="001D1543"/>
    <w:rsid w:val="001E5477"/>
    <w:rsid w:val="001E5A08"/>
    <w:rsid w:val="00201B22"/>
    <w:rsid w:val="00254B65"/>
    <w:rsid w:val="002800A3"/>
    <w:rsid w:val="00286F6C"/>
    <w:rsid w:val="00291BCA"/>
    <w:rsid w:val="002B27D0"/>
    <w:rsid w:val="002C2E28"/>
    <w:rsid w:val="002D0358"/>
    <w:rsid w:val="002E4146"/>
    <w:rsid w:val="002F4FF2"/>
    <w:rsid w:val="00321171"/>
    <w:rsid w:val="00340C26"/>
    <w:rsid w:val="003440DF"/>
    <w:rsid w:val="00344E10"/>
    <w:rsid w:val="00345D80"/>
    <w:rsid w:val="003504B4"/>
    <w:rsid w:val="00356CFE"/>
    <w:rsid w:val="003729D9"/>
    <w:rsid w:val="003741F5"/>
    <w:rsid w:val="00375AE1"/>
    <w:rsid w:val="0038203C"/>
    <w:rsid w:val="003A2F0A"/>
    <w:rsid w:val="003A3A7A"/>
    <w:rsid w:val="003C2B0D"/>
    <w:rsid w:val="003E64ED"/>
    <w:rsid w:val="004002B0"/>
    <w:rsid w:val="004020B3"/>
    <w:rsid w:val="0040253E"/>
    <w:rsid w:val="00423931"/>
    <w:rsid w:val="00424258"/>
    <w:rsid w:val="00447988"/>
    <w:rsid w:val="00451F92"/>
    <w:rsid w:val="00456723"/>
    <w:rsid w:val="004A7593"/>
    <w:rsid w:val="004C0695"/>
    <w:rsid w:val="004D54B6"/>
    <w:rsid w:val="004D72EB"/>
    <w:rsid w:val="004E269C"/>
    <w:rsid w:val="004F7976"/>
    <w:rsid w:val="00505138"/>
    <w:rsid w:val="00513C96"/>
    <w:rsid w:val="00521C0E"/>
    <w:rsid w:val="00526401"/>
    <w:rsid w:val="00557219"/>
    <w:rsid w:val="00587E4C"/>
    <w:rsid w:val="0059592D"/>
    <w:rsid w:val="005A407E"/>
    <w:rsid w:val="005B4BED"/>
    <w:rsid w:val="005E616E"/>
    <w:rsid w:val="00620CE5"/>
    <w:rsid w:val="006842E8"/>
    <w:rsid w:val="00697FDC"/>
    <w:rsid w:val="006A3700"/>
    <w:rsid w:val="006B124E"/>
    <w:rsid w:val="006B554B"/>
    <w:rsid w:val="006B673F"/>
    <w:rsid w:val="006E3804"/>
    <w:rsid w:val="006F44C2"/>
    <w:rsid w:val="006F6C41"/>
    <w:rsid w:val="00707EBA"/>
    <w:rsid w:val="00744B78"/>
    <w:rsid w:val="00747709"/>
    <w:rsid w:val="007717CB"/>
    <w:rsid w:val="00784EB6"/>
    <w:rsid w:val="007E6298"/>
    <w:rsid w:val="00815093"/>
    <w:rsid w:val="00816602"/>
    <w:rsid w:val="00827509"/>
    <w:rsid w:val="00836DB5"/>
    <w:rsid w:val="008417E9"/>
    <w:rsid w:val="008455CC"/>
    <w:rsid w:val="00874328"/>
    <w:rsid w:val="00883933"/>
    <w:rsid w:val="0089198F"/>
    <w:rsid w:val="0089201C"/>
    <w:rsid w:val="008950AF"/>
    <w:rsid w:val="008D50F0"/>
    <w:rsid w:val="008E19CB"/>
    <w:rsid w:val="008E61CB"/>
    <w:rsid w:val="00937A3A"/>
    <w:rsid w:val="00937F05"/>
    <w:rsid w:val="009415D1"/>
    <w:rsid w:val="00943F09"/>
    <w:rsid w:val="009571A2"/>
    <w:rsid w:val="00963106"/>
    <w:rsid w:val="00987E63"/>
    <w:rsid w:val="00991396"/>
    <w:rsid w:val="009D6724"/>
    <w:rsid w:val="00A159EB"/>
    <w:rsid w:val="00A538B7"/>
    <w:rsid w:val="00A67958"/>
    <w:rsid w:val="00A91483"/>
    <w:rsid w:val="00AB3688"/>
    <w:rsid w:val="00AB4FFE"/>
    <w:rsid w:val="00AC6773"/>
    <w:rsid w:val="00AD0A9E"/>
    <w:rsid w:val="00AD7DE4"/>
    <w:rsid w:val="00AE0E5E"/>
    <w:rsid w:val="00B040EF"/>
    <w:rsid w:val="00B040F0"/>
    <w:rsid w:val="00B70EFE"/>
    <w:rsid w:val="00BA3F71"/>
    <w:rsid w:val="00BB7359"/>
    <w:rsid w:val="00BE0986"/>
    <w:rsid w:val="00BE1571"/>
    <w:rsid w:val="00BF19E8"/>
    <w:rsid w:val="00C230BD"/>
    <w:rsid w:val="00C2384C"/>
    <w:rsid w:val="00C65A37"/>
    <w:rsid w:val="00CA500F"/>
    <w:rsid w:val="00CB5A13"/>
    <w:rsid w:val="00CD49E3"/>
    <w:rsid w:val="00CF4EF6"/>
    <w:rsid w:val="00D11FE9"/>
    <w:rsid w:val="00D17B1F"/>
    <w:rsid w:val="00D24F6F"/>
    <w:rsid w:val="00D37D46"/>
    <w:rsid w:val="00D474B9"/>
    <w:rsid w:val="00D6133D"/>
    <w:rsid w:val="00D80094"/>
    <w:rsid w:val="00DE03A1"/>
    <w:rsid w:val="00DE63EE"/>
    <w:rsid w:val="00DE6F43"/>
    <w:rsid w:val="00DF0DC2"/>
    <w:rsid w:val="00DF576F"/>
    <w:rsid w:val="00E53753"/>
    <w:rsid w:val="00E66598"/>
    <w:rsid w:val="00E97E6E"/>
    <w:rsid w:val="00EA7DA4"/>
    <w:rsid w:val="00EF6143"/>
    <w:rsid w:val="00F14DB9"/>
    <w:rsid w:val="00F33639"/>
    <w:rsid w:val="00F347A3"/>
    <w:rsid w:val="00F41E00"/>
    <w:rsid w:val="00F52E61"/>
    <w:rsid w:val="00F774C9"/>
    <w:rsid w:val="00F91D34"/>
    <w:rsid w:val="00FC1B8C"/>
    <w:rsid w:val="00FD6B66"/>
    <w:rsid w:val="00FE31DB"/>
    <w:rsid w:val="00FE450A"/>
    <w:rsid w:val="00FF3C94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customStyle="1" w:styleId="p1">
    <w:name w:val="p1"/>
    <w:basedOn w:val="Normal"/>
    <w:rsid w:val="006B554B"/>
    <w:pPr>
      <w:widowControl/>
      <w:autoSpaceDE/>
      <w:autoSpaceDN/>
    </w:pPr>
    <w:rPr>
      <w:rFonts w:ascii=".SF UI" w:eastAsiaTheme="minorEastAsia" w:hAnsi=".SF UI"/>
      <w:color w:val="FFFFFF"/>
      <w:sz w:val="26"/>
      <w:szCs w:val="26"/>
      <w:lang w:val="pt-BR" w:eastAsia="pt-BR"/>
    </w:rPr>
  </w:style>
  <w:style w:type="character" w:customStyle="1" w:styleId="s1">
    <w:name w:val="s1"/>
    <w:basedOn w:val="Fontepargpadro"/>
    <w:rsid w:val="006B554B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AB4FF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D24F6F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Matheus Ferreira</cp:lastModifiedBy>
  <cp:revision>2</cp:revision>
  <dcterms:created xsi:type="dcterms:W3CDTF">2024-11-11T23:50:00Z</dcterms:created>
  <dcterms:modified xsi:type="dcterms:W3CDTF">2024-11-11T23:50:00Z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