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D4AC" w14:textId="77777777" w:rsidR="00270343" w:rsidRDefault="00270343">
      <w:pPr>
        <w:jc w:val="right"/>
        <w:rPr>
          <w:rFonts w:ascii="Times New Roman" w:eastAsia="Times New Roman" w:hAnsi="Times New Roman" w:cs="Times New Roman"/>
        </w:rPr>
      </w:pPr>
    </w:p>
    <w:p w14:paraId="1ABBDBBC" w14:textId="77777777" w:rsidR="007C0243" w:rsidRDefault="007C0243" w:rsidP="007C0243">
      <w:pPr>
        <w:rPr>
          <w:rFonts w:ascii="Times New Roman" w:eastAsia="Times New Roman" w:hAnsi="Times New Roman" w:cs="Times New Roman"/>
        </w:rPr>
      </w:pPr>
    </w:p>
    <w:p w14:paraId="2D970190" w14:textId="77777777" w:rsidR="007C0243" w:rsidRPr="002D4F3B" w:rsidRDefault="007C0243" w:rsidP="007C0243">
      <w:pPr>
        <w:jc w:val="both"/>
        <w:rPr>
          <w:rFonts w:ascii="Times New Roman" w:eastAsia="Times New Roman" w:hAnsi="Times New Roman" w:cs="Times New Roman"/>
          <w:color w:val="FF0000"/>
        </w:rPr>
      </w:pPr>
    </w:p>
    <w:p w14:paraId="1297AC92" w14:textId="052597D1" w:rsidR="00270343" w:rsidRDefault="002D4F3B">
      <w:pPr>
        <w:jc w:val="center"/>
        <w:rPr>
          <w:rFonts w:ascii="Times New Roman" w:eastAsia="Times New Roman" w:hAnsi="Times New Roman" w:cs="Times New Roman"/>
          <w:b/>
        </w:rPr>
      </w:pPr>
      <w:r w:rsidRPr="00E87EA6">
        <w:rPr>
          <w:rFonts w:ascii="Times New Roman" w:eastAsia="Times New Roman" w:hAnsi="Times New Roman" w:cs="Times New Roman"/>
          <w:b/>
          <w:bCs/>
          <w:color w:val="000000"/>
          <w:sz w:val="32"/>
          <w:szCs w:val="32"/>
        </w:rPr>
        <w:t>Devir-com entes selvagens: a queeridade da natureza no currículo escolar de ciências</w:t>
      </w:r>
    </w:p>
    <w:p w14:paraId="5FC40799" w14:textId="77777777" w:rsidR="00270343" w:rsidRDefault="00270343">
      <w:pPr>
        <w:jc w:val="center"/>
        <w:rPr>
          <w:rFonts w:ascii="Times New Roman" w:eastAsia="Times New Roman" w:hAnsi="Times New Roman" w:cs="Times New Roman"/>
          <w:b/>
        </w:rPr>
      </w:pPr>
    </w:p>
    <w:p w14:paraId="4A99A953" w14:textId="77777777" w:rsidR="00204D20" w:rsidRDefault="00204D20" w:rsidP="002D4F3B">
      <w:pPr>
        <w:rPr>
          <w:rFonts w:ascii="Times New Roman" w:eastAsia="Times New Roman" w:hAnsi="Times New Roman" w:cs="Times New Roman"/>
        </w:rPr>
      </w:pPr>
    </w:p>
    <w:p w14:paraId="0202D767" w14:textId="1E269E75" w:rsidR="00CE1100" w:rsidRPr="00CE1100" w:rsidRDefault="00CE1100" w:rsidP="002D4F3B">
      <w:pPr>
        <w:rPr>
          <w:rFonts w:ascii="Times New Roman" w:hAnsi="Times New Roman" w:cs="Times New Roman"/>
          <w:b/>
          <w:bCs/>
          <w:sz w:val="28"/>
          <w:szCs w:val="28"/>
        </w:rPr>
      </w:pPr>
      <w:r w:rsidRPr="00CE1100">
        <w:rPr>
          <w:rFonts w:ascii="Times New Roman" w:hAnsi="Times New Roman" w:cs="Times New Roman"/>
          <w:b/>
          <w:bCs/>
          <w:sz w:val="28"/>
          <w:szCs w:val="28"/>
        </w:rPr>
        <w:t>Introdução</w:t>
      </w:r>
    </w:p>
    <w:p w14:paraId="52CD3E2E" w14:textId="77777777" w:rsidR="002D4F3B" w:rsidRPr="00E87EA6" w:rsidRDefault="002D4F3B" w:rsidP="002D4F3B">
      <w:pPr>
        <w:spacing w:before="480"/>
        <w:ind w:left="2268"/>
        <w:jc w:val="both"/>
        <w:rPr>
          <w:rFonts w:ascii="Times New Roman" w:eastAsia="Times New Roman" w:hAnsi="Times New Roman" w:cs="Times New Roman"/>
        </w:rPr>
      </w:pPr>
      <w:r w:rsidRPr="00E87EA6">
        <w:rPr>
          <w:rFonts w:ascii="Times New Roman" w:eastAsia="Times New Roman" w:hAnsi="Times New Roman" w:cs="Times New Roman"/>
          <w:color w:val="000000"/>
        </w:rPr>
        <w:t>O que é ou o que não é um “indivíduo” não é uma questão simples e definitiva (BARAD, 2020, p. 302).</w:t>
      </w:r>
    </w:p>
    <w:p w14:paraId="26D73DBC" w14:textId="77777777" w:rsidR="002D4F3B" w:rsidRPr="00E87EA6" w:rsidRDefault="002D4F3B" w:rsidP="002D4F3B">
      <w:pPr>
        <w:rPr>
          <w:rFonts w:ascii="Times New Roman" w:eastAsia="Times New Roman" w:hAnsi="Times New Roman" w:cs="Times New Roman"/>
        </w:rPr>
      </w:pPr>
    </w:p>
    <w:p w14:paraId="279B724F" w14:textId="1033D19C" w:rsidR="002D4F3B" w:rsidRPr="006E71DC" w:rsidRDefault="002D4F3B" w:rsidP="00BB6C9F">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Est</w:t>
      </w:r>
      <w:r w:rsidR="0089259C">
        <w:rPr>
          <w:rFonts w:ascii="Times New Roman" w:eastAsia="Times New Roman" w:hAnsi="Times New Roman" w:cs="Times New Roman"/>
          <w:color w:val="000000"/>
        </w:rPr>
        <w:t>a escrita</w:t>
      </w:r>
      <w:r w:rsidRPr="00E87EA6">
        <w:rPr>
          <w:rFonts w:ascii="Times New Roman" w:eastAsia="Times New Roman" w:hAnsi="Times New Roman" w:cs="Times New Roman"/>
          <w:color w:val="000000"/>
        </w:rPr>
        <w:t xml:space="preserve"> desdobra-se como um exercício especulativo de pensar o currículo escolar de ciências como rede espaçotempomaterial que produz, no âmbito dos estudos da ciência e tecnologia, </w:t>
      </w:r>
      <w:r w:rsidRPr="00E87EA6">
        <w:rPr>
          <w:rFonts w:ascii="Times New Roman" w:eastAsia="Times New Roman" w:hAnsi="Times New Roman" w:cs="Times New Roman"/>
          <w:i/>
          <w:iCs/>
          <w:color w:val="000000"/>
        </w:rPr>
        <w:t>práticas materializantes de diferenciações</w:t>
      </w:r>
      <w:r w:rsidRPr="00E87EA6">
        <w:rPr>
          <w:rFonts w:ascii="Times New Roman" w:eastAsia="Times New Roman" w:hAnsi="Times New Roman" w:cs="Times New Roman"/>
          <w:color w:val="000000"/>
        </w:rPr>
        <w:t xml:space="preserve"> (BARAD, 2020) do natural/cultural como possibilidade de pensar além da reivindicação política de paridade. Proponho</w:t>
      </w:r>
      <w:r>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rPr>
        <w:t xml:space="preserve"> como aposta </w:t>
      </w:r>
      <w:r>
        <w:rPr>
          <w:rFonts w:ascii="Times New Roman" w:eastAsia="Times New Roman" w:hAnsi="Times New Roman" w:cs="Times New Roman"/>
          <w:color w:val="000000"/>
        </w:rPr>
        <w:t>ética, política e estética-</w:t>
      </w:r>
      <w:r w:rsidRPr="00E87E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investigar</w:t>
      </w:r>
      <w:r w:rsidRPr="00E87EA6">
        <w:rPr>
          <w:rFonts w:ascii="Times New Roman" w:eastAsia="Times New Roman" w:hAnsi="Times New Roman" w:cs="Times New Roman"/>
          <w:color w:val="000000"/>
        </w:rPr>
        <w:t xml:space="preserve"> a trama espaçotempomaterial tecida nas inter-intra-ações </w:t>
      </w:r>
      <w:r w:rsidRPr="00F348B0">
        <w:rPr>
          <w:rFonts w:ascii="Times New Roman" w:eastAsia="Times New Roman" w:hAnsi="Times New Roman" w:cs="Times New Roman"/>
          <w:color w:val="000000"/>
        </w:rPr>
        <w:t>curriculares entre indivíduos</w:t>
      </w:r>
      <w:r w:rsidRPr="00F348B0">
        <w:rPr>
          <w:rStyle w:val="Refdenotaderodap"/>
          <w:rFonts w:ascii="Times New Roman" w:eastAsia="Times New Roman" w:hAnsi="Times New Roman" w:cs="Times New Roman"/>
          <w:color w:val="000000"/>
        </w:rPr>
        <w:footnoteReference w:id="1"/>
      </w:r>
      <w:r w:rsidRPr="00F348B0">
        <w:rPr>
          <w:rFonts w:ascii="Times New Roman" w:eastAsia="Times New Roman" w:hAnsi="Times New Roman" w:cs="Times New Roman"/>
          <w:color w:val="000000"/>
        </w:rPr>
        <w:t>. Para tal, utiliz</w:t>
      </w:r>
      <w:r w:rsidR="000F623C">
        <w:rPr>
          <w:rFonts w:ascii="Times New Roman" w:eastAsia="Times New Roman" w:hAnsi="Times New Roman" w:cs="Times New Roman"/>
          <w:color w:val="000000"/>
        </w:rPr>
        <w:t>ei</w:t>
      </w:r>
      <w:r w:rsidRPr="00F348B0">
        <w:rPr>
          <w:rFonts w:ascii="Times New Roman" w:eastAsia="Times New Roman" w:hAnsi="Times New Roman" w:cs="Times New Roman"/>
          <w:color w:val="000000"/>
        </w:rPr>
        <w:t xml:space="preserve"> o livro escrito por William Golding (1954) intitulado “O Senhor das Moscas</w:t>
      </w:r>
      <w:r w:rsidRPr="00BF125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rPr>
        <w:t xml:space="preserve">em fricção com o trabalho de Rafael Pacheco e José Vicente Robaina (2021) denominado “Ensino de questões sociocientíficas envolvendo a nanotecnologia como articuladora da construção da argumentação por meio de sequências didáticas: Uma revisão das publicações do X, XI e XII ENPEC”. </w:t>
      </w:r>
      <w:r w:rsidRPr="000E0C6C">
        <w:rPr>
          <w:rFonts w:ascii="Times New Roman" w:eastAsia="Times New Roman" w:hAnsi="Times New Roman" w:cs="Times New Roman"/>
          <w:color w:val="000000"/>
        </w:rPr>
        <w:t>Esse trabalho foi publicado</w:t>
      </w:r>
      <w:r w:rsidRPr="00E87EA6">
        <w:rPr>
          <w:rFonts w:ascii="Times New Roman" w:eastAsia="Times New Roman" w:hAnsi="Times New Roman" w:cs="Times New Roman"/>
          <w:color w:val="000000"/>
        </w:rPr>
        <w:t xml:space="preserve"> nos anais do Encontro Nacional de Pesquisa em Educação em Ciências (ENPEC) ocorrido em 2021. </w:t>
      </w:r>
      <w:r w:rsidRPr="000E0C6C">
        <w:rPr>
          <w:rFonts w:ascii="Times New Roman" w:eastAsia="Times New Roman" w:hAnsi="Times New Roman" w:cs="Times New Roman"/>
          <w:color w:val="000000"/>
        </w:rPr>
        <w:t>Para tal, pergunto-me ao longo da escrita: como a exumação das “raízes coloniais e patriarcais dos princípios universais do humanismo europeu” (PRECIADO, 2022, p. 135) se dá na</w:t>
      </w:r>
      <w:r w:rsidRPr="00E87EA6">
        <w:rPr>
          <w:rFonts w:ascii="Times New Roman" w:eastAsia="Times New Roman" w:hAnsi="Times New Roman" w:cs="Times New Roman"/>
          <w:color w:val="000000"/>
        </w:rPr>
        <w:t xml:space="preserve"> relação com os fenômenos naturais? </w:t>
      </w:r>
      <w:r w:rsidRPr="0080190C">
        <w:rPr>
          <w:rFonts w:ascii="Times New Roman" w:eastAsia="Times New Roman" w:hAnsi="Times New Roman" w:cs="Times New Roman"/>
          <w:color w:val="000000"/>
        </w:rPr>
        <w:t>Ainda que ta</w:t>
      </w:r>
      <w:r w:rsidR="00A8626B">
        <w:rPr>
          <w:rFonts w:ascii="Times New Roman" w:eastAsia="Times New Roman" w:hAnsi="Times New Roman" w:cs="Times New Roman"/>
          <w:color w:val="000000"/>
        </w:rPr>
        <w:t>l</w:t>
      </w:r>
      <w:r w:rsidRPr="0080190C">
        <w:rPr>
          <w:rFonts w:ascii="Times New Roman" w:eastAsia="Times New Roman" w:hAnsi="Times New Roman" w:cs="Times New Roman"/>
          <w:color w:val="000000"/>
        </w:rPr>
        <w:t xml:space="preserve"> pergunta me guie a pensar, esgotá-la</w:t>
      </w:r>
      <w:r w:rsidRPr="00E87EA6">
        <w:rPr>
          <w:rFonts w:ascii="Times New Roman" w:eastAsia="Times New Roman" w:hAnsi="Times New Roman" w:cs="Times New Roman"/>
          <w:color w:val="000000"/>
        </w:rPr>
        <w:t xml:space="preserve"> em respostas que a encerra não é a proposta desta escrita.</w:t>
      </w:r>
    </w:p>
    <w:p w14:paraId="117D0EED" w14:textId="77777777" w:rsidR="002D4F3B" w:rsidRPr="00E87EA6" w:rsidRDefault="002D4F3B" w:rsidP="002D4F3B">
      <w:pPr>
        <w:rPr>
          <w:rFonts w:ascii="Times New Roman" w:eastAsia="Times New Roman" w:hAnsi="Times New Roman" w:cs="Times New Roman"/>
        </w:rPr>
      </w:pPr>
    </w:p>
    <w:p w14:paraId="05B265DB" w14:textId="77777777" w:rsidR="002D4F3B" w:rsidRPr="00E87EA6" w:rsidRDefault="002D4F3B" w:rsidP="002D4F3B">
      <w:pPr>
        <w:jc w:val="both"/>
        <w:rPr>
          <w:rFonts w:ascii="Times New Roman" w:eastAsia="Times New Roman" w:hAnsi="Times New Roman" w:cs="Times New Roman"/>
        </w:rPr>
      </w:pPr>
      <w:r w:rsidRPr="00E87EA6">
        <w:rPr>
          <w:rFonts w:ascii="Times New Roman" w:eastAsia="Times New Roman" w:hAnsi="Times New Roman" w:cs="Times New Roman"/>
          <w:b/>
          <w:bCs/>
          <w:color w:val="000000"/>
          <w:sz w:val="32"/>
          <w:szCs w:val="32"/>
        </w:rPr>
        <w:t>A queeridade dos fenômenos naturais</w:t>
      </w:r>
    </w:p>
    <w:p w14:paraId="4002192B" w14:textId="77777777" w:rsidR="002D4F3B" w:rsidRPr="00E87EA6" w:rsidRDefault="002D4F3B" w:rsidP="002D4F3B">
      <w:pPr>
        <w:spacing w:line="360" w:lineRule="auto"/>
        <w:rPr>
          <w:rFonts w:ascii="Times New Roman" w:eastAsia="Times New Roman" w:hAnsi="Times New Roman" w:cs="Times New Roman"/>
        </w:rPr>
      </w:pPr>
    </w:p>
    <w:p w14:paraId="2B8C5C44" w14:textId="75D36E54" w:rsidR="002D4F3B" w:rsidRPr="00E87EA6" w:rsidRDefault="002D4F3B" w:rsidP="002D4F3B">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Ao empreender tal escrita me interessa, em um primeiro momento, a busca pelas formas de deslocar a </w:t>
      </w:r>
      <w:r w:rsidRPr="00C41255">
        <w:rPr>
          <w:rFonts w:ascii="Times New Roman" w:eastAsia="Times New Roman" w:hAnsi="Times New Roman" w:cs="Times New Roman"/>
          <w:color w:val="000000"/>
        </w:rPr>
        <w:t xml:space="preserve">conversa do desejo de equivalência última, algo </w:t>
      </w:r>
      <w:r w:rsidR="00F046B1" w:rsidRPr="00C41255">
        <w:rPr>
          <w:rFonts w:ascii="Times New Roman" w:eastAsia="Times New Roman" w:hAnsi="Times New Roman" w:cs="Times New Roman"/>
          <w:color w:val="000000"/>
        </w:rPr>
        <w:t>caro à</w:t>
      </w:r>
      <w:r w:rsidRPr="00C41255">
        <w:rPr>
          <w:rFonts w:ascii="Times New Roman" w:eastAsia="Times New Roman" w:hAnsi="Times New Roman" w:cs="Times New Roman"/>
          <w:color w:val="000000"/>
        </w:rPr>
        <w:t xml:space="preserve"> educação, entre indivíduos colocados em lados opostos, sustentados no imaginário de que as distinções ontológicas são inerentes do ser materializado no termo. Talvez auxilie a pensar a complexidade dos </w:t>
      </w:r>
      <w:r w:rsidRPr="00C41255">
        <w:rPr>
          <w:rFonts w:ascii="Times New Roman" w:eastAsia="Times New Roman" w:hAnsi="Times New Roman" w:cs="Times New Roman"/>
          <w:i/>
          <w:iCs/>
          <w:color w:val="000000"/>
        </w:rPr>
        <w:t xml:space="preserve">emaranhados quânticos </w:t>
      </w:r>
      <w:r w:rsidRPr="00C41255">
        <w:rPr>
          <w:rFonts w:ascii="Times New Roman" w:eastAsia="Times New Roman" w:hAnsi="Times New Roman" w:cs="Times New Roman"/>
          <w:color w:val="000000"/>
        </w:rPr>
        <w:t xml:space="preserve">(BARAD, 2020) e, de algum modo, recusar simplificações dos entes ao pressupor </w:t>
      </w:r>
      <w:r w:rsidRPr="00C41255">
        <w:rPr>
          <w:rFonts w:ascii="Times New Roman" w:eastAsia="Times New Roman" w:hAnsi="Times New Roman" w:cs="Times New Roman"/>
          <w:i/>
          <w:iCs/>
          <w:color w:val="000000"/>
        </w:rPr>
        <w:t>identidades</w:t>
      </w:r>
      <w:r w:rsidRPr="00C41255">
        <w:rPr>
          <w:rFonts w:ascii="Times New Roman" w:eastAsia="Times New Roman" w:hAnsi="Times New Roman" w:cs="Times New Roman"/>
          <w:color w:val="000000"/>
        </w:rPr>
        <w:t xml:space="preserve"> como estáveis e dadas previamente à relação (BARAD, 2020, p. 316). Isso envolve dizer que, ao focar na norma, a exclusão dos outros da norma é continuamente refundada. Ao passo que me interessa perceber a matéria como difusa, ao pensar tanto a indeterminação da produção do dentro e do fora, quanto do indivíduo, cujas </w:t>
      </w:r>
      <w:r w:rsidRPr="00C41255">
        <w:rPr>
          <w:rFonts w:ascii="Times New Roman" w:eastAsia="Times New Roman" w:hAnsi="Times New Roman" w:cs="Times New Roman"/>
          <w:i/>
          <w:iCs/>
          <w:color w:val="000000"/>
        </w:rPr>
        <w:t>determinações</w:t>
      </w:r>
      <w:r w:rsidRPr="00C41255">
        <w:rPr>
          <w:rFonts w:ascii="Times New Roman" w:eastAsia="Times New Roman" w:hAnsi="Times New Roman" w:cs="Times New Roman"/>
          <w:color w:val="000000"/>
        </w:rPr>
        <w:t xml:space="preserve"> dar-se-ão pelas </w:t>
      </w:r>
      <w:r w:rsidRPr="00C41255">
        <w:rPr>
          <w:rFonts w:ascii="Times New Roman" w:eastAsia="Times New Roman" w:hAnsi="Times New Roman" w:cs="Times New Roman"/>
          <w:i/>
          <w:iCs/>
          <w:color w:val="000000"/>
        </w:rPr>
        <w:t>fronteiras</w:t>
      </w:r>
      <w:r w:rsidRPr="00C41255">
        <w:rPr>
          <w:rFonts w:ascii="Times New Roman" w:eastAsia="Times New Roman" w:hAnsi="Times New Roman" w:cs="Times New Roman"/>
          <w:color w:val="000000"/>
        </w:rPr>
        <w:t xml:space="preserve"> instituídas no </w:t>
      </w:r>
      <w:r w:rsidRPr="00C41255">
        <w:rPr>
          <w:rFonts w:ascii="Times New Roman" w:eastAsia="Times New Roman" w:hAnsi="Times New Roman" w:cs="Times New Roman"/>
          <w:i/>
          <w:iCs/>
          <w:color w:val="000000"/>
        </w:rPr>
        <w:t>corte</w:t>
      </w:r>
      <w:r w:rsidRPr="00C41255">
        <w:rPr>
          <w:rFonts w:ascii="Times New Roman" w:eastAsia="Times New Roman" w:hAnsi="Times New Roman" w:cs="Times New Roman"/>
          <w:color w:val="000000"/>
        </w:rPr>
        <w:t xml:space="preserve"> (BARAD, 2020, p. 313). Dessa forma, a materialização</w:t>
      </w:r>
      <w:r w:rsidRPr="00E87EA6">
        <w:rPr>
          <w:rFonts w:ascii="Times New Roman" w:eastAsia="Times New Roman" w:hAnsi="Times New Roman" w:cs="Times New Roman"/>
          <w:color w:val="000000"/>
        </w:rPr>
        <w:t xml:space="preserve"> de algo é efetuada no espaço tempo do corte agencial, tal racionalidade desloca as percepções sobre o presente, o passado e o futuro (BARAD, 2020) mediante a percepção do </w:t>
      </w:r>
      <w:r w:rsidRPr="00E87EA6">
        <w:rPr>
          <w:rFonts w:ascii="Times New Roman" w:eastAsia="Times New Roman" w:hAnsi="Times New Roman" w:cs="Times New Roman"/>
          <w:i/>
          <w:iCs/>
          <w:color w:val="000000"/>
        </w:rPr>
        <w:t>selvagem</w:t>
      </w:r>
      <w:r w:rsidRPr="00E87EA6">
        <w:rPr>
          <w:rFonts w:ascii="Times New Roman" w:eastAsia="Times New Roman" w:hAnsi="Times New Roman" w:cs="Times New Roman"/>
          <w:color w:val="000000"/>
        </w:rPr>
        <w:t>, menos como a condição de um ser e mais como “um espaço desigual de poder estético” (HALBERSTAM, 2020, p. 29). </w:t>
      </w:r>
    </w:p>
    <w:p w14:paraId="42BC67C8" w14:textId="77777777" w:rsidR="002D4F3B" w:rsidRDefault="002D4F3B" w:rsidP="002D4F3B">
      <w:pPr>
        <w:spacing w:line="360" w:lineRule="auto"/>
        <w:ind w:firstLine="709"/>
        <w:jc w:val="both"/>
        <w:rPr>
          <w:rFonts w:ascii="Times New Roman" w:eastAsia="Times New Roman" w:hAnsi="Times New Roman" w:cs="Times New Roman"/>
          <w:color w:val="000000"/>
        </w:rPr>
      </w:pPr>
      <w:r w:rsidRPr="00E87EA6">
        <w:rPr>
          <w:rFonts w:ascii="Times New Roman" w:eastAsia="Times New Roman" w:hAnsi="Times New Roman" w:cs="Times New Roman"/>
          <w:color w:val="000000"/>
        </w:rPr>
        <w:t> Para tal, interess</w:t>
      </w:r>
      <w:r w:rsidRPr="00C41255">
        <w:rPr>
          <w:rFonts w:ascii="Times New Roman" w:eastAsia="Times New Roman" w:hAnsi="Times New Roman" w:cs="Times New Roman"/>
          <w:color w:val="000000"/>
        </w:rPr>
        <w:t>o-me</w:t>
      </w:r>
      <w:r w:rsidRPr="00E87EA6">
        <w:rPr>
          <w:rFonts w:ascii="Times New Roman" w:eastAsia="Times New Roman" w:hAnsi="Times New Roman" w:cs="Times New Roman"/>
          <w:color w:val="000000"/>
        </w:rPr>
        <w:t xml:space="preserve"> pela performatividade da natureza ao possibilitar ebulições queer dos </w:t>
      </w:r>
      <w:r w:rsidRPr="00E87EA6">
        <w:rPr>
          <w:rFonts w:ascii="Times New Roman" w:eastAsia="Times New Roman" w:hAnsi="Times New Roman" w:cs="Times New Roman"/>
          <w:i/>
          <w:iCs/>
          <w:color w:val="000000"/>
        </w:rPr>
        <w:t>fenômenos</w:t>
      </w:r>
      <w:r w:rsidRPr="00E87EA6">
        <w:rPr>
          <w:rFonts w:ascii="Times New Roman" w:eastAsia="Times New Roman" w:hAnsi="Times New Roman" w:cs="Times New Roman"/>
          <w:color w:val="000000"/>
        </w:rPr>
        <w:t xml:space="preserve"> do que convenhamos chamar de naturais, “animados” e “não animados” (BARAD, 2020, p. 317). Aposto na queeridade do fogo, da concha, da cabeça de porco, do espírito e da chuva, evocados nas produções para um devir-com os selvagens.</w:t>
      </w:r>
    </w:p>
    <w:p w14:paraId="50E63DA5" w14:textId="77777777" w:rsidR="002D4F3B" w:rsidRPr="00E87EA6" w:rsidRDefault="002D4F3B" w:rsidP="002D4F3B">
      <w:pPr>
        <w:ind w:firstLine="709"/>
        <w:jc w:val="both"/>
        <w:rPr>
          <w:rFonts w:ascii="Times New Roman" w:eastAsia="Times New Roman" w:hAnsi="Times New Roman" w:cs="Times New Roman"/>
        </w:rPr>
      </w:pPr>
    </w:p>
    <w:p w14:paraId="2BD7C28D" w14:textId="77777777" w:rsidR="002D4F3B" w:rsidRPr="00E87EA6" w:rsidRDefault="002D4F3B" w:rsidP="002D4F3B">
      <w:pPr>
        <w:ind w:left="2268" w:right="-330"/>
        <w:jc w:val="both"/>
        <w:rPr>
          <w:rFonts w:ascii="Times New Roman" w:eastAsia="Times New Roman" w:hAnsi="Times New Roman" w:cs="Times New Roman"/>
        </w:rPr>
      </w:pPr>
      <w:r w:rsidRPr="00E87EA6">
        <w:rPr>
          <w:rFonts w:ascii="Times New Roman" w:eastAsia="Times New Roman" w:hAnsi="Times New Roman" w:cs="Times New Roman"/>
          <w:color w:val="000000"/>
        </w:rPr>
        <w:t>Lá em cima havia nuvens, grandes torres inchadas que cresciam sobre a ilha, cinzentas, castanhas e cor de cobre. As nuvens estavam apoiadas na terra; esmagavam, produziam aquele calor denso e opressivo, de momento a momento (GOLDING, 1954, p. 148).</w:t>
      </w:r>
    </w:p>
    <w:p w14:paraId="0F4F6C60" w14:textId="77777777" w:rsidR="002D4F3B" w:rsidRPr="00E87EA6" w:rsidRDefault="002D4F3B" w:rsidP="002D4F3B">
      <w:pPr>
        <w:rPr>
          <w:rFonts w:ascii="Times New Roman" w:eastAsia="Times New Roman" w:hAnsi="Times New Roman" w:cs="Times New Roman"/>
        </w:rPr>
      </w:pPr>
    </w:p>
    <w:p w14:paraId="067F04BE" w14:textId="77777777" w:rsidR="00402292" w:rsidRDefault="002D4F3B" w:rsidP="00F866C0">
      <w:pPr>
        <w:spacing w:line="360" w:lineRule="auto"/>
        <w:ind w:firstLine="709"/>
        <w:jc w:val="both"/>
        <w:rPr>
          <w:rFonts w:ascii="Times New Roman" w:eastAsia="Times New Roman" w:hAnsi="Times New Roman" w:cs="Times New Roman"/>
          <w:color w:val="000000"/>
        </w:rPr>
      </w:pPr>
      <w:r w:rsidRPr="00E87EA6">
        <w:rPr>
          <w:rFonts w:ascii="Times New Roman" w:eastAsia="Times New Roman" w:hAnsi="Times New Roman" w:cs="Times New Roman"/>
          <w:color w:val="000000"/>
        </w:rPr>
        <w:t xml:space="preserve">Uma chuva coloca em questão a lógica determinista da causalidade? Mesmo havendo aparatos tecnológicos cada vez mais precisos de medições e previsões acuradas, ainda assim a imprevisibilidade e indeterminação da chuva enquanto fenômeno coloca em questão a própria ideia da noção de chuva no ciclo e, portanto, o ciclo em si como </w:t>
      </w:r>
      <w:r w:rsidRPr="00E87EA6">
        <w:rPr>
          <w:rFonts w:ascii="Times New Roman" w:eastAsia="Times New Roman" w:hAnsi="Times New Roman" w:cs="Times New Roman"/>
          <w:color w:val="000000"/>
        </w:rPr>
        <w:lastRenderedPageBreak/>
        <w:t xml:space="preserve">continuidade, se o emaranhado que a constitui como tal é descontinuidade do espaçotempomaterialização (BARAD, 2020). </w:t>
      </w:r>
    </w:p>
    <w:p w14:paraId="3557707A" w14:textId="6B5712F4" w:rsidR="00F866C0" w:rsidRDefault="002D4F3B" w:rsidP="00F866C0">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No entanto, delirando ou não delirando a cabeça dizia para fugir, Simon, cabelo molhado, pesava, "coisa obscena sorria e gotejava", entranhas, moscas zumbindo, iridescentes, fuga das borboletas, trovoada, canhão, "onda de ar quente tremeu", fogueira, a floresta…explodiu em rugidos, festa, trovão rugiu, ritual, "frondes de </w:t>
      </w:r>
      <w:r w:rsidRPr="0049359C">
        <w:rPr>
          <w:rFonts w:ascii="Times New Roman" w:eastAsia="Times New Roman" w:hAnsi="Times New Roman" w:cs="Times New Roman"/>
          <w:color w:val="000000"/>
        </w:rPr>
        <w:t>palmeiras estalaram sob uma súbita rajada de vento quente" (Golding, 1954, p. 148- 151). Não significa que as causas da chuva, fenômeno (físico), não tenham algo de previsível, porém só o são se</w:t>
      </w:r>
      <w:r w:rsidRPr="00E87EA6">
        <w:rPr>
          <w:rFonts w:ascii="Times New Roman" w:eastAsia="Times New Roman" w:hAnsi="Times New Roman" w:cs="Times New Roman"/>
          <w:color w:val="000000"/>
        </w:rPr>
        <w:t xml:space="preserve"> consideramos referenciais e referentes. A compreensão da chuva enquanto impossível de definição última por sua materialização demanda um dobrar, desdobrar no espaço-tempo enquanto também fenômeno (BARAD, 2020, p. 336). </w:t>
      </w:r>
    </w:p>
    <w:p w14:paraId="24B32D90" w14:textId="79F9519E" w:rsidR="002D4F3B" w:rsidRPr="00E87EA6" w:rsidRDefault="002D4F3B" w:rsidP="00F866C0">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Uma especificação do </w:t>
      </w:r>
      <w:r w:rsidRPr="00E87EA6">
        <w:rPr>
          <w:rFonts w:ascii="Times New Roman" w:eastAsia="Times New Roman" w:hAnsi="Times New Roman" w:cs="Times New Roman"/>
          <w:i/>
          <w:iCs/>
          <w:color w:val="000000"/>
        </w:rPr>
        <w:t xml:space="preserve">antropos, </w:t>
      </w:r>
      <w:r w:rsidRPr="00E87EA6">
        <w:rPr>
          <w:rFonts w:ascii="Times New Roman" w:eastAsia="Times New Roman" w:hAnsi="Times New Roman" w:cs="Times New Roman"/>
          <w:color w:val="000000"/>
        </w:rPr>
        <w:t xml:space="preserve">na forma convencional, não nos serve na prática política porque muitos entes são reduzidos como pano de fundo, recurso, para a ação do humano no humanismo (PRECIADO, 2022). Os não humanos não têm agência no humanismo e, ainda que o </w:t>
      </w:r>
      <w:r w:rsidRPr="00B43D8C">
        <w:rPr>
          <w:rFonts w:ascii="Times New Roman" w:eastAsia="Times New Roman" w:hAnsi="Times New Roman" w:cs="Times New Roman"/>
          <w:color w:val="000000"/>
        </w:rPr>
        <w:t>discurso se volte para o agenciamento dos nãohumanos, o modo como é feito ao apreendê-los na estabilidade, a fim de lhes dar algo que eles já não possuem, reescreve a excepcionalidade (superior) do humano (BARAD, 2020).</w:t>
      </w:r>
    </w:p>
    <w:p w14:paraId="08E7B519" w14:textId="77777777" w:rsidR="002D4F3B" w:rsidRPr="00E87EA6" w:rsidRDefault="002D4F3B" w:rsidP="002D4F3B">
      <w:pPr>
        <w:spacing w:before="480"/>
        <w:jc w:val="both"/>
        <w:rPr>
          <w:rFonts w:ascii="Times New Roman" w:eastAsia="Times New Roman" w:hAnsi="Times New Roman" w:cs="Times New Roman"/>
        </w:rPr>
      </w:pPr>
      <w:r w:rsidRPr="00E87EA6">
        <w:rPr>
          <w:rFonts w:ascii="Times New Roman" w:eastAsia="Times New Roman" w:hAnsi="Times New Roman" w:cs="Times New Roman"/>
          <w:b/>
          <w:bCs/>
          <w:color w:val="000000"/>
          <w:sz w:val="32"/>
          <w:szCs w:val="32"/>
        </w:rPr>
        <w:t>A epistemologia do selvagem na exumação do espírito humano </w:t>
      </w:r>
    </w:p>
    <w:p w14:paraId="3C1B3402" w14:textId="77777777" w:rsidR="002D4F3B" w:rsidRPr="00E87EA6" w:rsidRDefault="002D4F3B" w:rsidP="002D4F3B">
      <w:pPr>
        <w:spacing w:before="480"/>
        <w:ind w:left="2268"/>
        <w:jc w:val="both"/>
        <w:rPr>
          <w:rFonts w:ascii="Times New Roman" w:eastAsia="Times New Roman" w:hAnsi="Times New Roman" w:cs="Times New Roman"/>
        </w:rPr>
      </w:pPr>
      <w:r w:rsidRPr="00E87EA6">
        <w:rPr>
          <w:rFonts w:ascii="Times New Roman" w:eastAsia="Times New Roman" w:hAnsi="Times New Roman" w:cs="Times New Roman"/>
          <w:color w:val="000000"/>
        </w:rPr>
        <w:t>“Não havia Porquinho para falar em nome da razão. Não havia uma reunião solene para se debater, nem a dignidade da concha” (Golding, 1954, p. 211).  </w:t>
      </w:r>
    </w:p>
    <w:p w14:paraId="7AA705D8" w14:textId="77777777" w:rsidR="002D4F3B" w:rsidRPr="00E87EA6" w:rsidRDefault="002D4F3B" w:rsidP="002D4F3B">
      <w:pPr>
        <w:rPr>
          <w:rFonts w:ascii="Times New Roman" w:eastAsia="Times New Roman" w:hAnsi="Times New Roman" w:cs="Times New Roman"/>
        </w:rPr>
      </w:pPr>
    </w:p>
    <w:p w14:paraId="7498167E" w14:textId="13118628" w:rsidR="002D4F3B" w:rsidRPr="00E87EA6" w:rsidRDefault="002D4F3B" w:rsidP="002D4F3B">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Em uma breve percepção do </w:t>
      </w:r>
      <w:r w:rsidRPr="005B1A9C">
        <w:rPr>
          <w:rFonts w:ascii="Times New Roman" w:eastAsia="Times New Roman" w:hAnsi="Times New Roman" w:cs="Times New Roman"/>
          <w:color w:val="000000"/>
        </w:rPr>
        <w:t xml:space="preserve">livro “O Senhor das Moscas”, de William Golding, deparo-me com a perda da condição do humano pelo afastamento da </w:t>
      </w:r>
      <w:r w:rsidRPr="005B1A9C">
        <w:rPr>
          <w:rFonts w:ascii="Times New Roman" w:eastAsia="Times New Roman" w:hAnsi="Times New Roman" w:cs="Times New Roman"/>
          <w:i/>
          <w:iCs/>
          <w:color w:val="000000"/>
        </w:rPr>
        <w:t>cultura</w:t>
      </w:r>
      <w:r w:rsidRPr="005B1A9C">
        <w:rPr>
          <w:rFonts w:ascii="Times New Roman" w:eastAsia="Times New Roman" w:hAnsi="Times New Roman" w:cs="Times New Roman"/>
          <w:color w:val="000000"/>
        </w:rPr>
        <w:t xml:space="preserve"> e, portanto, daquilo que o produz enquanto ser </w:t>
      </w:r>
      <w:r w:rsidRPr="005B1A9C">
        <w:rPr>
          <w:rFonts w:ascii="Times New Roman" w:eastAsia="Times New Roman" w:hAnsi="Times New Roman" w:cs="Times New Roman"/>
          <w:i/>
          <w:iCs/>
          <w:color w:val="000000"/>
        </w:rPr>
        <w:t>civilizado</w:t>
      </w:r>
      <w:r w:rsidRPr="005B1A9C">
        <w:rPr>
          <w:rFonts w:ascii="Times New Roman" w:eastAsia="Times New Roman" w:hAnsi="Times New Roman" w:cs="Times New Roman"/>
          <w:color w:val="000000"/>
        </w:rPr>
        <w:t xml:space="preserve">. A fronteira que separa a cultura da </w:t>
      </w:r>
      <w:r w:rsidRPr="005B1A9C">
        <w:rPr>
          <w:rFonts w:ascii="Times New Roman" w:eastAsia="Times New Roman" w:hAnsi="Times New Roman" w:cs="Times New Roman"/>
          <w:i/>
          <w:iCs/>
          <w:color w:val="000000"/>
        </w:rPr>
        <w:t>natureza</w:t>
      </w:r>
      <w:r w:rsidRPr="005B1A9C">
        <w:rPr>
          <w:rFonts w:ascii="Times New Roman" w:eastAsia="Times New Roman" w:hAnsi="Times New Roman" w:cs="Times New Roman"/>
          <w:color w:val="000000"/>
        </w:rPr>
        <w:t xml:space="preserve"> é colocada pela ilha deserta (do quê? de quem?, uma vez que nem a noção de deserto vê-se livre dos átomos) no Oceano Pacífico em que garotos ingleses se viram perdidos, após um acidente aéreo. Neste espaçotempomaterial anárquico da ilha, a produção da natureza </w:t>
      </w:r>
      <w:r w:rsidRPr="005B1A9C">
        <w:rPr>
          <w:rFonts w:ascii="Times New Roman" w:eastAsia="Times New Roman" w:hAnsi="Times New Roman" w:cs="Times New Roman"/>
          <w:color w:val="000000"/>
        </w:rPr>
        <w:lastRenderedPageBreak/>
        <w:t>enquanto selvagem auxilia e</w:t>
      </w:r>
      <w:r w:rsidRPr="005B1A9C">
        <w:rPr>
          <w:rFonts w:ascii="Times New Roman" w:eastAsia="Times New Roman" w:hAnsi="Times New Roman" w:cs="Times New Roman"/>
          <w:i/>
          <w:iCs/>
          <w:color w:val="000000"/>
        </w:rPr>
        <w:t xml:space="preserve"> </w:t>
      </w:r>
      <w:r w:rsidRPr="005B1A9C">
        <w:rPr>
          <w:rFonts w:ascii="Times New Roman" w:eastAsia="Times New Roman" w:hAnsi="Times New Roman" w:cs="Times New Roman"/>
          <w:color w:val="000000"/>
        </w:rPr>
        <w:t xml:space="preserve">queeriza a premissa da existência do “espírito humano”, não problematizado e reivindicado, na produção de Rafael Pacheco e José Robaima (2021), como o objeto de interesse da escolarização. A imagem dos selvagens no livro de William Golding (1954) e no trabalho de Jack Halberstam (2020) possibilita duvidar de uma identidade humana movida pela ânsia de “descobrir” e “aprender”, enquanto “desejo único” para que o mesmo busque “novos horizontes”, como a norma, um tanto messiânica, como identidade universal da criança (PACHECO E ROBAIMA, 2021, p. 2). </w:t>
      </w:r>
    </w:p>
    <w:p w14:paraId="6D6FDB9A" w14:textId="400B6E5A" w:rsidR="002D4F3B" w:rsidRPr="00E87EA6" w:rsidRDefault="002D4F3B" w:rsidP="002D4F3B">
      <w:pPr>
        <w:spacing w:line="360" w:lineRule="auto"/>
        <w:ind w:firstLine="709"/>
        <w:jc w:val="both"/>
        <w:rPr>
          <w:rFonts w:ascii="Times New Roman" w:eastAsia="Times New Roman" w:hAnsi="Times New Roman" w:cs="Times New Roman"/>
        </w:rPr>
      </w:pPr>
      <w:r w:rsidRPr="00B156D0">
        <w:rPr>
          <w:rFonts w:ascii="Times New Roman" w:eastAsia="Times New Roman" w:hAnsi="Times New Roman" w:cs="Times New Roman"/>
          <w:color w:val="000000"/>
        </w:rPr>
        <w:t>É “necessário” aos entes enquanto dotados de um “espírito” cidadão ser “indivíduos ativos”, que “constroem seu ponto de vista”, “tomam decisões”, sendo capazes de “compreender que o que está em jogo no discurso dos especialistas é seu presente e o futuro de seus descendentes</w:t>
      </w:r>
      <w:r w:rsidRPr="00B156D0">
        <w:rPr>
          <w:rStyle w:val="Refdenotaderodap"/>
          <w:rFonts w:ascii="Times New Roman" w:eastAsia="Times New Roman" w:hAnsi="Times New Roman" w:cs="Times New Roman"/>
          <w:color w:val="000000"/>
        </w:rPr>
        <w:footnoteReference w:id="2"/>
      </w:r>
      <w:r w:rsidRPr="00B156D0">
        <w:rPr>
          <w:rFonts w:ascii="Times New Roman" w:eastAsia="Times New Roman" w:hAnsi="Times New Roman" w:cs="Times New Roman"/>
          <w:color w:val="000000"/>
        </w:rPr>
        <w:t>”, ou seja, o imperativo</w:t>
      </w:r>
      <w:r w:rsidRPr="00E87EA6">
        <w:rPr>
          <w:rFonts w:ascii="Times New Roman" w:eastAsia="Times New Roman" w:hAnsi="Times New Roman" w:cs="Times New Roman"/>
          <w:color w:val="000000"/>
        </w:rPr>
        <w:t xml:space="preserve"> cosmopolita de superioridade.  No livro, a perspectiva de um futuro em que os garotos seriam salvos os assassinou enquanto seres pré-definidos. Isso se dá no instante em que o oficial olha para aquele indivíduo e diz que esperava um comportamento melhor por serem garotos ingleses (Golding, 1954). Existe aqui o pressuposto de </w:t>
      </w:r>
      <w:r w:rsidRPr="00E87EA6">
        <w:rPr>
          <w:rFonts w:ascii="Times New Roman" w:eastAsia="Times New Roman" w:hAnsi="Times New Roman" w:cs="Times New Roman"/>
          <w:i/>
          <w:iCs/>
          <w:color w:val="000000"/>
        </w:rPr>
        <w:t xml:space="preserve">colonialidade do ser, pela domesticação e governo dos corpos, </w:t>
      </w:r>
      <w:r w:rsidRPr="00E87EA6">
        <w:rPr>
          <w:rFonts w:ascii="Times New Roman" w:eastAsia="Times New Roman" w:hAnsi="Times New Roman" w:cs="Times New Roman"/>
          <w:color w:val="000000"/>
        </w:rPr>
        <w:t>que intenciona a eliminação da queeridade dos povos, cuja aposta de decolonialidade é potencializada na epistemologia do selvagem (HALBERSTAM, 2020, p. 32). </w:t>
      </w:r>
    </w:p>
    <w:p w14:paraId="35B97C62" w14:textId="3AD4C65B" w:rsidR="002D4F3B" w:rsidRPr="00E87EA6" w:rsidRDefault="002D4F3B" w:rsidP="002D4F3B">
      <w:pPr>
        <w:spacing w:line="360" w:lineRule="auto"/>
        <w:ind w:firstLine="709"/>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A desestabilização dos humanos pela queeridade dos fenômenos como indivíduos, por exemplo, da fumaça, que em relação aos meninos é tanto o que pode salvá-los, dando-lhes visibilidade na vastidão do oceano. Em outro referencial é o que destrói acordos entre eles, causa disputa, é o que mata, o que amedronta, o que precisa de atenção para o uso </w:t>
      </w:r>
      <w:r w:rsidRPr="00E87EA6">
        <w:rPr>
          <w:rFonts w:ascii="Times New Roman" w:eastAsia="Times New Roman" w:hAnsi="Times New Roman" w:cs="Times New Roman"/>
          <w:color w:val="000000"/>
        </w:rPr>
        <w:lastRenderedPageBreak/>
        <w:t xml:space="preserve">em um momento “certo”, cuja condição de existência é o fogo, cuja ameaça é a chuva, é o Jack. </w:t>
      </w:r>
      <w:r w:rsidRPr="00410704">
        <w:rPr>
          <w:rFonts w:ascii="Times New Roman" w:eastAsia="Times New Roman" w:hAnsi="Times New Roman" w:cs="Times New Roman"/>
          <w:color w:val="000000"/>
        </w:rPr>
        <w:t>A caça do bicho, a caça do porco, o sangue, as moscas, eles são caçados, um caça</w:t>
      </w:r>
      <w:r w:rsidRPr="00E87EA6">
        <w:rPr>
          <w:rFonts w:ascii="Times New Roman" w:eastAsia="Times New Roman" w:hAnsi="Times New Roman" w:cs="Times New Roman"/>
          <w:color w:val="000000"/>
        </w:rPr>
        <w:t xml:space="preserve"> o outro - em alguns momentos, </w:t>
      </w:r>
      <w:r w:rsidRPr="00410704">
        <w:rPr>
          <w:rFonts w:ascii="Times New Roman" w:eastAsia="Times New Roman" w:hAnsi="Times New Roman" w:cs="Times New Roman"/>
          <w:color w:val="000000"/>
        </w:rPr>
        <w:t>não é possível fazer a distinção entre os monstros, os garotos e os animais -  a caça é alimento  e</w:t>
      </w:r>
      <w:r>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rPr>
        <w:t>morte, a caça é a besta, a morte atrai as moscas, eles caçam a besta, a morte é delírio, é o piloto e o monstro, eles são e não são monstros, selvagens, assombro e assombrados, a cabeça de quem?, a cabeça de porco, a fuga é dos outros, de si, de ninguém, do monstro, a fuga é da ilha, a fuga é do eu, a fuga é ritual, poder.</w:t>
      </w:r>
    </w:p>
    <w:p w14:paraId="27E57E11" w14:textId="75297F6E" w:rsidR="002D4F3B" w:rsidRDefault="002D4F3B" w:rsidP="002D4F3B">
      <w:pPr>
        <w:spacing w:line="360" w:lineRule="auto"/>
        <w:ind w:firstLine="709"/>
        <w:jc w:val="both"/>
        <w:rPr>
          <w:rFonts w:ascii="Times New Roman" w:eastAsia="Times New Roman" w:hAnsi="Times New Roman" w:cs="Times New Roman"/>
          <w:color w:val="000000"/>
        </w:rPr>
      </w:pPr>
      <w:r w:rsidRPr="00E87EA6">
        <w:rPr>
          <w:rFonts w:ascii="Times New Roman" w:eastAsia="Times New Roman" w:hAnsi="Times New Roman" w:cs="Times New Roman"/>
          <w:smallCaps/>
          <w:color w:val="000000"/>
        </w:rPr>
        <w:t>A</w:t>
      </w:r>
      <w:r w:rsidRPr="00E87EA6">
        <w:rPr>
          <w:rFonts w:ascii="Times New Roman" w:eastAsia="Times New Roman" w:hAnsi="Times New Roman" w:cs="Times New Roman"/>
          <w:color w:val="000000"/>
        </w:rPr>
        <w:t>s</w:t>
      </w:r>
      <w:r w:rsidRPr="00E87EA6">
        <w:rPr>
          <w:rFonts w:ascii="Times New Roman" w:eastAsia="Times New Roman" w:hAnsi="Times New Roman" w:cs="Times New Roman"/>
          <w:smallCaps/>
          <w:color w:val="000000"/>
        </w:rPr>
        <w:t xml:space="preserve"> </w:t>
      </w:r>
      <w:r w:rsidRPr="00E87EA6">
        <w:rPr>
          <w:rFonts w:ascii="Times New Roman" w:eastAsia="Times New Roman" w:hAnsi="Times New Roman" w:cs="Times New Roman"/>
          <w:color w:val="000000"/>
        </w:rPr>
        <w:t xml:space="preserve">práticas materializantes da diferenciação entre </w:t>
      </w:r>
      <w:r w:rsidRPr="00E87EA6">
        <w:rPr>
          <w:rFonts w:ascii="Times New Roman" w:eastAsia="Times New Roman" w:hAnsi="Times New Roman" w:cs="Times New Roman"/>
          <w:i/>
          <w:iCs/>
          <w:color w:val="000000"/>
        </w:rPr>
        <w:t>natureza/cultura</w:t>
      </w:r>
      <w:r w:rsidRPr="00E87EA6">
        <w:rPr>
          <w:rFonts w:ascii="Times New Roman" w:eastAsia="Times New Roman" w:hAnsi="Times New Roman" w:cs="Times New Roman"/>
          <w:color w:val="000000"/>
        </w:rPr>
        <w:t xml:space="preserve"> “consolida um sistema matriz racial dentro do qual o selvagem representa um tempo anterior, passado primitivo e um temperamento descontrolado” (HALBERSTAM, 2020, p. 27). O humano é produzido como o outro do selvagem, como ser cuja selvageria insiste em retornar, enquanto fera, ao passo que </w:t>
      </w:r>
      <w:r w:rsidRPr="00410704">
        <w:rPr>
          <w:rFonts w:ascii="Times New Roman" w:eastAsia="Times New Roman" w:hAnsi="Times New Roman" w:cs="Times New Roman"/>
          <w:color w:val="000000"/>
        </w:rPr>
        <w:t>deve ser submetido ao controle</w:t>
      </w:r>
      <w:r w:rsidR="003D512D">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rPr>
        <w:t xml:space="preserve">Ora, a produção do humano </w:t>
      </w:r>
      <w:r>
        <w:rPr>
          <w:rFonts w:ascii="Times New Roman" w:eastAsia="Times New Roman" w:hAnsi="Times New Roman" w:cs="Times New Roman"/>
          <w:color w:val="000000"/>
        </w:rPr>
        <w:t xml:space="preserve">da </w:t>
      </w:r>
      <w:r w:rsidRPr="00E87EA6">
        <w:rPr>
          <w:rFonts w:ascii="Times New Roman" w:eastAsia="Times New Roman" w:hAnsi="Times New Roman" w:cs="Times New Roman"/>
          <w:color w:val="000000"/>
        </w:rPr>
        <w:t>norma</w:t>
      </w:r>
      <w:r>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rPr>
        <w:t>se dá por tentativas de enxugar a queeridade que insiste em vazar. A questão aqui não é a atribuição da relação entre espírito e o humano, porém a percepção da imagem do humano enquanto dotado de um espírito único e, a priori, comum a todos os humanos</w:t>
      </w:r>
      <w:r w:rsidR="00527B0D">
        <w:rPr>
          <w:rFonts w:ascii="Times New Roman" w:eastAsia="Times New Roman" w:hAnsi="Times New Roman" w:cs="Times New Roman"/>
          <w:color w:val="000000"/>
        </w:rPr>
        <w:t xml:space="preserve">. </w:t>
      </w:r>
      <w:r w:rsidRPr="00E87EA6">
        <w:rPr>
          <w:rFonts w:ascii="Times New Roman" w:eastAsia="Times New Roman" w:hAnsi="Times New Roman" w:cs="Times New Roman"/>
          <w:color w:val="000000"/>
          <w:shd w:val="clear" w:color="auto" w:fill="FFFFFF"/>
        </w:rPr>
        <w:t>Há nessa ideia de social um vínculo com uma especificidade do fazer científico voltado para o controle da “natureza” humana</w:t>
      </w:r>
      <w:r w:rsidR="00156DFE">
        <w:rPr>
          <w:rFonts w:ascii="Times New Roman" w:eastAsia="Times New Roman" w:hAnsi="Times New Roman" w:cs="Times New Roman"/>
          <w:color w:val="000000"/>
          <w:shd w:val="clear" w:color="auto" w:fill="FFFFFF"/>
        </w:rPr>
        <w:t>.</w:t>
      </w:r>
    </w:p>
    <w:p w14:paraId="6D8AAF8B" w14:textId="77777777" w:rsidR="002D4F3B" w:rsidRPr="00E87EA6" w:rsidRDefault="002D4F3B" w:rsidP="002D4F3B">
      <w:pPr>
        <w:rPr>
          <w:rFonts w:ascii="Times New Roman" w:eastAsia="Times New Roman" w:hAnsi="Times New Roman" w:cs="Times New Roman"/>
        </w:rPr>
      </w:pPr>
    </w:p>
    <w:p w14:paraId="7C7D4BD2" w14:textId="77777777" w:rsidR="002D4F3B" w:rsidRPr="00E87EA6" w:rsidRDefault="002D4F3B" w:rsidP="002D4F3B">
      <w:pPr>
        <w:rPr>
          <w:rFonts w:ascii="Times New Roman" w:eastAsia="Times New Roman" w:hAnsi="Times New Roman" w:cs="Times New Roman"/>
        </w:rPr>
      </w:pPr>
      <w:r w:rsidRPr="00E87EA6">
        <w:rPr>
          <w:rFonts w:ascii="Times New Roman" w:eastAsia="Times New Roman" w:hAnsi="Times New Roman" w:cs="Times New Roman"/>
          <w:b/>
          <w:bCs/>
          <w:color w:val="000000"/>
        </w:rPr>
        <w:t>Concluo que não há conclusão</w:t>
      </w:r>
    </w:p>
    <w:p w14:paraId="6DD2BFE2" w14:textId="77777777" w:rsidR="002D4F3B" w:rsidRPr="00E87EA6" w:rsidRDefault="002D4F3B" w:rsidP="002D4F3B">
      <w:pPr>
        <w:rPr>
          <w:rFonts w:ascii="Times New Roman" w:eastAsia="Times New Roman" w:hAnsi="Times New Roman" w:cs="Times New Roman"/>
        </w:rPr>
      </w:pPr>
    </w:p>
    <w:p w14:paraId="49182009" w14:textId="41C12402" w:rsidR="002D4F3B" w:rsidRPr="00F372A3" w:rsidRDefault="002D4F3B" w:rsidP="00F372A3">
      <w:pPr>
        <w:spacing w:line="360" w:lineRule="auto"/>
        <w:ind w:firstLine="720"/>
        <w:jc w:val="both"/>
        <w:rPr>
          <w:rFonts w:ascii="Times New Roman" w:eastAsia="Times New Roman" w:hAnsi="Times New Roman" w:cs="Times New Roman"/>
          <w:color w:val="000000"/>
        </w:rPr>
      </w:pPr>
      <w:r w:rsidRPr="00410704">
        <w:rPr>
          <w:rFonts w:ascii="Times New Roman" w:eastAsia="Times New Roman" w:hAnsi="Times New Roman" w:cs="Times New Roman"/>
          <w:color w:val="000000"/>
        </w:rPr>
        <w:t>Eu me apoiei então naquilo que vaza das produções, bagunçando o imaginário da identidade humana e questionando os binarismos, através da epistemologia do selvagem, (HALBERSTAM, 2020) pensando em modos de deslocar o pensamento do terreno social para o da natureza.</w:t>
      </w:r>
      <w:r w:rsidR="00F372A3">
        <w:rPr>
          <w:rFonts w:ascii="Times New Roman" w:eastAsia="Times New Roman" w:hAnsi="Times New Roman" w:cs="Times New Roman"/>
          <w:color w:val="000000"/>
        </w:rPr>
        <w:t xml:space="preserve"> </w:t>
      </w:r>
      <w:r w:rsidRPr="00410704">
        <w:rPr>
          <w:rFonts w:ascii="Times New Roman" w:eastAsia="Times New Roman" w:hAnsi="Times New Roman" w:cs="Times New Roman"/>
          <w:color w:val="000000"/>
        </w:rPr>
        <w:t>Os problemas acerca dos pensamentos que pressupõem tal sentido de natureza humana, distorcem tudo</w:t>
      </w:r>
      <w:r w:rsidRPr="00E87EA6">
        <w:rPr>
          <w:rFonts w:ascii="Times New Roman" w:eastAsia="Times New Roman" w:hAnsi="Times New Roman" w:cs="Times New Roman"/>
          <w:color w:val="000000"/>
        </w:rPr>
        <w:t xml:space="preserve"> aquilo que é materialmente inscrito como </w:t>
      </w:r>
      <w:r w:rsidR="00532E19" w:rsidRPr="00E87EA6">
        <w:rPr>
          <w:rFonts w:ascii="Times New Roman" w:eastAsia="Times New Roman" w:hAnsi="Times New Roman" w:cs="Times New Roman"/>
          <w:color w:val="000000"/>
        </w:rPr>
        <w:t>não natural</w:t>
      </w:r>
      <w:r w:rsidRPr="00E87EA6">
        <w:rPr>
          <w:rFonts w:ascii="Times New Roman" w:eastAsia="Times New Roman" w:hAnsi="Times New Roman" w:cs="Times New Roman"/>
          <w:color w:val="000000"/>
        </w:rPr>
        <w:t xml:space="preserve"> do humano. A abertura para classificar determinado hábito, corpo e pensamento – enquanto uma questão de ausência e presença – deixaria de ser o foco do ensino como se a questão do humano não tivesse relação com ter ou não um espírito específico. Tal questão, </w:t>
      </w:r>
      <w:r w:rsidRPr="00FA5D7C">
        <w:rPr>
          <w:rFonts w:ascii="Times New Roman" w:eastAsia="Times New Roman" w:hAnsi="Times New Roman" w:cs="Times New Roman"/>
          <w:color w:val="000000"/>
        </w:rPr>
        <w:t xml:space="preserve">novamente, nos leva a pensar que o problema em si não se trata da produção dos </w:t>
      </w:r>
      <w:r w:rsidRPr="00FA5D7C">
        <w:rPr>
          <w:rFonts w:ascii="Times New Roman" w:eastAsia="Times New Roman" w:hAnsi="Times New Roman" w:cs="Times New Roman"/>
          <w:color w:val="000000"/>
        </w:rPr>
        <w:lastRenderedPageBreak/>
        <w:t>indivíduos enquanto entes diferentes</w:t>
      </w:r>
      <w:r w:rsidRPr="00E87EA6">
        <w:rPr>
          <w:rFonts w:ascii="Times New Roman" w:eastAsia="Times New Roman" w:hAnsi="Times New Roman" w:cs="Times New Roman"/>
          <w:color w:val="000000"/>
        </w:rPr>
        <w:t xml:space="preserve"> de mim, porém ao produzir o outro mediante racionalidades que operam em um contínuo de valores pré</w:t>
      </w:r>
      <w:r>
        <w:rPr>
          <w:rFonts w:ascii="Times New Roman" w:eastAsia="Times New Roman" w:hAnsi="Times New Roman" w:cs="Times New Roman"/>
          <w:color w:val="000000"/>
        </w:rPr>
        <w:t>-</w:t>
      </w:r>
      <w:r w:rsidRPr="00E87EA6">
        <w:rPr>
          <w:rFonts w:ascii="Times New Roman" w:eastAsia="Times New Roman" w:hAnsi="Times New Roman" w:cs="Times New Roman"/>
          <w:color w:val="000000"/>
        </w:rPr>
        <w:t>estabelecido, a diferença do outro é categorizada como inferior ou superior à do antropos. A materialidade dos indivíduos não é linear e fixa. A não percepção do emaranhado no espaçotempomaterialização queimou os indivíduos. Queimou a floresta! Matou o bicho! Cortou a garganta! Tirou o sangue! Acabou com ele! (GOLDING, 1954). E agora? Quais histórias contar diante do fim?</w:t>
      </w:r>
    </w:p>
    <w:p w14:paraId="3D91D881" w14:textId="77777777" w:rsidR="002D4F3B" w:rsidRPr="00E87EA6" w:rsidRDefault="002D4F3B" w:rsidP="002D4F3B">
      <w:pPr>
        <w:rPr>
          <w:rFonts w:ascii="Times New Roman" w:eastAsia="Times New Roman" w:hAnsi="Times New Roman" w:cs="Times New Roman"/>
        </w:rPr>
      </w:pPr>
    </w:p>
    <w:p w14:paraId="1F2BA189" w14:textId="77777777" w:rsidR="002D4F3B" w:rsidRPr="003D4533" w:rsidRDefault="002D4F3B" w:rsidP="002D4F3B">
      <w:pPr>
        <w:rPr>
          <w:rFonts w:ascii="Times New Roman" w:eastAsia="Times New Roman" w:hAnsi="Times New Roman" w:cs="Times New Roman"/>
        </w:rPr>
      </w:pPr>
      <w:r w:rsidRPr="00E87EA6">
        <w:rPr>
          <w:rFonts w:eastAsia="Times New Roman"/>
          <w:b/>
          <w:bCs/>
          <w:color w:val="000000"/>
        </w:rPr>
        <w:t>REFERÊNCIAS BIBLIOGRÁFICAS </w:t>
      </w:r>
    </w:p>
    <w:p w14:paraId="6031C3B0" w14:textId="77777777" w:rsidR="002D4F3B" w:rsidRDefault="002D4F3B" w:rsidP="002D4F3B">
      <w:pPr>
        <w:pStyle w:val="NormalWeb"/>
        <w:spacing w:before="0" w:beforeAutospacing="0" w:after="0" w:afterAutospacing="0"/>
        <w:jc w:val="both"/>
        <w:rPr>
          <w:color w:val="000000"/>
        </w:rPr>
      </w:pPr>
    </w:p>
    <w:p w14:paraId="67E0C1FC" w14:textId="4F007914" w:rsidR="002D4F3B" w:rsidRPr="003D4533" w:rsidRDefault="002D4F3B" w:rsidP="002D4F3B">
      <w:pPr>
        <w:pStyle w:val="NormalWeb"/>
        <w:spacing w:before="0" w:beforeAutospacing="0" w:after="0" w:afterAutospacing="0"/>
        <w:jc w:val="both"/>
      </w:pPr>
      <w:r w:rsidRPr="003D4533">
        <w:rPr>
          <w:color w:val="000000"/>
        </w:rPr>
        <w:t xml:space="preserve">BARAD, Karen. A performatividade queer da natureza. </w:t>
      </w:r>
      <w:r w:rsidRPr="003D4533">
        <w:rPr>
          <w:b/>
          <w:bCs/>
          <w:color w:val="000000"/>
        </w:rPr>
        <w:t>Revista Brasileira de Estudos da Homocultura</w:t>
      </w:r>
      <w:r w:rsidRPr="003D4533">
        <w:rPr>
          <w:color w:val="000000"/>
        </w:rPr>
        <w:t>, v. 3, n. 11, jul-set 2020. </w:t>
      </w:r>
    </w:p>
    <w:p w14:paraId="347EC9BF" w14:textId="77777777" w:rsidR="002D4F3B" w:rsidRPr="003D4533" w:rsidRDefault="002D4F3B" w:rsidP="002D4F3B">
      <w:pPr>
        <w:pStyle w:val="NormalWeb"/>
        <w:spacing w:before="0" w:beforeAutospacing="0" w:after="0" w:afterAutospacing="0"/>
        <w:jc w:val="both"/>
        <w:rPr>
          <w:color w:val="000000"/>
        </w:rPr>
      </w:pPr>
    </w:p>
    <w:p w14:paraId="7F0E7F1F" w14:textId="77777777" w:rsidR="002D4F3B" w:rsidRPr="003D4533" w:rsidRDefault="002D4F3B" w:rsidP="002D4F3B">
      <w:pPr>
        <w:pStyle w:val="NormalWeb"/>
        <w:spacing w:before="0" w:beforeAutospacing="0" w:after="0" w:afterAutospacing="0"/>
        <w:jc w:val="both"/>
      </w:pPr>
      <w:r w:rsidRPr="003D4533">
        <w:rPr>
          <w:color w:val="000000"/>
        </w:rPr>
        <w:t xml:space="preserve">BARAD, Karen. Tempo(s) problemático(s) e ecologias do nada: re-tornando, re-lembrando e enfrentando o incalculável. </w:t>
      </w:r>
      <w:r w:rsidRPr="003D4533">
        <w:rPr>
          <w:b/>
          <w:bCs/>
          <w:color w:val="000000"/>
        </w:rPr>
        <w:t>Revista Estudos Políticos</w:t>
      </w:r>
      <w:r w:rsidRPr="003D4533">
        <w:rPr>
          <w:color w:val="000000"/>
        </w:rPr>
        <w:t>, 2023. (no prelo). </w:t>
      </w:r>
    </w:p>
    <w:p w14:paraId="0D7A84E9" w14:textId="77777777" w:rsidR="002D4F3B" w:rsidRPr="00FA5D7C" w:rsidRDefault="002D4F3B" w:rsidP="002D4F3B">
      <w:pPr>
        <w:shd w:val="clear" w:color="auto" w:fill="FFFFFF"/>
        <w:jc w:val="both"/>
        <w:rPr>
          <w:rFonts w:ascii="Times New Roman" w:hAnsi="Times New Roman" w:cs="Times New Roman"/>
          <w:color w:val="000000"/>
        </w:rPr>
      </w:pPr>
    </w:p>
    <w:p w14:paraId="30499E43" w14:textId="77777777" w:rsidR="002D4F3B" w:rsidRPr="003D4533" w:rsidRDefault="002D4F3B" w:rsidP="002D4F3B">
      <w:pPr>
        <w:jc w:val="both"/>
        <w:rPr>
          <w:rFonts w:ascii="Times New Roman" w:hAnsi="Times New Roman" w:cs="Times New Roman"/>
          <w:lang w:val="en-US"/>
        </w:rPr>
      </w:pPr>
      <w:r w:rsidRPr="003D4533">
        <w:rPr>
          <w:rFonts w:ascii="Times New Roman" w:hAnsi="Times New Roman" w:cs="Times New Roman"/>
        </w:rPr>
        <w:t xml:space="preserve">GOLDING, William. </w:t>
      </w:r>
      <w:r w:rsidRPr="00FA5D7C">
        <w:rPr>
          <w:rFonts w:ascii="Times New Roman" w:hAnsi="Times New Roman" w:cs="Times New Roman"/>
        </w:rPr>
        <w:t>O</w:t>
      </w:r>
      <w:r>
        <w:rPr>
          <w:rFonts w:ascii="Times New Roman" w:hAnsi="Times New Roman" w:cs="Times New Roman"/>
        </w:rPr>
        <w:t xml:space="preserve"> </w:t>
      </w:r>
      <w:r w:rsidRPr="003D4533">
        <w:rPr>
          <w:rFonts w:ascii="Times New Roman" w:hAnsi="Times New Roman" w:cs="Times New Roman"/>
          <w:b/>
          <w:bCs/>
        </w:rPr>
        <w:t>Senhor das Moscas.</w:t>
      </w:r>
      <w:r w:rsidRPr="003D4533">
        <w:rPr>
          <w:rFonts w:ascii="Times New Roman" w:hAnsi="Times New Roman" w:cs="Times New Roman"/>
        </w:rPr>
        <w:t xml:space="preserve"> Tradução Sergio Flaksman. </w:t>
      </w:r>
      <w:r w:rsidRPr="003D4533">
        <w:rPr>
          <w:rFonts w:ascii="Times New Roman" w:hAnsi="Times New Roman" w:cs="Times New Roman"/>
          <w:lang w:val="en-US"/>
        </w:rPr>
        <w:t xml:space="preserve">Alfaguara, 1954. </w:t>
      </w:r>
    </w:p>
    <w:p w14:paraId="0AC7EE08" w14:textId="77777777" w:rsidR="002D4F3B" w:rsidRDefault="002D4F3B" w:rsidP="002D4F3B">
      <w:pPr>
        <w:pStyle w:val="NormalWeb"/>
        <w:spacing w:before="0" w:beforeAutospacing="0" w:after="0" w:afterAutospacing="0"/>
        <w:jc w:val="both"/>
        <w:rPr>
          <w:color w:val="000000"/>
          <w:lang w:val="es-ES_tradnl"/>
        </w:rPr>
      </w:pPr>
    </w:p>
    <w:p w14:paraId="13492BFC" w14:textId="479719DC" w:rsidR="002D4F3B" w:rsidRPr="003D4533" w:rsidRDefault="002D4F3B" w:rsidP="002D4F3B">
      <w:pPr>
        <w:pStyle w:val="NormalWeb"/>
        <w:spacing w:before="0" w:beforeAutospacing="0" w:after="0" w:afterAutospacing="0"/>
        <w:jc w:val="both"/>
        <w:rPr>
          <w:color w:val="000000"/>
          <w:lang w:val="es-ES_tradnl"/>
        </w:rPr>
      </w:pPr>
      <w:r w:rsidRPr="003D4533">
        <w:rPr>
          <w:color w:val="000000"/>
          <w:lang w:val="es-ES_tradnl"/>
        </w:rPr>
        <w:t xml:space="preserve">HALBERSTAM, Jack. El sexo antes, después y contra la Naturaleza. In: </w:t>
      </w:r>
      <w:r w:rsidRPr="003D4533">
        <w:rPr>
          <w:b/>
          <w:bCs/>
          <w:color w:val="000000"/>
          <w:lang w:val="es-ES_tradnl"/>
        </w:rPr>
        <w:t>Criaturas salvajes</w:t>
      </w:r>
      <w:r w:rsidRPr="003D4533">
        <w:rPr>
          <w:color w:val="000000"/>
          <w:lang w:val="es-ES_tradnl"/>
        </w:rPr>
        <w:t>: El desorden del deseo. Barcelona: Égales Editorial, 2020.</w:t>
      </w:r>
    </w:p>
    <w:p w14:paraId="79292C7F" w14:textId="77777777" w:rsidR="002D4F3B" w:rsidRPr="003D4533" w:rsidRDefault="002D4F3B" w:rsidP="002D4F3B">
      <w:pPr>
        <w:pStyle w:val="NormalWeb"/>
        <w:spacing w:before="0" w:beforeAutospacing="0" w:after="0" w:afterAutospacing="0"/>
        <w:jc w:val="both"/>
        <w:rPr>
          <w:lang w:val="es-ES_tradnl"/>
        </w:rPr>
      </w:pPr>
    </w:p>
    <w:p w14:paraId="3B9D0F0E" w14:textId="77777777" w:rsidR="002D4F3B" w:rsidRPr="003D4533" w:rsidRDefault="002D4F3B" w:rsidP="002D4F3B">
      <w:pPr>
        <w:jc w:val="both"/>
        <w:rPr>
          <w:rFonts w:ascii="Times New Roman" w:hAnsi="Times New Roman" w:cs="Times New Roman"/>
          <w:lang w:val="en-US"/>
        </w:rPr>
      </w:pPr>
      <w:r w:rsidRPr="003D4533">
        <w:rPr>
          <w:rFonts w:ascii="Times New Roman" w:hAnsi="Times New Roman" w:cs="Times New Roman"/>
          <w:color w:val="000000"/>
        </w:rPr>
        <w:t xml:space="preserve">HALBERSTAM, Jack. Revolta animada e animação rebelde. In: </w:t>
      </w:r>
      <w:r w:rsidRPr="003D4533">
        <w:rPr>
          <w:rFonts w:ascii="Times New Roman" w:hAnsi="Times New Roman" w:cs="Times New Roman"/>
          <w:b/>
          <w:bCs/>
          <w:color w:val="000000"/>
        </w:rPr>
        <w:t>A arte queer do fracasso</w:t>
      </w:r>
      <w:r w:rsidRPr="003D4533">
        <w:rPr>
          <w:rFonts w:ascii="Times New Roman" w:hAnsi="Times New Roman" w:cs="Times New Roman"/>
          <w:color w:val="000000"/>
        </w:rPr>
        <w:t>. Recife: Cepe, 2020.</w:t>
      </w:r>
    </w:p>
    <w:p w14:paraId="1995164B" w14:textId="77777777" w:rsidR="002D4F3B" w:rsidRPr="003D4533" w:rsidRDefault="002D4F3B" w:rsidP="002D4F3B">
      <w:pPr>
        <w:pStyle w:val="NormalWeb"/>
        <w:spacing w:before="0" w:beforeAutospacing="0" w:after="0" w:afterAutospacing="0"/>
        <w:jc w:val="both"/>
        <w:rPr>
          <w:lang w:val="es-ES_tradnl"/>
        </w:rPr>
      </w:pPr>
    </w:p>
    <w:p w14:paraId="1114C8E6" w14:textId="3D627539" w:rsidR="002D4F3B" w:rsidRPr="003D4533" w:rsidRDefault="002D4F3B" w:rsidP="002D4F3B">
      <w:pPr>
        <w:jc w:val="both"/>
        <w:rPr>
          <w:rFonts w:ascii="Times New Roman" w:hAnsi="Times New Roman" w:cs="Times New Roman"/>
          <w:color w:val="222222"/>
          <w:shd w:val="clear" w:color="auto" w:fill="FFFFFF"/>
        </w:rPr>
      </w:pPr>
      <w:r w:rsidRPr="003D4533">
        <w:rPr>
          <w:rFonts w:ascii="Times New Roman" w:hAnsi="Times New Roman" w:cs="Times New Roman"/>
          <w:color w:val="222222"/>
          <w:shd w:val="clear" w:color="auto" w:fill="FFFFFF"/>
        </w:rPr>
        <w:t xml:space="preserve">PACHECO, Rafael Scheffer; ROBAINA, José Vicente Lima. Ensino de questões sociocientíficas envolvendo a nanotecnologia como articuladora da construção da argumentação por meio de sequências didáticas: Uma revisão das publicações do X, XI e XII ENPEC. </w:t>
      </w:r>
      <w:r w:rsidRPr="003D4533">
        <w:rPr>
          <w:rFonts w:ascii="Times New Roman" w:hAnsi="Times New Roman" w:cs="Times New Roman"/>
          <w:b/>
          <w:bCs/>
        </w:rPr>
        <w:t>XIII Encontro Nacional de Pesquisa em Educação em Ciências – XIII ENPEC em redes</w:t>
      </w:r>
      <w:r w:rsidRPr="003D4533">
        <w:rPr>
          <w:rFonts w:ascii="Times New Roman" w:hAnsi="Times New Roman" w:cs="Times New Roman"/>
          <w:color w:val="222222"/>
          <w:shd w:val="clear" w:color="auto" w:fill="FFFFFF"/>
        </w:rPr>
        <w:t>, p. 1-9. 2021.</w:t>
      </w:r>
    </w:p>
    <w:p w14:paraId="28B87617" w14:textId="77777777" w:rsidR="002D4F3B" w:rsidRDefault="002D4F3B" w:rsidP="002D4F3B">
      <w:pPr>
        <w:jc w:val="both"/>
        <w:rPr>
          <w:rFonts w:ascii="Times New Roman" w:eastAsia="Times New Roman" w:hAnsi="Times New Roman" w:cs="Times New Roman"/>
          <w:color w:val="000000"/>
        </w:rPr>
      </w:pPr>
    </w:p>
    <w:p w14:paraId="44907633" w14:textId="78AC0747" w:rsidR="00270343" w:rsidRDefault="002D4F3B" w:rsidP="00E74C24">
      <w:pPr>
        <w:jc w:val="both"/>
        <w:rPr>
          <w:rFonts w:ascii="Times New Roman" w:eastAsia="Times New Roman" w:hAnsi="Times New Roman" w:cs="Times New Roman"/>
        </w:rPr>
      </w:pPr>
      <w:r w:rsidRPr="00E87EA6">
        <w:rPr>
          <w:rFonts w:ascii="Times New Roman" w:eastAsia="Times New Roman" w:hAnsi="Times New Roman" w:cs="Times New Roman"/>
          <w:color w:val="000000"/>
        </w:rPr>
        <w:t xml:space="preserve">PRECIADO, Paul. </w:t>
      </w:r>
      <w:r w:rsidRPr="00E87EA6">
        <w:rPr>
          <w:rFonts w:ascii="Times New Roman" w:eastAsia="Times New Roman" w:hAnsi="Times New Roman" w:cs="Times New Roman"/>
          <w:b/>
          <w:bCs/>
          <w:color w:val="000000"/>
        </w:rPr>
        <w:t>O feminismo não é um humanismo.</w:t>
      </w:r>
      <w:r w:rsidRPr="00E87EA6">
        <w:rPr>
          <w:rFonts w:ascii="Times New Roman" w:eastAsia="Times New Roman" w:hAnsi="Times New Roman" w:cs="Times New Roman"/>
          <w:color w:val="000000"/>
        </w:rPr>
        <w:t xml:space="preserve"> In: Um apartamento em Urano: crônicas de travessia. Rio de Janeiro: Jorge Zahar, 2022.</w:t>
      </w:r>
    </w:p>
    <w:sectPr w:rsidR="002703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ECB3F" w14:textId="77777777" w:rsidR="00204D20" w:rsidRDefault="00204D20">
      <w:r>
        <w:separator/>
      </w:r>
    </w:p>
  </w:endnote>
  <w:endnote w:type="continuationSeparator" w:id="0">
    <w:p w14:paraId="7EB47CF7" w14:textId="77777777" w:rsidR="00204D20" w:rsidRDefault="002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673B" w14:textId="77777777" w:rsidR="00270343" w:rsidRDefault="0027034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FEE9" w14:textId="77777777" w:rsidR="00270343" w:rsidRDefault="0027034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0B73" w14:textId="77777777" w:rsidR="00270343" w:rsidRDefault="0027034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17F64" w14:textId="77777777" w:rsidR="00204D20" w:rsidRDefault="00204D20">
      <w:r>
        <w:separator/>
      </w:r>
    </w:p>
  </w:footnote>
  <w:footnote w:type="continuationSeparator" w:id="0">
    <w:p w14:paraId="524AF979" w14:textId="77777777" w:rsidR="00204D20" w:rsidRDefault="00204D20">
      <w:r>
        <w:continuationSeparator/>
      </w:r>
    </w:p>
  </w:footnote>
  <w:footnote w:id="1">
    <w:p w14:paraId="784600A4" w14:textId="77777777" w:rsidR="002D4F3B" w:rsidRDefault="002D4F3B" w:rsidP="002D4F3B">
      <w:pPr>
        <w:pStyle w:val="Textodenotaderodap"/>
      </w:pPr>
      <w:r>
        <w:rPr>
          <w:rStyle w:val="Refdenotaderodap"/>
        </w:rPr>
        <w:footnoteRef/>
      </w:r>
      <w:r>
        <w:t xml:space="preserve"> </w:t>
      </w:r>
      <w:r>
        <w:rPr>
          <w:color w:val="000000"/>
          <w:sz w:val="22"/>
          <w:szCs w:val="22"/>
        </w:rPr>
        <w:t>A ideia de indivíduo não se restringe ao humano. </w:t>
      </w:r>
    </w:p>
  </w:footnote>
  <w:footnote w:id="2">
    <w:p w14:paraId="309379DB" w14:textId="77777777" w:rsidR="002D4F3B" w:rsidRDefault="002D4F3B" w:rsidP="002D4F3B">
      <w:pPr>
        <w:pStyle w:val="NormalWeb"/>
        <w:spacing w:before="0" w:beforeAutospacing="0" w:after="0" w:afterAutospacing="0"/>
        <w:jc w:val="both"/>
      </w:pPr>
      <w:r>
        <w:rPr>
          <w:rStyle w:val="Refdenotaderodap"/>
        </w:rPr>
        <w:footnoteRef/>
      </w:r>
      <w:r>
        <w:t xml:space="preserve"> </w:t>
      </w:r>
      <w:r>
        <w:rPr>
          <w:color w:val="000000"/>
          <w:sz w:val="22"/>
          <w:szCs w:val="22"/>
        </w:rPr>
        <w:t xml:space="preserve">Portanto, alfabetizar os cidadãos em ciência e tecnologia é hoje uma emergência do mundo contemporâneo. Não se trata de dar vistas às benesses dos avanços científicos, como os meios de comunicação tentam sugerir, mas de disponibilizar as representações que permitam ao cidadão construir seu ponto de vista, tomar suas próprias decisões e compreender que o que está em jogo no discurso dos especialistas é seu presente e o futuro de seus descendentes (PACHECO e ROBAINA, 2021, p. </w:t>
      </w:r>
      <w:r w:rsidRPr="00B156D0">
        <w:rPr>
          <w:color w:val="000000"/>
          <w:sz w:val="22"/>
          <w:szCs w:val="22"/>
        </w:rPr>
        <w:t>2).</w:t>
      </w:r>
    </w:p>
    <w:p w14:paraId="24B69E27" w14:textId="77777777" w:rsidR="002D4F3B" w:rsidRDefault="002D4F3B" w:rsidP="002D4F3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71C4" w14:textId="77777777" w:rsidR="00270343" w:rsidRDefault="0027034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0D4" w14:textId="77777777" w:rsidR="00270343" w:rsidRDefault="00204D2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B986E87" wp14:editId="01D5111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E159" w14:textId="77777777" w:rsidR="00270343" w:rsidRDefault="0027034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F5BA7"/>
    <w:multiLevelType w:val="multilevel"/>
    <w:tmpl w:val="CD72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DA1A2C"/>
    <w:multiLevelType w:val="multilevel"/>
    <w:tmpl w:val="7E9C8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55751276">
    <w:abstractNumId w:val="1"/>
  </w:num>
  <w:num w:numId="2" w16cid:durableId="11626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3"/>
    <w:rsid w:val="000451CA"/>
    <w:rsid w:val="000521BD"/>
    <w:rsid w:val="00097581"/>
    <w:rsid w:val="000F623C"/>
    <w:rsid w:val="00112460"/>
    <w:rsid w:val="00156DFE"/>
    <w:rsid w:val="00174C7A"/>
    <w:rsid w:val="00204D20"/>
    <w:rsid w:val="00241C99"/>
    <w:rsid w:val="00270343"/>
    <w:rsid w:val="002D4F3B"/>
    <w:rsid w:val="002E4B58"/>
    <w:rsid w:val="00311B66"/>
    <w:rsid w:val="003414C1"/>
    <w:rsid w:val="003C3E49"/>
    <w:rsid w:val="003D512D"/>
    <w:rsid w:val="00402292"/>
    <w:rsid w:val="00430617"/>
    <w:rsid w:val="00457DC1"/>
    <w:rsid w:val="00527B0D"/>
    <w:rsid w:val="00530EEB"/>
    <w:rsid w:val="00532E19"/>
    <w:rsid w:val="00545066"/>
    <w:rsid w:val="00575AA1"/>
    <w:rsid w:val="005E6B29"/>
    <w:rsid w:val="0066127D"/>
    <w:rsid w:val="00671E9B"/>
    <w:rsid w:val="006D4534"/>
    <w:rsid w:val="006E71DC"/>
    <w:rsid w:val="007036CF"/>
    <w:rsid w:val="0072473D"/>
    <w:rsid w:val="00760FC6"/>
    <w:rsid w:val="007C0243"/>
    <w:rsid w:val="007C6FBA"/>
    <w:rsid w:val="007E3CD8"/>
    <w:rsid w:val="0089259C"/>
    <w:rsid w:val="00940706"/>
    <w:rsid w:val="009828CD"/>
    <w:rsid w:val="009D40B4"/>
    <w:rsid w:val="00A521F7"/>
    <w:rsid w:val="00A8626B"/>
    <w:rsid w:val="00AA7F99"/>
    <w:rsid w:val="00AC2608"/>
    <w:rsid w:val="00B0587B"/>
    <w:rsid w:val="00B94E71"/>
    <w:rsid w:val="00BB6C9F"/>
    <w:rsid w:val="00BD04AA"/>
    <w:rsid w:val="00BD13B1"/>
    <w:rsid w:val="00BE2449"/>
    <w:rsid w:val="00CA61F4"/>
    <w:rsid w:val="00CC14DB"/>
    <w:rsid w:val="00CD4B66"/>
    <w:rsid w:val="00CE1100"/>
    <w:rsid w:val="00D361ED"/>
    <w:rsid w:val="00D76DA2"/>
    <w:rsid w:val="00D800B9"/>
    <w:rsid w:val="00D85432"/>
    <w:rsid w:val="00DB34DA"/>
    <w:rsid w:val="00DD24FA"/>
    <w:rsid w:val="00E2185E"/>
    <w:rsid w:val="00E74C24"/>
    <w:rsid w:val="00E9774D"/>
    <w:rsid w:val="00F01559"/>
    <w:rsid w:val="00F046B1"/>
    <w:rsid w:val="00F165A1"/>
    <w:rsid w:val="00F372A3"/>
    <w:rsid w:val="00F866C0"/>
    <w:rsid w:val="00FB2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473F"/>
  <w15:docId w15:val="{2872B057-CE40-481A-B23E-066F45D0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2D4F3B"/>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2D4F3B"/>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2D4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1792</Words>
  <Characters>9570</Characters>
  <Application>Microsoft Office Word</Application>
  <DocSecurity>0</DocSecurity>
  <Lines>167</Lines>
  <Paragraphs>28</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Joanna Reis</cp:lastModifiedBy>
  <cp:revision>77</cp:revision>
  <dcterms:created xsi:type="dcterms:W3CDTF">2024-05-31T23:00:00Z</dcterms:created>
  <dcterms:modified xsi:type="dcterms:W3CDTF">2024-06-01T00:17:00Z</dcterms:modified>
</cp:coreProperties>
</file>