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80" w:before="280" w:line="360" w:lineRule="auto"/>
        <w:ind w:left="1" w:hanging="3"/>
        <w:jc w:val="center"/>
        <w:rPr>
          <w:b w:val="1"/>
          <w:sz w:val="24"/>
          <w:szCs w:val="24"/>
        </w:rPr>
      </w:pPr>
      <w:r w:rsidDel="00000000" w:rsidR="00000000" w:rsidRPr="00000000">
        <w:rPr>
          <w:b w:val="1"/>
          <w:sz w:val="24"/>
          <w:szCs w:val="24"/>
          <w:rtl w:val="0"/>
        </w:rPr>
        <w:t xml:space="preserve">RESUMO EXPANDIDO - MODALIDADE: APRESENTAÇÃO ORAL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80" w:before="280" w:line="360" w:lineRule="auto"/>
        <w:ind w:left="1" w:hanging="3"/>
        <w:jc w:val="center"/>
        <w:rPr>
          <w:b w:val="1"/>
          <w:sz w:val="24"/>
          <w:szCs w:val="24"/>
        </w:rPr>
      </w:pPr>
      <w:r w:rsidDel="00000000" w:rsidR="00000000" w:rsidRPr="00000000">
        <w:rPr>
          <w:b w:val="1"/>
          <w:sz w:val="24"/>
          <w:szCs w:val="24"/>
          <w:rtl w:val="0"/>
        </w:rPr>
        <w:t xml:space="preserve">Área temática: Trabalho, Emprego &amp; Plataforma Digitais</w:t>
      </w:r>
    </w:p>
    <w:p w:rsidR="00000000" w:rsidDel="00000000" w:rsidP="00000000" w:rsidRDefault="00000000" w:rsidRPr="00000000" w14:paraId="00000003">
      <w:pPr>
        <w:pStyle w:val="Heading1"/>
        <w:spacing w:line="360" w:lineRule="auto"/>
        <w:ind w:left="0" w:hanging="2"/>
        <w:rPr/>
      </w:pPr>
      <w:bookmarkStart w:colFirst="0" w:colLast="0" w:name="_di2rj5yoyhgr" w:id="0"/>
      <w:bookmarkEnd w:id="0"/>
      <w:r w:rsidDel="00000000" w:rsidR="00000000" w:rsidRPr="00000000">
        <w:rPr>
          <w:rtl w:val="0"/>
        </w:rPr>
        <w:t xml:space="preserve">RISCO DE DESENVOLVIMENTO DE TRANSTORNOS MENTAIS RELACIONADOS AO TRABALHO POR MULHERES NO BRASIL: UM ESTUDO ECOLÓGICO</w:t>
      </w:r>
    </w:p>
    <w:p w:rsidR="00000000" w:rsidDel="00000000" w:rsidP="00000000" w:rsidRDefault="00000000" w:rsidRPr="00000000" w14:paraId="00000004">
      <w:pPr>
        <w:jc w:val="center"/>
        <w:rPr>
          <w:i w:val="1"/>
          <w:sz w:val="24"/>
          <w:szCs w:val="24"/>
        </w:rPr>
      </w:pPr>
      <w:r w:rsidDel="00000000" w:rsidR="00000000" w:rsidRPr="00000000">
        <w:rPr>
          <w:i w:val="1"/>
          <w:sz w:val="24"/>
          <w:szCs w:val="24"/>
          <w:rtl w:val="0"/>
        </w:rPr>
        <w:t xml:space="preserve">RISK OF DEVELOPING WORK-RELATED MENTAL DISORDERS AMONG WOMEN IN BRAZIL: AN ECOLOGICAL STUDY</w:t>
      </w:r>
    </w:p>
    <w:p w:rsidR="00000000" w:rsidDel="00000000" w:rsidP="00000000" w:rsidRDefault="00000000" w:rsidRPr="00000000" w14:paraId="00000005">
      <w:pPr>
        <w:pStyle w:val="Heading1"/>
        <w:spacing w:after="0" w:line="360" w:lineRule="auto"/>
        <w:ind w:left="0" w:hanging="2"/>
        <w:jc w:val="both"/>
        <w:rPr>
          <w:b w:val="1"/>
          <w:sz w:val="24"/>
          <w:szCs w:val="24"/>
        </w:rPr>
      </w:pPr>
      <w:bookmarkStart w:colFirst="0" w:colLast="0" w:name="_q3m60wopmx7w" w:id="1"/>
      <w:bookmarkEnd w:id="1"/>
      <w:r w:rsidDel="00000000" w:rsidR="00000000" w:rsidRPr="00000000">
        <w:rPr>
          <w:rtl w:val="0"/>
        </w:rPr>
        <w:t xml:space="preserve">RESUMO</w:t>
      </w:r>
      <w:r w:rsidDel="00000000" w:rsidR="00000000" w:rsidRPr="00000000">
        <w:rPr>
          <w:rtl w:val="0"/>
        </w:rPr>
      </w:r>
    </w:p>
    <w:p w:rsidR="00000000" w:rsidDel="00000000" w:rsidP="00000000" w:rsidRDefault="00000000" w:rsidRPr="00000000" w14:paraId="00000006">
      <w:pPr>
        <w:spacing w:line="240" w:lineRule="auto"/>
        <w:ind w:left="0" w:hanging="2"/>
        <w:rPr>
          <w:sz w:val="24"/>
          <w:szCs w:val="24"/>
        </w:rPr>
      </w:pPr>
      <w:r w:rsidDel="00000000" w:rsidR="00000000" w:rsidRPr="00000000">
        <w:rPr>
          <w:sz w:val="24"/>
          <w:szCs w:val="24"/>
          <w:rtl w:val="0"/>
        </w:rPr>
        <w:t xml:space="preserve">As desigualdades de gênero no mercado de trabalho brasileiro se manifestam em diversas formas de exclusão vivenciadas pelas mulheres, como as diferenças salariais e os assédios sexuais, fatores que contribuem para maior vulnerabilidade a agravos psicossociais, como os transtornos mentais relacionados ao trabalho (TMRT). Diante da recente inclusão compulsória dos TMRT como agravo de notificação ao SINAN em 2024, o presente estudo teve como objetivo analisar a distribuição desses transtornos segundo o sexo, entre indivíduos da população economicamente ativa ocupada (PEAO) no período de 2012 a 2024, a fim de identificar desigualdades de gênero no risco de adoecimento mental relacionado ao trabalho. Trata-se de um estudo ecológico com dados secundários extraídos da plataforma TABNET/DATASUS e complementados com dados populacionais do IBGE-SIDRA, considerando pessoas com 14 anos ou mais em situação de ocupação. A densidade de incidência foi calculada com base no número de casos por 100.000 pessoa-anos e as diferenças entre os sexos foram avaliadas por meio do teste qui-quadrado e da razão de chances (</w:t>
      </w:r>
      <w:r w:rsidDel="00000000" w:rsidR="00000000" w:rsidRPr="00000000">
        <w:rPr>
          <w:i w:val="1"/>
          <w:sz w:val="24"/>
          <w:szCs w:val="24"/>
          <w:rtl w:val="0"/>
        </w:rPr>
        <w:t xml:space="preserve">odds ratio</w:t>
      </w:r>
      <w:r w:rsidDel="00000000" w:rsidR="00000000" w:rsidRPr="00000000">
        <w:rPr>
          <w:sz w:val="24"/>
          <w:szCs w:val="24"/>
          <w:rtl w:val="0"/>
        </w:rPr>
        <w:t xml:space="preserve">), com nível de significância de 5%. Entre 2012 e 2024, foram registrados 25.574 novos casos de TMRT, dos quais 66,8% ocorreram entre mulheres. A densidade de incidência foi de 3,45 casos por 100.000 mulher-anos e 1,24 por 100.000 homem-anos. A diferença entre os sexos foi estatisticamente significativa (</w:t>
      </w:r>
      <w:r w:rsidDel="00000000" w:rsidR="00000000" w:rsidRPr="00000000">
        <w:rPr>
          <w:i w:val="1"/>
          <w:sz w:val="24"/>
          <w:szCs w:val="24"/>
          <w:rtl w:val="0"/>
        </w:rPr>
        <w:t xml:space="preserve">X</w:t>
      </w:r>
      <w:r w:rsidDel="00000000" w:rsidR="00000000" w:rsidRPr="00000000">
        <w:rPr>
          <w:sz w:val="24"/>
          <w:szCs w:val="24"/>
          <w:rtl w:val="0"/>
        </w:rPr>
        <w:t xml:space="preserve">² = 6.521; p &lt; 0,001), e a razão de chances para as mulheres foi de 2,79 (IC 95% = 2,72–2,86), indicando risco quase três vezes maior em relação aos homens. Esses achados evidenciam uma importante desigualdade de gênero na ocorrência de TMRT, sinalizando a necessidade de políticas públicas de saúde e trabalho com foco na proteção e promoção da saúde mental das trabalhadoras.</w:t>
      </w:r>
    </w:p>
    <w:p w:rsidR="00000000" w:rsidDel="00000000" w:rsidP="00000000" w:rsidRDefault="00000000" w:rsidRPr="00000000" w14:paraId="00000007">
      <w:pPr>
        <w:pStyle w:val="Heading2"/>
        <w:spacing w:line="360" w:lineRule="auto"/>
        <w:ind w:left="0" w:hanging="2"/>
        <w:rPr/>
      </w:pPr>
      <w:bookmarkStart w:colFirst="0" w:colLast="0" w:name="_9r0r8hz5oq29" w:id="2"/>
      <w:bookmarkEnd w:id="2"/>
      <w:r w:rsidDel="00000000" w:rsidR="00000000" w:rsidRPr="00000000">
        <w:rPr>
          <w:rtl w:val="0"/>
        </w:rPr>
        <w:t xml:space="preserve">Palavras-chave</w:t>
      </w:r>
    </w:p>
    <w:p w:rsidR="00000000" w:rsidDel="00000000" w:rsidP="00000000" w:rsidRDefault="00000000" w:rsidRPr="00000000" w14:paraId="00000008">
      <w:pPr>
        <w:spacing w:line="360" w:lineRule="auto"/>
        <w:ind w:left="0" w:hanging="2"/>
        <w:rPr>
          <w:b w:val="1"/>
          <w:i w:val="1"/>
          <w:sz w:val="24"/>
          <w:szCs w:val="24"/>
        </w:rPr>
      </w:pPr>
      <w:r w:rsidDel="00000000" w:rsidR="00000000" w:rsidRPr="00000000">
        <w:rPr>
          <w:sz w:val="24"/>
          <w:szCs w:val="24"/>
          <w:rtl w:val="0"/>
        </w:rPr>
        <w:t xml:space="preserve">Estresse ocupacional. Equidade de Gênero. Saúde Ocupacional. Mulheres Trabalhadoras. </w:t>
      </w:r>
      <w:r w:rsidDel="00000000" w:rsidR="00000000" w:rsidRPr="00000000">
        <w:rPr>
          <w:b w:val="1"/>
          <w:i w:val="1"/>
          <w:sz w:val="24"/>
          <w:szCs w:val="24"/>
          <w:rtl w:val="0"/>
        </w:rPr>
        <w:t xml:space="preserve">ABSTRACT</w:t>
      </w:r>
    </w:p>
    <w:p w:rsidR="00000000" w:rsidDel="00000000" w:rsidP="00000000" w:rsidRDefault="00000000" w:rsidRPr="00000000" w14:paraId="00000009">
      <w:pPr>
        <w:spacing w:line="240" w:lineRule="auto"/>
        <w:ind w:left="0" w:hanging="2"/>
        <w:rPr>
          <w:i w:val="1"/>
          <w:sz w:val="24"/>
          <w:szCs w:val="24"/>
        </w:rPr>
      </w:pPr>
      <w:r w:rsidDel="00000000" w:rsidR="00000000" w:rsidRPr="00000000">
        <w:rPr>
          <w:i w:val="1"/>
          <w:sz w:val="24"/>
          <w:szCs w:val="24"/>
          <w:rtl w:val="0"/>
        </w:rPr>
        <w:t xml:space="preserve">Gender inequalities in the Brazilian labor market are reflected in various forms of exclusion experienced by women, such as wage disparities and sexual harassment—factors that contribute to greater vulnerability to psychosocial harm, including work-related mental disorders (WRMD). In light of the recent mandatory inclusion of WRMD as a notifiable condition in the SINAN system in 2024, this study aimed to analyze the distribution of these disorders by sex among individuals in the economically active employed population (PEAO) from 2012 to 2024, in order to identify gender disparities in the risk of work-related mental illness. This is an ecological study using secondary data extracted from the TABNET/DATASUS platform and complemented with population data from IBGE-SIDRA, considering individuals aged 14 and older who are employed. Incidence density was calculated based on the number of cases per 100,000 person-years, and sex differences were assessed using the chi-square test and odds ratio, with a significance level of 5%. Between 2012 and 2024, a total of 25,574 new cases of WRMD were recorded, of which 66.8% occurred among women. The incidence density was 3.45 cases per 100,000 woman-years and 1.24 per 100,000 man-years. The difference between sexes was statistically significant (χ² = 6,521; p &lt; 0.001), and the odds ratio for women was 2.79 (95% CI = 2.72–2.86), indicating a nearly threefold higher risk compared to men. These findings highlight a significant gender disparity in the occurrence of WRMD, underscoring the need for public health and labor policies focused on protecting and promoting women's mental health in the workplace.</w:t>
      </w:r>
    </w:p>
    <w:p w:rsidR="00000000" w:rsidDel="00000000" w:rsidP="00000000" w:rsidRDefault="00000000" w:rsidRPr="00000000" w14:paraId="0000000A">
      <w:pPr>
        <w:spacing w:line="360" w:lineRule="auto"/>
        <w:ind w:left="0" w:hanging="2"/>
        <w:rPr>
          <w:b w:val="1"/>
          <w:i w:val="1"/>
          <w:sz w:val="24"/>
          <w:szCs w:val="24"/>
        </w:rPr>
      </w:pPr>
      <w:r w:rsidDel="00000000" w:rsidR="00000000" w:rsidRPr="00000000">
        <w:rPr>
          <w:b w:val="1"/>
          <w:i w:val="1"/>
          <w:sz w:val="24"/>
          <w:szCs w:val="24"/>
          <w:rtl w:val="0"/>
        </w:rPr>
        <w:t xml:space="preserve">Keywords</w:t>
      </w:r>
    </w:p>
    <w:p w:rsidR="00000000" w:rsidDel="00000000" w:rsidP="00000000" w:rsidRDefault="00000000" w:rsidRPr="00000000" w14:paraId="0000000B">
      <w:pPr>
        <w:spacing w:line="360" w:lineRule="auto"/>
        <w:ind w:left="0" w:hanging="2"/>
        <w:rPr>
          <w:sz w:val="24"/>
          <w:szCs w:val="24"/>
        </w:rPr>
      </w:pPr>
      <w:r w:rsidDel="00000000" w:rsidR="00000000" w:rsidRPr="00000000">
        <w:rPr>
          <w:i w:val="1"/>
          <w:sz w:val="24"/>
          <w:szCs w:val="24"/>
          <w:rtl w:val="0"/>
        </w:rPr>
        <w:t xml:space="preserve">Occupational Stress. Gender Equity. Occupational Health. Women, Working.</w:t>
      </w:r>
      <w:r w:rsidDel="00000000" w:rsidR="00000000" w:rsidRPr="00000000">
        <w:rPr>
          <w:rtl w:val="0"/>
        </w:rPr>
      </w:r>
    </w:p>
    <w:p w:rsidR="00000000" w:rsidDel="00000000" w:rsidP="00000000" w:rsidRDefault="00000000" w:rsidRPr="00000000" w14:paraId="0000000C">
      <w:pPr>
        <w:pStyle w:val="Heading2"/>
        <w:spacing w:line="360" w:lineRule="auto"/>
        <w:ind w:left="0" w:hanging="2"/>
        <w:rPr>
          <w:sz w:val="24"/>
          <w:szCs w:val="24"/>
        </w:rPr>
      </w:pPr>
      <w:bookmarkStart w:colFirst="0" w:colLast="0" w:name="_ctsesm6knt8k" w:id="3"/>
      <w:bookmarkEnd w:id="3"/>
      <w:r w:rsidDel="00000000" w:rsidR="00000000" w:rsidRPr="00000000">
        <w:rPr>
          <w:rtl w:val="0"/>
        </w:rPr>
        <w:t xml:space="preserve">Introdução</w:t>
      </w:r>
      <w:r w:rsidDel="00000000" w:rsidR="00000000" w:rsidRPr="00000000">
        <w:rPr>
          <w:rtl w:val="0"/>
        </w:rPr>
      </w:r>
    </w:p>
    <w:p w:rsidR="00000000" w:rsidDel="00000000" w:rsidP="00000000" w:rsidRDefault="00000000" w:rsidRPr="00000000" w14:paraId="0000000D">
      <w:pPr>
        <w:spacing w:line="360" w:lineRule="auto"/>
        <w:rPr/>
      </w:pPr>
      <w:r w:rsidDel="00000000" w:rsidR="00000000" w:rsidRPr="00000000">
        <w:rPr>
          <w:sz w:val="24"/>
          <w:szCs w:val="24"/>
          <w:rtl w:val="0"/>
        </w:rPr>
        <w:tab/>
        <w:t xml:space="preserve">As diferenças entre homens e mulheres no mercado de trabalho são substanciais quando são colocados em vista os diversos mecanismos de exclusão perpetrados contra o gênero feminino, como, por exemplo, as diferenças salariais (Passos; Machado, 2022) e os assédios sexuais (Higa, 2016), os quais se relacionam a uma maior prevalência de transtornos mentais relacionados ao trabalho (TMRT) em mulheres (Salvaro; Mariano, 2021). Diante disso, os TMRT tornaram-se agravos à saúde de notificação compulsória ao SINAN em 2024, porém são obrigatoriamente notificados por unidades sentinelas desde 2014 (Brasil, 2024). Tendo-se isso em vista, o presente trabalho propõe-se a analisar a distribuição dos casos de TMRT na população economicamente ativa ocupada (PEAO) segundo o gênero, observando as diferenças estatísticas entre homens e mulheres e os riscos de desenvolvimento de TMRT.</w:t>
      </w:r>
      <w:r w:rsidDel="00000000" w:rsidR="00000000" w:rsidRPr="00000000">
        <w:rPr>
          <w:rtl w:val="0"/>
        </w:rPr>
      </w:r>
    </w:p>
    <w:p w:rsidR="00000000" w:rsidDel="00000000" w:rsidP="00000000" w:rsidRDefault="00000000" w:rsidRPr="00000000" w14:paraId="0000000E">
      <w:pPr>
        <w:pStyle w:val="Heading2"/>
        <w:spacing w:line="360" w:lineRule="auto"/>
        <w:ind w:left="0" w:hanging="2"/>
        <w:rPr>
          <w:sz w:val="24"/>
          <w:szCs w:val="24"/>
        </w:rPr>
      </w:pPr>
      <w:bookmarkStart w:colFirst="0" w:colLast="0" w:name="_v17blhftaf55" w:id="4"/>
      <w:bookmarkEnd w:id="4"/>
      <w:r w:rsidDel="00000000" w:rsidR="00000000" w:rsidRPr="00000000">
        <w:rPr>
          <w:rtl w:val="0"/>
        </w:rPr>
        <w:t xml:space="preserve">Material e Métodos</w:t>
      </w:r>
      <w:r w:rsidDel="00000000" w:rsidR="00000000" w:rsidRPr="00000000">
        <w:rPr>
          <w:rtl w:val="0"/>
        </w:rPr>
      </w:r>
    </w:p>
    <w:p w:rsidR="00000000" w:rsidDel="00000000" w:rsidP="00000000" w:rsidRDefault="00000000" w:rsidRPr="00000000" w14:paraId="0000000F">
      <w:pPr>
        <w:spacing w:line="360" w:lineRule="auto"/>
        <w:ind w:firstLine="720"/>
        <w:rPr>
          <w:sz w:val="24"/>
          <w:szCs w:val="24"/>
        </w:rPr>
      </w:pPr>
      <w:r w:rsidDel="00000000" w:rsidR="00000000" w:rsidRPr="00000000">
        <w:rPr>
          <w:sz w:val="24"/>
          <w:szCs w:val="24"/>
          <w:rtl w:val="0"/>
        </w:rPr>
        <w:t xml:space="preserve">Trata-se de um e</w:t>
      </w:r>
      <w:r w:rsidDel="00000000" w:rsidR="00000000" w:rsidRPr="00000000">
        <w:rPr>
          <w:sz w:val="24"/>
          <w:szCs w:val="24"/>
          <w:rtl w:val="0"/>
        </w:rPr>
        <w:t xml:space="preserve">studo ecológico, com dados extraídos do SINAN, por meio da plataforma TABNET do DATASUS. Como variáveis, foram utilizados o número de casos de TMRT notificados de 2012 a 2024 e o gênero do indivíduo acometido pelos TMRT. Como denominador utilizou-se a população economicamente ativa ocupada (PEAO) por gênero e ano, obtida nas tabelas do IBGE-SIDRA, considerando pessoas de 14 anos ou mais em situação de ocupação. Por meio do </w:t>
      </w:r>
      <w:r w:rsidDel="00000000" w:rsidR="00000000" w:rsidRPr="00000000">
        <w:rPr>
          <w:i w:val="1"/>
          <w:sz w:val="24"/>
          <w:szCs w:val="24"/>
          <w:rtl w:val="0"/>
        </w:rPr>
        <w:t xml:space="preserve">software</w:t>
      </w:r>
      <w:r w:rsidDel="00000000" w:rsidR="00000000" w:rsidRPr="00000000">
        <w:rPr>
          <w:sz w:val="24"/>
          <w:szCs w:val="24"/>
          <w:rtl w:val="0"/>
        </w:rPr>
        <w:t xml:space="preserve"> Jamovi</w:t>
      </w:r>
      <w:r w:rsidDel="00000000" w:rsidR="00000000" w:rsidRPr="00000000">
        <w:rPr>
          <w:color w:val="001d35"/>
          <w:sz w:val="24"/>
          <w:szCs w:val="24"/>
          <w:highlight w:val="white"/>
          <w:vertAlign w:val="superscript"/>
          <w:rtl w:val="0"/>
        </w:rPr>
        <w:t xml:space="preserve">®</w:t>
      </w:r>
      <w:r w:rsidDel="00000000" w:rsidR="00000000" w:rsidRPr="00000000">
        <w:rPr>
          <w:sz w:val="24"/>
          <w:szCs w:val="24"/>
          <w:rtl w:val="0"/>
        </w:rPr>
        <w:t xml:space="preserve">, calculou-se a densidade de incidência (casos . 100.000 / soma dos pessoa-anos do período) com intervalos de confiança (IC) de 95%. A diferença entre sexos foi avaliada por teste</w:t>
      </w:r>
      <w:r w:rsidDel="00000000" w:rsidR="00000000" w:rsidRPr="00000000">
        <w:rPr>
          <w:i w:val="1"/>
          <w:sz w:val="24"/>
          <w:szCs w:val="24"/>
          <w:rtl w:val="0"/>
        </w:rPr>
        <w:t xml:space="preserve"> Χ</w:t>
      </w:r>
      <w:r w:rsidDel="00000000" w:rsidR="00000000" w:rsidRPr="00000000">
        <w:rPr>
          <w:sz w:val="24"/>
          <w:szCs w:val="24"/>
          <w:rtl w:val="0"/>
        </w:rPr>
        <w:t xml:space="preserve">² (</w:t>
      </w:r>
      <w:r w:rsidDel="00000000" w:rsidR="00000000" w:rsidRPr="00000000">
        <w:rPr>
          <w:i w:val="1"/>
          <w:sz w:val="24"/>
          <w:szCs w:val="24"/>
          <w:rtl w:val="0"/>
        </w:rPr>
        <w:t xml:space="preserve">qui</w:t>
      </w:r>
      <w:r w:rsidDel="00000000" w:rsidR="00000000" w:rsidRPr="00000000">
        <w:rPr>
          <w:sz w:val="24"/>
          <w:szCs w:val="24"/>
          <w:rtl w:val="0"/>
        </w:rPr>
        <w:t xml:space="preserve">-quadrado) em tabela 2x2 e a magnitude da associação expressa como razão de chances (</w:t>
      </w:r>
      <w:r w:rsidDel="00000000" w:rsidR="00000000" w:rsidRPr="00000000">
        <w:rPr>
          <w:i w:val="1"/>
          <w:sz w:val="24"/>
          <w:szCs w:val="24"/>
          <w:rtl w:val="0"/>
        </w:rPr>
        <w:t xml:space="preserve">odds ratio</w:t>
      </w:r>
      <w:r w:rsidDel="00000000" w:rsidR="00000000" w:rsidRPr="00000000">
        <w:rPr>
          <w:sz w:val="24"/>
          <w:szCs w:val="24"/>
          <w:rtl w:val="0"/>
        </w:rPr>
        <w:t xml:space="preserve">) com IC 95%. Adotou-se um nível de significância de 0,05 (</w:t>
      </w:r>
      <w:r w:rsidDel="00000000" w:rsidR="00000000" w:rsidRPr="00000000">
        <w:rPr>
          <w:i w:val="1"/>
          <w:sz w:val="24"/>
          <w:szCs w:val="24"/>
          <w:rtl w:val="0"/>
        </w:rPr>
        <w:t xml:space="preserve">α</w:t>
      </w:r>
      <w:r w:rsidDel="00000000" w:rsidR="00000000" w:rsidRPr="00000000">
        <w:rPr>
          <w:sz w:val="24"/>
          <w:szCs w:val="24"/>
          <w:rtl w:val="0"/>
        </w:rPr>
        <w:t xml:space="preserve"> = 0,05). Tratando-se de um estudo com dados secundários públicos e anônimos, dispensa-se aprovação ética conforme a Resolução CNS 510/2016.</w:t>
      </w:r>
    </w:p>
    <w:p w:rsidR="00000000" w:rsidDel="00000000" w:rsidP="00000000" w:rsidRDefault="00000000" w:rsidRPr="00000000" w14:paraId="00000010">
      <w:pPr>
        <w:pStyle w:val="Heading2"/>
        <w:spacing w:line="360" w:lineRule="auto"/>
        <w:ind w:left="0" w:hanging="2"/>
        <w:rPr/>
      </w:pPr>
      <w:bookmarkStart w:colFirst="0" w:colLast="0" w:name="_7lsrvy4z6y8p" w:id="5"/>
      <w:bookmarkEnd w:id="5"/>
      <w:r w:rsidDel="00000000" w:rsidR="00000000" w:rsidRPr="00000000">
        <w:rPr>
          <w:rtl w:val="0"/>
        </w:rPr>
        <w:t xml:space="preserve">R</w:t>
      </w:r>
      <w:r w:rsidDel="00000000" w:rsidR="00000000" w:rsidRPr="00000000">
        <w:rPr>
          <w:rtl w:val="0"/>
        </w:rPr>
        <w:t xml:space="preserve">esultados</w:t>
      </w:r>
    </w:p>
    <w:p w:rsidR="00000000" w:rsidDel="00000000" w:rsidP="00000000" w:rsidRDefault="00000000" w:rsidRPr="00000000" w14:paraId="00000011">
      <w:pPr>
        <w:spacing w:line="360" w:lineRule="auto"/>
        <w:ind w:left="0" w:firstLine="708.6614173228347"/>
        <w:rPr>
          <w:b w:val="1"/>
          <w:sz w:val="24"/>
          <w:szCs w:val="24"/>
        </w:rPr>
      </w:pPr>
      <w:r w:rsidDel="00000000" w:rsidR="00000000" w:rsidRPr="00000000">
        <w:rPr>
          <w:sz w:val="24"/>
          <w:szCs w:val="24"/>
          <w:rtl w:val="0"/>
        </w:rPr>
        <w:t xml:space="preserve">Consoante a tabela 1, entre 2012 e 2024 foram registrados 25.574 casos novos de transtorno mental relacionado ao trabalho (TMRT) no Brasil. Desse total, 17.075 (66,8%) ocorreram em mulheres e 8.499 (33,2%) em homens. No mesmo período, a população economicamente ativa ocupada (PEAO) somou 1.183.450.574 pessoa-anos de exposição, distribuídos em 495.349.075 mulher-anos (41,9%) e 688.101.499 homem-anos (58,1%). Com esses denominadores, a densidade de incidência (DI) foi de aproximadamente 3,45 casos por 100.000 mulher-anos (IC 95% = 3,40–3,50) e 1,24 casos por 100.000 homem-anos (IC 95% = 1,21–1,26). Isso significa que, a cada ano, ocorrem cerca de 3 a 4 novos casos de TMRT entre cada 100.000 trabalhadoras e em torno de 1 caso entre cada 100.000 trabalhadores. A diferença entre os sexos foi estatisticamente significativa (</w:t>
      </w:r>
      <w:r w:rsidDel="00000000" w:rsidR="00000000" w:rsidRPr="00000000">
        <w:rPr>
          <w:i w:val="1"/>
          <w:sz w:val="24"/>
          <w:szCs w:val="24"/>
          <w:rtl w:val="0"/>
        </w:rPr>
        <w:t xml:space="preserve">X</w:t>
      </w:r>
      <w:r w:rsidDel="00000000" w:rsidR="00000000" w:rsidRPr="00000000">
        <w:rPr>
          <w:sz w:val="24"/>
          <w:szCs w:val="24"/>
          <w:rtl w:val="0"/>
        </w:rPr>
        <w:t xml:space="preserve">² = 6.521; gl = 1; p &lt; 0,001). A razão de chances (OR, </w:t>
      </w:r>
      <w:r w:rsidDel="00000000" w:rsidR="00000000" w:rsidRPr="00000000">
        <w:rPr>
          <w:i w:val="1"/>
          <w:sz w:val="24"/>
          <w:szCs w:val="24"/>
          <w:rtl w:val="0"/>
        </w:rPr>
        <w:t xml:space="preserve">odds ratio</w:t>
      </w:r>
      <w:r w:rsidDel="00000000" w:rsidR="00000000" w:rsidRPr="00000000">
        <w:rPr>
          <w:sz w:val="24"/>
          <w:szCs w:val="24"/>
          <w:rtl w:val="0"/>
        </w:rPr>
        <w:t xml:space="preserve">) das trabalhadoras em relação aos trabalhadores foi 2,79 (IC 95% = 2,72–2,86), indicando risco quase três vezes maior (179%) de TMRT entre mulheres ao longo dos 13 anos analisados.</w:t>
      </w:r>
      <w:r w:rsidDel="00000000" w:rsidR="00000000" w:rsidRPr="00000000">
        <w:rPr>
          <w:rtl w:val="0"/>
        </w:rPr>
      </w:r>
    </w:p>
    <w:p w:rsidR="00000000" w:rsidDel="00000000" w:rsidP="00000000" w:rsidRDefault="00000000" w:rsidRPr="00000000" w14:paraId="00000012">
      <w:pPr>
        <w:spacing w:line="360" w:lineRule="auto"/>
        <w:rPr>
          <w:sz w:val="24"/>
          <w:szCs w:val="24"/>
        </w:rPr>
      </w:pPr>
      <w:r w:rsidDel="00000000" w:rsidR="00000000" w:rsidRPr="00000000">
        <w:rPr>
          <w:b w:val="1"/>
          <w:sz w:val="24"/>
          <w:szCs w:val="24"/>
          <w:rtl w:val="0"/>
        </w:rPr>
        <w:t xml:space="preserve">Tabela 1 – Distribuição dos casos de transtorno mental relacionado ao trabalho e da população economicamente ativa ocupada segundo sexo, Brasil, 2012-2024, com teste </w:t>
      </w:r>
      <w:r w:rsidDel="00000000" w:rsidR="00000000" w:rsidRPr="00000000">
        <w:rPr>
          <w:b w:val="1"/>
          <w:i w:val="1"/>
          <w:sz w:val="24"/>
          <w:szCs w:val="24"/>
          <w:rtl w:val="0"/>
        </w:rPr>
        <w:t xml:space="preserve">X</w:t>
      </w:r>
      <w:r w:rsidDel="00000000" w:rsidR="00000000" w:rsidRPr="00000000">
        <w:rPr>
          <w:b w:val="1"/>
          <w:sz w:val="24"/>
          <w:szCs w:val="24"/>
          <w:rtl w:val="0"/>
        </w:rPr>
        <w:t xml:space="preserve">² e razão de chances</w: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5391150</wp:posOffset>
                </wp:positionH>
                <wp:positionV relativeFrom="paragraph">
                  <wp:posOffset>561975</wp:posOffset>
                </wp:positionV>
                <wp:extent cx="885825" cy="390525"/>
                <wp:effectExtent b="0" l="0" r="0" t="0"/>
                <wp:wrapNone/>
                <wp:docPr id="1" name=""/>
                <a:graphic>
                  <a:graphicData uri="http://schemas.microsoft.com/office/word/2010/wordprocessingShape">
                    <wps:wsp>
                      <wps:cNvSpPr txBox="1"/>
                      <wps:cNvPr id="2" name="Shape 2"/>
                      <wps:spPr>
                        <a:xfrm>
                          <a:off x="2751975" y="1030725"/>
                          <a:ext cx="8706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(continua)</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5391150</wp:posOffset>
                </wp:positionH>
                <wp:positionV relativeFrom="paragraph">
                  <wp:posOffset>561975</wp:posOffset>
                </wp:positionV>
                <wp:extent cx="885825" cy="3905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885825" cy="390525"/>
                        </a:xfrm>
                        <a:prstGeom prst="rect"/>
                        <a:ln/>
                      </pic:spPr>
                    </pic:pic>
                  </a:graphicData>
                </a:graphic>
              </wp:anchor>
            </w:drawing>
          </mc:Fallback>
        </mc:AlternateContent>
      </w:r>
    </w:p>
    <w:tbl>
      <w:tblPr>
        <w:tblStyle w:val="Table1"/>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5"/>
        <w:gridCol w:w="1575"/>
        <w:gridCol w:w="1440"/>
        <w:gridCol w:w="3600"/>
        <w:gridCol w:w="1950"/>
        <w:tblGridChange w:id="0">
          <w:tblGrid>
            <w:gridCol w:w="1185"/>
            <w:gridCol w:w="1575"/>
            <w:gridCol w:w="1440"/>
            <w:gridCol w:w="3600"/>
            <w:gridCol w:w="1950"/>
          </w:tblGrid>
        </w:tblGridChange>
      </w:tblGrid>
      <w:tr>
        <w:trPr>
          <w:cantSplit w:val="0"/>
          <w:tblHeader w:val="0"/>
        </w:trPr>
        <w:tc>
          <w:tcPr>
            <w:gridSpan w:val="5"/>
            <w:tcBorders>
              <w:top w:color="000000" w:space="0" w:sz="0" w:val="nil"/>
              <w:left w:color="000000" w:space="0" w:sz="0" w:val="nil"/>
              <w:bottom w:color="000000" w:space="0" w:sz="6" w:val="single"/>
              <w:right w:color="000000" w:space="0" w:sz="0" w:val="nil"/>
            </w:tcBorders>
            <w:tcMar>
              <w:top w:w="0.0" w:type="dxa"/>
              <w:left w:w="80.0" w:type="dxa"/>
              <w:bottom w:w="0.0" w:type="dxa"/>
              <w:right w:w="80.0" w:type="dxa"/>
            </w:tcMar>
            <w:vAlign w:val="bottom"/>
          </w:tcPr>
          <w:p w:rsidR="00000000" w:rsidDel="00000000" w:rsidP="00000000" w:rsidRDefault="00000000" w:rsidRPr="00000000" w14:paraId="00000013">
            <w:pPr>
              <w:spacing w:after="0" w:before="240" w:line="360" w:lineRule="auto"/>
              <w:ind w:firstLine="0"/>
              <w:jc w:val="center"/>
              <w:rPr>
                <w:b w:val="1"/>
                <w:sz w:val="24"/>
                <w:szCs w:val="24"/>
              </w:rPr>
            </w:pPr>
            <w:r w:rsidDel="00000000" w:rsidR="00000000" w:rsidRPr="00000000">
              <w:rPr>
                <w:b w:val="1"/>
                <w:sz w:val="24"/>
                <w:szCs w:val="24"/>
                <w:rtl w:val="0"/>
              </w:rPr>
              <w:t xml:space="preserve">Tabela de Contingência</w:t>
            </w:r>
          </w:p>
        </w:tc>
      </w:tr>
      <w:tr>
        <w:trPr>
          <w:cantSplit w:val="0"/>
          <w:trHeight w:val="593.9648437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18">
            <w:pPr>
              <w:spacing w:line="360" w:lineRule="auto"/>
              <w:rPr>
                <w:sz w:val="24"/>
                <w:szCs w:val="24"/>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1A">
            <w:pPr>
              <w:spacing w:after="0" w:before="240" w:line="360" w:lineRule="auto"/>
              <w:ind w:firstLine="0"/>
              <w:jc w:val="center"/>
              <w:rPr>
                <w:b w:val="1"/>
                <w:sz w:val="24"/>
                <w:szCs w:val="24"/>
              </w:rPr>
            </w:pPr>
            <w:r w:rsidDel="00000000" w:rsidR="00000000" w:rsidRPr="00000000">
              <w:rPr>
                <w:b w:val="1"/>
                <w:sz w:val="24"/>
                <w:szCs w:val="24"/>
                <w:rtl w:val="0"/>
              </w:rPr>
              <w:t xml:space="preserve">TMRT</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1C">
            <w:pPr>
              <w:spacing w:line="360" w:lineRule="auto"/>
              <w:rPr>
                <w:sz w:val="24"/>
                <w:szCs w:val="24"/>
              </w:rPr>
            </w:pPr>
            <w:r w:rsidDel="00000000" w:rsidR="00000000" w:rsidRPr="00000000">
              <w:rPr>
                <w:rtl w:val="0"/>
              </w:rPr>
            </w:r>
          </w:p>
        </w:tc>
      </w:tr>
      <w:tr>
        <w:trPr>
          <w:cantSplit w:val="0"/>
          <w:trHeight w:val="608.96484375" w:hRule="atLeast"/>
          <w:tblHeader w:val="0"/>
        </w:trPr>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1D">
            <w:pPr>
              <w:spacing w:after="0" w:before="240" w:line="360" w:lineRule="auto"/>
              <w:ind w:firstLine="0"/>
              <w:rPr>
                <w:b w:val="1"/>
                <w:sz w:val="24"/>
                <w:szCs w:val="24"/>
              </w:rPr>
            </w:pPr>
            <w:r w:rsidDel="00000000" w:rsidR="00000000" w:rsidRPr="00000000">
              <w:rPr>
                <w:b w:val="1"/>
                <w:sz w:val="24"/>
                <w:szCs w:val="24"/>
                <w:rtl w:val="0"/>
              </w:rPr>
              <w:t xml:space="preserve">Sexo</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1E">
            <w:pPr>
              <w:spacing w:after="0" w:before="240" w:line="360" w:lineRule="auto"/>
              <w:ind w:firstLine="0"/>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1F">
            <w:pPr>
              <w:spacing w:after="0" w:before="240" w:line="360" w:lineRule="auto"/>
              <w:ind w:firstLine="0"/>
              <w:jc w:val="center"/>
              <w:rPr>
                <w:b w:val="1"/>
                <w:sz w:val="24"/>
                <w:szCs w:val="24"/>
              </w:rPr>
            </w:pPr>
            <w:r w:rsidDel="00000000" w:rsidR="00000000" w:rsidRPr="00000000">
              <w:rPr>
                <w:b w:val="1"/>
                <w:sz w:val="24"/>
                <w:szCs w:val="24"/>
                <w:rtl w:val="0"/>
              </w:rPr>
              <w:t xml:space="preserve">Sim</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20">
            <w:pPr>
              <w:spacing w:after="0" w:before="240" w:line="360" w:lineRule="auto"/>
              <w:ind w:firstLine="0"/>
              <w:jc w:val="center"/>
              <w:rPr>
                <w:b w:val="1"/>
                <w:sz w:val="24"/>
                <w:szCs w:val="24"/>
              </w:rPr>
            </w:pPr>
            <w:r w:rsidDel="00000000" w:rsidR="00000000" w:rsidRPr="00000000">
              <w:rPr>
                <w:b w:val="1"/>
                <w:sz w:val="24"/>
                <w:szCs w:val="24"/>
                <w:rtl w:val="0"/>
              </w:rPr>
              <w:t xml:space="preserve">Não</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21">
            <w:pPr>
              <w:spacing w:after="0" w:before="240" w:line="360" w:lineRule="auto"/>
              <w:ind w:firstLine="0"/>
              <w:jc w:val="center"/>
              <w:rPr>
                <w:b w:val="1"/>
                <w:sz w:val="24"/>
                <w:szCs w:val="24"/>
              </w:rPr>
            </w:pPr>
            <w:r w:rsidDel="00000000" w:rsidR="00000000" w:rsidRPr="00000000">
              <w:rPr>
                <w:b w:val="1"/>
                <w:sz w:val="24"/>
                <w:szCs w:val="24"/>
                <w:rtl w:val="0"/>
              </w:rPr>
              <w:t xml:space="preserve">Pessoas-ano Total (N)</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22">
            <w:pPr>
              <w:spacing w:after="0" w:before="240" w:line="360" w:lineRule="auto"/>
              <w:ind w:firstLine="0"/>
              <w:rPr>
                <w:sz w:val="24"/>
                <w:szCs w:val="24"/>
              </w:rPr>
            </w:pPr>
            <w:r w:rsidDel="00000000" w:rsidR="00000000" w:rsidRPr="00000000">
              <w:rPr>
                <w:sz w:val="24"/>
                <w:szCs w:val="24"/>
                <w:rtl w:val="0"/>
              </w:rPr>
              <w:t xml:space="preserve">Feminino</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23">
            <w:pPr>
              <w:spacing w:after="0" w:before="240" w:line="360" w:lineRule="auto"/>
              <w:ind w:firstLine="0"/>
              <w:rPr>
                <w:sz w:val="24"/>
                <w:szCs w:val="24"/>
              </w:rPr>
            </w:pPr>
            <w:r w:rsidDel="00000000" w:rsidR="00000000" w:rsidRPr="00000000">
              <w:rPr>
                <w:sz w:val="24"/>
                <w:szCs w:val="24"/>
                <w:rtl w:val="0"/>
              </w:rPr>
              <w:t xml:space="preserve">Observado</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24">
            <w:pPr>
              <w:spacing w:after="0" w:before="240" w:line="360" w:lineRule="auto"/>
              <w:ind w:firstLine="0"/>
              <w:jc w:val="center"/>
              <w:rPr>
                <w:sz w:val="24"/>
                <w:szCs w:val="24"/>
              </w:rPr>
            </w:pPr>
            <w:r w:rsidDel="00000000" w:rsidR="00000000" w:rsidRPr="00000000">
              <w:rPr>
                <w:sz w:val="24"/>
                <w:szCs w:val="24"/>
                <w:rtl w:val="0"/>
              </w:rPr>
              <w:t xml:space="preserve">17.075</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25">
            <w:pPr>
              <w:spacing w:after="0" w:before="240" w:line="360" w:lineRule="auto"/>
              <w:ind w:firstLine="0"/>
              <w:jc w:val="center"/>
              <w:rPr>
                <w:sz w:val="24"/>
                <w:szCs w:val="24"/>
              </w:rPr>
            </w:pPr>
            <w:r w:rsidDel="00000000" w:rsidR="00000000" w:rsidRPr="00000000">
              <w:rPr>
                <w:sz w:val="24"/>
                <w:szCs w:val="24"/>
                <w:rtl w:val="0"/>
              </w:rPr>
              <w:t xml:space="preserve">495.332.000</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26">
            <w:pPr>
              <w:spacing w:after="0" w:before="240" w:line="360" w:lineRule="auto"/>
              <w:ind w:firstLine="0"/>
              <w:jc w:val="center"/>
              <w:rPr>
                <w:sz w:val="24"/>
                <w:szCs w:val="24"/>
              </w:rPr>
            </w:pPr>
            <w:r w:rsidDel="00000000" w:rsidR="00000000" w:rsidRPr="00000000">
              <w:rPr>
                <w:sz w:val="24"/>
                <w:szCs w:val="24"/>
                <w:rtl w:val="0"/>
              </w:rPr>
              <w:t xml:space="preserve">495.349.075</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27">
            <w:pPr>
              <w:spacing w:line="360"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28">
            <w:pPr>
              <w:spacing w:after="0" w:before="240" w:line="360" w:lineRule="auto"/>
              <w:ind w:firstLine="0"/>
              <w:rPr>
                <w:sz w:val="24"/>
                <w:szCs w:val="24"/>
              </w:rPr>
            </w:pPr>
            <w:r w:rsidDel="00000000" w:rsidR="00000000" w:rsidRPr="00000000">
              <w:rPr>
                <w:sz w:val="24"/>
                <w:szCs w:val="24"/>
                <w:rtl w:val="0"/>
              </w:rPr>
              <w:t xml:space="preserve">% em coluna</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29">
            <w:pPr>
              <w:spacing w:after="0" w:before="240" w:line="360" w:lineRule="auto"/>
              <w:ind w:firstLine="0"/>
              <w:jc w:val="center"/>
              <w:rPr>
                <w:sz w:val="24"/>
                <w:szCs w:val="24"/>
              </w:rPr>
            </w:pPr>
            <w:r w:rsidDel="00000000" w:rsidR="00000000" w:rsidRPr="00000000">
              <w:rPr>
                <w:sz w:val="24"/>
                <w:szCs w:val="24"/>
                <w:rtl w:val="0"/>
              </w:rPr>
              <w:t xml:space="preserve">66,80%</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2A">
            <w:pPr>
              <w:spacing w:after="0" w:before="240" w:line="360" w:lineRule="auto"/>
              <w:ind w:firstLine="0"/>
              <w:jc w:val="center"/>
              <w:rPr>
                <w:sz w:val="24"/>
                <w:szCs w:val="24"/>
              </w:rPr>
            </w:pPr>
            <w:r w:rsidDel="00000000" w:rsidR="00000000" w:rsidRPr="00000000">
              <w:rPr>
                <w:sz w:val="24"/>
                <w:szCs w:val="24"/>
                <w:rtl w:val="0"/>
              </w:rPr>
              <w:t xml:space="preserve">41,90%</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2B">
            <w:pPr>
              <w:spacing w:after="0" w:before="240" w:line="360" w:lineRule="auto"/>
              <w:ind w:firstLine="0"/>
              <w:jc w:val="center"/>
              <w:rPr>
                <w:sz w:val="24"/>
                <w:szCs w:val="24"/>
              </w:rPr>
            </w:pPr>
            <w:r w:rsidDel="00000000" w:rsidR="00000000" w:rsidRPr="00000000">
              <w:rPr>
                <w:sz w:val="24"/>
                <w:szCs w:val="24"/>
                <w:rtl w:val="0"/>
              </w:rPr>
              <w:t xml:space="preserve">41,90%</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2C">
            <w:pPr>
              <w:spacing w:after="0" w:before="240" w:line="360" w:lineRule="auto"/>
              <w:ind w:firstLine="0"/>
              <w:rPr>
                <w:sz w:val="24"/>
                <w:szCs w:val="24"/>
              </w:rPr>
            </w:pPr>
            <w:r w:rsidDel="00000000" w:rsidR="00000000" w:rsidRPr="00000000">
              <w:rPr>
                <w:sz w:val="24"/>
                <w:szCs w:val="24"/>
                <w:rtl w:val="0"/>
              </w:rPr>
              <w:t xml:space="preserve">Masculino</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2D">
            <w:pPr>
              <w:spacing w:after="0" w:before="240" w:line="360" w:lineRule="auto"/>
              <w:ind w:firstLine="0"/>
              <w:rPr>
                <w:sz w:val="24"/>
                <w:szCs w:val="24"/>
              </w:rPr>
            </w:pPr>
            <w:r w:rsidDel="00000000" w:rsidR="00000000" w:rsidRPr="00000000">
              <w:rPr>
                <w:sz w:val="24"/>
                <w:szCs w:val="24"/>
                <w:rtl w:val="0"/>
              </w:rPr>
              <w:t xml:space="preserve">Observado</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2E">
            <w:pPr>
              <w:spacing w:after="0" w:before="240" w:line="360" w:lineRule="auto"/>
              <w:ind w:firstLine="0"/>
              <w:jc w:val="center"/>
              <w:rPr>
                <w:sz w:val="24"/>
                <w:szCs w:val="24"/>
              </w:rPr>
            </w:pPr>
            <w:r w:rsidDel="00000000" w:rsidR="00000000" w:rsidRPr="00000000">
              <w:rPr>
                <w:sz w:val="24"/>
                <w:szCs w:val="24"/>
                <w:rtl w:val="0"/>
              </w:rPr>
              <w:t xml:space="preserve">8.499</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2F">
            <w:pPr>
              <w:spacing w:after="0" w:before="240" w:line="360" w:lineRule="auto"/>
              <w:ind w:firstLine="0"/>
              <w:jc w:val="center"/>
              <w:rPr>
                <w:sz w:val="24"/>
                <w:szCs w:val="24"/>
              </w:rPr>
            </w:pPr>
            <w:r w:rsidDel="00000000" w:rsidR="00000000" w:rsidRPr="00000000">
              <w:rPr>
                <w:sz w:val="24"/>
                <w:szCs w:val="24"/>
                <w:rtl w:val="0"/>
              </w:rPr>
              <w:t xml:space="preserve">688.093.000</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30">
            <w:pPr>
              <w:spacing w:after="0" w:before="240" w:line="360" w:lineRule="auto"/>
              <w:ind w:firstLine="0"/>
              <w:jc w:val="center"/>
              <w:rPr>
                <w:sz w:val="24"/>
                <w:szCs w:val="24"/>
              </w:rPr>
            </w:pPr>
            <w:r w:rsidDel="00000000" w:rsidR="00000000" w:rsidRPr="00000000">
              <w:rPr>
                <w:sz w:val="24"/>
                <w:szCs w:val="24"/>
                <w:rtl w:val="0"/>
              </w:rPr>
              <w:t xml:space="preserve">688.101.499</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31">
            <w:pPr>
              <w:spacing w:line="360"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32">
            <w:pPr>
              <w:spacing w:after="0" w:before="240" w:line="360" w:lineRule="auto"/>
              <w:ind w:firstLine="0"/>
              <w:rPr>
                <w:sz w:val="24"/>
                <w:szCs w:val="24"/>
              </w:rPr>
            </w:pPr>
            <w:r w:rsidDel="00000000" w:rsidR="00000000" w:rsidRPr="00000000">
              <w:rPr>
                <w:sz w:val="24"/>
                <w:szCs w:val="24"/>
                <w:rtl w:val="0"/>
              </w:rPr>
              <w:t xml:space="preserve">% em coluna</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33">
            <w:pPr>
              <w:spacing w:after="0" w:before="240" w:line="360" w:lineRule="auto"/>
              <w:ind w:firstLine="0"/>
              <w:jc w:val="center"/>
              <w:rPr>
                <w:sz w:val="24"/>
                <w:szCs w:val="24"/>
              </w:rPr>
            </w:pPr>
            <w:r w:rsidDel="00000000" w:rsidR="00000000" w:rsidRPr="00000000">
              <w:rPr>
                <w:sz w:val="24"/>
                <w:szCs w:val="24"/>
                <w:rtl w:val="0"/>
              </w:rPr>
              <w:t xml:space="preserve">33,20%</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34">
            <w:pPr>
              <w:spacing w:after="0" w:before="240" w:line="360" w:lineRule="auto"/>
              <w:ind w:firstLine="0"/>
              <w:jc w:val="center"/>
              <w:rPr>
                <w:sz w:val="24"/>
                <w:szCs w:val="24"/>
              </w:rPr>
            </w:pPr>
            <w:r w:rsidDel="00000000" w:rsidR="00000000" w:rsidRPr="00000000">
              <w:rPr>
                <w:sz w:val="24"/>
                <w:szCs w:val="24"/>
                <w:rtl w:val="0"/>
              </w:rPr>
              <w:t xml:space="preserve">58,10%</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35">
            <w:pPr>
              <w:spacing w:after="0" w:before="240" w:line="360" w:lineRule="auto"/>
              <w:ind w:firstLine="0"/>
              <w:jc w:val="center"/>
              <w:rPr>
                <w:sz w:val="24"/>
                <w:szCs w:val="24"/>
              </w:rPr>
            </w:pPr>
            <w:r w:rsidDel="00000000" w:rsidR="00000000" w:rsidRPr="00000000">
              <w:rPr>
                <w:sz w:val="24"/>
                <w:szCs w:val="24"/>
                <w:rtl w:val="0"/>
              </w:rPr>
              <w:t xml:space="preserve">58,10%</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36">
            <w:pPr>
              <w:spacing w:after="0" w:before="240" w:line="360" w:lineRule="auto"/>
              <w:ind w:firstLine="0"/>
              <w:rPr>
                <w:sz w:val="24"/>
                <w:szCs w:val="24"/>
              </w:rPr>
            </w:pPr>
            <w:r w:rsidDel="00000000" w:rsidR="00000000" w:rsidRPr="00000000">
              <w:rPr>
                <w:sz w:val="24"/>
                <w:szCs w:val="24"/>
                <w:rtl w:val="0"/>
              </w:rPr>
              <w:t xml:space="preserve">Total</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37">
            <w:pPr>
              <w:spacing w:after="0" w:before="240" w:line="360" w:lineRule="auto"/>
              <w:ind w:firstLine="0"/>
              <w:rPr>
                <w:sz w:val="24"/>
                <w:szCs w:val="24"/>
              </w:rPr>
            </w:pPr>
            <w:r w:rsidDel="00000000" w:rsidR="00000000" w:rsidRPr="00000000">
              <w:rPr>
                <w:sz w:val="24"/>
                <w:szCs w:val="24"/>
                <w:rtl w:val="0"/>
              </w:rPr>
              <w:t xml:space="preserve">Observado</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38">
            <w:pPr>
              <w:spacing w:after="0" w:before="240" w:line="360" w:lineRule="auto"/>
              <w:ind w:firstLine="0"/>
              <w:jc w:val="center"/>
              <w:rPr>
                <w:sz w:val="24"/>
                <w:szCs w:val="24"/>
              </w:rPr>
            </w:pPr>
            <w:r w:rsidDel="00000000" w:rsidR="00000000" w:rsidRPr="00000000">
              <w:rPr>
                <w:sz w:val="24"/>
                <w:szCs w:val="24"/>
                <w:rtl w:val="0"/>
              </w:rPr>
              <w:t xml:space="preserve">25.574</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39">
            <w:pPr>
              <w:spacing w:after="0" w:before="240" w:line="360" w:lineRule="auto"/>
              <w:ind w:firstLine="0"/>
              <w:jc w:val="center"/>
              <w:rPr>
                <w:sz w:val="24"/>
                <w:szCs w:val="24"/>
              </w:rPr>
            </w:pPr>
            <w:r w:rsidDel="00000000" w:rsidR="00000000" w:rsidRPr="00000000">
              <w:rPr>
                <w:sz w:val="24"/>
                <w:szCs w:val="24"/>
                <w:rtl w:val="0"/>
              </w:rPr>
              <w:t xml:space="preserve">1.183.425.000</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3A">
            <w:pPr>
              <w:spacing w:after="0" w:before="240" w:line="360" w:lineRule="auto"/>
              <w:ind w:firstLine="0"/>
              <w:jc w:val="center"/>
              <w:rPr>
                <w:sz w:val="24"/>
                <w:szCs w:val="24"/>
              </w:rPr>
            </w:pPr>
            <w:r w:rsidDel="00000000" w:rsidR="00000000" w:rsidRPr="00000000">
              <w:rPr>
                <w:sz w:val="24"/>
                <w:szCs w:val="24"/>
                <w:rtl w:val="0"/>
              </w:rPr>
              <w:t xml:space="preserve">1.183.450.574</w:t>
            </w:r>
          </w:p>
        </w:tc>
      </w:tr>
      <w:tr>
        <w:trPr>
          <w:cantSplit w:val="0"/>
          <w:trHeight w:val="495" w:hRule="atLeast"/>
          <w:tblHeader w:val="0"/>
        </w:trPr>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3B">
            <w:pPr>
              <w:spacing w:after="0" w:before="240" w:line="360" w:lineRule="auto"/>
              <w:ind w:firstLine="0"/>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3C">
            <w:pPr>
              <w:spacing w:after="0" w:before="240" w:line="360" w:lineRule="auto"/>
              <w:ind w:firstLine="0"/>
              <w:rPr>
                <w:sz w:val="24"/>
                <w:szCs w:val="24"/>
              </w:rPr>
            </w:pPr>
            <w:r w:rsidDel="00000000" w:rsidR="00000000" w:rsidRPr="00000000">
              <w:rPr>
                <w:sz w:val="24"/>
                <w:szCs w:val="24"/>
                <w:rtl w:val="0"/>
              </w:rPr>
              <w:t xml:space="preserve">% em coluna</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3D">
            <w:pPr>
              <w:spacing w:after="0" w:before="240" w:line="360" w:lineRule="auto"/>
              <w:ind w:firstLine="0"/>
              <w:jc w:val="center"/>
              <w:rPr>
                <w:sz w:val="24"/>
                <w:szCs w:val="24"/>
              </w:rPr>
            </w:pPr>
            <w:r w:rsidDel="00000000" w:rsidR="00000000" w:rsidRPr="00000000">
              <w:rPr>
                <w:sz w:val="24"/>
                <w:szCs w:val="24"/>
                <w:rtl w:val="0"/>
              </w:rPr>
              <w:t xml:space="preserve">100,00%</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3E">
            <w:pPr>
              <w:spacing w:after="0" w:before="240" w:line="360" w:lineRule="auto"/>
              <w:ind w:firstLine="0"/>
              <w:jc w:val="center"/>
              <w:rPr>
                <w:sz w:val="24"/>
                <w:szCs w:val="24"/>
              </w:rPr>
            </w:pPr>
            <w:r w:rsidDel="00000000" w:rsidR="00000000" w:rsidRPr="00000000">
              <w:rPr>
                <w:sz w:val="24"/>
                <w:szCs w:val="24"/>
                <w:rtl w:val="0"/>
              </w:rPr>
              <w:t xml:space="preserve">100,00%</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3F">
            <w:pPr>
              <w:spacing w:after="0" w:before="240" w:line="360" w:lineRule="auto"/>
              <w:ind w:firstLine="0"/>
              <w:jc w:val="center"/>
              <w:rPr>
                <w:sz w:val="24"/>
                <w:szCs w:val="24"/>
              </w:rPr>
            </w:pPr>
            <w:r w:rsidDel="00000000" w:rsidR="00000000" w:rsidRPr="00000000">
              <w:rPr>
                <w:sz w:val="24"/>
                <w:szCs w:val="24"/>
                <w:rtl w:val="0"/>
              </w:rPr>
              <w:t xml:space="preserve">100,00%</w:t>
            </w:r>
          </w:p>
        </w:tc>
      </w:tr>
      <w:tr>
        <w:trPr>
          <w:cantSplit w:val="0"/>
          <w:trHeight w:val="503.96484375" w:hRule="atLeast"/>
          <w:tblHeader w:val="0"/>
        </w:trPr>
        <w:tc>
          <w:tcPr>
            <w:gridSpan w:val="5"/>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40">
            <w:pPr>
              <w:spacing w:after="0" w:before="240" w:line="360" w:lineRule="auto"/>
              <w:ind w:firstLine="0"/>
              <w:jc w:val="center"/>
              <w:rPr>
                <w:b w:val="1"/>
                <w:sz w:val="24"/>
                <w:szCs w:val="24"/>
              </w:rPr>
            </w:pPr>
            <w:r w:rsidDel="00000000" w:rsidR="00000000" w:rsidRPr="00000000">
              <w:rPr>
                <w:b w:val="1"/>
                <w:sz w:val="24"/>
                <w:szCs w:val="24"/>
                <w:rtl w:val="0"/>
              </w:rPr>
              <w:t xml:space="preserve">Testes </w:t>
            </w:r>
            <w:r w:rsidDel="00000000" w:rsidR="00000000" w:rsidRPr="00000000">
              <w:rPr>
                <w:b w:val="1"/>
                <w:i w:val="1"/>
                <w:sz w:val="24"/>
                <w:szCs w:val="24"/>
                <w:rtl w:val="0"/>
              </w:rPr>
              <w:t xml:space="preserve">X</w:t>
            </w:r>
            <w:r w:rsidDel="00000000" w:rsidR="00000000" w:rsidRPr="00000000">
              <w:rPr>
                <w:b w:val="1"/>
                <w:sz w:val="24"/>
                <w:szCs w:val="24"/>
                <w:rtl w:val="0"/>
              </w:rPr>
              <w:t xml:space="preserve">²</w:t>
            </w:r>
          </w:p>
        </w:tc>
      </w:tr>
      <w:tr>
        <w:trPr>
          <w:cantSplit w:val="0"/>
          <w:trHeight w:val="488.96484375" w:hRule="atLeast"/>
          <w:tblHeader w:val="0"/>
        </w:trPr>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45">
            <w:pPr>
              <w:spacing w:after="0" w:before="240" w:line="360" w:lineRule="auto"/>
              <w:ind w:firstLine="0"/>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46">
            <w:pPr>
              <w:spacing w:after="0" w:before="240" w:line="360" w:lineRule="auto"/>
              <w:ind w:firstLine="0"/>
              <w:jc w:val="center"/>
              <w:rPr>
                <w:b w:val="1"/>
                <w:sz w:val="24"/>
                <w:szCs w:val="24"/>
              </w:rPr>
            </w:pPr>
            <w:r w:rsidDel="00000000" w:rsidR="00000000" w:rsidRPr="00000000">
              <w:rPr>
                <w:b w:val="1"/>
                <w:sz w:val="24"/>
                <w:szCs w:val="24"/>
                <w:rtl w:val="0"/>
              </w:rPr>
              <w:t xml:space="preserve">Valor</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47">
            <w:pPr>
              <w:spacing w:after="0" w:before="240" w:line="360" w:lineRule="auto"/>
              <w:ind w:firstLine="0"/>
              <w:jc w:val="center"/>
              <w:rPr>
                <w:b w:val="1"/>
                <w:sz w:val="24"/>
                <w:szCs w:val="24"/>
              </w:rPr>
            </w:pPr>
            <w:r w:rsidDel="00000000" w:rsidR="00000000" w:rsidRPr="00000000">
              <w:rPr>
                <w:b w:val="1"/>
                <w:sz w:val="24"/>
                <w:szCs w:val="24"/>
                <w:rtl w:val="0"/>
              </w:rPr>
              <w:t xml:space="preserve">gl</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48">
            <w:pPr>
              <w:spacing w:after="0" w:before="240" w:line="360" w:lineRule="auto"/>
              <w:ind w:firstLine="0"/>
              <w:jc w:val="center"/>
              <w:rPr>
                <w:b w:val="1"/>
                <w:sz w:val="24"/>
                <w:szCs w:val="24"/>
              </w:rPr>
            </w:pPr>
            <w:r w:rsidDel="00000000" w:rsidR="00000000" w:rsidRPr="00000000">
              <w:rPr>
                <w:b w:val="1"/>
                <w:sz w:val="24"/>
                <w:szCs w:val="24"/>
                <w:rtl w:val="0"/>
              </w:rPr>
              <w:t xml:space="preserve">p</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49">
            <w:pPr>
              <w:spacing w:after="0" w:before="240" w:line="360" w:lineRule="auto"/>
              <w:ind w:firstLine="0"/>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4A">
            <w:pPr>
              <w:spacing w:after="0" w:before="240" w:line="360" w:lineRule="auto"/>
              <w:ind w:firstLine="0"/>
              <w:rPr>
                <w:sz w:val="24"/>
                <w:szCs w:val="24"/>
              </w:rPr>
            </w:pPr>
            <w:r w:rsidDel="00000000" w:rsidR="00000000" w:rsidRPr="00000000">
              <w:rPr>
                <w:i w:val="1"/>
                <w:sz w:val="24"/>
                <w:szCs w:val="24"/>
                <w:rtl w:val="0"/>
              </w:rPr>
              <w:t xml:space="preserve">X</w:t>
            </w:r>
            <w:r w:rsidDel="00000000" w:rsidR="00000000" w:rsidRPr="00000000">
              <w:rPr>
                <w:sz w:val="24"/>
                <w:szCs w:val="24"/>
                <w:rtl w:val="0"/>
              </w:rPr>
              <w:t xml:space="preserve">²</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4B">
            <w:pPr>
              <w:spacing w:after="0" w:before="240" w:line="360" w:lineRule="auto"/>
              <w:ind w:firstLine="0"/>
              <w:jc w:val="center"/>
              <w:rPr>
                <w:sz w:val="24"/>
                <w:szCs w:val="24"/>
              </w:rPr>
            </w:pPr>
            <w:r w:rsidDel="00000000" w:rsidR="00000000" w:rsidRPr="00000000">
              <w:rPr>
                <w:sz w:val="24"/>
                <w:szCs w:val="24"/>
                <w:rtl w:val="0"/>
              </w:rPr>
              <w:t xml:space="preserve">6.521</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4C">
            <w:pPr>
              <w:spacing w:after="0" w:before="240" w:line="360" w:lineRule="auto"/>
              <w:ind w:firstLine="0"/>
              <w:jc w:val="cente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4D">
            <w:pPr>
              <w:spacing w:after="0" w:before="240" w:line="360" w:lineRule="auto"/>
              <w:ind w:firstLine="0"/>
              <w:jc w:val="center"/>
              <w:rPr>
                <w:sz w:val="24"/>
                <w:szCs w:val="24"/>
              </w:rPr>
            </w:pPr>
            <w:r w:rsidDel="00000000" w:rsidR="00000000" w:rsidRPr="00000000">
              <w:rPr>
                <w:sz w:val="24"/>
                <w:szCs w:val="24"/>
                <w:rtl w:val="0"/>
              </w:rPr>
              <w:t xml:space="preserve">&lt;.001</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4E">
            <w:pPr>
              <w:spacing w:line="360" w:lineRule="auto"/>
              <w:rPr>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4F">
            <w:pPr>
              <w:spacing w:after="0" w:before="240" w:line="360" w:lineRule="auto"/>
              <w:ind w:firstLine="0"/>
              <w:rPr>
                <w:sz w:val="24"/>
                <w:szCs w:val="24"/>
              </w:rPr>
            </w:pPr>
            <w:r w:rsidDel="00000000" w:rsidR="00000000" w:rsidRPr="00000000">
              <w:rPr>
                <w:sz w:val="24"/>
                <w:szCs w:val="24"/>
                <w:rtl w:val="0"/>
              </w:rPr>
              <w:t xml:space="preserve">N</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50">
            <w:pPr>
              <w:spacing w:after="0" w:before="240" w:line="360" w:lineRule="auto"/>
              <w:ind w:firstLine="0"/>
              <w:jc w:val="center"/>
              <w:rPr>
                <w:sz w:val="24"/>
                <w:szCs w:val="24"/>
              </w:rPr>
            </w:pPr>
            <w:r w:rsidDel="00000000" w:rsidR="00000000" w:rsidRPr="00000000">
              <w:rPr>
                <w:sz w:val="24"/>
                <w:szCs w:val="24"/>
                <w:rtl w:val="0"/>
              </w:rPr>
              <w:t xml:space="preserve">1.183.450.574</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51">
            <w:pPr>
              <w:spacing w:after="0" w:before="240" w:line="360" w:lineRule="auto"/>
              <w:ind w:firstLine="0"/>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52">
            <w:pPr>
              <w:spacing w:after="0" w:before="240" w:line="360" w:lineRule="auto"/>
              <w:ind w:firstLine="0"/>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53">
            <w:pPr>
              <w:spacing w:after="0" w:before="240" w:line="360" w:lineRule="auto"/>
              <w:ind w:firstLine="0"/>
              <w:rPr>
                <w:sz w:val="24"/>
                <w:szCs w:val="24"/>
              </w:rPr>
            </w:pPr>
            <w:r w:rsidDel="00000000" w:rsidR="00000000" w:rsidRPr="00000000">
              <w:rPr>
                <w:sz w:val="24"/>
                <w:szCs w:val="24"/>
                <w:rtl w:val="0"/>
              </w:rPr>
              <w:t xml:space="preserve"> </w:t>
            </w:r>
          </w:p>
        </w:tc>
      </w:tr>
      <w:tr>
        <w:trPr>
          <w:cantSplit w:val="0"/>
          <w:trHeight w:val="518.96484375" w:hRule="atLeast"/>
          <w:tblHeader w:val="0"/>
        </w:trPr>
        <w:tc>
          <w:tcPr>
            <w:gridSpan w:val="5"/>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54">
            <w:pPr>
              <w:spacing w:after="0" w:before="240" w:line="360" w:lineRule="auto"/>
              <w:ind w:firstLine="0"/>
              <w:jc w:val="center"/>
              <w:rPr>
                <w:b w:val="1"/>
                <w:sz w:val="24"/>
                <w:szCs w:val="24"/>
              </w:rPr>
            </w:pPr>
            <w:r w:rsidDel="00000000" w:rsidR="00000000" w:rsidRPr="00000000">
              <w:rPr>
                <w:b w:val="1"/>
                <w:sz w:val="24"/>
                <w:szCs w:val="24"/>
                <w:rtl w:val="0"/>
              </w:rPr>
              <w:t xml:space="preserve">Medidas Comparativas</w:t>
            </w:r>
          </w:p>
        </w:tc>
      </w:tr>
      <w:tr>
        <w:trPr>
          <w:cantSplit w:val="0"/>
          <w:trHeight w:val="593.9648437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59">
            <w:pPr>
              <w:spacing w:line="360" w:lineRule="auto"/>
              <w:rPr>
                <w:sz w:val="24"/>
                <w:szCs w:val="24"/>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5B">
            <w:pPr>
              <w:spacing w:after="0" w:before="240" w:line="360" w:lineRule="auto"/>
              <w:ind w:firstLine="0"/>
              <w:jc w:val="center"/>
              <w:rPr>
                <w:b w:val="1"/>
                <w:sz w:val="24"/>
                <w:szCs w:val="24"/>
              </w:rPr>
            </w:pPr>
            <w:r w:rsidDel="00000000" w:rsidR="00000000" w:rsidRPr="00000000">
              <w:rPr>
                <w:b w:val="1"/>
                <w:sz w:val="24"/>
                <w:szCs w:val="24"/>
                <w:rtl w:val="0"/>
              </w:rPr>
              <w:t xml:space="preserve">Intervalo de Confiança a 95%</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5D">
            <w:pPr>
              <w:spacing w:line="360" w:lineRule="auto"/>
              <w:rPr>
                <w:sz w:val="24"/>
                <w:szCs w:val="24"/>
              </w:rPr>
            </w:pPr>
            <w:r w:rsidDel="00000000" w:rsidR="00000000" w:rsidRPr="00000000">
              <w:rPr>
                <w:rtl w:val="0"/>
              </w:rPr>
            </w:r>
          </w:p>
        </w:tc>
      </w:tr>
      <w:tr>
        <w:trPr>
          <w:cantSplit w:val="0"/>
          <w:trHeight w:val="608.96484375" w:hRule="atLeast"/>
          <w:tblHeader w:val="0"/>
        </w:trPr>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5E">
            <w:pPr>
              <w:spacing w:after="0" w:before="240" w:line="360" w:lineRule="auto"/>
              <w:ind w:firstLine="0"/>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5F">
            <w:pPr>
              <w:spacing w:after="0" w:before="240" w:line="360" w:lineRule="auto"/>
              <w:ind w:firstLine="0"/>
              <w:jc w:val="center"/>
              <w:rPr>
                <w:b w:val="1"/>
                <w:sz w:val="24"/>
                <w:szCs w:val="24"/>
              </w:rPr>
            </w:pPr>
            <w:r w:rsidDel="00000000" w:rsidR="00000000" w:rsidRPr="00000000">
              <w:rPr>
                <w:b w:val="1"/>
                <w:sz w:val="24"/>
                <w:szCs w:val="24"/>
                <w:rtl w:val="0"/>
              </w:rPr>
              <w:t xml:space="preserve">Valor</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60">
            <w:pPr>
              <w:spacing w:after="0" w:before="240" w:line="360" w:lineRule="auto"/>
              <w:ind w:firstLine="0"/>
              <w:jc w:val="center"/>
              <w:rPr>
                <w:b w:val="1"/>
                <w:sz w:val="24"/>
                <w:szCs w:val="24"/>
              </w:rPr>
            </w:pPr>
            <w:r w:rsidDel="00000000" w:rsidR="00000000" w:rsidRPr="00000000">
              <w:rPr>
                <w:b w:val="1"/>
                <w:sz w:val="24"/>
                <w:szCs w:val="24"/>
                <w:rtl w:val="0"/>
              </w:rPr>
              <w:t xml:space="preserve">Lim. Inferior</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61">
            <w:pPr>
              <w:spacing w:after="0" w:before="240" w:line="360" w:lineRule="auto"/>
              <w:ind w:firstLine="0"/>
              <w:jc w:val="center"/>
              <w:rPr>
                <w:b w:val="1"/>
                <w:sz w:val="24"/>
                <w:szCs w:val="24"/>
              </w:rPr>
            </w:pPr>
            <w:r w:rsidDel="00000000" w:rsidR="00000000" w:rsidRPr="00000000">
              <w:rPr>
                <w:b w:val="1"/>
                <w:sz w:val="24"/>
                <w:szCs w:val="24"/>
                <w:rtl w:val="0"/>
              </w:rPr>
              <w:t xml:space="preserve">Superior</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62">
            <w:pPr>
              <w:spacing w:after="0" w:before="240" w:line="360" w:lineRule="auto"/>
              <w:ind w:firstLine="0"/>
              <w:rPr>
                <w:sz w:val="24"/>
                <w:szCs w:val="24"/>
              </w:rPr>
            </w:pPr>
            <w:r w:rsidDel="00000000" w:rsidR="00000000" w:rsidRPr="00000000">
              <w:rPr>
                <w:sz w:val="24"/>
                <w:szCs w:val="24"/>
                <w:rtl w:val="0"/>
              </w:rPr>
              <w:t xml:space="preserve"> </w:t>
            </w:r>
          </w:p>
        </w:tc>
      </w:tr>
      <w:tr>
        <w:trPr>
          <w:cantSplit w:val="0"/>
          <w:trHeight w:val="555" w:hRule="atLeast"/>
          <w:tblHeader w:val="0"/>
        </w:trPr>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63">
            <w:pPr>
              <w:spacing w:after="0" w:before="240" w:line="360" w:lineRule="auto"/>
              <w:ind w:firstLine="0"/>
              <w:rPr>
                <w:i w:val="1"/>
                <w:sz w:val="24"/>
                <w:szCs w:val="24"/>
              </w:rPr>
            </w:pPr>
            <w:r w:rsidDel="00000000" w:rsidR="00000000" w:rsidRPr="00000000">
              <w:rPr>
                <w:i w:val="1"/>
                <w:sz w:val="24"/>
                <w:szCs w:val="24"/>
                <w:rtl w:val="0"/>
              </w:rPr>
              <w:t xml:space="preserve">OR</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64">
            <w:pPr>
              <w:spacing w:after="0" w:before="240" w:line="360" w:lineRule="auto"/>
              <w:ind w:firstLine="0"/>
              <w:jc w:val="center"/>
              <w:rPr>
                <w:sz w:val="24"/>
                <w:szCs w:val="24"/>
              </w:rPr>
            </w:pPr>
            <w:r w:rsidDel="00000000" w:rsidR="00000000" w:rsidRPr="00000000">
              <w:rPr>
                <w:sz w:val="24"/>
                <w:szCs w:val="24"/>
                <w:rtl w:val="0"/>
              </w:rPr>
              <w:t xml:space="preserve">2.79</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65">
            <w:pPr>
              <w:spacing w:after="0" w:before="240" w:line="360" w:lineRule="auto"/>
              <w:ind w:firstLine="0"/>
              <w:jc w:val="center"/>
              <w:rPr>
                <w:sz w:val="24"/>
                <w:szCs w:val="24"/>
              </w:rPr>
            </w:pPr>
            <w:r w:rsidDel="00000000" w:rsidR="00000000" w:rsidRPr="00000000">
              <w:rPr>
                <w:sz w:val="24"/>
                <w:szCs w:val="24"/>
                <w:rtl w:val="0"/>
              </w:rPr>
              <w:t xml:space="preserve">2.72</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0066">
            <w:pPr>
              <w:spacing w:after="0" w:before="240" w:line="360" w:lineRule="auto"/>
              <w:ind w:firstLine="0"/>
              <w:jc w:val="center"/>
              <w:rPr>
                <w:sz w:val="24"/>
                <w:szCs w:val="24"/>
              </w:rPr>
            </w:pPr>
            <w:r w:rsidDel="00000000" w:rsidR="00000000" w:rsidRPr="00000000">
              <w:rPr>
                <w:sz w:val="24"/>
                <w:szCs w:val="24"/>
                <w:rtl w:val="0"/>
              </w:rPr>
              <w:t xml:space="preserve">2.86</w:t>
            </w:r>
          </w:p>
        </w:tc>
        <w:tc>
          <w:tcPr>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67">
            <w:pPr>
              <w:spacing w:after="0" w:before="240" w:line="360" w:lineRule="auto"/>
              <w:ind w:firstLine="0"/>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pStyle w:val="Heading2"/>
        <w:spacing w:line="360" w:lineRule="auto"/>
        <w:ind w:left="0" w:hanging="2"/>
        <w:rPr/>
      </w:pPr>
      <w:bookmarkStart w:colFirst="0" w:colLast="0" w:name="_acx1ey2g4n8u" w:id="6"/>
      <w:bookmarkEnd w:id="6"/>
      <w:r w:rsidDel="00000000" w:rsidR="00000000" w:rsidRPr="00000000">
        <w:rPr>
          <w:rtl w:val="0"/>
        </w:rPr>
        <w:t xml:space="preserve">Conclusões</w:t>
      </w:r>
    </w:p>
    <w:p w:rsidR="00000000" w:rsidDel="00000000" w:rsidP="00000000" w:rsidRDefault="00000000" w:rsidRPr="00000000" w14:paraId="0000006A">
      <w:pPr>
        <w:spacing w:line="360" w:lineRule="auto"/>
        <w:rPr>
          <w:b w:val="1"/>
          <w:sz w:val="24"/>
          <w:szCs w:val="24"/>
        </w:rPr>
      </w:pPr>
      <w:r w:rsidDel="00000000" w:rsidR="00000000" w:rsidRPr="00000000">
        <w:rPr>
          <w:sz w:val="24"/>
          <w:szCs w:val="24"/>
          <w:rtl w:val="0"/>
        </w:rPr>
        <w:tab/>
        <w:t xml:space="preserve">Aproximadamente dois terços das notificações de TMRT no Brasil de 2012 a 2024 corresponderam a indivíduos do sexo feminino, sendo este grupo quase três vezes mais exposto ao risco de adoecimento em comparação aos homens, de modo que, a cada ano, são notificados cerca de três a quatro novos casos de TMRT entre cada cem mil trabalhadoras, sendo quase o triplo relativamente aos homens. Esses achados evidenciam uma expressiva desigualdade de gênero na ocorrência de TMRT, possivelmente associada à frequência de assédios e aos mecanismos de exclusão voltados às mulheres. Diante disso, torna-se essencial o fortalecimento e a formulação de políticas públicas que promovam ambientes de trabalho mais seguros e saudáveis para as mulheres. </w:t>
      </w:r>
      <w:r w:rsidDel="00000000" w:rsidR="00000000" w:rsidRPr="00000000">
        <w:rPr>
          <w:rtl w:val="0"/>
        </w:rPr>
      </w:r>
    </w:p>
    <w:p w:rsidR="00000000" w:rsidDel="00000000" w:rsidP="00000000" w:rsidRDefault="00000000" w:rsidRPr="00000000" w14:paraId="0000006B">
      <w:pPr>
        <w:spacing w:line="360" w:lineRule="auto"/>
        <w:rPr>
          <w:sz w:val="24"/>
          <w:szCs w:val="24"/>
        </w:rPr>
      </w:pPr>
      <w:r w:rsidDel="00000000" w:rsidR="00000000" w:rsidRPr="00000000">
        <w:rPr>
          <w:b w:val="1"/>
          <w:sz w:val="24"/>
          <w:szCs w:val="24"/>
          <w:rtl w:val="0"/>
        </w:rPr>
        <w:t xml:space="preserve">Referências</w:t>
      </w:r>
      <w:r w:rsidDel="00000000" w:rsidR="00000000" w:rsidRPr="00000000">
        <w:rPr>
          <w:rtl w:val="0"/>
        </w:rPr>
      </w:r>
    </w:p>
    <w:p w:rsidR="00000000" w:rsidDel="00000000" w:rsidP="00000000" w:rsidRDefault="00000000" w:rsidRPr="00000000" w14:paraId="0000006C">
      <w:pPr>
        <w:spacing w:line="360" w:lineRule="auto"/>
        <w:ind w:left="0" w:hanging="2"/>
        <w:rPr>
          <w:color w:val="444444"/>
          <w:sz w:val="24"/>
          <w:szCs w:val="24"/>
        </w:rPr>
      </w:pPr>
      <w:r w:rsidDel="00000000" w:rsidR="00000000" w:rsidRPr="00000000">
        <w:rPr>
          <w:color w:val="444444"/>
          <w:sz w:val="24"/>
          <w:szCs w:val="24"/>
          <w:rtl w:val="0"/>
        </w:rPr>
        <w:t xml:space="preserve">PASSOS, L.; MACHADO, D. C.. DIFERENCIAIS SALARIAIS DE GÊNERO NO BRASIL: COMPARANDO OS SETORES PÚBLICO E PRIVADO . </w:t>
      </w:r>
      <w:r w:rsidDel="00000000" w:rsidR="00000000" w:rsidRPr="00000000">
        <w:rPr>
          <w:b w:val="1"/>
          <w:color w:val="444444"/>
          <w:sz w:val="24"/>
          <w:szCs w:val="24"/>
          <w:rtl w:val="0"/>
        </w:rPr>
        <w:t xml:space="preserve">Revista de Economia Contemporânea</w:t>
      </w:r>
      <w:r w:rsidDel="00000000" w:rsidR="00000000" w:rsidRPr="00000000">
        <w:rPr>
          <w:color w:val="444444"/>
          <w:sz w:val="24"/>
          <w:szCs w:val="24"/>
          <w:rtl w:val="0"/>
        </w:rPr>
        <w:t xml:space="preserve">, v. 26, p. e222607, 2022.</w:t>
      </w:r>
    </w:p>
    <w:p w:rsidR="00000000" w:rsidDel="00000000" w:rsidP="00000000" w:rsidRDefault="00000000" w:rsidRPr="00000000" w14:paraId="0000006D">
      <w:pPr>
        <w:spacing w:line="360" w:lineRule="auto"/>
        <w:ind w:left="0" w:hanging="2"/>
        <w:rPr>
          <w:color w:val="444444"/>
          <w:sz w:val="24"/>
          <w:szCs w:val="24"/>
        </w:rPr>
      </w:pPr>
      <w:r w:rsidDel="00000000" w:rsidR="00000000" w:rsidRPr="00000000">
        <w:rPr>
          <w:color w:val="444444"/>
          <w:sz w:val="24"/>
          <w:szCs w:val="24"/>
          <w:rtl w:val="0"/>
        </w:rPr>
        <w:t xml:space="preserve">HIGA, F. DA C.. Assédio sexual no trabalho e discriminação de gênero:duas faces da mesma moeda?. </w:t>
      </w:r>
      <w:r w:rsidDel="00000000" w:rsidR="00000000" w:rsidRPr="00000000">
        <w:rPr>
          <w:b w:val="1"/>
          <w:color w:val="444444"/>
          <w:sz w:val="24"/>
          <w:szCs w:val="24"/>
          <w:rtl w:val="0"/>
        </w:rPr>
        <w:t xml:space="preserve">Revista Direito GV</w:t>
      </w:r>
      <w:r w:rsidDel="00000000" w:rsidR="00000000" w:rsidRPr="00000000">
        <w:rPr>
          <w:color w:val="444444"/>
          <w:sz w:val="24"/>
          <w:szCs w:val="24"/>
          <w:rtl w:val="0"/>
        </w:rPr>
        <w:t xml:space="preserve">, v. 12, n. 2, p. 484–515, </w:t>
      </w:r>
      <w:r w:rsidDel="00000000" w:rsidR="00000000" w:rsidRPr="00000000">
        <w:rPr>
          <w:color w:val="444444"/>
          <w:sz w:val="24"/>
          <w:szCs w:val="24"/>
          <w:rtl w:val="0"/>
        </w:rPr>
        <w:t xml:space="preserve">maio 2016</w:t>
      </w:r>
      <w:r w:rsidDel="00000000" w:rsidR="00000000" w:rsidRPr="00000000">
        <w:rPr>
          <w:color w:val="444444"/>
          <w:sz w:val="24"/>
          <w:szCs w:val="24"/>
          <w:rtl w:val="0"/>
        </w:rPr>
        <w:t xml:space="preserve">.</w:t>
      </w:r>
    </w:p>
    <w:p w:rsidR="00000000" w:rsidDel="00000000" w:rsidP="00000000" w:rsidRDefault="00000000" w:rsidRPr="00000000" w14:paraId="0000006E">
      <w:pPr>
        <w:spacing w:line="360" w:lineRule="auto"/>
        <w:ind w:left="0" w:hanging="2"/>
        <w:rPr>
          <w:color w:val="444444"/>
          <w:sz w:val="24"/>
          <w:szCs w:val="24"/>
        </w:rPr>
      </w:pPr>
      <w:r w:rsidDel="00000000" w:rsidR="00000000" w:rsidRPr="00000000">
        <w:rPr>
          <w:color w:val="444444"/>
          <w:sz w:val="24"/>
          <w:szCs w:val="24"/>
          <w:rtl w:val="0"/>
        </w:rPr>
        <w:t xml:space="preserve">SALVARO, G. I. J.; MARIANO, P.. SAÚDE MENTAL DE TRABALHADORAS EM ESTUDO: CONTRIBUIÇÕES AO DEBATE DE GÊNERO . </w:t>
      </w:r>
      <w:r w:rsidDel="00000000" w:rsidR="00000000" w:rsidRPr="00000000">
        <w:rPr>
          <w:b w:val="1"/>
          <w:color w:val="444444"/>
          <w:sz w:val="24"/>
          <w:szCs w:val="24"/>
          <w:rtl w:val="0"/>
        </w:rPr>
        <w:t xml:space="preserve">Psicologia em Estudo</w:t>
      </w:r>
      <w:r w:rsidDel="00000000" w:rsidR="00000000" w:rsidRPr="00000000">
        <w:rPr>
          <w:color w:val="444444"/>
          <w:sz w:val="24"/>
          <w:szCs w:val="24"/>
          <w:rtl w:val="0"/>
        </w:rPr>
        <w:t xml:space="preserve">, v. 26, p. </w:t>
      </w:r>
      <w:r w:rsidDel="00000000" w:rsidR="00000000" w:rsidRPr="00000000">
        <w:rPr>
          <w:color w:val="444444"/>
          <w:sz w:val="24"/>
          <w:szCs w:val="24"/>
          <w:rtl w:val="0"/>
        </w:rPr>
        <w:t xml:space="preserve">e44059</w:t>
      </w:r>
      <w:r w:rsidDel="00000000" w:rsidR="00000000" w:rsidRPr="00000000">
        <w:rPr>
          <w:color w:val="444444"/>
          <w:sz w:val="24"/>
          <w:szCs w:val="24"/>
          <w:rtl w:val="0"/>
        </w:rPr>
        <w:t xml:space="preserve">, 2021.</w:t>
      </w:r>
    </w:p>
    <w:p w:rsidR="00000000" w:rsidDel="00000000" w:rsidP="00000000" w:rsidRDefault="00000000" w:rsidRPr="00000000" w14:paraId="0000006F">
      <w:pPr>
        <w:spacing w:line="360" w:lineRule="auto"/>
        <w:rPr>
          <w:sz w:val="24"/>
          <w:szCs w:val="24"/>
        </w:rPr>
      </w:pPr>
      <w:r w:rsidDel="00000000" w:rsidR="00000000" w:rsidRPr="00000000">
        <w:rPr>
          <w:color w:val="444444"/>
          <w:sz w:val="24"/>
          <w:szCs w:val="24"/>
          <w:rtl w:val="0"/>
        </w:rPr>
        <w:t xml:space="preserve">BRASIL. Ministério da Saúde. </w:t>
      </w:r>
      <w:r w:rsidDel="00000000" w:rsidR="00000000" w:rsidRPr="00000000">
        <w:rPr>
          <w:b w:val="1"/>
          <w:color w:val="444444"/>
          <w:sz w:val="24"/>
          <w:szCs w:val="24"/>
          <w:rtl w:val="0"/>
        </w:rPr>
        <w:t xml:space="preserve">Portaria GM/MS nº 5.201, de 19 de agosto de 2024:</w:t>
      </w:r>
      <w:r w:rsidDel="00000000" w:rsidR="00000000" w:rsidRPr="00000000">
        <w:rPr>
          <w:color w:val="444444"/>
          <w:sz w:val="24"/>
          <w:szCs w:val="24"/>
          <w:rtl w:val="0"/>
        </w:rPr>
        <w:t xml:space="preserve"> inclui oito agravos ocupacionais, entre eles os Transtornos Mentais Relacionados ao Trabalho, na Lista Nacional de Notificação Compulsória. Diário Oficial da União, Brasília, DF, Seção 1, 20 ago. 2024. Disponível em: https://bvsms.saude.gov.br/bvs/saudelegis/gm/2024/prt5201_19_08_2024.html. </w:t>
      </w:r>
      <w:r w:rsidDel="00000000" w:rsidR="00000000" w:rsidRPr="00000000">
        <w:rPr>
          <w:rtl w:val="0"/>
        </w:rPr>
      </w:r>
    </w:p>
    <w:sectPr>
      <w:headerReference r:id="rId7" w:type="first"/>
      <w:headerReference r:id="rId8" w:type="even"/>
      <w:footerReference r:id="rId9" w:type="default"/>
      <w:footerReference r:id="rId10" w:type="first"/>
      <w:footerReference r:id="rId11" w:type="even"/>
      <w:pgSz w:h="16838" w:w="11906" w:orient="portrait"/>
      <w:pgMar w:bottom="1133.8582677165355" w:top="1133.8582677165355" w:left="1133.8582677165355" w:right="1133.8582677165355"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252"/>
        <w:tab w:val="right" w:leader="none" w:pos="8504"/>
      </w:tabs>
      <w:ind w:left="0" w:hanging="2"/>
      <w:jc w:val="right"/>
      <w:rPr>
        <w:rFonts w:ascii="Calibri" w:cs="Calibri" w:eastAsia="Calibri" w:hAnsi="Calibri"/>
        <w:color w:val="000000"/>
      </w:rPr>
    </w:pP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252"/>
        <w:tab w:val="right" w:leader="none" w:pos="8504"/>
      </w:tabs>
      <w:ind w:left="0" w:hanging="2"/>
      <w:jc w:val="left"/>
      <w:rPr>
        <w:rFonts w:ascii="Calibri" w:cs="Calibri" w:eastAsia="Calibri" w:hAnsi="Calibri"/>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BR"/>
      </w:rPr>
    </w:rPrDefault>
    <w:pPrDefault>
      <w:pPr>
        <w:spacing w:after="160" w:line="259" w:lineRule="auto"/>
        <w:ind w:hanging="1"/>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280" w:before="280" w:line="240" w:lineRule="auto"/>
      <w:ind w:right="0"/>
      <w:jc w:val="center"/>
    </w:pPr>
    <w:rPr>
      <w:b w:val="1"/>
      <w:sz w:val="24"/>
      <w:szCs w:val="24"/>
    </w:rPr>
  </w:style>
  <w:style w:type="paragraph" w:styleId="Heading2">
    <w:name w:val="heading 2"/>
    <w:basedOn w:val="Normal"/>
    <w:next w:val="Normal"/>
    <w:pPr>
      <w:keepNext w:val="1"/>
      <w:keepLines w:val="1"/>
      <w:spacing w:after="0" w:line="240" w:lineRule="auto"/>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280" w:before="280" w:line="240" w:lineRule="auto"/>
      <w:ind w:right="0"/>
      <w:jc w:val="center"/>
    </w:pPr>
    <w:rPr>
      <w:b w:val="1"/>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