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987A" w14:textId="5449EFD5" w:rsidR="00D3545A" w:rsidRPr="00127014" w:rsidRDefault="00127014" w:rsidP="00D3545A">
      <w:pPr>
        <w:spacing w:line="360" w:lineRule="auto"/>
        <w:jc w:val="center"/>
        <w:rPr>
          <w:rFonts w:ascii="Times New Roman" w:hAnsi="Times New Roman" w:cs="Times New Roman"/>
          <w:b/>
          <w:bCs/>
          <w:sz w:val="24"/>
          <w:szCs w:val="24"/>
          <w:lang w:val="en-US"/>
        </w:rPr>
      </w:pPr>
      <w:r w:rsidRPr="00127014">
        <w:rPr>
          <w:rFonts w:ascii="Times New Roman" w:hAnsi="Times New Roman" w:cs="Times New Roman"/>
          <w:b/>
          <w:bCs/>
          <w:sz w:val="24"/>
          <w:szCs w:val="24"/>
          <w:lang w:val="en-US"/>
        </w:rPr>
        <w:t>ESG P</w:t>
      </w:r>
      <w:r>
        <w:rPr>
          <w:rFonts w:ascii="Times New Roman" w:hAnsi="Times New Roman" w:cs="Times New Roman"/>
          <w:b/>
          <w:bCs/>
          <w:sz w:val="24"/>
          <w:szCs w:val="24"/>
          <w:lang w:val="en-US"/>
        </w:rPr>
        <w:t>RACTICES AND NORTH AMERICAN FIRM VALUE: SHARED VALUE &amp; INNOVATION CULTURE AS MODERATORS</w:t>
      </w:r>
      <w:r w:rsidRPr="00127014">
        <w:rPr>
          <w:rFonts w:ascii="Times New Roman" w:hAnsi="Times New Roman" w:cs="Times New Roman"/>
          <w:b/>
          <w:bCs/>
          <w:sz w:val="24"/>
          <w:szCs w:val="24"/>
          <w:lang w:val="en-US"/>
        </w:rPr>
        <w:t xml:space="preserve"> (2016–2024)</w:t>
      </w:r>
    </w:p>
    <w:p w14:paraId="3E6AB7C6" w14:textId="77777777" w:rsidR="00D3545A" w:rsidRPr="00CD65FF" w:rsidRDefault="00D3545A" w:rsidP="00D3545A">
      <w:pPr>
        <w:spacing w:after="0" w:line="360" w:lineRule="auto"/>
        <w:jc w:val="both"/>
        <w:rPr>
          <w:rFonts w:ascii="Times New Roman" w:hAnsi="Times New Roman" w:cs="Times New Roman"/>
          <w:b/>
          <w:bCs/>
          <w:sz w:val="24"/>
          <w:szCs w:val="24"/>
          <w:lang w:val="en-US"/>
        </w:rPr>
      </w:pPr>
      <w:r w:rsidRPr="00CD65FF">
        <w:rPr>
          <w:rFonts w:ascii="Times New Roman" w:hAnsi="Times New Roman" w:cs="Times New Roman"/>
          <w:b/>
          <w:bCs/>
          <w:sz w:val="24"/>
          <w:szCs w:val="24"/>
          <w:lang w:val="en-US"/>
        </w:rPr>
        <w:t>Abstract</w:t>
      </w:r>
    </w:p>
    <w:p w14:paraId="0053B17C" w14:textId="0A948DBB" w:rsidR="007162FA" w:rsidRPr="007162FA" w:rsidRDefault="007162FA" w:rsidP="007162FA">
      <w:pPr>
        <w:tabs>
          <w:tab w:val="right" w:pos="9638"/>
        </w:tabs>
        <w:spacing w:after="0" w:line="360" w:lineRule="auto"/>
        <w:jc w:val="both"/>
        <w:rPr>
          <w:rFonts w:ascii="Times New Roman" w:eastAsiaTheme="majorEastAsia" w:hAnsi="Times New Roman" w:cs="Times New Roman"/>
          <w:sz w:val="24"/>
          <w:szCs w:val="24"/>
          <w:lang w:val="en-US"/>
        </w:rPr>
      </w:pPr>
      <w:r w:rsidRPr="007162FA">
        <w:rPr>
          <w:rFonts w:ascii="Times New Roman" w:eastAsiaTheme="majorEastAsia" w:hAnsi="Times New Roman" w:cs="Times New Roman"/>
          <w:sz w:val="24"/>
          <w:szCs w:val="24"/>
          <w:lang w:val="en-US"/>
        </w:rPr>
        <w:t>This study examines the impact of Environmental, Social, and Governance practices on corporate value, considering the dilemma between mitigating socio</w:t>
      </w:r>
      <w:r w:rsidRPr="007162FA">
        <w:rPr>
          <w:rFonts w:ascii="Times New Roman" w:eastAsiaTheme="majorEastAsia" w:hAnsi="Times New Roman" w:cs="Times New Roman"/>
          <w:sz w:val="24"/>
          <w:szCs w:val="24"/>
          <w:lang w:val="en-US"/>
        </w:rPr>
        <w:noBreakHyphen/>
        <w:t xml:space="preserve">environmental impacts and maximizing profit within the business environment. Contrary to the perception that these objectives are incompatible, current theory suggests that they can be mutually </w:t>
      </w:r>
      <w:proofErr w:type="gramStart"/>
      <w:r w:rsidRPr="007162FA">
        <w:rPr>
          <w:rFonts w:ascii="Times New Roman" w:eastAsiaTheme="majorEastAsia" w:hAnsi="Times New Roman" w:cs="Times New Roman"/>
          <w:sz w:val="24"/>
          <w:szCs w:val="24"/>
          <w:lang w:val="en-US"/>
        </w:rPr>
        <w:t>reinforcing</w:t>
      </w:r>
      <w:proofErr w:type="gramEnd"/>
      <w:r w:rsidRPr="007162FA">
        <w:rPr>
          <w:rFonts w:ascii="Times New Roman" w:eastAsiaTheme="majorEastAsia" w:hAnsi="Times New Roman" w:cs="Times New Roman"/>
          <w:sz w:val="24"/>
          <w:szCs w:val="24"/>
          <w:lang w:val="en-US"/>
        </w:rPr>
        <w:t>, particularly when companies adopt the Shared Value strategy and operate within an environment characterized by an Innovative Organizational Culture. Building on this theoretical foundation, the research investigates whether these contextual factors moderate the relationship between Environmental, Social, and Governance performance and market value, thereby amplifying its observable effects. To address this question, the study conducts an empirical analysis using dynamic panel data drawn from 1,963 publicly traded companies headquartered in the United States over the period 2016 to 2024.</w:t>
      </w:r>
      <w:r>
        <w:rPr>
          <w:rFonts w:ascii="Times New Roman" w:eastAsiaTheme="majorEastAsia" w:hAnsi="Times New Roman" w:cs="Times New Roman"/>
          <w:sz w:val="24"/>
          <w:szCs w:val="24"/>
          <w:lang w:val="en-US"/>
        </w:rPr>
        <w:t xml:space="preserve"> </w:t>
      </w:r>
      <w:r w:rsidRPr="007162FA">
        <w:rPr>
          <w:rFonts w:ascii="Times New Roman" w:eastAsiaTheme="majorEastAsia" w:hAnsi="Times New Roman" w:cs="Times New Roman"/>
          <w:sz w:val="24"/>
          <w:szCs w:val="24"/>
          <w:lang w:val="en-US"/>
        </w:rPr>
        <w:t xml:space="preserve">The results indicate that, in isolation, the adoption of Environmental, Social, and Governance practices has a positive yet subtle effect on market value. However, when these practices are combined with the Shared Value model and a work climate fostering an Innovative Organizational Culture, the impact becomes markedly stronger, underscoring the importance of organizational context in the effectiveness of Environmental, Social, and Governance initiatives. These findings demonstrate that responsible business conduct can coexist with financial success, </w:t>
      </w:r>
      <w:proofErr w:type="gramStart"/>
      <w:r w:rsidRPr="007162FA">
        <w:rPr>
          <w:rFonts w:ascii="Times New Roman" w:eastAsiaTheme="majorEastAsia" w:hAnsi="Times New Roman" w:cs="Times New Roman"/>
          <w:sz w:val="24"/>
          <w:szCs w:val="24"/>
          <w:lang w:val="en-US"/>
        </w:rPr>
        <w:t>provided that</w:t>
      </w:r>
      <w:proofErr w:type="gramEnd"/>
      <w:r w:rsidRPr="007162FA">
        <w:rPr>
          <w:rFonts w:ascii="Times New Roman" w:eastAsiaTheme="majorEastAsia" w:hAnsi="Times New Roman" w:cs="Times New Roman"/>
          <w:sz w:val="24"/>
          <w:szCs w:val="24"/>
          <w:lang w:val="en-US"/>
        </w:rPr>
        <w:t xml:space="preserve"> firms embrace strategies that align social purpose with core competencies and encourage continuous innovation. Consequently, managers and investors should evaluate sustainability</w:t>
      </w:r>
      <w:r w:rsidRPr="007162FA">
        <w:rPr>
          <w:rFonts w:ascii="Times New Roman" w:eastAsiaTheme="majorEastAsia" w:hAnsi="Times New Roman" w:cs="Times New Roman"/>
          <w:sz w:val="24"/>
          <w:szCs w:val="24"/>
          <w:lang w:val="en-US"/>
        </w:rPr>
        <w:noBreakHyphen/>
        <w:t>oriented actions through a holistic lens, recognizing the synergies that emerge when progressive cultures and value</w:t>
      </w:r>
      <w:r w:rsidRPr="007162FA">
        <w:rPr>
          <w:rFonts w:ascii="Times New Roman" w:eastAsiaTheme="majorEastAsia" w:hAnsi="Times New Roman" w:cs="Times New Roman"/>
          <w:sz w:val="24"/>
          <w:szCs w:val="24"/>
          <w:lang w:val="en-US"/>
        </w:rPr>
        <w:noBreakHyphen/>
        <w:t>creation mindsets productively and</w:t>
      </w:r>
      <w:r w:rsidRPr="007162FA">
        <w:rPr>
          <w:rFonts w:ascii="Times New Roman" w:eastAsiaTheme="majorEastAsia" w:hAnsi="Times New Roman" w:cs="Times New Roman"/>
          <w:b/>
          <w:bCs/>
          <w:sz w:val="24"/>
          <w:szCs w:val="24"/>
          <w:lang w:val="en-US"/>
        </w:rPr>
        <w:t xml:space="preserve"> </w:t>
      </w:r>
      <w:r w:rsidRPr="007162FA">
        <w:rPr>
          <w:rFonts w:ascii="Times New Roman" w:eastAsiaTheme="majorEastAsia" w:hAnsi="Times New Roman" w:cs="Times New Roman"/>
          <w:sz w:val="24"/>
          <w:szCs w:val="24"/>
          <w:lang w:val="en-US"/>
        </w:rPr>
        <w:t>strategically intersect across</w:t>
      </w:r>
      <w:r w:rsidRPr="007162FA">
        <w:rPr>
          <w:rFonts w:ascii="Times New Roman" w:eastAsiaTheme="majorEastAsia" w:hAnsi="Times New Roman" w:cs="Times New Roman"/>
          <w:b/>
          <w:bCs/>
          <w:sz w:val="24"/>
          <w:szCs w:val="24"/>
          <w:lang w:val="en-US"/>
        </w:rPr>
        <w:t xml:space="preserve"> </w:t>
      </w:r>
      <w:r w:rsidRPr="007162FA">
        <w:rPr>
          <w:rFonts w:ascii="Times New Roman" w:eastAsiaTheme="majorEastAsia" w:hAnsi="Times New Roman" w:cs="Times New Roman"/>
          <w:sz w:val="24"/>
          <w:szCs w:val="24"/>
          <w:lang w:val="en-US"/>
        </w:rPr>
        <w:t>multiple</w:t>
      </w:r>
      <w:r w:rsidRPr="007162FA">
        <w:rPr>
          <w:rFonts w:ascii="Times New Roman" w:eastAsiaTheme="majorEastAsia" w:hAnsi="Times New Roman" w:cs="Times New Roman"/>
          <w:b/>
          <w:bCs/>
          <w:sz w:val="24"/>
          <w:szCs w:val="24"/>
          <w:lang w:val="en-US"/>
        </w:rPr>
        <w:t xml:space="preserve"> </w:t>
      </w:r>
      <w:r w:rsidRPr="007162FA">
        <w:rPr>
          <w:rFonts w:ascii="Times New Roman" w:eastAsiaTheme="majorEastAsia" w:hAnsi="Times New Roman" w:cs="Times New Roman"/>
          <w:sz w:val="24"/>
          <w:szCs w:val="24"/>
          <w:lang w:val="en-US"/>
        </w:rPr>
        <w:t>levels, functions, and timelines over time.</w:t>
      </w:r>
    </w:p>
    <w:p w14:paraId="1E47CB58"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r w:rsidRPr="00CD65FF">
        <w:rPr>
          <w:rFonts w:ascii="Times New Roman" w:eastAsiaTheme="majorEastAsia" w:hAnsi="Times New Roman" w:cs="Times New Roman"/>
          <w:b/>
          <w:bCs/>
          <w:sz w:val="24"/>
          <w:szCs w:val="24"/>
          <w:lang w:val="en-US"/>
        </w:rPr>
        <w:t>Keywords:</w:t>
      </w:r>
      <w:r w:rsidRPr="00CD65FF">
        <w:rPr>
          <w:rFonts w:ascii="Times New Roman" w:eastAsiaTheme="majorEastAsia" w:hAnsi="Times New Roman" w:cs="Times New Roman"/>
          <w:sz w:val="24"/>
          <w:szCs w:val="24"/>
          <w:lang w:val="en-US"/>
        </w:rPr>
        <w:t xml:space="preserve"> ESG, organizational culture, shared value, social cost, corporate value.</w:t>
      </w:r>
    </w:p>
    <w:p w14:paraId="23B239B2"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p>
    <w:p w14:paraId="764A0DB7"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p>
    <w:p w14:paraId="380B975A"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p>
    <w:p w14:paraId="15F9BBB6"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p>
    <w:p w14:paraId="36621E12"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p>
    <w:p w14:paraId="45177522"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p>
    <w:p w14:paraId="75A4783B" w14:textId="77777777" w:rsidR="00D3545A" w:rsidRDefault="00D3545A" w:rsidP="00D3545A">
      <w:pPr>
        <w:tabs>
          <w:tab w:val="right" w:pos="9638"/>
        </w:tabs>
        <w:spacing w:after="0" w:line="360" w:lineRule="auto"/>
        <w:jc w:val="both"/>
        <w:rPr>
          <w:rFonts w:ascii="Times New Roman" w:eastAsiaTheme="majorEastAsia" w:hAnsi="Times New Roman" w:cs="Times New Roman"/>
          <w:sz w:val="24"/>
          <w:szCs w:val="24"/>
          <w:lang w:val="en-US"/>
        </w:rPr>
      </w:pPr>
    </w:p>
    <w:p w14:paraId="1F1F94F3" w14:textId="30345951" w:rsidR="00D3545A" w:rsidRPr="00D3545A" w:rsidRDefault="00D3545A" w:rsidP="00D3545A">
      <w:pPr>
        <w:pStyle w:val="PargrafodaLista"/>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INTRODUCTION</w:t>
      </w:r>
    </w:p>
    <w:p w14:paraId="2DED5F4F" w14:textId="393927F9" w:rsidR="00D3545A" w:rsidRPr="00D3545A" w:rsidRDefault="00D3545A" w:rsidP="00D3545A">
      <w:pPr>
        <w:spacing w:line="360" w:lineRule="auto"/>
        <w:jc w:val="both"/>
        <w:rPr>
          <w:rFonts w:ascii="Times New Roman" w:hAnsi="Times New Roman" w:cs="Times New Roman"/>
          <w:sz w:val="24"/>
          <w:szCs w:val="24"/>
          <w:lang w:val="en-US"/>
        </w:rPr>
      </w:pPr>
      <w:r>
        <w:rPr>
          <w:lang w:val="en-US"/>
        </w:rPr>
        <w:tab/>
      </w:r>
      <w:r w:rsidRPr="00D3545A">
        <w:rPr>
          <w:rFonts w:ascii="Times New Roman" w:hAnsi="Times New Roman" w:cs="Times New Roman"/>
          <w:sz w:val="24"/>
          <w:szCs w:val="24"/>
          <w:lang w:val="en-US"/>
        </w:rPr>
        <w:t>In a hyper-competitive market environment, characterized by the need for constant innovation and change, where monetary value attracts the attention of s</w:t>
      </w:r>
      <w:r w:rsidR="00127014">
        <w:rPr>
          <w:rFonts w:ascii="Times New Roman" w:hAnsi="Times New Roman" w:cs="Times New Roman"/>
          <w:sz w:val="24"/>
          <w:szCs w:val="24"/>
          <w:lang w:val="en-US"/>
        </w:rPr>
        <w:t>takeholders</w:t>
      </w:r>
      <w:r w:rsidRPr="00D3545A">
        <w:rPr>
          <w:rFonts w:ascii="Times New Roman" w:hAnsi="Times New Roman" w:cs="Times New Roman"/>
          <w:sz w:val="24"/>
          <w:szCs w:val="24"/>
          <w:lang w:val="en-US"/>
        </w:rPr>
        <w:t xml:space="preserve"> (Friedman, 2007), an urgent topic has progressively climbed the priority list of large organizations: </w:t>
      </w:r>
      <w:r w:rsidRPr="00D3545A">
        <w:rPr>
          <w:rStyle w:val="Forte"/>
          <w:rFonts w:ascii="Times New Roman" w:hAnsi="Times New Roman" w:cs="Times New Roman"/>
          <w:b w:val="0"/>
          <w:bCs w:val="0"/>
          <w:sz w:val="24"/>
          <w:szCs w:val="24"/>
          <w:lang w:val="en-US"/>
        </w:rPr>
        <w:t>Environmental, Social, and Governance (ESG</w:t>
      </w:r>
      <w:r>
        <w:rPr>
          <w:rStyle w:val="Forte"/>
          <w:rFonts w:ascii="Times New Roman" w:hAnsi="Times New Roman" w:cs="Times New Roman"/>
          <w:b w:val="0"/>
          <w:bCs w:val="0"/>
          <w:sz w:val="24"/>
          <w:szCs w:val="24"/>
          <w:lang w:val="en-US"/>
        </w:rPr>
        <w:t>)</w:t>
      </w:r>
      <w:r w:rsidR="00127014">
        <w:rPr>
          <w:rStyle w:val="Forte"/>
          <w:rFonts w:ascii="Times New Roman" w:hAnsi="Times New Roman" w:cs="Times New Roman"/>
          <w:b w:val="0"/>
          <w:bCs w:val="0"/>
          <w:sz w:val="24"/>
          <w:szCs w:val="24"/>
          <w:lang w:val="en-US"/>
        </w:rPr>
        <w:t xml:space="preserve"> practices</w:t>
      </w:r>
      <w:r>
        <w:rPr>
          <w:rStyle w:val="Forte"/>
          <w:rFonts w:ascii="Times New Roman" w:hAnsi="Times New Roman" w:cs="Times New Roman"/>
          <w:b w:val="0"/>
          <w:bCs w:val="0"/>
          <w:sz w:val="24"/>
          <w:szCs w:val="24"/>
          <w:lang w:val="en-US"/>
        </w:rPr>
        <w:t>.</w:t>
      </w:r>
      <w:r w:rsidRPr="00D3545A">
        <w:rPr>
          <w:rFonts w:ascii="Times New Roman" w:hAnsi="Times New Roman" w:cs="Times New Roman"/>
          <w:sz w:val="24"/>
          <w:szCs w:val="24"/>
          <w:lang w:val="en-US"/>
        </w:rPr>
        <w:t xml:space="preserve"> The adoption of ESG practices, which includes the internalization of negative externalities generated by companies themselves, has become a crucial strategy to mitigate growing environmental and social problems. At the same time, it highlights the importance of this theme in the financial market and the risks that the non-adoption of these practices can represent for companies in the long term (UN</w:t>
      </w:r>
      <w:r w:rsidR="00127014">
        <w:rPr>
          <w:rFonts w:ascii="Times New Roman" w:hAnsi="Times New Roman" w:cs="Times New Roman"/>
          <w:sz w:val="24"/>
          <w:szCs w:val="24"/>
          <w:lang w:val="en-US"/>
        </w:rPr>
        <w:t xml:space="preserve"> </w:t>
      </w:r>
      <w:r w:rsidRPr="00D3545A">
        <w:rPr>
          <w:rFonts w:ascii="Times New Roman" w:hAnsi="Times New Roman" w:cs="Times New Roman"/>
          <w:sz w:val="24"/>
          <w:szCs w:val="24"/>
          <w:lang w:val="en-US"/>
        </w:rPr>
        <w:t>Global Compact</w:t>
      </w:r>
      <w:r>
        <w:rPr>
          <w:rFonts w:ascii="Times New Roman" w:hAnsi="Times New Roman" w:cs="Times New Roman"/>
          <w:sz w:val="24"/>
          <w:szCs w:val="24"/>
          <w:lang w:val="en-US"/>
        </w:rPr>
        <w:t xml:space="preserve">, </w:t>
      </w:r>
      <w:r w:rsidRPr="00D3545A">
        <w:rPr>
          <w:rFonts w:ascii="Times New Roman" w:hAnsi="Times New Roman" w:cs="Times New Roman"/>
          <w:sz w:val="24"/>
          <w:szCs w:val="24"/>
          <w:lang w:val="en-US"/>
        </w:rPr>
        <w:t>2004). Nevertheless, an intense debate persists regarding the benefits of the</w:t>
      </w:r>
      <w:r w:rsidR="00127014">
        <w:rPr>
          <w:rFonts w:ascii="Times New Roman" w:hAnsi="Times New Roman" w:cs="Times New Roman"/>
          <w:sz w:val="24"/>
          <w:szCs w:val="24"/>
          <w:lang w:val="en-US"/>
        </w:rPr>
        <w:t xml:space="preserve"> ESG </w:t>
      </w:r>
      <w:r w:rsidRPr="00D3545A">
        <w:rPr>
          <w:rFonts w:ascii="Times New Roman" w:hAnsi="Times New Roman" w:cs="Times New Roman"/>
          <w:sz w:val="24"/>
          <w:szCs w:val="24"/>
          <w:lang w:val="en-US"/>
        </w:rPr>
        <w:t>practices for businesses (Porter et al., 2019).</w:t>
      </w:r>
    </w:p>
    <w:p w14:paraId="32CEC057" w14:textId="1549B920"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We have reached a point where the need to protect the environment is widely recognized, although </w:t>
      </w:r>
      <w:r w:rsidR="00127014">
        <w:rPr>
          <w:rFonts w:ascii="Times New Roman" w:hAnsi="Times New Roman" w:cs="Times New Roman"/>
          <w:sz w:val="24"/>
          <w:szCs w:val="24"/>
          <w:lang w:val="en-US"/>
        </w:rPr>
        <w:t>acceptance remains somewhat reluctant</w:t>
      </w:r>
      <w:r w:rsidRPr="00D3545A">
        <w:rPr>
          <w:rFonts w:ascii="Times New Roman" w:hAnsi="Times New Roman" w:cs="Times New Roman"/>
          <w:sz w:val="24"/>
          <w:szCs w:val="24"/>
          <w:lang w:val="en-US"/>
        </w:rPr>
        <w:t xml:space="preserve">. This paradox reflects the collective desire to inhabit a sustainable planet, while the perception persists that environmental practices may harm market competitiveness. However, the adoption of ESG practices by corporations is not arbitrary; these measures have the potential to generate business value. The perception that such actions only result in costs is mistaken; </w:t>
      </w:r>
      <w:r w:rsidR="00127014">
        <w:rPr>
          <w:rFonts w:ascii="Times New Roman" w:hAnsi="Times New Roman" w:cs="Times New Roman"/>
          <w:sz w:val="24"/>
          <w:szCs w:val="24"/>
          <w:lang w:val="en-US"/>
        </w:rPr>
        <w:t xml:space="preserve">the </w:t>
      </w:r>
      <w:r w:rsidRPr="00D3545A">
        <w:rPr>
          <w:rFonts w:ascii="Times New Roman" w:hAnsi="Times New Roman" w:cs="Times New Roman"/>
          <w:sz w:val="24"/>
          <w:szCs w:val="24"/>
          <w:lang w:val="en-US"/>
        </w:rPr>
        <w:t xml:space="preserve">economy and </w:t>
      </w:r>
      <w:r w:rsidR="00127014">
        <w:rPr>
          <w:rFonts w:ascii="Times New Roman" w:hAnsi="Times New Roman" w:cs="Times New Roman"/>
          <w:sz w:val="24"/>
          <w:szCs w:val="24"/>
          <w:lang w:val="en-US"/>
        </w:rPr>
        <w:t xml:space="preserve">the </w:t>
      </w:r>
      <w:r w:rsidRPr="00D3545A">
        <w:rPr>
          <w:rFonts w:ascii="Times New Roman" w:hAnsi="Times New Roman" w:cs="Times New Roman"/>
          <w:sz w:val="24"/>
          <w:szCs w:val="24"/>
          <w:lang w:val="en-US"/>
        </w:rPr>
        <w:t xml:space="preserve">environment can coexist without destroying each other, and, furthermore, </w:t>
      </w:r>
      <w:r w:rsidR="00127014">
        <w:rPr>
          <w:rFonts w:ascii="Times New Roman" w:hAnsi="Times New Roman" w:cs="Times New Roman"/>
          <w:sz w:val="24"/>
          <w:szCs w:val="24"/>
          <w:lang w:val="en-US"/>
        </w:rPr>
        <w:t xml:space="preserve">can </w:t>
      </w:r>
      <w:r w:rsidRPr="00D3545A">
        <w:rPr>
          <w:rFonts w:ascii="Times New Roman" w:hAnsi="Times New Roman" w:cs="Times New Roman"/>
          <w:sz w:val="24"/>
          <w:szCs w:val="24"/>
          <w:lang w:val="en-US"/>
        </w:rPr>
        <w:t>benefit mutually (Porter &amp; Linde, 1995).</w:t>
      </w:r>
    </w:p>
    <w:p w14:paraId="27CD1F93" w14:textId="4E474F5A"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Nevertheless, companies still face significant difficulty in recognizing this aspect. The perception that corporate profit generation occurs at the expense of society prevents the adoption of the perspective </w:t>
      </w:r>
      <w:r w:rsidR="00127014">
        <w:rPr>
          <w:rFonts w:ascii="Times New Roman" w:hAnsi="Times New Roman" w:cs="Times New Roman"/>
          <w:sz w:val="24"/>
          <w:szCs w:val="24"/>
          <w:lang w:val="en-US"/>
        </w:rPr>
        <w:t>of “growing the pie”</w:t>
      </w:r>
      <w:r>
        <w:rPr>
          <w:rFonts w:ascii="Times New Roman" w:hAnsi="Times New Roman" w:cs="Times New Roman"/>
          <w:sz w:val="24"/>
          <w:szCs w:val="24"/>
          <w:lang w:val="en-US"/>
        </w:rPr>
        <w:t>,</w:t>
      </w:r>
      <w:r w:rsidRPr="00D3545A">
        <w:rPr>
          <w:rFonts w:ascii="Times New Roman" w:hAnsi="Times New Roman" w:cs="Times New Roman"/>
          <w:sz w:val="24"/>
          <w:szCs w:val="24"/>
          <w:lang w:val="en-US"/>
        </w:rPr>
        <w:t xml:space="preserve"> meaning that innovation and value creation can benefit both companies and society simultaneously (Edmans, 2023a). Moreover, organizations tend to prioritize investments </w:t>
      </w:r>
      <w:r w:rsidR="00127014">
        <w:rPr>
          <w:rFonts w:ascii="Times New Roman" w:hAnsi="Times New Roman" w:cs="Times New Roman"/>
          <w:sz w:val="24"/>
          <w:szCs w:val="24"/>
          <w:lang w:val="en-US"/>
        </w:rPr>
        <w:t>with concrete and measurable financial impacts</w:t>
      </w:r>
      <w:r w:rsidRPr="00D3545A">
        <w:rPr>
          <w:rFonts w:ascii="Times New Roman" w:hAnsi="Times New Roman" w:cs="Times New Roman"/>
          <w:sz w:val="24"/>
          <w:szCs w:val="24"/>
          <w:lang w:val="en-US"/>
        </w:rPr>
        <w:t>, allowing for a clear evaluation of the return generated (Friedman, 2007). However, the benefits derived from adopting ESG practice</w:t>
      </w:r>
      <w:r w:rsidR="0012701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127014">
        <w:rPr>
          <w:rFonts w:ascii="Times New Roman" w:hAnsi="Times New Roman" w:cs="Times New Roman"/>
          <w:sz w:val="24"/>
          <w:szCs w:val="24"/>
          <w:lang w:val="en-US"/>
        </w:rPr>
        <w:t xml:space="preserve"> </w:t>
      </w:r>
      <w:r w:rsidRPr="00D3545A">
        <w:rPr>
          <w:rFonts w:ascii="Times New Roman" w:hAnsi="Times New Roman" w:cs="Times New Roman"/>
          <w:sz w:val="24"/>
          <w:szCs w:val="24"/>
          <w:lang w:val="en-US"/>
        </w:rPr>
        <w:t xml:space="preserve">especially those focused on society before immediate financial </w:t>
      </w:r>
      <w:r w:rsidR="00127014">
        <w:rPr>
          <w:rFonts w:ascii="Times New Roman" w:hAnsi="Times New Roman" w:cs="Times New Roman"/>
          <w:sz w:val="24"/>
          <w:szCs w:val="24"/>
          <w:lang w:val="en-US"/>
        </w:rPr>
        <w:t xml:space="preserve">returns </w:t>
      </w:r>
      <w:r>
        <w:rPr>
          <w:rFonts w:ascii="Times New Roman" w:hAnsi="Times New Roman" w:cs="Times New Roman"/>
          <w:sz w:val="24"/>
          <w:szCs w:val="24"/>
          <w:lang w:val="en-US"/>
        </w:rPr>
        <w:t xml:space="preserve">– </w:t>
      </w:r>
      <w:r w:rsidRPr="00D3545A">
        <w:rPr>
          <w:rFonts w:ascii="Times New Roman" w:hAnsi="Times New Roman" w:cs="Times New Roman"/>
          <w:sz w:val="24"/>
          <w:szCs w:val="24"/>
          <w:lang w:val="en-US"/>
        </w:rPr>
        <w:t>often materialize in the long term and are difficult to quantify directly. Consequently, the absence of an immediate and clearly observable return leads many companies to disregard this type of investment, based on the mistaken perception that such actions do not generate economic value (Edmans, 2023b).</w:t>
      </w:r>
    </w:p>
    <w:p w14:paraId="7AF27F21" w14:textId="391BA285"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Considering this, it is observed that, if applied correctly, ESG practices tend to have a positive impact on company value. Thus, a fundamental question is to understand not only why, but also how and in which organizational environment these actions are being implemented. Initially, the concept of ESG emerged in a context of significant social pressure and market expectations, encouraging companies to incorporate elements of social responsibility, sustainability, and governance into their business models to meet these demands (UN Global Compact, 2004). However, these integrations often proved to be </w:t>
      </w:r>
      <w:r w:rsidR="00127014">
        <w:rPr>
          <w:rFonts w:ascii="Times New Roman" w:hAnsi="Times New Roman" w:cs="Times New Roman"/>
          <w:sz w:val="24"/>
          <w:szCs w:val="24"/>
          <w:lang w:val="en-US"/>
        </w:rPr>
        <w:t>inconsistent</w:t>
      </w:r>
      <w:r w:rsidRPr="00D3545A">
        <w:rPr>
          <w:rFonts w:ascii="Times New Roman" w:hAnsi="Times New Roman" w:cs="Times New Roman"/>
          <w:sz w:val="24"/>
          <w:szCs w:val="24"/>
          <w:lang w:val="en-US"/>
        </w:rPr>
        <w:t xml:space="preserve"> and superficial, serving more as instruments for building a favorable market image than as true impact strategies (Netto et al., 2020).</w:t>
      </w:r>
    </w:p>
    <w:p w14:paraId="2C387488" w14:textId="2F032CCA"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Identifying materiality in business for the application of sustainable practices has already become an essential requirement,</w:t>
      </w:r>
      <w:r w:rsidR="00127014">
        <w:rPr>
          <w:rFonts w:ascii="Times New Roman" w:hAnsi="Times New Roman" w:cs="Times New Roman"/>
          <w:sz w:val="24"/>
          <w:szCs w:val="24"/>
          <w:lang w:val="en-US"/>
        </w:rPr>
        <w:t xml:space="preserve"> as it is</w:t>
      </w:r>
      <w:r w:rsidRPr="00D3545A">
        <w:rPr>
          <w:rFonts w:ascii="Times New Roman" w:hAnsi="Times New Roman" w:cs="Times New Roman"/>
          <w:sz w:val="24"/>
          <w:szCs w:val="24"/>
          <w:lang w:val="en-US"/>
        </w:rPr>
        <w:t xml:space="preserve"> considered indispensable to ensure financial returns through the implementation of these actions (Khan et al., 2016). Still, ideally, organizations should adopt a Shared Value approach, which seeks to align financial success with the creation of significant social benefits (Porter et al., 2019). However, the challenge of making deep organizational changes and the substantial effort required</w:t>
      </w:r>
      <w:r w:rsidRPr="009F4810">
        <w:rPr>
          <w:rFonts w:ascii="Times New Roman" w:hAnsi="Times New Roman" w:cs="Times New Roman"/>
          <w:color w:val="EE0000"/>
          <w:sz w:val="24"/>
          <w:szCs w:val="24"/>
          <w:lang w:val="en-US"/>
        </w:rPr>
        <w:t xml:space="preserve"> </w:t>
      </w:r>
      <w:r w:rsidRPr="00D3545A">
        <w:rPr>
          <w:rFonts w:ascii="Times New Roman" w:hAnsi="Times New Roman" w:cs="Times New Roman"/>
          <w:sz w:val="24"/>
          <w:szCs w:val="24"/>
          <w:lang w:val="en-US"/>
        </w:rPr>
        <w:t>can discourage companies from fully engaging in this initiative.</w:t>
      </w:r>
    </w:p>
    <w:p w14:paraId="0EF2AA86" w14:textId="0EDD22BD"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The implementation of ESG practices in companies implies an imperative need for organizational changes, which frequently encounter significant resistance, both </w:t>
      </w:r>
      <w:r w:rsidR="00127014">
        <w:rPr>
          <w:rFonts w:ascii="Times New Roman" w:hAnsi="Times New Roman" w:cs="Times New Roman"/>
          <w:sz w:val="24"/>
          <w:szCs w:val="24"/>
          <w:lang w:val="en-US"/>
        </w:rPr>
        <w:t xml:space="preserve">from </w:t>
      </w:r>
      <w:r w:rsidRPr="00D3545A">
        <w:rPr>
          <w:rFonts w:ascii="Times New Roman" w:hAnsi="Times New Roman" w:cs="Times New Roman"/>
          <w:sz w:val="24"/>
          <w:szCs w:val="24"/>
          <w:lang w:val="en-US"/>
        </w:rPr>
        <w:t>internal and external s</w:t>
      </w:r>
      <w:r w:rsidR="00127014">
        <w:rPr>
          <w:rFonts w:ascii="Times New Roman" w:hAnsi="Times New Roman" w:cs="Times New Roman"/>
          <w:sz w:val="24"/>
          <w:szCs w:val="24"/>
          <w:lang w:val="en-US"/>
        </w:rPr>
        <w:t>take</w:t>
      </w:r>
      <w:r w:rsidRPr="00D3545A">
        <w:rPr>
          <w:rFonts w:ascii="Times New Roman" w:hAnsi="Times New Roman" w:cs="Times New Roman"/>
          <w:sz w:val="24"/>
          <w:szCs w:val="24"/>
          <w:lang w:val="en-US"/>
        </w:rPr>
        <w:t>holders, potentially adversely affecting businesses (Matos &amp; Clegg, 2013). However, organizations with an innovative culture find it easier to adopt these changes, mitigating common challenges related to innovation implementation and boosting business results (Drucker, 2002). This phenomenon suggests that the context in which ESG practices are applied can significantly influence the effects of these actions on companies.</w:t>
      </w:r>
    </w:p>
    <w:p w14:paraId="1AF8BB8C" w14:textId="7A339BAC"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The Shared Value model integrates social and environmental issues into the core strategic framework of companies, transforming social problems into opportunities for innovation and competitive advantage, which strengthens </w:t>
      </w:r>
      <w:r w:rsidR="00127014">
        <w:rPr>
          <w:rFonts w:ascii="Times New Roman" w:hAnsi="Times New Roman" w:cs="Times New Roman"/>
          <w:sz w:val="24"/>
          <w:szCs w:val="24"/>
          <w:lang w:val="en-US"/>
        </w:rPr>
        <w:t>a</w:t>
      </w:r>
      <w:r w:rsidRPr="00D3545A">
        <w:rPr>
          <w:rFonts w:ascii="Times New Roman" w:hAnsi="Times New Roman" w:cs="Times New Roman"/>
          <w:sz w:val="24"/>
          <w:szCs w:val="24"/>
          <w:lang w:val="en-US"/>
        </w:rPr>
        <w:t xml:space="preserve"> company’s market value (Porter et al., 2018). Additionally, an innovative organizational culture, characterized by flexibility and adaptability (Cameron &amp; Quinn, 2011), can create ideal conditions for the effective implementation of ESG practices. Cultural values that promote innovation facilitate the adaptation of processes and technologies (Büschgens et al., 2013) that integrate sustainability, increasing the effectiveness of these practices. Thus, both </w:t>
      </w:r>
      <w:r w:rsidR="00127014">
        <w:rPr>
          <w:rFonts w:ascii="Times New Roman" w:hAnsi="Times New Roman" w:cs="Times New Roman"/>
          <w:sz w:val="24"/>
          <w:szCs w:val="24"/>
          <w:lang w:val="en-US"/>
        </w:rPr>
        <w:t xml:space="preserve">the </w:t>
      </w:r>
      <w:r w:rsidRPr="00D3545A">
        <w:rPr>
          <w:rFonts w:ascii="Times New Roman" w:hAnsi="Times New Roman" w:cs="Times New Roman"/>
          <w:sz w:val="24"/>
          <w:szCs w:val="24"/>
          <w:lang w:val="en-US"/>
        </w:rPr>
        <w:t xml:space="preserve">Shared Value </w:t>
      </w:r>
      <w:r w:rsidR="00127014">
        <w:rPr>
          <w:rFonts w:ascii="Times New Roman" w:hAnsi="Times New Roman" w:cs="Times New Roman"/>
          <w:sz w:val="24"/>
          <w:szCs w:val="24"/>
          <w:lang w:val="en-US"/>
        </w:rPr>
        <w:t xml:space="preserve">model </w:t>
      </w:r>
      <w:r w:rsidRPr="00D3545A">
        <w:rPr>
          <w:rFonts w:ascii="Times New Roman" w:hAnsi="Times New Roman" w:cs="Times New Roman"/>
          <w:sz w:val="24"/>
          <w:szCs w:val="24"/>
          <w:lang w:val="en-US"/>
        </w:rPr>
        <w:t xml:space="preserve">and </w:t>
      </w:r>
      <w:r w:rsidR="00127014">
        <w:rPr>
          <w:rFonts w:ascii="Times New Roman" w:hAnsi="Times New Roman" w:cs="Times New Roman"/>
          <w:sz w:val="24"/>
          <w:szCs w:val="24"/>
          <w:lang w:val="en-US"/>
        </w:rPr>
        <w:t xml:space="preserve">an </w:t>
      </w:r>
      <w:r w:rsidRPr="00D3545A">
        <w:rPr>
          <w:rFonts w:ascii="Times New Roman" w:hAnsi="Times New Roman" w:cs="Times New Roman"/>
          <w:sz w:val="24"/>
          <w:szCs w:val="24"/>
          <w:lang w:val="en-US"/>
        </w:rPr>
        <w:t xml:space="preserve">innovative culture can contribute to intensifying the relationship between ESG and </w:t>
      </w:r>
      <w:r w:rsidR="00E628AB">
        <w:rPr>
          <w:rFonts w:ascii="Times New Roman" w:hAnsi="Times New Roman" w:cs="Times New Roman"/>
          <w:sz w:val="24"/>
          <w:szCs w:val="24"/>
          <w:lang w:val="en-US"/>
        </w:rPr>
        <w:t xml:space="preserve">a </w:t>
      </w:r>
      <w:r w:rsidR="0084294B" w:rsidRPr="00D3545A">
        <w:rPr>
          <w:rFonts w:ascii="Times New Roman" w:hAnsi="Times New Roman" w:cs="Times New Roman"/>
          <w:sz w:val="24"/>
          <w:szCs w:val="24"/>
          <w:lang w:val="en-US"/>
        </w:rPr>
        <w:t>company</w:t>
      </w:r>
      <w:r w:rsidR="0084294B">
        <w:rPr>
          <w:rFonts w:ascii="Times New Roman" w:hAnsi="Times New Roman" w:cs="Times New Roman"/>
          <w:sz w:val="24"/>
          <w:szCs w:val="24"/>
          <w:lang w:val="en-US"/>
        </w:rPr>
        <w:t>’s</w:t>
      </w:r>
      <w:r w:rsidRPr="00D3545A">
        <w:rPr>
          <w:rFonts w:ascii="Times New Roman" w:hAnsi="Times New Roman" w:cs="Times New Roman"/>
          <w:sz w:val="24"/>
          <w:szCs w:val="24"/>
          <w:lang w:val="en-US"/>
        </w:rPr>
        <w:t xml:space="preserve"> market value.</w:t>
      </w:r>
    </w:p>
    <w:p w14:paraId="04AAEAD9" w14:textId="0D0611C9"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The central objective of this study is to empirically investigate the impact of adopting sustainable and social practices on company value, with a particular focus on the existing gap in analyzing how organizational culture can </w:t>
      </w:r>
      <w:r w:rsidR="00E628AB">
        <w:rPr>
          <w:rFonts w:ascii="Times New Roman" w:hAnsi="Times New Roman" w:cs="Times New Roman"/>
          <w:sz w:val="24"/>
          <w:szCs w:val="24"/>
          <w:lang w:val="en-US"/>
        </w:rPr>
        <w:t>influence</w:t>
      </w:r>
      <w:r w:rsidRPr="00D3545A">
        <w:rPr>
          <w:rFonts w:ascii="Times New Roman" w:hAnsi="Times New Roman" w:cs="Times New Roman"/>
          <w:sz w:val="24"/>
          <w:szCs w:val="24"/>
          <w:lang w:val="en-US"/>
        </w:rPr>
        <w:t xml:space="preserve"> this dynamic and whether the adoption of the Shared Value strategy can further amplify these results.</w:t>
      </w:r>
    </w:p>
    <w:p w14:paraId="4A7B4244" w14:textId="171185DF"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The data used co</w:t>
      </w:r>
      <w:r w:rsidR="00E628AB">
        <w:rPr>
          <w:rFonts w:ascii="Times New Roman" w:hAnsi="Times New Roman" w:cs="Times New Roman"/>
          <w:sz w:val="24"/>
          <w:szCs w:val="24"/>
          <w:lang w:val="en-US"/>
        </w:rPr>
        <w:t>nsist of</w:t>
      </w:r>
      <w:r w:rsidRPr="00D3545A">
        <w:rPr>
          <w:rFonts w:ascii="Times New Roman" w:hAnsi="Times New Roman" w:cs="Times New Roman"/>
          <w:sz w:val="24"/>
          <w:szCs w:val="24"/>
          <w:lang w:val="en-US"/>
        </w:rPr>
        <w:t xml:space="preserve"> 1,963 publicly traded companies located in the United States of America, from 2016 to 2024, that possess an </w:t>
      </w:r>
      <w:r w:rsidRPr="00D3545A">
        <w:rPr>
          <w:rStyle w:val="Forte"/>
          <w:rFonts w:ascii="Times New Roman" w:hAnsi="Times New Roman" w:cs="Times New Roman"/>
          <w:b w:val="0"/>
          <w:bCs w:val="0"/>
          <w:sz w:val="24"/>
          <w:szCs w:val="24"/>
          <w:lang w:val="en-US"/>
        </w:rPr>
        <w:t>ESG Combined Score</w:t>
      </w:r>
      <w:r>
        <w:rPr>
          <w:rFonts w:ascii="Times New Roman" w:hAnsi="Times New Roman" w:cs="Times New Roman"/>
          <w:sz w:val="24"/>
          <w:szCs w:val="24"/>
          <w:lang w:val="en-US"/>
        </w:rPr>
        <w:t xml:space="preserve"> – </w:t>
      </w:r>
      <w:r w:rsidRPr="00D3545A">
        <w:rPr>
          <w:rFonts w:ascii="Times New Roman" w:hAnsi="Times New Roman" w:cs="Times New Roman"/>
          <w:sz w:val="24"/>
          <w:szCs w:val="24"/>
          <w:lang w:val="en-US"/>
        </w:rPr>
        <w:t>a metric that assesses companies</w:t>
      </w:r>
      <w:r>
        <w:rPr>
          <w:rFonts w:ascii="Times New Roman" w:hAnsi="Times New Roman" w:cs="Times New Roman"/>
          <w:sz w:val="24"/>
          <w:szCs w:val="24"/>
          <w:lang w:val="en-US"/>
        </w:rPr>
        <w:t>’</w:t>
      </w:r>
      <w:r w:rsidRPr="00D3545A">
        <w:rPr>
          <w:rFonts w:ascii="Times New Roman" w:hAnsi="Times New Roman" w:cs="Times New Roman"/>
          <w:sz w:val="24"/>
          <w:szCs w:val="24"/>
          <w:lang w:val="en-US"/>
        </w:rPr>
        <w:t xml:space="preserve"> integrated ESG performance, evaluating both positive practices and the risks associated with their operations. Dynamic panel regression models were estimated using fixed effects.</w:t>
      </w:r>
    </w:p>
    <w:p w14:paraId="55A53B91" w14:textId="53FAB800"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The proxy for innovative organizational culture will be </w:t>
      </w:r>
      <w:r w:rsidR="00E628AB">
        <w:rPr>
          <w:rFonts w:ascii="Times New Roman" w:hAnsi="Times New Roman" w:cs="Times New Roman"/>
          <w:sz w:val="24"/>
          <w:szCs w:val="24"/>
          <w:lang w:val="en-US"/>
        </w:rPr>
        <w:t xml:space="preserve">a company’s </w:t>
      </w:r>
      <w:r w:rsidRPr="00D3545A">
        <w:rPr>
          <w:rFonts w:ascii="Times New Roman" w:hAnsi="Times New Roman" w:cs="Times New Roman"/>
          <w:sz w:val="24"/>
          <w:szCs w:val="24"/>
          <w:lang w:val="en-US"/>
        </w:rPr>
        <w:t xml:space="preserve">presence in the annual </w:t>
      </w:r>
      <w:r w:rsidRPr="00E628AB">
        <w:rPr>
          <w:rStyle w:val="Forte"/>
          <w:rFonts w:ascii="Times New Roman" w:hAnsi="Times New Roman" w:cs="Times New Roman"/>
          <w:b w:val="0"/>
          <w:bCs w:val="0"/>
          <w:i/>
          <w:iCs/>
          <w:sz w:val="24"/>
          <w:szCs w:val="24"/>
          <w:lang w:val="en-US"/>
        </w:rPr>
        <w:t>The Most Innovative Companies</w:t>
      </w:r>
      <w:r w:rsidRPr="00D3545A">
        <w:rPr>
          <w:rFonts w:ascii="Times New Roman" w:hAnsi="Times New Roman" w:cs="Times New Roman"/>
          <w:sz w:val="24"/>
          <w:szCs w:val="24"/>
          <w:lang w:val="en-US"/>
        </w:rPr>
        <w:t xml:space="preserve"> ranking by the Boston Consulting Group (BCG), which highlights the most innovative companies of the year. This ranking is developed based on a survey conducted with over a thousand executives to identify which organizations effectively implement innovation. Similarly, the proxy for Shared Value will be </w:t>
      </w:r>
      <w:r w:rsidR="00E628AB">
        <w:rPr>
          <w:rFonts w:ascii="Times New Roman" w:hAnsi="Times New Roman" w:cs="Times New Roman"/>
          <w:sz w:val="24"/>
          <w:szCs w:val="24"/>
          <w:lang w:val="en-US"/>
        </w:rPr>
        <w:t xml:space="preserve">a company’s </w:t>
      </w:r>
      <w:r w:rsidRPr="00D3545A">
        <w:rPr>
          <w:rFonts w:ascii="Times New Roman" w:hAnsi="Times New Roman" w:cs="Times New Roman"/>
          <w:sz w:val="24"/>
          <w:szCs w:val="24"/>
          <w:lang w:val="en-US"/>
        </w:rPr>
        <w:t xml:space="preserve">presence in </w:t>
      </w:r>
      <w:r w:rsidRPr="00E628AB">
        <w:rPr>
          <w:rFonts w:ascii="Times New Roman" w:hAnsi="Times New Roman" w:cs="Times New Roman"/>
          <w:i/>
          <w:iCs/>
          <w:sz w:val="24"/>
          <w:szCs w:val="24"/>
          <w:lang w:val="en-US"/>
        </w:rPr>
        <w:t>Fortune</w:t>
      </w:r>
      <w:r w:rsidR="00E628AB">
        <w:rPr>
          <w:rFonts w:ascii="Times New Roman" w:hAnsi="Times New Roman" w:cs="Times New Roman"/>
          <w:sz w:val="24"/>
          <w:szCs w:val="24"/>
          <w:lang w:val="en-US"/>
        </w:rPr>
        <w:t>’</w:t>
      </w:r>
      <w:r w:rsidRPr="00E628AB">
        <w:rPr>
          <w:rFonts w:ascii="Times New Roman" w:hAnsi="Times New Roman" w:cs="Times New Roman"/>
          <w:sz w:val="24"/>
          <w:szCs w:val="24"/>
          <w:lang w:val="en-US"/>
        </w:rPr>
        <w:t>s</w:t>
      </w:r>
      <w:r w:rsidRPr="00D3545A">
        <w:rPr>
          <w:rFonts w:ascii="Times New Roman" w:hAnsi="Times New Roman" w:cs="Times New Roman"/>
          <w:sz w:val="24"/>
          <w:szCs w:val="24"/>
          <w:lang w:val="en-US"/>
        </w:rPr>
        <w:t xml:space="preserve"> annual </w:t>
      </w:r>
      <w:r w:rsidRPr="00E628AB">
        <w:rPr>
          <w:rStyle w:val="Forte"/>
          <w:rFonts w:ascii="Times New Roman" w:hAnsi="Times New Roman" w:cs="Times New Roman"/>
          <w:b w:val="0"/>
          <w:bCs w:val="0"/>
          <w:i/>
          <w:iCs/>
          <w:sz w:val="24"/>
          <w:szCs w:val="24"/>
          <w:lang w:val="en-US"/>
        </w:rPr>
        <w:t>Change the World</w:t>
      </w:r>
      <w:r w:rsidRPr="00D3545A">
        <w:rPr>
          <w:rFonts w:ascii="Times New Roman" w:hAnsi="Times New Roman" w:cs="Times New Roman"/>
          <w:sz w:val="24"/>
          <w:szCs w:val="24"/>
          <w:lang w:val="en-US"/>
        </w:rPr>
        <w:t xml:space="preserve"> ranking, which recognizes companies that generate positive social impact through actions aligned with their core business strategy.</w:t>
      </w:r>
    </w:p>
    <w:p w14:paraId="60E4A485" w14:textId="14DA9B94" w:rsidR="00D3545A" w:rsidRP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The analysis revealed that ESG practices, on their own, have a limited impact on companies</w:t>
      </w:r>
      <w:r w:rsidR="00E60193">
        <w:rPr>
          <w:rFonts w:ascii="Times New Roman" w:hAnsi="Times New Roman" w:cs="Times New Roman"/>
          <w:sz w:val="24"/>
          <w:szCs w:val="24"/>
          <w:lang w:val="en-US"/>
        </w:rPr>
        <w:t>’</w:t>
      </w:r>
      <w:r w:rsidRPr="00D3545A">
        <w:rPr>
          <w:rFonts w:ascii="Times New Roman" w:hAnsi="Times New Roman" w:cs="Times New Roman"/>
          <w:sz w:val="24"/>
          <w:szCs w:val="24"/>
          <w:lang w:val="en-US"/>
        </w:rPr>
        <w:t xml:space="preserve"> market value. However, when combined with Shared Value strategies or embedded in innovative organizational cultures, these practices </w:t>
      </w:r>
      <w:r w:rsidR="00E628AB">
        <w:rPr>
          <w:rFonts w:ascii="Times New Roman" w:hAnsi="Times New Roman" w:cs="Times New Roman"/>
          <w:sz w:val="24"/>
          <w:szCs w:val="24"/>
          <w:lang w:val="en-US"/>
        </w:rPr>
        <w:t>significant</w:t>
      </w:r>
      <w:r w:rsidRPr="00D3545A">
        <w:rPr>
          <w:rFonts w:ascii="Times New Roman" w:hAnsi="Times New Roman" w:cs="Times New Roman"/>
          <w:sz w:val="24"/>
          <w:szCs w:val="24"/>
          <w:lang w:val="en-US"/>
        </w:rPr>
        <w:t xml:space="preserve">ly intensify their effect, highlighting the importance of strategic moderators </w:t>
      </w:r>
      <w:r w:rsidR="00E628AB">
        <w:rPr>
          <w:rFonts w:ascii="Times New Roman" w:hAnsi="Times New Roman" w:cs="Times New Roman"/>
          <w:sz w:val="24"/>
          <w:szCs w:val="24"/>
          <w:lang w:val="en-US"/>
        </w:rPr>
        <w:t>in</w:t>
      </w:r>
      <w:r w:rsidRPr="00D3545A">
        <w:rPr>
          <w:rFonts w:ascii="Times New Roman" w:hAnsi="Times New Roman" w:cs="Times New Roman"/>
          <w:sz w:val="24"/>
          <w:szCs w:val="24"/>
          <w:lang w:val="en-US"/>
        </w:rPr>
        <w:t xml:space="preserve"> maximiz</w:t>
      </w:r>
      <w:r w:rsidR="00E628AB">
        <w:rPr>
          <w:rFonts w:ascii="Times New Roman" w:hAnsi="Times New Roman" w:cs="Times New Roman"/>
          <w:sz w:val="24"/>
          <w:szCs w:val="24"/>
          <w:lang w:val="en-US"/>
        </w:rPr>
        <w:t>ing</w:t>
      </w:r>
      <w:r w:rsidRPr="00D3545A">
        <w:rPr>
          <w:rFonts w:ascii="Times New Roman" w:hAnsi="Times New Roman" w:cs="Times New Roman"/>
          <w:sz w:val="24"/>
          <w:szCs w:val="24"/>
          <w:lang w:val="en-US"/>
        </w:rPr>
        <w:t xml:space="preserve"> the benefits of ESG actions.</w:t>
      </w:r>
    </w:p>
    <w:p w14:paraId="526E5DD8" w14:textId="34E98E56" w:rsidR="00D3545A" w:rsidRDefault="00D3545A" w:rsidP="00D3545A">
      <w:pPr>
        <w:spacing w:line="360" w:lineRule="auto"/>
        <w:jc w:val="both"/>
        <w:rPr>
          <w:rFonts w:ascii="Times New Roman" w:hAnsi="Times New Roman" w:cs="Times New Roman"/>
          <w:sz w:val="24"/>
          <w:szCs w:val="24"/>
          <w:lang w:val="en-US"/>
        </w:rPr>
      </w:pPr>
      <w:r w:rsidRPr="00D3545A">
        <w:rPr>
          <w:rFonts w:ascii="Times New Roman" w:hAnsi="Times New Roman" w:cs="Times New Roman"/>
          <w:sz w:val="24"/>
          <w:szCs w:val="24"/>
          <w:lang w:val="en-US"/>
        </w:rPr>
        <w:tab/>
        <w:t xml:space="preserve">This study provides, in addition to a theoretical deepening with new contributions to the topic, a clear strategic direction for companies, demonstrating that the isolated adoption of ESG practices has </w:t>
      </w:r>
      <w:r w:rsidR="00E628AB">
        <w:rPr>
          <w:rFonts w:ascii="Times New Roman" w:hAnsi="Times New Roman" w:cs="Times New Roman"/>
          <w:sz w:val="24"/>
          <w:szCs w:val="24"/>
          <w:lang w:val="en-US"/>
        </w:rPr>
        <w:t xml:space="preserve">a </w:t>
      </w:r>
      <w:r w:rsidRPr="00D3545A">
        <w:rPr>
          <w:rFonts w:ascii="Times New Roman" w:hAnsi="Times New Roman" w:cs="Times New Roman"/>
          <w:sz w:val="24"/>
          <w:szCs w:val="24"/>
          <w:lang w:val="en-US"/>
        </w:rPr>
        <w:t>limited impact, while their integration into the Shared Value model and an innovative organizational culture can generate significant financial returns. Furthermore, it offers valuable insights for investors, indicating that companies aligning ESG</w:t>
      </w:r>
      <w:r w:rsidR="00E628AB">
        <w:rPr>
          <w:rFonts w:ascii="Times New Roman" w:hAnsi="Times New Roman" w:cs="Times New Roman"/>
          <w:sz w:val="24"/>
          <w:szCs w:val="24"/>
          <w:lang w:val="en-US"/>
        </w:rPr>
        <w:t xml:space="preserve"> practices</w:t>
      </w:r>
      <w:r w:rsidRPr="00D3545A">
        <w:rPr>
          <w:rFonts w:ascii="Times New Roman" w:hAnsi="Times New Roman" w:cs="Times New Roman"/>
          <w:sz w:val="24"/>
          <w:szCs w:val="24"/>
          <w:lang w:val="en-US"/>
        </w:rPr>
        <w:t xml:space="preserve"> with these factors tend to exhibit greater market appreciation. Finally, the findings can guide corporate and public policies, assisting organizations and regulators in structuring ESG practices more effectively and </w:t>
      </w:r>
      <w:r w:rsidR="00E628AB">
        <w:rPr>
          <w:rFonts w:ascii="Times New Roman" w:hAnsi="Times New Roman" w:cs="Times New Roman"/>
          <w:sz w:val="24"/>
          <w:szCs w:val="24"/>
          <w:lang w:val="en-US"/>
        </w:rPr>
        <w:t xml:space="preserve">in a way that is </w:t>
      </w:r>
      <w:r w:rsidRPr="00D3545A">
        <w:rPr>
          <w:rFonts w:ascii="Times New Roman" w:hAnsi="Times New Roman" w:cs="Times New Roman"/>
          <w:sz w:val="24"/>
          <w:szCs w:val="24"/>
          <w:lang w:val="en-US"/>
        </w:rPr>
        <w:t>aligned with sustainable growth.</w:t>
      </w:r>
    </w:p>
    <w:p w14:paraId="31672AEB" w14:textId="77777777" w:rsidR="00D3545A" w:rsidRDefault="00D3545A" w:rsidP="00D3545A">
      <w:pPr>
        <w:spacing w:line="360" w:lineRule="auto"/>
        <w:jc w:val="both"/>
        <w:rPr>
          <w:rFonts w:ascii="Times New Roman" w:hAnsi="Times New Roman" w:cs="Times New Roman"/>
          <w:sz w:val="24"/>
          <w:szCs w:val="24"/>
          <w:lang w:val="en-US"/>
        </w:rPr>
      </w:pPr>
    </w:p>
    <w:p w14:paraId="70B31D4C" w14:textId="46FE40ED" w:rsidR="005A171C" w:rsidRPr="005A171C" w:rsidRDefault="005A171C" w:rsidP="005A171C">
      <w:pPr>
        <w:pStyle w:val="PargrafodaLista"/>
        <w:numPr>
          <w:ilvl w:val="0"/>
          <w:numId w:val="1"/>
        </w:numPr>
        <w:spacing w:line="360" w:lineRule="auto"/>
        <w:jc w:val="both"/>
        <w:rPr>
          <w:rFonts w:ascii="Times New Roman" w:hAnsi="Times New Roman" w:cs="Times New Roman"/>
          <w:b/>
          <w:bCs/>
          <w:sz w:val="24"/>
          <w:szCs w:val="24"/>
          <w:lang w:val="en-US"/>
        </w:rPr>
      </w:pPr>
      <w:r w:rsidRPr="005A171C">
        <w:rPr>
          <w:rFonts w:ascii="Times New Roman" w:hAnsi="Times New Roman" w:cs="Times New Roman"/>
          <w:b/>
          <w:bCs/>
          <w:sz w:val="24"/>
          <w:szCs w:val="24"/>
          <w:lang w:val="en-US"/>
        </w:rPr>
        <w:t>LITERATURE REVIEW AND</w:t>
      </w:r>
      <w:r>
        <w:rPr>
          <w:rFonts w:ascii="Times New Roman" w:hAnsi="Times New Roman" w:cs="Times New Roman"/>
          <w:b/>
          <w:bCs/>
          <w:sz w:val="24"/>
          <w:szCs w:val="24"/>
          <w:lang w:val="en-US"/>
        </w:rPr>
        <w:t xml:space="preserve"> HYPOTHESIS CONSTRUCTION</w:t>
      </w:r>
    </w:p>
    <w:p w14:paraId="4B153F47" w14:textId="5AF6554D" w:rsidR="005A171C" w:rsidRDefault="005A171C" w:rsidP="005A171C">
      <w:pPr>
        <w:spacing w:line="360" w:lineRule="auto"/>
        <w:jc w:val="both"/>
        <w:rPr>
          <w:rFonts w:ascii="Times New Roman" w:hAnsi="Times New Roman" w:cs="Times New Roman"/>
          <w:sz w:val="24"/>
          <w:szCs w:val="24"/>
          <w:lang w:val="en-US"/>
        </w:rPr>
      </w:pPr>
      <w:r>
        <w:rPr>
          <w:lang w:val="en-US"/>
        </w:rPr>
        <w:tab/>
      </w:r>
      <w:r w:rsidRPr="005A171C">
        <w:rPr>
          <w:rFonts w:ascii="Times New Roman" w:hAnsi="Times New Roman" w:cs="Times New Roman"/>
          <w:sz w:val="24"/>
          <w:szCs w:val="24"/>
          <w:lang w:val="en-US"/>
        </w:rPr>
        <w:t>The concept of ESG has often been interpreted negatively, as it is frequently seen merely as a strategic response by companies to social pressures or a</w:t>
      </w:r>
      <w:r w:rsidR="00E628AB">
        <w:rPr>
          <w:rFonts w:ascii="Times New Roman" w:hAnsi="Times New Roman" w:cs="Times New Roman"/>
          <w:sz w:val="24"/>
          <w:szCs w:val="24"/>
          <w:lang w:val="en-US"/>
        </w:rPr>
        <w:t>s a</w:t>
      </w:r>
      <w:r w:rsidRPr="005A171C">
        <w:rPr>
          <w:rFonts w:ascii="Times New Roman" w:hAnsi="Times New Roman" w:cs="Times New Roman"/>
          <w:sz w:val="24"/>
          <w:szCs w:val="24"/>
          <w:lang w:val="en-US"/>
        </w:rPr>
        <w:t xml:space="preserve"> superficial display of sustainability, without generating a real impact on society (Netto et al., 2020). However, the need to incorporate these factors into business</w:t>
      </w:r>
      <w:r w:rsidR="00E628AB">
        <w:rPr>
          <w:rFonts w:ascii="Times New Roman" w:hAnsi="Times New Roman" w:cs="Times New Roman"/>
          <w:sz w:val="24"/>
          <w:szCs w:val="24"/>
          <w:lang w:val="en-US"/>
        </w:rPr>
        <w:t xml:space="preserve"> practices</w:t>
      </w:r>
      <w:r w:rsidRPr="005A171C">
        <w:rPr>
          <w:rFonts w:ascii="Times New Roman" w:hAnsi="Times New Roman" w:cs="Times New Roman"/>
          <w:sz w:val="24"/>
          <w:szCs w:val="24"/>
          <w:lang w:val="en-US"/>
        </w:rPr>
        <w:t xml:space="preserve"> goes beyond a trend; it is an economic and structural imperative.</w:t>
      </w:r>
    </w:p>
    <w:p w14:paraId="13F2C777" w14:textId="2F3A4E66"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The adoption of these sustainable practices in companies is justified by the very nature of their activities, which often generate harm to society as side effects, known as negative externalities (Pigou, 2017). These externalities can be internalized efficiently, without the need for government intervention, provided </w:t>
      </w:r>
      <w:r w:rsidR="00E628AB">
        <w:rPr>
          <w:rFonts w:ascii="Times New Roman" w:hAnsi="Times New Roman" w:cs="Times New Roman"/>
          <w:sz w:val="24"/>
          <w:szCs w:val="24"/>
          <w:lang w:val="en-US"/>
        </w:rPr>
        <w:t xml:space="preserve">that </w:t>
      </w:r>
      <w:r w:rsidRPr="005A171C">
        <w:rPr>
          <w:rFonts w:ascii="Times New Roman" w:hAnsi="Times New Roman" w:cs="Times New Roman"/>
          <w:sz w:val="24"/>
          <w:szCs w:val="24"/>
          <w:lang w:val="en-US"/>
        </w:rPr>
        <w:t>the solution maximizes the added value for all parties involved (Coase, 2013). In Coase’s classic example, a polluting factory compromises fishing in an adjacent river. The efficient analysis compares the value of pollution for the factory with the value of natural resources and fishing activity for the community. If the value</w:t>
      </w:r>
      <w:r w:rsidR="00E628AB">
        <w:rPr>
          <w:rFonts w:ascii="Times New Roman" w:hAnsi="Times New Roman" w:cs="Times New Roman"/>
          <w:sz w:val="24"/>
          <w:szCs w:val="24"/>
          <w:lang w:val="en-US"/>
        </w:rPr>
        <w:t xml:space="preserve"> – </w:t>
      </w:r>
      <w:r w:rsidRPr="005A171C">
        <w:rPr>
          <w:rFonts w:ascii="Times New Roman" w:hAnsi="Times New Roman" w:cs="Times New Roman"/>
          <w:sz w:val="24"/>
          <w:szCs w:val="24"/>
          <w:lang w:val="en-US"/>
        </w:rPr>
        <w:t>economic, social, and environmental</w:t>
      </w:r>
      <w:r w:rsidR="00E628AB">
        <w:rPr>
          <w:rFonts w:ascii="Times New Roman" w:hAnsi="Times New Roman" w:cs="Times New Roman"/>
          <w:sz w:val="24"/>
          <w:szCs w:val="24"/>
          <w:lang w:val="en-US"/>
        </w:rPr>
        <w:t xml:space="preserve"> –</w:t>
      </w:r>
      <w:r w:rsidRPr="005A171C">
        <w:rPr>
          <w:rFonts w:ascii="Times New Roman" w:hAnsi="Times New Roman" w:cs="Times New Roman"/>
          <w:sz w:val="24"/>
          <w:szCs w:val="24"/>
          <w:lang w:val="en-US"/>
        </w:rPr>
        <w:t xml:space="preserve"> of the affected resources is </w:t>
      </w:r>
      <w:r w:rsidR="00E628AB">
        <w:rPr>
          <w:rFonts w:ascii="Times New Roman" w:hAnsi="Times New Roman" w:cs="Times New Roman"/>
          <w:sz w:val="24"/>
          <w:szCs w:val="24"/>
          <w:lang w:val="en-US"/>
        </w:rPr>
        <w:t>greater than</w:t>
      </w:r>
      <w:r w:rsidRPr="005A171C">
        <w:rPr>
          <w:rFonts w:ascii="Times New Roman" w:hAnsi="Times New Roman" w:cs="Times New Roman"/>
          <w:sz w:val="24"/>
          <w:szCs w:val="24"/>
          <w:lang w:val="en-US"/>
        </w:rPr>
        <w:t xml:space="preserve"> the economic benefit generated by the factory from polluting, then reducing or eliminating pollution becomes the most efficient alternative. Considering this perspective, one might question whether there are elements that generate greater value for society than environmental and social aspects.</w:t>
      </w:r>
    </w:p>
    <w:p w14:paraId="4777122F" w14:textId="2D3E65D4"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Shareholders do not consider only financial returns in their investment decisions; their well-being is also associated with non-pecuniary preferences, such as social and environmental values (Hart &amp; Zingales, 2017). Given two companies, A and B</w:t>
      </w:r>
      <w:r>
        <w:rPr>
          <w:rFonts w:ascii="Times New Roman" w:hAnsi="Times New Roman" w:cs="Times New Roman"/>
          <w:sz w:val="24"/>
          <w:szCs w:val="24"/>
          <w:lang w:val="en-US"/>
        </w:rPr>
        <w:t xml:space="preserve"> – </w:t>
      </w:r>
      <w:r w:rsidRPr="005A171C">
        <w:rPr>
          <w:rFonts w:ascii="Times New Roman" w:hAnsi="Times New Roman" w:cs="Times New Roman"/>
          <w:sz w:val="24"/>
          <w:szCs w:val="24"/>
          <w:lang w:val="en-US"/>
        </w:rPr>
        <w:t>the f</w:t>
      </w:r>
      <w:r w:rsidR="00E628AB">
        <w:rPr>
          <w:rFonts w:ascii="Times New Roman" w:hAnsi="Times New Roman" w:cs="Times New Roman"/>
          <w:sz w:val="24"/>
          <w:szCs w:val="24"/>
          <w:lang w:val="en-US"/>
        </w:rPr>
        <w:t>ormer</w:t>
      </w:r>
      <w:r w:rsidRPr="005A171C">
        <w:rPr>
          <w:rFonts w:ascii="Times New Roman" w:hAnsi="Times New Roman" w:cs="Times New Roman"/>
          <w:sz w:val="24"/>
          <w:szCs w:val="24"/>
          <w:lang w:val="en-US"/>
        </w:rPr>
        <w:t xml:space="preserve"> committed to ESG practices and the </w:t>
      </w:r>
      <w:r w:rsidR="00E628AB">
        <w:rPr>
          <w:rFonts w:ascii="Times New Roman" w:hAnsi="Times New Roman" w:cs="Times New Roman"/>
          <w:sz w:val="24"/>
          <w:szCs w:val="24"/>
          <w:lang w:val="en-US"/>
        </w:rPr>
        <w:t>latter</w:t>
      </w:r>
      <w:r w:rsidRPr="005A171C">
        <w:rPr>
          <w:rFonts w:ascii="Times New Roman" w:hAnsi="Times New Roman" w:cs="Times New Roman"/>
          <w:sz w:val="24"/>
          <w:szCs w:val="24"/>
          <w:lang w:val="en-US"/>
        </w:rPr>
        <w:t xml:space="preserve"> no</w:t>
      </w:r>
      <w:r>
        <w:rPr>
          <w:rFonts w:ascii="Times New Roman" w:hAnsi="Times New Roman" w:cs="Times New Roman"/>
          <w:sz w:val="24"/>
          <w:szCs w:val="24"/>
          <w:lang w:val="en-US"/>
        </w:rPr>
        <w:t>t – s</w:t>
      </w:r>
      <w:r w:rsidRPr="005A171C">
        <w:rPr>
          <w:rFonts w:ascii="Times New Roman" w:hAnsi="Times New Roman" w:cs="Times New Roman"/>
          <w:sz w:val="24"/>
          <w:szCs w:val="24"/>
          <w:lang w:val="en-US"/>
        </w:rPr>
        <w:t xml:space="preserve">hareholders tend to compare not only the market value but the net value generated by each, i.e., the financial value adjusted for the negative externalities they produce. If company A has a </w:t>
      </w:r>
      <w:r w:rsidR="00E628AB">
        <w:rPr>
          <w:rFonts w:ascii="Times New Roman" w:hAnsi="Times New Roman" w:cs="Times New Roman"/>
          <w:sz w:val="24"/>
          <w:szCs w:val="24"/>
          <w:lang w:val="en-US"/>
        </w:rPr>
        <w:t>highe</w:t>
      </w:r>
      <w:r w:rsidRPr="005A171C">
        <w:rPr>
          <w:rFonts w:ascii="Times New Roman" w:hAnsi="Times New Roman" w:cs="Times New Roman"/>
          <w:sz w:val="24"/>
          <w:szCs w:val="24"/>
          <w:lang w:val="en-US"/>
        </w:rPr>
        <w:t>r value to B, even after this adjustment, everyone will prefer A. If B’s adjusted value is greater, the preference will fall on it. However, in situations where company A has a lower market value but still surpasses B after deducting its externalities, the choice will depend on the weight shareholders attribute to ethical considerations relative to monetary return (Hart &amp; Zingales, 2017). Thus, the objective of companies should not be limited to maximizing shareholder value, but rather to promoting shareholder well-being, simultaneously considering their financial and social preferences.</w:t>
      </w:r>
    </w:p>
    <w:p w14:paraId="399CCABD" w14:textId="008C8A2A"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Organizations are intrinsically dependent on environmental and social aspects, as, without natural resources, they </w:t>
      </w:r>
      <w:r w:rsidR="00E628AB">
        <w:rPr>
          <w:rFonts w:ascii="Times New Roman" w:hAnsi="Times New Roman" w:cs="Times New Roman"/>
          <w:sz w:val="24"/>
          <w:szCs w:val="24"/>
          <w:lang w:val="en-US"/>
        </w:rPr>
        <w:t>cannot continue</w:t>
      </w:r>
      <w:r w:rsidRPr="005A171C">
        <w:rPr>
          <w:rFonts w:ascii="Times New Roman" w:hAnsi="Times New Roman" w:cs="Times New Roman"/>
          <w:sz w:val="24"/>
          <w:szCs w:val="24"/>
          <w:lang w:val="en-US"/>
        </w:rPr>
        <w:t xml:space="preserve"> to exist. Traditional economics, based on the premises of neoclassical economics</w:t>
      </w:r>
      <w:r>
        <w:rPr>
          <w:rFonts w:ascii="Times New Roman" w:hAnsi="Times New Roman" w:cs="Times New Roman"/>
          <w:sz w:val="24"/>
          <w:szCs w:val="24"/>
          <w:lang w:val="en-US"/>
        </w:rPr>
        <w:t xml:space="preserve"> – </w:t>
      </w:r>
      <w:r w:rsidRPr="005A171C">
        <w:rPr>
          <w:rFonts w:ascii="Times New Roman" w:hAnsi="Times New Roman" w:cs="Times New Roman"/>
          <w:sz w:val="24"/>
          <w:szCs w:val="24"/>
          <w:lang w:val="en-US"/>
        </w:rPr>
        <w:t xml:space="preserve">which places profit maximization as the central objective and </w:t>
      </w:r>
      <w:r w:rsidR="00E628AB">
        <w:rPr>
          <w:rFonts w:ascii="Times New Roman" w:hAnsi="Times New Roman" w:cs="Times New Roman"/>
          <w:sz w:val="24"/>
          <w:szCs w:val="24"/>
          <w:lang w:val="en-US"/>
        </w:rPr>
        <w:t>gross domestic product (</w:t>
      </w:r>
      <w:r w:rsidRPr="005A171C">
        <w:rPr>
          <w:rFonts w:ascii="Times New Roman" w:hAnsi="Times New Roman" w:cs="Times New Roman"/>
          <w:sz w:val="24"/>
          <w:szCs w:val="24"/>
          <w:lang w:val="en-US"/>
        </w:rPr>
        <w:t>GDP</w:t>
      </w:r>
      <w:r w:rsidR="00E628AB">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growth as the main measure of progress</w:t>
      </w:r>
      <w:r>
        <w:rPr>
          <w:rFonts w:ascii="Times New Roman" w:hAnsi="Times New Roman" w:cs="Times New Roman"/>
          <w:sz w:val="24"/>
          <w:szCs w:val="24"/>
          <w:lang w:val="en-US"/>
        </w:rPr>
        <w:t xml:space="preserve"> – </w:t>
      </w:r>
      <w:r w:rsidRPr="005A171C">
        <w:rPr>
          <w:rFonts w:ascii="Times New Roman" w:hAnsi="Times New Roman" w:cs="Times New Roman"/>
          <w:sz w:val="24"/>
          <w:szCs w:val="24"/>
          <w:lang w:val="en-US"/>
        </w:rPr>
        <w:t>does not adequately consider contemporary challenges, such as inequality and the environmental crisis (Raworth, 2018). This model proves unsustainable on a planet with limited resources.</w:t>
      </w:r>
    </w:p>
    <w:p w14:paraId="5DFAB47A" w14:textId="3EDA51B1"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This issue is presented through the </w:t>
      </w:r>
      <w:r w:rsidR="00E628AB">
        <w:rPr>
          <w:rFonts w:ascii="Times New Roman" w:hAnsi="Times New Roman" w:cs="Times New Roman"/>
          <w:sz w:val="24"/>
          <w:szCs w:val="24"/>
          <w:lang w:val="en-US"/>
        </w:rPr>
        <w:t>D</w:t>
      </w:r>
      <w:r w:rsidRPr="005A171C">
        <w:rPr>
          <w:rFonts w:ascii="Times New Roman" w:hAnsi="Times New Roman" w:cs="Times New Roman"/>
          <w:sz w:val="24"/>
          <w:szCs w:val="24"/>
          <w:lang w:val="en-US"/>
        </w:rPr>
        <w:t>oughnut model, which graphically represents the limits of economic sustainability, highlighting the interdependence between the environment and fundamental human needs. This model demonstrates that the environment and social issues are fundamental to human well-being and should not be sacrificed for short-term economic gains (Raworth, 2018)</w:t>
      </w:r>
      <w:r>
        <w:rPr>
          <w:rFonts w:ascii="Times New Roman" w:hAnsi="Times New Roman" w:cs="Times New Roman"/>
          <w:sz w:val="24"/>
          <w:szCs w:val="24"/>
          <w:lang w:val="en-US"/>
        </w:rPr>
        <w:t>.</w:t>
      </w:r>
    </w:p>
    <w:p w14:paraId="42E450A6" w14:textId="77777777" w:rsidR="005A171C" w:rsidRDefault="005A171C" w:rsidP="005A171C">
      <w:pPr>
        <w:spacing w:line="360" w:lineRule="auto"/>
        <w:jc w:val="both"/>
        <w:rPr>
          <w:rFonts w:ascii="Times New Roman" w:hAnsi="Times New Roman" w:cs="Times New Roman"/>
          <w:sz w:val="24"/>
          <w:szCs w:val="24"/>
          <w:lang w:val="en-US"/>
        </w:rPr>
      </w:pPr>
    </w:p>
    <w:p w14:paraId="08E0EE56" w14:textId="418FD770" w:rsidR="005A171C" w:rsidRPr="005A171C" w:rsidRDefault="005A171C" w:rsidP="005A171C">
      <w:pPr>
        <w:pStyle w:val="PargrafodaLista"/>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Pr="005A171C">
        <w:rPr>
          <w:rFonts w:ascii="Times New Roman" w:hAnsi="Times New Roman" w:cs="Times New Roman"/>
          <w:b/>
          <w:bCs/>
          <w:sz w:val="24"/>
          <w:szCs w:val="24"/>
          <w:lang w:val="en-US"/>
        </w:rPr>
        <w:t>Impact on Company Value</w:t>
      </w:r>
    </w:p>
    <w:p w14:paraId="40D4F761" w14:textId="63599590"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Although the discourse that </w:t>
      </w:r>
      <w:r w:rsidR="00E628AB">
        <w:rPr>
          <w:rFonts w:ascii="Times New Roman" w:hAnsi="Times New Roman" w:cs="Times New Roman"/>
          <w:sz w:val="24"/>
          <w:szCs w:val="24"/>
          <w:lang w:val="en-US"/>
        </w:rPr>
        <w:t xml:space="preserve">the </w:t>
      </w:r>
      <w:r w:rsidRPr="005A171C">
        <w:rPr>
          <w:rFonts w:ascii="Times New Roman" w:hAnsi="Times New Roman" w:cs="Times New Roman"/>
          <w:sz w:val="24"/>
          <w:szCs w:val="24"/>
          <w:lang w:val="en-US"/>
        </w:rPr>
        <w:t xml:space="preserve">sole objective </w:t>
      </w:r>
      <w:r w:rsidR="00E628AB">
        <w:rPr>
          <w:rFonts w:ascii="Times New Roman" w:hAnsi="Times New Roman" w:cs="Times New Roman"/>
          <w:sz w:val="24"/>
          <w:szCs w:val="24"/>
          <w:lang w:val="en-US"/>
        </w:rPr>
        <w:t xml:space="preserve">of companies </w:t>
      </w:r>
      <w:r w:rsidRPr="005A171C">
        <w:rPr>
          <w:rFonts w:ascii="Times New Roman" w:hAnsi="Times New Roman" w:cs="Times New Roman"/>
          <w:sz w:val="24"/>
          <w:szCs w:val="24"/>
          <w:lang w:val="en-US"/>
        </w:rPr>
        <w:t>is to generate profit for their shareholders (Friedman, 2007) is being questioned, financial performance remains a critical variable for companies</w:t>
      </w:r>
      <w:r w:rsidR="00E628AB">
        <w:rPr>
          <w:rFonts w:ascii="Times New Roman" w:hAnsi="Times New Roman" w:cs="Times New Roman"/>
          <w:sz w:val="24"/>
          <w:szCs w:val="24"/>
          <w:lang w:val="en-US"/>
        </w:rPr>
        <w:t xml:space="preserve"> –</w:t>
      </w:r>
      <w:r w:rsidRPr="005A171C">
        <w:rPr>
          <w:rFonts w:ascii="Times New Roman" w:hAnsi="Times New Roman" w:cs="Times New Roman"/>
          <w:sz w:val="24"/>
          <w:szCs w:val="24"/>
          <w:lang w:val="en-US"/>
        </w:rPr>
        <w:t xml:space="preserve"> essential not only for their survival but also as an indicator of their ability to sustain responsible practices in the long term. Thus, it is </w:t>
      </w:r>
      <w:r w:rsidR="00E628AB">
        <w:rPr>
          <w:rFonts w:ascii="Times New Roman" w:hAnsi="Times New Roman" w:cs="Times New Roman"/>
          <w:sz w:val="24"/>
          <w:szCs w:val="24"/>
          <w:lang w:val="en-US"/>
        </w:rPr>
        <w:t>cruci</w:t>
      </w:r>
      <w:r w:rsidRPr="005A171C">
        <w:rPr>
          <w:rFonts w:ascii="Times New Roman" w:hAnsi="Times New Roman" w:cs="Times New Roman"/>
          <w:sz w:val="24"/>
          <w:szCs w:val="24"/>
          <w:lang w:val="en-US"/>
        </w:rPr>
        <w:t>al to understand, from the perspective of Corporate Finance, how the adoption of ESG practices can positively impact a company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s market value.</w:t>
      </w:r>
    </w:p>
    <w:p w14:paraId="0137B66A" w14:textId="3D1E963C"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A common approach to calculating the value of an organization is to project its future cash flows, so its current value depends on the expectation of wealth generation over time (Williams, 1938). However, an amount </w:t>
      </w:r>
      <w:r w:rsidR="00E628AB">
        <w:rPr>
          <w:rFonts w:ascii="Times New Roman" w:hAnsi="Times New Roman" w:cs="Times New Roman"/>
          <w:sz w:val="24"/>
          <w:szCs w:val="24"/>
          <w:lang w:val="en-US"/>
        </w:rPr>
        <w:t xml:space="preserve">received </w:t>
      </w:r>
      <w:r w:rsidRPr="005A171C">
        <w:rPr>
          <w:rFonts w:ascii="Times New Roman" w:hAnsi="Times New Roman" w:cs="Times New Roman"/>
          <w:sz w:val="24"/>
          <w:szCs w:val="24"/>
          <w:lang w:val="en-US"/>
        </w:rPr>
        <w:t xml:space="preserve">today is worth more than the same amount </w:t>
      </w:r>
      <w:r w:rsidR="00E628AB">
        <w:rPr>
          <w:rFonts w:ascii="Times New Roman" w:hAnsi="Times New Roman" w:cs="Times New Roman"/>
          <w:sz w:val="24"/>
          <w:szCs w:val="24"/>
          <w:lang w:val="en-US"/>
        </w:rPr>
        <w:t>received at</w:t>
      </w:r>
      <w:r w:rsidRPr="005A171C">
        <w:rPr>
          <w:rFonts w:ascii="Times New Roman" w:hAnsi="Times New Roman" w:cs="Times New Roman"/>
          <w:sz w:val="24"/>
          <w:szCs w:val="24"/>
          <w:lang w:val="en-US"/>
        </w:rPr>
        <w:t xml:space="preserve"> a future date due to the potential for capital </w:t>
      </w:r>
      <w:r w:rsidR="00E628AB">
        <w:rPr>
          <w:rFonts w:ascii="Times New Roman" w:hAnsi="Times New Roman" w:cs="Times New Roman"/>
          <w:sz w:val="24"/>
          <w:szCs w:val="24"/>
          <w:lang w:val="en-US"/>
        </w:rPr>
        <w:t>gains</w:t>
      </w:r>
      <w:r w:rsidRPr="005A171C">
        <w:rPr>
          <w:rFonts w:ascii="Times New Roman" w:hAnsi="Times New Roman" w:cs="Times New Roman"/>
          <w:sz w:val="24"/>
          <w:szCs w:val="24"/>
          <w:lang w:val="en-US"/>
        </w:rPr>
        <w:t xml:space="preserve"> over the years (Fisher, 1930). Thus, to determine the present value of a company, projected cash flows must be discounted by a rate that reflects the risk associated with these flows (Williams, 1938). The Weighted Average Cost of Capital (WACC) is the discount rate used to bring cash flows to the present</w:t>
      </w:r>
      <w:r w:rsidR="00E628AB">
        <w:rPr>
          <w:rFonts w:ascii="Times New Roman" w:hAnsi="Times New Roman" w:cs="Times New Roman"/>
          <w:sz w:val="24"/>
          <w:szCs w:val="24"/>
          <w:lang w:val="en-US"/>
        </w:rPr>
        <w:t>. It reflects the</w:t>
      </w:r>
      <w:r w:rsidRPr="005A171C">
        <w:rPr>
          <w:rFonts w:ascii="Times New Roman" w:hAnsi="Times New Roman" w:cs="Times New Roman"/>
          <w:sz w:val="24"/>
          <w:szCs w:val="24"/>
          <w:lang w:val="en-US"/>
        </w:rPr>
        <w:t xml:space="preserve"> weight</w:t>
      </w:r>
      <w:r w:rsidR="00E628AB">
        <w:rPr>
          <w:rFonts w:ascii="Times New Roman" w:hAnsi="Times New Roman" w:cs="Times New Roman"/>
          <w:sz w:val="24"/>
          <w:szCs w:val="24"/>
          <w:lang w:val="en-US"/>
        </w:rPr>
        <w:t>ed</w:t>
      </w:r>
      <w:r w:rsidRPr="005A171C">
        <w:rPr>
          <w:rFonts w:ascii="Times New Roman" w:hAnsi="Times New Roman" w:cs="Times New Roman"/>
          <w:sz w:val="24"/>
          <w:szCs w:val="24"/>
          <w:lang w:val="en-US"/>
        </w:rPr>
        <w:t xml:space="preserve"> costs of a company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s main sources of financing: equity and debt. The cost of equity reflects the risk that shareholders perceive when investing in the company, while the cost of debt represents the default risk that creditors associate with this investment (Damodaran, 2007).</w:t>
      </w:r>
    </w:p>
    <w:p w14:paraId="3BE54DA0" w14:textId="31D96536"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The big question is, how does the adoption of sustainable practices impact these variables that define a company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s value? In strategic theory, a company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s competitiveness is linked to how it structures its operations across its entire value chain, covering stages such as development, manufacturing, marketing, distribution, and support of its products or services (Porter et al., 2018). Well-designed regulations not only protect the environment but also stimulate innovations that can increase </w:t>
      </w:r>
      <w:r w:rsidR="008C130F">
        <w:rPr>
          <w:rFonts w:ascii="Times New Roman" w:hAnsi="Times New Roman" w:cs="Times New Roman"/>
          <w:sz w:val="24"/>
          <w:szCs w:val="24"/>
          <w:lang w:val="en-US"/>
        </w:rPr>
        <w:t xml:space="preserve">a </w:t>
      </w:r>
      <w:r w:rsidRPr="005A171C">
        <w:rPr>
          <w:rFonts w:ascii="Times New Roman" w:hAnsi="Times New Roman" w:cs="Times New Roman"/>
          <w:sz w:val="24"/>
          <w:szCs w:val="24"/>
          <w:lang w:val="en-US"/>
        </w:rPr>
        <w:t>compan</w:t>
      </w:r>
      <w:r w:rsidR="008C130F">
        <w:rPr>
          <w:rFonts w:ascii="Times New Roman" w:hAnsi="Times New Roman" w:cs="Times New Roman"/>
          <w:sz w:val="24"/>
          <w:szCs w:val="24"/>
          <w:lang w:val="en-US"/>
        </w:rPr>
        <w:t>y</w:t>
      </w:r>
      <w:r w:rsidR="00E60193">
        <w:rPr>
          <w:rFonts w:ascii="Times New Roman" w:hAnsi="Times New Roman" w:cs="Times New Roman"/>
          <w:sz w:val="24"/>
          <w:szCs w:val="24"/>
          <w:lang w:val="en-US"/>
        </w:rPr>
        <w:t>’</w:t>
      </w:r>
      <w:r w:rsidR="008C130F">
        <w:rPr>
          <w:rFonts w:ascii="Times New Roman" w:hAnsi="Times New Roman" w:cs="Times New Roman"/>
          <w:sz w:val="24"/>
          <w:szCs w:val="24"/>
          <w:lang w:val="en-US"/>
        </w:rPr>
        <w:t>s</w:t>
      </w:r>
      <w:r w:rsidRPr="005A171C">
        <w:rPr>
          <w:rFonts w:ascii="Times New Roman" w:hAnsi="Times New Roman" w:cs="Times New Roman"/>
          <w:sz w:val="24"/>
          <w:szCs w:val="24"/>
          <w:lang w:val="en-US"/>
        </w:rPr>
        <w:t xml:space="preserve"> competitiveness (Porter &amp; Linde, 1995). Contrary to the traditional view that positions </w:t>
      </w:r>
      <w:r w:rsidR="0084294B" w:rsidRPr="005A171C">
        <w:rPr>
          <w:rFonts w:ascii="Times New Roman" w:hAnsi="Times New Roman" w:cs="Times New Roman"/>
          <w:sz w:val="24"/>
          <w:szCs w:val="24"/>
          <w:lang w:val="en-US"/>
        </w:rPr>
        <w:t>the environment</w:t>
      </w:r>
      <w:r w:rsidRPr="005A171C">
        <w:rPr>
          <w:rFonts w:ascii="Times New Roman" w:hAnsi="Times New Roman" w:cs="Times New Roman"/>
          <w:sz w:val="24"/>
          <w:szCs w:val="24"/>
          <w:lang w:val="en-US"/>
        </w:rPr>
        <w:t xml:space="preserve"> and economy as opposing forces, such regulations can lead to operational efficiencies that reduce costs, improve product quality, and open new markets (Porter &amp; Linde, 1995). Similarly, the natural resource-based view argues that companies incorporating sustainable practices can discover new market opportunities and improve their resilience, creating competitive advantages (Hart, 1995).</w:t>
      </w:r>
    </w:p>
    <w:p w14:paraId="1EE09AFB" w14:textId="6D5B5ADD"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These theoretical arguments indicate that </w:t>
      </w:r>
      <w:r w:rsidR="008C130F">
        <w:rPr>
          <w:rFonts w:ascii="Times New Roman" w:hAnsi="Times New Roman" w:cs="Times New Roman"/>
          <w:sz w:val="24"/>
          <w:szCs w:val="24"/>
          <w:lang w:val="en-US"/>
        </w:rPr>
        <w:t xml:space="preserve">the </w:t>
      </w:r>
      <w:r w:rsidRPr="005A171C">
        <w:rPr>
          <w:rFonts w:ascii="Times New Roman" w:hAnsi="Times New Roman" w:cs="Times New Roman"/>
          <w:sz w:val="24"/>
          <w:szCs w:val="24"/>
          <w:lang w:val="en-US"/>
        </w:rPr>
        <w:t>adopti</w:t>
      </w:r>
      <w:r w:rsidR="008C130F">
        <w:rPr>
          <w:rFonts w:ascii="Times New Roman" w:hAnsi="Times New Roman" w:cs="Times New Roman"/>
          <w:sz w:val="24"/>
          <w:szCs w:val="24"/>
          <w:lang w:val="en-US"/>
        </w:rPr>
        <w:t>o</w:t>
      </w:r>
      <w:r w:rsidRPr="005A171C">
        <w:rPr>
          <w:rFonts w:ascii="Times New Roman" w:hAnsi="Times New Roman" w:cs="Times New Roman"/>
          <w:sz w:val="24"/>
          <w:szCs w:val="24"/>
          <w:lang w:val="en-US"/>
        </w:rPr>
        <w:t>n</w:t>
      </w:r>
      <w:r w:rsidR="008C130F">
        <w:rPr>
          <w:rFonts w:ascii="Times New Roman" w:hAnsi="Times New Roman" w:cs="Times New Roman"/>
          <w:sz w:val="24"/>
          <w:szCs w:val="24"/>
          <w:lang w:val="en-US"/>
        </w:rPr>
        <w:t xml:space="preserve"> of</w:t>
      </w:r>
      <w:r w:rsidRPr="005A171C">
        <w:rPr>
          <w:rFonts w:ascii="Times New Roman" w:hAnsi="Times New Roman" w:cs="Times New Roman"/>
          <w:sz w:val="24"/>
          <w:szCs w:val="24"/>
          <w:lang w:val="en-US"/>
        </w:rPr>
        <w:t xml:space="preserve"> sustainable practices not only promotes environmental responsibility but also encourages companies to innovate and improve their processes, resulting in efficiency gains and increased competitiveness. These factors promote superior financial performance and strengthen the company</w:t>
      </w:r>
      <w:r w:rsidR="00E60193">
        <w:rPr>
          <w:rFonts w:ascii="Times New Roman" w:hAnsi="Times New Roman" w:cs="Times New Roman"/>
          <w:sz w:val="24"/>
          <w:szCs w:val="24"/>
          <w:lang w:val="en-US"/>
        </w:rPr>
        <w:t>’</w:t>
      </w:r>
      <w:r w:rsidRPr="005A171C">
        <w:rPr>
          <w:rFonts w:ascii="Times New Roman" w:hAnsi="Times New Roman" w:cs="Times New Roman"/>
          <w:sz w:val="24"/>
          <w:szCs w:val="24"/>
          <w:lang w:val="en-US"/>
        </w:rPr>
        <w:t>s intangible assets</w:t>
      </w:r>
      <w:r>
        <w:rPr>
          <w:rFonts w:ascii="Times New Roman" w:hAnsi="Times New Roman" w:cs="Times New Roman"/>
          <w:sz w:val="24"/>
          <w:szCs w:val="24"/>
          <w:lang w:val="en-US"/>
        </w:rPr>
        <w:t xml:space="preserve"> – </w:t>
      </w:r>
      <w:r w:rsidRPr="005A171C">
        <w:rPr>
          <w:rFonts w:ascii="Times New Roman" w:hAnsi="Times New Roman" w:cs="Times New Roman"/>
          <w:sz w:val="24"/>
          <w:szCs w:val="24"/>
          <w:lang w:val="en-US"/>
        </w:rPr>
        <w:t>such as</w:t>
      </w:r>
      <w:r w:rsidR="008C130F">
        <w:rPr>
          <w:rFonts w:ascii="Times New Roman" w:hAnsi="Times New Roman" w:cs="Times New Roman"/>
          <w:sz w:val="24"/>
          <w:szCs w:val="24"/>
          <w:lang w:val="en-US"/>
        </w:rPr>
        <w:t xml:space="preserve"> its</w:t>
      </w:r>
      <w:r w:rsidRPr="005A171C">
        <w:rPr>
          <w:rFonts w:ascii="Times New Roman" w:hAnsi="Times New Roman" w:cs="Times New Roman"/>
          <w:sz w:val="24"/>
          <w:szCs w:val="24"/>
          <w:lang w:val="en-US"/>
        </w:rPr>
        <w:t xml:space="preserve"> brand, reputation, and stakeholder trust. Superior financial performance, driven by efficiency gains and new markets, generates higher and more consistent cash flow projections, contributing to an increase in the company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s intrinsic value (Williams, 1938). Furthermore, with strengthened intangible assets, the company is seen as a lower-risk investment, which reduces its cost of capital and </w:t>
      </w:r>
      <w:r w:rsidR="008C130F">
        <w:rPr>
          <w:rFonts w:ascii="Times New Roman" w:hAnsi="Times New Roman" w:cs="Times New Roman"/>
          <w:sz w:val="24"/>
          <w:szCs w:val="24"/>
          <w:lang w:val="en-US"/>
        </w:rPr>
        <w:t>enhance</w:t>
      </w:r>
      <w:r w:rsidRPr="005A171C">
        <w:rPr>
          <w:rFonts w:ascii="Times New Roman" w:hAnsi="Times New Roman" w:cs="Times New Roman"/>
          <w:sz w:val="24"/>
          <w:szCs w:val="24"/>
          <w:lang w:val="en-US"/>
        </w:rPr>
        <w:t>s its market value (Damodaran, 2007).</w:t>
      </w:r>
    </w:p>
    <w:p w14:paraId="2A620CDE" w14:textId="36F2B162"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In this context, the discussion about ESG emerges as a mechanism to integrate these concerns into the financial market. This approach, introduced in 2004 through a publication by the </w:t>
      </w:r>
      <w:r w:rsidR="008C130F">
        <w:rPr>
          <w:rFonts w:ascii="Times New Roman" w:hAnsi="Times New Roman" w:cs="Times New Roman"/>
          <w:sz w:val="24"/>
          <w:szCs w:val="24"/>
          <w:lang w:val="en-US"/>
        </w:rPr>
        <w:t>United Nations (</w:t>
      </w:r>
      <w:r w:rsidRPr="005A171C">
        <w:rPr>
          <w:rFonts w:ascii="Times New Roman" w:hAnsi="Times New Roman" w:cs="Times New Roman"/>
          <w:sz w:val="24"/>
          <w:szCs w:val="24"/>
          <w:lang w:val="en-US"/>
        </w:rPr>
        <w:t>UN</w:t>
      </w:r>
      <w:r w:rsidR="008C130F">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Global Compact</w:t>
      </w:r>
      <w:r w:rsidR="001023A0">
        <w:rPr>
          <w:rFonts w:ascii="Times New Roman" w:hAnsi="Times New Roman" w:cs="Times New Roman"/>
          <w:sz w:val="24"/>
          <w:szCs w:val="24"/>
          <w:lang w:val="en-US"/>
        </w:rPr>
        <w:t xml:space="preserve">, </w:t>
      </w:r>
      <w:r w:rsidRPr="005A171C">
        <w:rPr>
          <w:rFonts w:ascii="Times New Roman" w:hAnsi="Times New Roman" w:cs="Times New Roman"/>
          <w:sz w:val="24"/>
          <w:szCs w:val="24"/>
          <w:lang w:val="en-US"/>
        </w:rPr>
        <w:t xml:space="preserve">in partnership with global financial institutions, aimed to demonstrate that the adoption of environmental, social, and governance factors can positively influence investment decisions and company valuation, highlighting their relevance </w:t>
      </w:r>
      <w:r w:rsidR="008C130F">
        <w:rPr>
          <w:rFonts w:ascii="Times New Roman" w:hAnsi="Times New Roman" w:cs="Times New Roman"/>
          <w:sz w:val="24"/>
          <w:szCs w:val="24"/>
          <w:lang w:val="en-US"/>
        </w:rPr>
        <w:t>within</w:t>
      </w:r>
      <w:r w:rsidRPr="005A171C">
        <w:rPr>
          <w:rFonts w:ascii="Times New Roman" w:hAnsi="Times New Roman" w:cs="Times New Roman"/>
          <w:sz w:val="24"/>
          <w:szCs w:val="24"/>
          <w:lang w:val="en-US"/>
        </w:rPr>
        <w:t xml:space="preserve"> the financial market. From that moment on, there has been increasing pressure, stemming from the demand</w:t>
      </w:r>
      <w:r w:rsidR="008C130F">
        <w:rPr>
          <w:rFonts w:ascii="Times New Roman" w:hAnsi="Times New Roman" w:cs="Times New Roman"/>
          <w:sz w:val="24"/>
          <w:szCs w:val="24"/>
          <w:lang w:val="en-US"/>
        </w:rPr>
        <w:t>s</w:t>
      </w:r>
      <w:r w:rsidRPr="005A171C">
        <w:rPr>
          <w:rFonts w:ascii="Times New Roman" w:hAnsi="Times New Roman" w:cs="Times New Roman"/>
          <w:sz w:val="24"/>
          <w:szCs w:val="24"/>
          <w:lang w:val="en-US"/>
        </w:rPr>
        <w:t xml:space="preserve"> of institutional investors for greater transparency in the disclosure of </w:t>
      </w:r>
      <w:r w:rsidR="008C130F">
        <w:rPr>
          <w:rFonts w:ascii="Times New Roman" w:hAnsi="Times New Roman" w:cs="Times New Roman"/>
          <w:sz w:val="24"/>
          <w:szCs w:val="24"/>
          <w:lang w:val="en-US"/>
        </w:rPr>
        <w:t xml:space="preserve">how </w:t>
      </w:r>
      <w:r w:rsidRPr="005A171C">
        <w:rPr>
          <w:rFonts w:ascii="Times New Roman" w:hAnsi="Times New Roman" w:cs="Times New Roman"/>
          <w:sz w:val="24"/>
          <w:szCs w:val="24"/>
          <w:lang w:val="en-US"/>
        </w:rPr>
        <w:t xml:space="preserve">ESG criteria </w:t>
      </w:r>
      <w:r w:rsidR="008C130F">
        <w:rPr>
          <w:rFonts w:ascii="Times New Roman" w:hAnsi="Times New Roman" w:cs="Times New Roman"/>
          <w:sz w:val="24"/>
          <w:szCs w:val="24"/>
          <w:lang w:val="en-US"/>
        </w:rPr>
        <w:t xml:space="preserve">are </w:t>
      </w:r>
      <w:r w:rsidRPr="005A171C">
        <w:rPr>
          <w:rFonts w:ascii="Times New Roman" w:hAnsi="Times New Roman" w:cs="Times New Roman"/>
          <w:sz w:val="24"/>
          <w:szCs w:val="24"/>
          <w:lang w:val="en-US"/>
        </w:rPr>
        <w:t>appli</w:t>
      </w:r>
      <w:r w:rsidR="008C130F">
        <w:rPr>
          <w:rFonts w:ascii="Times New Roman" w:hAnsi="Times New Roman" w:cs="Times New Roman"/>
          <w:sz w:val="24"/>
          <w:szCs w:val="24"/>
          <w:lang w:val="en-US"/>
        </w:rPr>
        <w:t>ed</w:t>
      </w:r>
      <w:r w:rsidRPr="005A171C">
        <w:rPr>
          <w:rFonts w:ascii="Times New Roman" w:hAnsi="Times New Roman" w:cs="Times New Roman"/>
          <w:sz w:val="24"/>
          <w:szCs w:val="24"/>
          <w:lang w:val="en-US"/>
        </w:rPr>
        <w:t>, and the need to consider these factors in investment decisions (UN Global Compact, 2004).</w:t>
      </w:r>
    </w:p>
    <w:p w14:paraId="4542A6BB" w14:textId="251753F9"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Thus, companies should adopt such practices as a way to mitigate risks, given that, in the face of new regulations and consumer demands, the absence of these initiatives can represent a risk factor, reflect</w:t>
      </w:r>
      <w:r w:rsidR="008C130F">
        <w:rPr>
          <w:rFonts w:ascii="Times New Roman" w:hAnsi="Times New Roman" w:cs="Times New Roman"/>
          <w:sz w:val="24"/>
          <w:szCs w:val="24"/>
          <w:lang w:val="en-US"/>
        </w:rPr>
        <w:t>ed</w:t>
      </w:r>
      <w:r w:rsidRPr="005A171C">
        <w:rPr>
          <w:rFonts w:ascii="Times New Roman" w:hAnsi="Times New Roman" w:cs="Times New Roman"/>
          <w:sz w:val="24"/>
          <w:szCs w:val="24"/>
          <w:lang w:val="en-US"/>
        </w:rPr>
        <w:t xml:space="preserve"> in an increased cost of capital. In addition to risk reduction, the adoption of ESG practices can provide strategic opportunities, such as expanding access to new markets, </w:t>
      </w:r>
      <w:r w:rsidR="008C130F">
        <w:rPr>
          <w:rFonts w:ascii="Times New Roman" w:hAnsi="Times New Roman" w:cs="Times New Roman"/>
          <w:sz w:val="24"/>
          <w:szCs w:val="24"/>
          <w:lang w:val="en-US"/>
        </w:rPr>
        <w:t>as long as it is grounded in</w:t>
      </w:r>
      <w:r w:rsidRPr="005A171C">
        <w:rPr>
          <w:rFonts w:ascii="Times New Roman" w:hAnsi="Times New Roman" w:cs="Times New Roman"/>
          <w:sz w:val="24"/>
          <w:szCs w:val="24"/>
          <w:lang w:val="en-US"/>
        </w:rPr>
        <w:t xml:space="preserve"> the consideration of material aspects relevant to the company</w:t>
      </w:r>
      <w:r w:rsidR="00E60193">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s sector. This approach can result in a reduced cost of capital, increased operational efficiency, and consequently, improved financial results and </w:t>
      </w:r>
      <w:r w:rsidR="008C130F">
        <w:rPr>
          <w:rFonts w:ascii="Times New Roman" w:hAnsi="Times New Roman" w:cs="Times New Roman"/>
          <w:sz w:val="24"/>
          <w:szCs w:val="24"/>
          <w:lang w:val="en-US"/>
        </w:rPr>
        <w:t xml:space="preserve">enhance </w:t>
      </w:r>
      <w:r w:rsidRPr="005A171C">
        <w:rPr>
          <w:rFonts w:ascii="Times New Roman" w:hAnsi="Times New Roman" w:cs="Times New Roman"/>
          <w:sz w:val="24"/>
          <w:szCs w:val="24"/>
          <w:lang w:val="en-US"/>
        </w:rPr>
        <w:t>company valuation in the market (UN Global Compact, 2004).</w:t>
      </w:r>
    </w:p>
    <w:p w14:paraId="59D91F0F" w14:textId="16357A9D" w:rsidR="005A171C" w:rsidRP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The positive relationship between the implementation of social and sustainable actions and corporate financial performance is confirmed by empirical studies on the topic. Margolis et al. (2009), </w:t>
      </w:r>
      <w:r w:rsidR="008C130F">
        <w:rPr>
          <w:rFonts w:ascii="Times New Roman" w:hAnsi="Times New Roman" w:cs="Times New Roman"/>
          <w:sz w:val="24"/>
          <w:szCs w:val="24"/>
          <w:lang w:val="en-US"/>
        </w:rPr>
        <w:t xml:space="preserve">through </w:t>
      </w:r>
      <w:r w:rsidRPr="005A171C">
        <w:rPr>
          <w:rFonts w:ascii="Times New Roman" w:hAnsi="Times New Roman" w:cs="Times New Roman"/>
          <w:sz w:val="24"/>
          <w:szCs w:val="24"/>
          <w:lang w:val="en-US"/>
        </w:rPr>
        <w:t xml:space="preserve">a meta-analysis of 251 studies, </w:t>
      </w:r>
      <w:r w:rsidR="008C130F">
        <w:rPr>
          <w:rFonts w:ascii="Times New Roman" w:hAnsi="Times New Roman" w:cs="Times New Roman"/>
          <w:sz w:val="24"/>
          <w:szCs w:val="24"/>
          <w:lang w:val="en-US"/>
        </w:rPr>
        <w:t xml:space="preserve">demonstrate </w:t>
      </w:r>
      <w:r w:rsidRPr="005A171C">
        <w:rPr>
          <w:rFonts w:ascii="Times New Roman" w:hAnsi="Times New Roman" w:cs="Times New Roman"/>
          <w:sz w:val="24"/>
          <w:szCs w:val="24"/>
          <w:lang w:val="en-US"/>
        </w:rPr>
        <w:t xml:space="preserve">that the relationship, although small, is positive. They also analyze whether there </w:t>
      </w:r>
      <w:r w:rsidR="008C130F">
        <w:rPr>
          <w:rFonts w:ascii="Times New Roman" w:hAnsi="Times New Roman" w:cs="Times New Roman"/>
          <w:sz w:val="24"/>
          <w:szCs w:val="24"/>
          <w:lang w:val="en-US"/>
        </w:rPr>
        <w:t>are</w:t>
      </w:r>
      <w:r w:rsidRPr="005A171C">
        <w:rPr>
          <w:rFonts w:ascii="Times New Roman" w:hAnsi="Times New Roman" w:cs="Times New Roman"/>
          <w:sz w:val="24"/>
          <w:szCs w:val="24"/>
          <w:lang w:val="en-US"/>
        </w:rPr>
        <w:t xml:space="preserve"> any factor</w:t>
      </w:r>
      <w:r w:rsidR="008C130F">
        <w:rPr>
          <w:rFonts w:ascii="Times New Roman" w:hAnsi="Times New Roman" w:cs="Times New Roman"/>
          <w:sz w:val="24"/>
          <w:szCs w:val="24"/>
          <w:lang w:val="en-US"/>
        </w:rPr>
        <w:t>s</w:t>
      </w:r>
      <w:r w:rsidRPr="005A171C">
        <w:rPr>
          <w:rFonts w:ascii="Times New Roman" w:hAnsi="Times New Roman" w:cs="Times New Roman"/>
          <w:sz w:val="24"/>
          <w:szCs w:val="24"/>
          <w:lang w:val="en-US"/>
        </w:rPr>
        <w:t xml:space="preserve"> that intensif</w:t>
      </w:r>
      <w:r w:rsidR="008C130F">
        <w:rPr>
          <w:rFonts w:ascii="Times New Roman" w:hAnsi="Times New Roman" w:cs="Times New Roman"/>
          <w:sz w:val="24"/>
          <w:szCs w:val="24"/>
          <w:lang w:val="en-US"/>
        </w:rPr>
        <w:t>y</w:t>
      </w:r>
      <w:r w:rsidRPr="005A171C">
        <w:rPr>
          <w:rFonts w:ascii="Times New Roman" w:hAnsi="Times New Roman" w:cs="Times New Roman"/>
          <w:sz w:val="24"/>
          <w:szCs w:val="24"/>
          <w:lang w:val="en-US"/>
        </w:rPr>
        <w:t xml:space="preserve"> this relationship, and the result is negative. </w:t>
      </w:r>
      <w:r w:rsidR="008C130F">
        <w:rPr>
          <w:rFonts w:ascii="Times New Roman" w:hAnsi="Times New Roman" w:cs="Times New Roman"/>
          <w:sz w:val="24"/>
          <w:szCs w:val="24"/>
          <w:lang w:val="en-US"/>
        </w:rPr>
        <w:t xml:space="preserve">Similarly, </w:t>
      </w:r>
      <w:r w:rsidRPr="005A171C">
        <w:rPr>
          <w:rFonts w:ascii="Times New Roman" w:hAnsi="Times New Roman" w:cs="Times New Roman"/>
          <w:sz w:val="24"/>
          <w:szCs w:val="24"/>
          <w:lang w:val="en-US"/>
        </w:rPr>
        <w:t>Friede et al. (2015) present a</w:t>
      </w:r>
      <w:r w:rsidR="008C130F">
        <w:rPr>
          <w:rFonts w:ascii="Times New Roman" w:hAnsi="Times New Roman" w:cs="Times New Roman"/>
          <w:sz w:val="24"/>
          <w:szCs w:val="24"/>
          <w:lang w:val="en-US"/>
        </w:rPr>
        <w:t xml:space="preserve"> second-order</w:t>
      </w:r>
      <w:r w:rsidRPr="005A171C">
        <w:rPr>
          <w:rFonts w:ascii="Times New Roman" w:hAnsi="Times New Roman" w:cs="Times New Roman"/>
          <w:sz w:val="24"/>
          <w:szCs w:val="24"/>
          <w:lang w:val="en-US"/>
        </w:rPr>
        <w:t xml:space="preserve"> </w:t>
      </w:r>
      <w:r w:rsidR="008C130F">
        <w:rPr>
          <w:rFonts w:ascii="Times New Roman" w:hAnsi="Times New Roman" w:cs="Times New Roman"/>
          <w:sz w:val="24"/>
          <w:szCs w:val="24"/>
          <w:lang w:val="en-US"/>
        </w:rPr>
        <w:t>meta-</w:t>
      </w:r>
      <w:r w:rsidRPr="005A171C">
        <w:rPr>
          <w:rFonts w:ascii="Times New Roman" w:hAnsi="Times New Roman" w:cs="Times New Roman"/>
          <w:sz w:val="24"/>
          <w:szCs w:val="24"/>
          <w:lang w:val="en-US"/>
        </w:rPr>
        <w:t>analysis</w:t>
      </w:r>
      <w:r w:rsidR="008C130F">
        <w:rPr>
          <w:rFonts w:ascii="Times New Roman" w:hAnsi="Times New Roman" w:cs="Times New Roman"/>
          <w:sz w:val="24"/>
          <w:szCs w:val="24"/>
          <w:lang w:val="en-US"/>
        </w:rPr>
        <w:t xml:space="preserve"> – an analysis</w:t>
      </w:r>
      <w:r w:rsidRPr="005A171C">
        <w:rPr>
          <w:rFonts w:ascii="Times New Roman" w:hAnsi="Times New Roman" w:cs="Times New Roman"/>
          <w:sz w:val="24"/>
          <w:szCs w:val="24"/>
          <w:lang w:val="en-US"/>
        </w:rPr>
        <w:t xml:space="preserve"> based on previous research</w:t>
      </w:r>
      <w:r>
        <w:rPr>
          <w:rFonts w:ascii="Times New Roman" w:hAnsi="Times New Roman" w:cs="Times New Roman"/>
          <w:sz w:val="24"/>
          <w:szCs w:val="24"/>
          <w:lang w:val="en-US"/>
        </w:rPr>
        <w:t xml:space="preserve"> –</w:t>
      </w:r>
      <w:r w:rsidR="008C130F">
        <w:rPr>
          <w:rFonts w:ascii="Times New Roman" w:hAnsi="Times New Roman" w:cs="Times New Roman"/>
          <w:sz w:val="24"/>
          <w:szCs w:val="24"/>
          <w:lang w:val="en-US"/>
        </w:rPr>
        <w:t xml:space="preserve"> </w:t>
      </w:r>
      <w:r w:rsidRPr="005A171C">
        <w:rPr>
          <w:rFonts w:ascii="Times New Roman" w:hAnsi="Times New Roman" w:cs="Times New Roman"/>
          <w:sz w:val="24"/>
          <w:szCs w:val="24"/>
          <w:lang w:val="en-US"/>
        </w:rPr>
        <w:t xml:space="preserve">combining </w:t>
      </w:r>
      <w:r w:rsidR="008C130F">
        <w:rPr>
          <w:rFonts w:ascii="Times New Roman" w:hAnsi="Times New Roman" w:cs="Times New Roman"/>
          <w:sz w:val="24"/>
          <w:szCs w:val="24"/>
          <w:lang w:val="en-US"/>
        </w:rPr>
        <w:t>approximately</w:t>
      </w:r>
      <w:r w:rsidRPr="005A171C">
        <w:rPr>
          <w:rFonts w:ascii="Times New Roman" w:hAnsi="Times New Roman" w:cs="Times New Roman"/>
          <w:sz w:val="24"/>
          <w:szCs w:val="24"/>
          <w:lang w:val="en-US"/>
        </w:rPr>
        <w:t xml:space="preserve"> 2,200 individual studies to </w:t>
      </w:r>
      <w:r w:rsidR="008C130F">
        <w:rPr>
          <w:rFonts w:ascii="Times New Roman" w:hAnsi="Times New Roman" w:cs="Times New Roman"/>
          <w:sz w:val="24"/>
          <w:szCs w:val="24"/>
          <w:lang w:val="en-US"/>
        </w:rPr>
        <w:t>assess</w:t>
      </w:r>
      <w:r w:rsidRPr="005A171C">
        <w:rPr>
          <w:rFonts w:ascii="Times New Roman" w:hAnsi="Times New Roman" w:cs="Times New Roman"/>
          <w:sz w:val="24"/>
          <w:szCs w:val="24"/>
          <w:lang w:val="en-US"/>
        </w:rPr>
        <w:t xml:space="preserve"> the relationship between variables, and they identify, for the most part, a stable positive impact over time. Zhao et al. (2018) also demonstrate a </w:t>
      </w:r>
      <w:r w:rsidR="008C130F">
        <w:rPr>
          <w:rFonts w:ascii="Times New Roman" w:hAnsi="Times New Roman" w:cs="Times New Roman"/>
          <w:sz w:val="24"/>
          <w:szCs w:val="24"/>
          <w:lang w:val="en-US"/>
        </w:rPr>
        <w:t xml:space="preserve">consistent </w:t>
      </w:r>
      <w:r w:rsidRPr="005A171C">
        <w:rPr>
          <w:rFonts w:ascii="Times New Roman" w:hAnsi="Times New Roman" w:cs="Times New Roman"/>
          <w:sz w:val="24"/>
          <w:szCs w:val="24"/>
          <w:lang w:val="en-US"/>
        </w:rPr>
        <w:t>positive relationship between these variables.</w:t>
      </w:r>
    </w:p>
    <w:p w14:paraId="3C28C5C3" w14:textId="46BD58B9"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Eccles et al. (2014) analyzed 180 U.S. companies classified as</w:t>
      </w:r>
      <w:r w:rsidR="008C130F">
        <w:rPr>
          <w:rFonts w:ascii="Times New Roman" w:hAnsi="Times New Roman" w:cs="Times New Roman"/>
          <w:sz w:val="24"/>
          <w:szCs w:val="24"/>
          <w:lang w:val="en-US"/>
        </w:rPr>
        <w:t xml:space="preserve"> either</w:t>
      </w:r>
      <w:r w:rsidRPr="005A171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A171C">
        <w:rPr>
          <w:rFonts w:ascii="Times New Roman" w:hAnsi="Times New Roman" w:cs="Times New Roman"/>
          <w:sz w:val="24"/>
          <w:szCs w:val="24"/>
          <w:lang w:val="en-US"/>
        </w:rPr>
        <w:t>high sustainability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w:t>
      </w:r>
      <w:r w:rsidR="008C130F">
        <w:rPr>
          <w:rFonts w:ascii="Times New Roman" w:hAnsi="Times New Roman" w:cs="Times New Roman"/>
          <w:sz w:val="24"/>
          <w:szCs w:val="24"/>
          <w:lang w:val="en-US"/>
        </w:rPr>
        <w:t>or</w:t>
      </w:r>
      <w:r w:rsidRPr="005A171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A171C">
        <w:rPr>
          <w:rFonts w:ascii="Times New Roman" w:hAnsi="Times New Roman" w:cs="Times New Roman"/>
          <w:sz w:val="24"/>
          <w:szCs w:val="24"/>
          <w:lang w:val="en-US"/>
        </w:rPr>
        <w:t>low sustainability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in 1993 and, using a propensity score matching method, compared them </w:t>
      </w:r>
      <w:r w:rsidR="008C130F">
        <w:rPr>
          <w:rFonts w:ascii="Times New Roman" w:hAnsi="Times New Roman" w:cs="Times New Roman"/>
          <w:sz w:val="24"/>
          <w:szCs w:val="24"/>
          <w:lang w:val="en-US"/>
        </w:rPr>
        <w:t>to</w:t>
      </w:r>
      <w:r w:rsidRPr="005A171C">
        <w:rPr>
          <w:rFonts w:ascii="Times New Roman" w:hAnsi="Times New Roman" w:cs="Times New Roman"/>
          <w:sz w:val="24"/>
          <w:szCs w:val="24"/>
          <w:lang w:val="en-US"/>
        </w:rPr>
        <w:t xml:space="preserve"> similar companies in 2009. The results indicate that high</w:t>
      </w:r>
      <w:r w:rsidR="008C130F">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sustainability companies exhibit greater transparency and more comprehensive stakeholder management, which </w:t>
      </w:r>
      <w:r w:rsidR="008C130F">
        <w:rPr>
          <w:rFonts w:ascii="Times New Roman" w:hAnsi="Times New Roman" w:cs="Times New Roman"/>
          <w:sz w:val="24"/>
          <w:szCs w:val="24"/>
          <w:lang w:val="en-US"/>
        </w:rPr>
        <w:t>are</w:t>
      </w:r>
      <w:r w:rsidRPr="005A171C">
        <w:rPr>
          <w:rFonts w:ascii="Times New Roman" w:hAnsi="Times New Roman" w:cs="Times New Roman"/>
          <w:sz w:val="24"/>
          <w:szCs w:val="24"/>
          <w:lang w:val="en-US"/>
        </w:rPr>
        <w:t xml:space="preserve"> associated with better financial performance, such as higher returns on equity (ROE) and on assets (ROA), compared to low</w:t>
      </w:r>
      <w:r w:rsidR="008C130F">
        <w:rPr>
          <w:rFonts w:ascii="Times New Roman" w:hAnsi="Times New Roman" w:cs="Times New Roman"/>
          <w:sz w:val="24"/>
          <w:szCs w:val="24"/>
          <w:lang w:val="en-US"/>
        </w:rPr>
        <w:t>-</w:t>
      </w:r>
      <w:r w:rsidRPr="005A171C">
        <w:rPr>
          <w:rFonts w:ascii="Times New Roman" w:hAnsi="Times New Roman" w:cs="Times New Roman"/>
          <w:sz w:val="24"/>
          <w:szCs w:val="24"/>
          <w:lang w:val="en-US"/>
        </w:rPr>
        <w:t>sustainability companies. This proximity to primary stakeholders</w:t>
      </w:r>
      <w:r>
        <w:rPr>
          <w:rFonts w:ascii="Times New Roman" w:hAnsi="Times New Roman" w:cs="Times New Roman"/>
          <w:sz w:val="24"/>
          <w:szCs w:val="24"/>
          <w:lang w:val="en-US"/>
        </w:rPr>
        <w:t xml:space="preserve"> – </w:t>
      </w:r>
      <w:r w:rsidRPr="005A171C">
        <w:rPr>
          <w:rFonts w:ascii="Times New Roman" w:hAnsi="Times New Roman" w:cs="Times New Roman"/>
          <w:sz w:val="24"/>
          <w:szCs w:val="24"/>
          <w:lang w:val="en-US"/>
        </w:rPr>
        <w:t>suppliers, customers, employees, etc.</w:t>
      </w:r>
      <w:r>
        <w:rPr>
          <w:rFonts w:ascii="Times New Roman" w:hAnsi="Times New Roman" w:cs="Times New Roman"/>
          <w:sz w:val="24"/>
          <w:szCs w:val="24"/>
          <w:lang w:val="en-US"/>
        </w:rPr>
        <w:t xml:space="preserve"> – </w:t>
      </w:r>
      <w:r w:rsidRPr="005A171C">
        <w:rPr>
          <w:rFonts w:ascii="Times New Roman" w:hAnsi="Times New Roman" w:cs="Times New Roman"/>
          <w:sz w:val="24"/>
          <w:szCs w:val="24"/>
          <w:lang w:val="en-US"/>
        </w:rPr>
        <w:t>also strengthens the company</w:t>
      </w:r>
      <w:r w:rsidR="00E60193">
        <w:rPr>
          <w:rFonts w:ascii="Times New Roman" w:hAnsi="Times New Roman" w:cs="Times New Roman"/>
          <w:sz w:val="24"/>
          <w:szCs w:val="24"/>
          <w:lang w:val="en-US"/>
        </w:rPr>
        <w:t>’</w:t>
      </w:r>
      <w:r w:rsidRPr="005A171C">
        <w:rPr>
          <w:rFonts w:ascii="Times New Roman" w:hAnsi="Times New Roman" w:cs="Times New Roman"/>
          <w:sz w:val="24"/>
          <w:szCs w:val="24"/>
          <w:lang w:val="en-US"/>
        </w:rPr>
        <w:t>s intangible assets (Hillman &amp; Keim, 2001).</w:t>
      </w:r>
    </w:p>
    <w:p w14:paraId="34AC9B15" w14:textId="37C1E852"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Friede et al. (2015), through a meta-analysis, conclude that 90% of the 2,000 studies on the topic indicate that the relationship between the adoption of ESG practices and corporate social </w:t>
      </w:r>
      <w:r w:rsidR="008C130F">
        <w:rPr>
          <w:rFonts w:ascii="Times New Roman" w:hAnsi="Times New Roman" w:cs="Times New Roman"/>
          <w:sz w:val="24"/>
          <w:szCs w:val="24"/>
          <w:lang w:val="en-US"/>
        </w:rPr>
        <w:t>responsibility on the one hand, and</w:t>
      </w:r>
      <w:r w:rsidRPr="005A171C">
        <w:rPr>
          <w:rFonts w:ascii="Times New Roman" w:hAnsi="Times New Roman" w:cs="Times New Roman"/>
          <w:sz w:val="24"/>
          <w:szCs w:val="24"/>
          <w:lang w:val="en-US"/>
        </w:rPr>
        <w:t xml:space="preserve"> financial performance and company value</w:t>
      </w:r>
      <w:r w:rsidR="008C130F">
        <w:rPr>
          <w:rFonts w:ascii="Times New Roman" w:hAnsi="Times New Roman" w:cs="Times New Roman"/>
          <w:sz w:val="24"/>
          <w:szCs w:val="24"/>
          <w:lang w:val="en-US"/>
        </w:rPr>
        <w:t>, on the other,</w:t>
      </w:r>
      <w:r w:rsidRPr="005A171C">
        <w:rPr>
          <w:rFonts w:ascii="Times New Roman" w:hAnsi="Times New Roman" w:cs="Times New Roman"/>
          <w:sz w:val="24"/>
          <w:szCs w:val="24"/>
          <w:lang w:val="en-US"/>
        </w:rPr>
        <w:t xml:space="preserve"> is not negative, with most studies showing positive results. An example is the study by Ferrell et al. (2016), which </w:t>
      </w:r>
      <w:r w:rsidR="008C130F">
        <w:rPr>
          <w:rFonts w:ascii="Times New Roman" w:hAnsi="Times New Roman" w:cs="Times New Roman"/>
          <w:sz w:val="24"/>
          <w:szCs w:val="24"/>
          <w:lang w:val="en-US"/>
        </w:rPr>
        <w:t>identifie</w:t>
      </w:r>
      <w:r w:rsidRPr="005A171C">
        <w:rPr>
          <w:rFonts w:ascii="Times New Roman" w:hAnsi="Times New Roman" w:cs="Times New Roman"/>
          <w:sz w:val="24"/>
          <w:szCs w:val="24"/>
          <w:lang w:val="en-US"/>
        </w:rPr>
        <w:t>s a positive relationship between corporate social responsibility and company value. The authors use a rigorous approach based on instrumental variables, adopting Tobin</w:t>
      </w:r>
      <w:r w:rsidR="00E60193">
        <w:rPr>
          <w:rFonts w:ascii="Times New Roman" w:hAnsi="Times New Roman" w:cs="Times New Roman"/>
          <w:sz w:val="24"/>
          <w:szCs w:val="24"/>
          <w:lang w:val="en-US"/>
        </w:rPr>
        <w:t>’</w:t>
      </w:r>
      <w:r w:rsidRPr="005A171C">
        <w:rPr>
          <w:rFonts w:ascii="Times New Roman" w:hAnsi="Times New Roman" w:cs="Times New Roman"/>
          <w:sz w:val="24"/>
          <w:szCs w:val="24"/>
          <w:lang w:val="en-US"/>
        </w:rPr>
        <w:t>s Q index as a metric for evaluating business value.</w:t>
      </w:r>
    </w:p>
    <w:p w14:paraId="551D2385" w14:textId="10EC34FC"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Observing the impact on company risk, Cheng et al. (2014) show that </w:t>
      </w:r>
      <w:r w:rsidR="008C130F">
        <w:rPr>
          <w:rFonts w:ascii="Times New Roman" w:hAnsi="Times New Roman" w:cs="Times New Roman"/>
          <w:sz w:val="24"/>
          <w:szCs w:val="24"/>
          <w:lang w:val="en-US"/>
        </w:rPr>
        <w:t>investors and managers perceive lower risk w</w:t>
      </w:r>
      <w:r w:rsidRPr="005A171C">
        <w:rPr>
          <w:rFonts w:ascii="Times New Roman" w:hAnsi="Times New Roman" w:cs="Times New Roman"/>
          <w:sz w:val="24"/>
          <w:szCs w:val="24"/>
          <w:lang w:val="en-US"/>
        </w:rPr>
        <w:t>hen companies implement sustainable practices. More specifically, Bénabou and Tirole (2010) and Albuquerque et al. (2019) point out that companies with strong ESG performance exhibit lower systemic risk. The f</w:t>
      </w:r>
      <w:r w:rsidR="008C130F">
        <w:rPr>
          <w:rFonts w:ascii="Times New Roman" w:hAnsi="Times New Roman" w:cs="Times New Roman"/>
          <w:sz w:val="24"/>
          <w:szCs w:val="24"/>
          <w:lang w:val="en-US"/>
        </w:rPr>
        <w:t>ormer</w:t>
      </w:r>
      <w:r w:rsidRPr="005A171C">
        <w:rPr>
          <w:rFonts w:ascii="Times New Roman" w:hAnsi="Times New Roman" w:cs="Times New Roman"/>
          <w:sz w:val="24"/>
          <w:szCs w:val="24"/>
          <w:lang w:val="en-US"/>
        </w:rPr>
        <w:t xml:space="preserve"> study attributes this reduction to the greater resilience of these companies during periods of crisis, while the </w:t>
      </w:r>
      <w:r w:rsidR="008C130F">
        <w:rPr>
          <w:rFonts w:ascii="Times New Roman" w:hAnsi="Times New Roman" w:cs="Times New Roman"/>
          <w:sz w:val="24"/>
          <w:szCs w:val="24"/>
          <w:lang w:val="en-US"/>
        </w:rPr>
        <w:t>latter</w:t>
      </w:r>
      <w:r w:rsidRPr="005A171C">
        <w:rPr>
          <w:rFonts w:ascii="Times New Roman" w:hAnsi="Times New Roman" w:cs="Times New Roman"/>
          <w:sz w:val="24"/>
          <w:szCs w:val="24"/>
          <w:lang w:val="en-US"/>
        </w:rPr>
        <w:t xml:space="preserve"> highlights that product differentiation generated by ESG practices results in lower demand elasticity, making revenue less sensitive to market fluctuations.</w:t>
      </w:r>
    </w:p>
    <w:p w14:paraId="386497FF" w14:textId="206E3B18" w:rsidR="005A171C" w:rsidRP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 xml:space="preserve">Sassen et al. (2016) </w:t>
      </w:r>
      <w:r w:rsidR="008C130F">
        <w:rPr>
          <w:rFonts w:ascii="Times New Roman" w:hAnsi="Times New Roman" w:cs="Times New Roman"/>
          <w:sz w:val="24"/>
          <w:szCs w:val="24"/>
          <w:lang w:val="en-US"/>
        </w:rPr>
        <w:t>show</w:t>
      </w:r>
      <w:r w:rsidRPr="005A171C">
        <w:rPr>
          <w:rFonts w:ascii="Times New Roman" w:hAnsi="Times New Roman" w:cs="Times New Roman"/>
          <w:sz w:val="24"/>
          <w:szCs w:val="24"/>
          <w:lang w:val="en-US"/>
        </w:rPr>
        <w:t xml:space="preserve"> that companies adopting ESG practices e</w:t>
      </w:r>
      <w:r w:rsidR="008C130F">
        <w:rPr>
          <w:rFonts w:ascii="Times New Roman" w:hAnsi="Times New Roman" w:cs="Times New Roman"/>
          <w:sz w:val="24"/>
          <w:szCs w:val="24"/>
          <w:lang w:val="en-US"/>
        </w:rPr>
        <w:t>xperience</w:t>
      </w:r>
      <w:r w:rsidRPr="005A171C">
        <w:rPr>
          <w:rFonts w:ascii="Times New Roman" w:hAnsi="Times New Roman" w:cs="Times New Roman"/>
          <w:sz w:val="24"/>
          <w:szCs w:val="24"/>
          <w:lang w:val="en-US"/>
        </w:rPr>
        <w:t xml:space="preserve"> lower volatility, greater stability, and lower risk. They analyze the impact of corporate social performance on companies</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market risk, which directly influences market value. The results indicate that corporate social performance tends to reduce risk, but the effects vary according to the nature of the actions implemented. Environmental practices more frequent</w:t>
      </w:r>
      <w:r w:rsidR="008C130F">
        <w:rPr>
          <w:rFonts w:ascii="Times New Roman" w:hAnsi="Times New Roman" w:cs="Times New Roman"/>
          <w:sz w:val="24"/>
          <w:szCs w:val="24"/>
          <w:lang w:val="en-US"/>
        </w:rPr>
        <w:t>ly</w:t>
      </w:r>
      <w:r w:rsidRPr="005A171C">
        <w:rPr>
          <w:rFonts w:ascii="Times New Roman" w:hAnsi="Times New Roman" w:cs="Times New Roman"/>
          <w:sz w:val="24"/>
          <w:szCs w:val="24"/>
          <w:lang w:val="en-US"/>
        </w:rPr>
        <w:t xml:space="preserve"> impact on the idiosyncratic risk of companies in general, while in the other two types of risk (systematic and total) only industries </w:t>
      </w:r>
      <w:r w:rsidR="008C130F">
        <w:rPr>
          <w:rFonts w:ascii="Times New Roman" w:hAnsi="Times New Roman" w:cs="Times New Roman"/>
          <w:sz w:val="24"/>
          <w:szCs w:val="24"/>
          <w:lang w:val="en-US"/>
        </w:rPr>
        <w:t>with</w:t>
      </w:r>
      <w:r w:rsidRPr="005A171C">
        <w:rPr>
          <w:rFonts w:ascii="Times New Roman" w:hAnsi="Times New Roman" w:cs="Times New Roman"/>
          <w:sz w:val="24"/>
          <w:szCs w:val="24"/>
          <w:lang w:val="en-US"/>
        </w:rPr>
        <w:t xml:space="preserve"> some relationship </w:t>
      </w:r>
      <w:r w:rsidR="008C130F">
        <w:rPr>
          <w:rFonts w:ascii="Times New Roman" w:hAnsi="Times New Roman" w:cs="Times New Roman"/>
          <w:sz w:val="24"/>
          <w:szCs w:val="24"/>
          <w:lang w:val="en-US"/>
        </w:rPr>
        <w:t>to</w:t>
      </w:r>
      <w:r w:rsidRPr="005A171C">
        <w:rPr>
          <w:rFonts w:ascii="Times New Roman" w:hAnsi="Times New Roman" w:cs="Times New Roman"/>
          <w:sz w:val="24"/>
          <w:szCs w:val="24"/>
          <w:lang w:val="en-US"/>
        </w:rPr>
        <w:t xml:space="preserve"> the environment were affected. Governance actions </w:t>
      </w:r>
      <w:r w:rsidR="00B7763B">
        <w:rPr>
          <w:rFonts w:ascii="Times New Roman" w:hAnsi="Times New Roman" w:cs="Times New Roman"/>
          <w:sz w:val="24"/>
          <w:szCs w:val="24"/>
          <w:lang w:val="en-US"/>
        </w:rPr>
        <w:t xml:space="preserve">did not </w:t>
      </w:r>
      <w:r w:rsidRPr="005A171C">
        <w:rPr>
          <w:rFonts w:ascii="Times New Roman" w:hAnsi="Times New Roman" w:cs="Times New Roman"/>
          <w:sz w:val="24"/>
          <w:szCs w:val="24"/>
          <w:lang w:val="en-US"/>
        </w:rPr>
        <w:t>show</w:t>
      </w:r>
      <w:r w:rsidR="00B7763B">
        <w:rPr>
          <w:rFonts w:ascii="Times New Roman" w:hAnsi="Times New Roman" w:cs="Times New Roman"/>
          <w:sz w:val="24"/>
          <w:szCs w:val="24"/>
          <w:lang w:val="en-US"/>
        </w:rPr>
        <w:t xml:space="preserve"> any</w:t>
      </w:r>
      <w:r w:rsidRPr="005A171C">
        <w:rPr>
          <w:rFonts w:ascii="Times New Roman" w:hAnsi="Times New Roman" w:cs="Times New Roman"/>
          <w:sz w:val="24"/>
          <w:szCs w:val="24"/>
          <w:lang w:val="en-US"/>
        </w:rPr>
        <w:t xml:space="preserve"> effect on risk.</w:t>
      </w:r>
    </w:p>
    <w:p w14:paraId="43AD8A3D" w14:textId="27377559"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As previously demonstrated in the theoretical framework, lower risk leads to a reduced cost of capital, which</w:t>
      </w:r>
      <w:r w:rsidR="00F34E5A">
        <w:rPr>
          <w:rFonts w:ascii="Times New Roman" w:hAnsi="Times New Roman" w:cs="Times New Roman"/>
          <w:sz w:val="24"/>
          <w:szCs w:val="24"/>
          <w:lang w:val="en-US"/>
        </w:rPr>
        <w:t xml:space="preserve">, </w:t>
      </w:r>
      <w:r w:rsidRPr="005A171C">
        <w:rPr>
          <w:rFonts w:ascii="Times New Roman" w:hAnsi="Times New Roman" w:cs="Times New Roman"/>
          <w:sz w:val="24"/>
          <w:szCs w:val="24"/>
          <w:lang w:val="en-US"/>
        </w:rPr>
        <w:t>in turn</w:t>
      </w:r>
      <w:r w:rsidR="00F34E5A">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increases company value (Damodaran, 2007). Studies</w:t>
      </w:r>
      <w:r w:rsidR="00B7763B">
        <w:rPr>
          <w:rFonts w:ascii="Times New Roman" w:hAnsi="Times New Roman" w:cs="Times New Roman"/>
          <w:sz w:val="24"/>
          <w:szCs w:val="24"/>
          <w:lang w:val="en-US"/>
        </w:rPr>
        <w:t xml:space="preserve"> analyzing</w:t>
      </w:r>
      <w:r w:rsidRPr="005A171C">
        <w:rPr>
          <w:rFonts w:ascii="Times New Roman" w:hAnsi="Times New Roman" w:cs="Times New Roman"/>
          <w:sz w:val="24"/>
          <w:szCs w:val="24"/>
          <w:lang w:val="en-US"/>
        </w:rPr>
        <w:t xml:space="preserve"> this effect directly</w:t>
      </w:r>
      <w:r w:rsidR="00B7763B">
        <w:rPr>
          <w:rFonts w:ascii="Times New Roman" w:hAnsi="Times New Roman" w:cs="Times New Roman"/>
          <w:sz w:val="24"/>
          <w:szCs w:val="24"/>
          <w:lang w:val="en-US"/>
        </w:rPr>
        <w:t xml:space="preserve"> – rather than solely through the lens of risk – mostly present convergent results</w:t>
      </w:r>
      <w:r w:rsidRPr="005A171C">
        <w:rPr>
          <w:rFonts w:ascii="Times New Roman" w:hAnsi="Times New Roman" w:cs="Times New Roman"/>
          <w:sz w:val="24"/>
          <w:szCs w:val="24"/>
          <w:lang w:val="en-US"/>
        </w:rPr>
        <w:t>, indicating that companies adopting sustainable practices tend to have a lower cost of capital (Gillan et al., 2021). Th</w:t>
      </w:r>
      <w:r w:rsidR="00B7763B">
        <w:rPr>
          <w:rFonts w:ascii="Times New Roman" w:hAnsi="Times New Roman" w:cs="Times New Roman"/>
          <w:sz w:val="24"/>
          <w:szCs w:val="24"/>
          <w:lang w:val="en-US"/>
        </w:rPr>
        <w:t>erefore</w:t>
      </w:r>
      <w:r w:rsidRPr="005A171C">
        <w:rPr>
          <w:rFonts w:ascii="Times New Roman" w:hAnsi="Times New Roman" w:cs="Times New Roman"/>
          <w:sz w:val="24"/>
          <w:szCs w:val="24"/>
          <w:lang w:val="en-US"/>
        </w:rPr>
        <w:t xml:space="preserve">, </w:t>
      </w:r>
      <w:r w:rsidR="00B7763B">
        <w:rPr>
          <w:rFonts w:ascii="Times New Roman" w:hAnsi="Times New Roman" w:cs="Times New Roman"/>
          <w:sz w:val="24"/>
          <w:szCs w:val="24"/>
          <w:lang w:val="en-US"/>
        </w:rPr>
        <w:t>the evidence suggests</w:t>
      </w:r>
      <w:r w:rsidRPr="005A171C">
        <w:rPr>
          <w:rFonts w:ascii="Times New Roman" w:hAnsi="Times New Roman" w:cs="Times New Roman"/>
          <w:sz w:val="24"/>
          <w:szCs w:val="24"/>
          <w:lang w:val="en-US"/>
        </w:rPr>
        <w:t xml:space="preserve"> that the adoption of sustainable practices strengthens intangible assets and reduces </w:t>
      </w:r>
      <w:r w:rsidR="00B7763B">
        <w:rPr>
          <w:rFonts w:ascii="Times New Roman" w:hAnsi="Times New Roman" w:cs="Times New Roman"/>
          <w:sz w:val="24"/>
          <w:szCs w:val="24"/>
          <w:lang w:val="en-US"/>
        </w:rPr>
        <w:t xml:space="preserve">the </w:t>
      </w:r>
      <w:r w:rsidRPr="005A171C">
        <w:rPr>
          <w:rFonts w:ascii="Times New Roman" w:hAnsi="Times New Roman" w:cs="Times New Roman"/>
          <w:sz w:val="24"/>
          <w:szCs w:val="24"/>
          <w:lang w:val="en-US"/>
        </w:rPr>
        <w:t>market</w:t>
      </w:r>
      <w:r w:rsidR="00B7763B">
        <w:rPr>
          <w:rFonts w:ascii="Times New Roman" w:hAnsi="Times New Roman" w:cs="Times New Roman"/>
          <w:sz w:val="24"/>
          <w:szCs w:val="24"/>
          <w:lang w:val="en-US"/>
        </w:rPr>
        <w:t>’s</w:t>
      </w:r>
      <w:r w:rsidRPr="005A171C">
        <w:rPr>
          <w:rFonts w:ascii="Times New Roman" w:hAnsi="Times New Roman" w:cs="Times New Roman"/>
          <w:sz w:val="24"/>
          <w:szCs w:val="24"/>
          <w:lang w:val="en-US"/>
        </w:rPr>
        <w:t xml:space="preserve"> perception of risk, contributing to company valuation.</w:t>
      </w:r>
    </w:p>
    <w:p w14:paraId="08F4F7E6" w14:textId="156988CB" w:rsid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The incorporation of sustainable practices can positively impact a company</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s value </w:t>
      </w:r>
      <w:r w:rsidR="00130C45">
        <w:rPr>
          <w:rFonts w:ascii="Times New Roman" w:hAnsi="Times New Roman" w:cs="Times New Roman"/>
          <w:sz w:val="24"/>
          <w:szCs w:val="24"/>
          <w:lang w:val="en-US"/>
        </w:rPr>
        <w:t xml:space="preserve">through </w:t>
      </w:r>
      <w:r w:rsidRPr="005A171C">
        <w:rPr>
          <w:rFonts w:ascii="Times New Roman" w:hAnsi="Times New Roman" w:cs="Times New Roman"/>
          <w:sz w:val="24"/>
          <w:szCs w:val="24"/>
          <w:lang w:val="en-US"/>
        </w:rPr>
        <w:t xml:space="preserve">various </w:t>
      </w:r>
      <w:r w:rsidR="00130C45">
        <w:rPr>
          <w:rFonts w:ascii="Times New Roman" w:hAnsi="Times New Roman" w:cs="Times New Roman"/>
          <w:sz w:val="24"/>
          <w:szCs w:val="24"/>
          <w:lang w:val="en-US"/>
        </w:rPr>
        <w:t>mechanisms</w:t>
      </w:r>
      <w:r w:rsidRPr="005A171C">
        <w:rPr>
          <w:rFonts w:ascii="Times New Roman" w:hAnsi="Times New Roman" w:cs="Times New Roman"/>
          <w:sz w:val="24"/>
          <w:szCs w:val="24"/>
          <w:lang w:val="en-US"/>
        </w:rPr>
        <w:t xml:space="preserve">. Gillan et al. (2021), </w:t>
      </w:r>
      <w:r w:rsidR="00130C45">
        <w:rPr>
          <w:rFonts w:ascii="Times New Roman" w:hAnsi="Times New Roman" w:cs="Times New Roman"/>
          <w:sz w:val="24"/>
          <w:szCs w:val="24"/>
          <w:lang w:val="en-US"/>
        </w:rPr>
        <w:t>in</w:t>
      </w:r>
      <w:r w:rsidRPr="005A171C">
        <w:rPr>
          <w:rFonts w:ascii="Times New Roman" w:hAnsi="Times New Roman" w:cs="Times New Roman"/>
          <w:sz w:val="24"/>
          <w:szCs w:val="24"/>
          <w:lang w:val="en-US"/>
        </w:rPr>
        <w:t xml:space="preserve"> an extensive literature review, highlight </w:t>
      </w:r>
      <w:r w:rsidR="00130C45">
        <w:rPr>
          <w:rFonts w:ascii="Times New Roman" w:hAnsi="Times New Roman" w:cs="Times New Roman"/>
          <w:sz w:val="24"/>
          <w:szCs w:val="24"/>
          <w:lang w:val="en-US"/>
        </w:rPr>
        <w:t>three</w:t>
      </w:r>
      <w:r w:rsidRPr="005A171C">
        <w:rPr>
          <w:rFonts w:ascii="Times New Roman" w:hAnsi="Times New Roman" w:cs="Times New Roman"/>
          <w:sz w:val="24"/>
          <w:szCs w:val="24"/>
          <w:lang w:val="en-US"/>
        </w:rPr>
        <w:t xml:space="preserve"> main </w:t>
      </w:r>
      <w:r w:rsidR="00130C45">
        <w:rPr>
          <w:rFonts w:ascii="Times New Roman" w:hAnsi="Times New Roman" w:cs="Times New Roman"/>
          <w:sz w:val="24"/>
          <w:szCs w:val="24"/>
          <w:lang w:val="en-US"/>
        </w:rPr>
        <w:t>factor</w:t>
      </w:r>
      <w:r w:rsidRPr="005A171C">
        <w:rPr>
          <w:rFonts w:ascii="Times New Roman" w:hAnsi="Times New Roman" w:cs="Times New Roman"/>
          <w:sz w:val="24"/>
          <w:szCs w:val="24"/>
          <w:lang w:val="en-US"/>
        </w:rPr>
        <w:t xml:space="preserve">s: value creation for stakeholders, which drives financial performance; reduction </w:t>
      </w:r>
      <w:r w:rsidR="00130C45">
        <w:rPr>
          <w:rFonts w:ascii="Times New Roman" w:hAnsi="Times New Roman" w:cs="Times New Roman"/>
          <w:sz w:val="24"/>
          <w:szCs w:val="24"/>
          <w:lang w:val="en-US"/>
        </w:rPr>
        <w:t>in</w:t>
      </w:r>
      <w:r w:rsidRPr="005A171C">
        <w:rPr>
          <w:rFonts w:ascii="Times New Roman" w:hAnsi="Times New Roman" w:cs="Times New Roman"/>
          <w:sz w:val="24"/>
          <w:szCs w:val="24"/>
          <w:lang w:val="en-US"/>
        </w:rPr>
        <w:t xml:space="preserve"> the cost of capital, resulting from shareholders</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perception of lower risk; and increased shareholder utility, especially when their preferences align with the benefits generated by the </w:t>
      </w:r>
      <w:r w:rsidR="00130C45">
        <w:rPr>
          <w:rFonts w:ascii="Times New Roman" w:hAnsi="Times New Roman" w:cs="Times New Roman"/>
          <w:sz w:val="24"/>
          <w:szCs w:val="24"/>
          <w:lang w:val="en-US"/>
        </w:rPr>
        <w:t xml:space="preserve">company’s </w:t>
      </w:r>
      <w:r w:rsidRPr="005A171C">
        <w:rPr>
          <w:rFonts w:ascii="Times New Roman" w:hAnsi="Times New Roman" w:cs="Times New Roman"/>
          <w:sz w:val="24"/>
          <w:szCs w:val="24"/>
          <w:lang w:val="en-US"/>
        </w:rPr>
        <w:t>ESG practice</w:t>
      </w:r>
      <w:r w:rsidR="00130C45">
        <w:rPr>
          <w:rFonts w:ascii="Times New Roman" w:hAnsi="Times New Roman" w:cs="Times New Roman"/>
          <w:sz w:val="24"/>
          <w:szCs w:val="24"/>
          <w:lang w:val="en-US"/>
        </w:rPr>
        <w:t>s</w:t>
      </w:r>
      <w:r w:rsidRPr="005A171C">
        <w:rPr>
          <w:rFonts w:ascii="Times New Roman" w:hAnsi="Times New Roman" w:cs="Times New Roman"/>
          <w:sz w:val="24"/>
          <w:szCs w:val="24"/>
          <w:lang w:val="en-US"/>
        </w:rPr>
        <w:t>. The authors</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findings confirm that the</w:t>
      </w:r>
      <w:r w:rsidR="00130C45">
        <w:rPr>
          <w:rFonts w:ascii="Times New Roman" w:hAnsi="Times New Roman" w:cs="Times New Roman"/>
          <w:sz w:val="24"/>
          <w:szCs w:val="24"/>
          <w:lang w:val="en-US"/>
        </w:rPr>
        <w:t>se</w:t>
      </w:r>
      <w:r w:rsidRPr="005A171C">
        <w:rPr>
          <w:rFonts w:ascii="Times New Roman" w:hAnsi="Times New Roman" w:cs="Times New Roman"/>
          <w:sz w:val="24"/>
          <w:szCs w:val="24"/>
          <w:lang w:val="en-US"/>
        </w:rPr>
        <w:t xml:space="preserve"> mechanisms </w:t>
      </w:r>
      <w:r w:rsidR="00130C45">
        <w:rPr>
          <w:rFonts w:ascii="Times New Roman" w:hAnsi="Times New Roman" w:cs="Times New Roman"/>
          <w:sz w:val="24"/>
          <w:szCs w:val="24"/>
          <w:lang w:val="en-US"/>
        </w:rPr>
        <w:t xml:space="preserve">– </w:t>
      </w:r>
      <w:r w:rsidRPr="005A171C">
        <w:rPr>
          <w:rFonts w:ascii="Times New Roman" w:hAnsi="Times New Roman" w:cs="Times New Roman"/>
          <w:sz w:val="24"/>
          <w:szCs w:val="24"/>
          <w:lang w:val="en-US"/>
        </w:rPr>
        <w:t xml:space="preserve">discussed in theory </w:t>
      </w:r>
      <w:r w:rsidR="00130C45">
        <w:rPr>
          <w:rFonts w:ascii="Times New Roman" w:hAnsi="Times New Roman" w:cs="Times New Roman"/>
          <w:sz w:val="24"/>
          <w:szCs w:val="24"/>
          <w:lang w:val="en-US"/>
        </w:rPr>
        <w:t xml:space="preserve">– </w:t>
      </w:r>
      <w:r w:rsidRPr="005A171C">
        <w:rPr>
          <w:rFonts w:ascii="Times New Roman" w:hAnsi="Times New Roman" w:cs="Times New Roman"/>
          <w:sz w:val="24"/>
          <w:szCs w:val="24"/>
          <w:lang w:val="en-US"/>
        </w:rPr>
        <w:t xml:space="preserve">are indeed those that </w:t>
      </w:r>
      <w:r w:rsidR="00130C45">
        <w:rPr>
          <w:rFonts w:ascii="Times New Roman" w:hAnsi="Times New Roman" w:cs="Times New Roman"/>
          <w:sz w:val="24"/>
          <w:szCs w:val="24"/>
          <w:lang w:val="en-US"/>
        </w:rPr>
        <w:t xml:space="preserve">contribute to </w:t>
      </w:r>
      <w:r w:rsidRPr="005A171C">
        <w:rPr>
          <w:rFonts w:ascii="Times New Roman" w:hAnsi="Times New Roman" w:cs="Times New Roman"/>
          <w:sz w:val="24"/>
          <w:szCs w:val="24"/>
          <w:lang w:val="en-US"/>
        </w:rPr>
        <w:t>increas</w:t>
      </w:r>
      <w:r w:rsidR="00130C45">
        <w:rPr>
          <w:rFonts w:ascii="Times New Roman" w:hAnsi="Times New Roman" w:cs="Times New Roman"/>
          <w:sz w:val="24"/>
          <w:szCs w:val="24"/>
          <w:lang w:val="en-US"/>
        </w:rPr>
        <w:t>ing</w:t>
      </w:r>
      <w:r w:rsidRPr="005A171C">
        <w:rPr>
          <w:rFonts w:ascii="Times New Roman" w:hAnsi="Times New Roman" w:cs="Times New Roman"/>
          <w:sz w:val="24"/>
          <w:szCs w:val="24"/>
          <w:lang w:val="en-US"/>
        </w:rPr>
        <w:t xml:space="preserve"> company value </w:t>
      </w:r>
      <w:r w:rsidR="00130C45">
        <w:rPr>
          <w:rFonts w:ascii="Times New Roman" w:hAnsi="Times New Roman" w:cs="Times New Roman"/>
          <w:sz w:val="24"/>
          <w:szCs w:val="24"/>
          <w:lang w:val="en-US"/>
        </w:rPr>
        <w:t>through</w:t>
      </w:r>
      <w:r w:rsidRPr="005A171C">
        <w:rPr>
          <w:rFonts w:ascii="Times New Roman" w:hAnsi="Times New Roman" w:cs="Times New Roman"/>
          <w:sz w:val="24"/>
          <w:szCs w:val="24"/>
          <w:lang w:val="en-US"/>
        </w:rPr>
        <w:t xml:space="preserve"> the adoption of sustainable practices.</w:t>
      </w:r>
    </w:p>
    <w:p w14:paraId="729D1846" w14:textId="11A6BC6D" w:rsidR="005A171C" w:rsidRPr="005A171C" w:rsidRDefault="005A171C" w:rsidP="005A17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A171C">
        <w:rPr>
          <w:rFonts w:ascii="Times New Roman" w:hAnsi="Times New Roman" w:cs="Times New Roman"/>
          <w:sz w:val="24"/>
          <w:szCs w:val="24"/>
          <w:lang w:val="en-US"/>
        </w:rPr>
        <w:t>The focus of this study is to empirically investigate how the application of sustainable, social, and governance actions impacts company value. The understanding that this influence can be positive reinforces organizations</w:t>
      </w:r>
      <w:r>
        <w:rPr>
          <w:rFonts w:ascii="Times New Roman" w:hAnsi="Times New Roman" w:cs="Times New Roman"/>
          <w:sz w:val="24"/>
          <w:szCs w:val="24"/>
          <w:lang w:val="en-US"/>
        </w:rPr>
        <w:t>’</w:t>
      </w:r>
      <w:r w:rsidRPr="005A171C">
        <w:rPr>
          <w:rFonts w:ascii="Times New Roman" w:hAnsi="Times New Roman" w:cs="Times New Roman"/>
          <w:sz w:val="24"/>
          <w:szCs w:val="24"/>
          <w:lang w:val="en-US"/>
        </w:rPr>
        <w:t xml:space="preserve"> confidence in adopting these practices. Company value is the </w:t>
      </w:r>
      <w:r w:rsidR="00130C45">
        <w:rPr>
          <w:rFonts w:ascii="Times New Roman" w:hAnsi="Times New Roman" w:cs="Times New Roman"/>
          <w:sz w:val="24"/>
          <w:szCs w:val="24"/>
          <w:lang w:val="en-US"/>
        </w:rPr>
        <w:t>primary</w:t>
      </w:r>
      <w:r w:rsidRPr="005A171C">
        <w:rPr>
          <w:rFonts w:ascii="Times New Roman" w:hAnsi="Times New Roman" w:cs="Times New Roman"/>
          <w:sz w:val="24"/>
          <w:szCs w:val="24"/>
          <w:lang w:val="en-US"/>
        </w:rPr>
        <w:t xml:space="preserve"> interest of shareholders as it is a comprehensive indicator and, consequently, becomes the central focus of organizations</w:t>
      </w:r>
      <w:r w:rsidR="00130C45">
        <w:rPr>
          <w:rFonts w:ascii="Times New Roman" w:hAnsi="Times New Roman" w:cs="Times New Roman"/>
          <w:sz w:val="24"/>
          <w:szCs w:val="24"/>
          <w:lang w:val="en-US"/>
        </w:rPr>
        <w:t xml:space="preserve"> as well</w:t>
      </w:r>
      <w:r w:rsidRPr="005A171C">
        <w:rPr>
          <w:rFonts w:ascii="Times New Roman" w:hAnsi="Times New Roman" w:cs="Times New Roman"/>
          <w:sz w:val="24"/>
          <w:szCs w:val="24"/>
          <w:lang w:val="en-US"/>
        </w:rPr>
        <w:t xml:space="preserve"> (Damodaran, 2012). Although previous studies have already analyzed the impact of ESG practices on financial performance and market value of companies, this research seeks to deepen this relationship by initially examining the direct effect on market value. </w:t>
      </w:r>
      <w:r w:rsidR="00130C45">
        <w:rPr>
          <w:rFonts w:ascii="Times New Roman" w:hAnsi="Times New Roman" w:cs="Times New Roman"/>
          <w:sz w:val="24"/>
          <w:szCs w:val="24"/>
          <w:lang w:val="en-US"/>
        </w:rPr>
        <w:t>Building on this foundation</w:t>
      </w:r>
      <w:r w:rsidRPr="005A171C">
        <w:rPr>
          <w:rFonts w:ascii="Times New Roman" w:hAnsi="Times New Roman" w:cs="Times New Roman"/>
          <w:sz w:val="24"/>
          <w:szCs w:val="24"/>
          <w:lang w:val="en-US"/>
        </w:rPr>
        <w:t xml:space="preserve">, the analysis will be expanded </w:t>
      </w:r>
      <w:r w:rsidR="00130C45">
        <w:rPr>
          <w:rFonts w:ascii="Times New Roman" w:hAnsi="Times New Roman" w:cs="Times New Roman"/>
          <w:sz w:val="24"/>
          <w:szCs w:val="24"/>
          <w:lang w:val="en-US"/>
        </w:rPr>
        <w:t xml:space="preserve">by </w:t>
      </w:r>
      <w:r w:rsidRPr="005A171C">
        <w:rPr>
          <w:rFonts w:ascii="Times New Roman" w:hAnsi="Times New Roman" w:cs="Times New Roman"/>
          <w:sz w:val="24"/>
          <w:szCs w:val="24"/>
          <w:lang w:val="en-US"/>
        </w:rPr>
        <w:t>introducin</w:t>
      </w:r>
      <w:r w:rsidR="00130C45">
        <w:rPr>
          <w:rFonts w:ascii="Times New Roman" w:hAnsi="Times New Roman" w:cs="Times New Roman"/>
          <w:sz w:val="24"/>
          <w:szCs w:val="24"/>
          <w:lang w:val="en-US"/>
        </w:rPr>
        <w:t xml:space="preserve">g </w:t>
      </w:r>
      <w:r w:rsidRPr="005A171C">
        <w:rPr>
          <w:rFonts w:ascii="Times New Roman" w:hAnsi="Times New Roman" w:cs="Times New Roman"/>
          <w:sz w:val="24"/>
          <w:szCs w:val="24"/>
          <w:lang w:val="en-US"/>
        </w:rPr>
        <w:t xml:space="preserve">moderators, such as organizational culture and Shared Value, </w:t>
      </w:r>
      <w:r w:rsidR="00130C45">
        <w:rPr>
          <w:rFonts w:ascii="Times New Roman" w:hAnsi="Times New Roman" w:cs="Times New Roman"/>
          <w:sz w:val="24"/>
          <w:szCs w:val="24"/>
          <w:lang w:val="en-US"/>
        </w:rPr>
        <w:t>provid</w:t>
      </w:r>
      <w:r w:rsidRPr="005A171C">
        <w:rPr>
          <w:rFonts w:ascii="Times New Roman" w:hAnsi="Times New Roman" w:cs="Times New Roman"/>
          <w:sz w:val="24"/>
          <w:szCs w:val="24"/>
          <w:lang w:val="en-US"/>
        </w:rPr>
        <w:t xml:space="preserve">ing an innovative </w:t>
      </w:r>
      <w:r w:rsidR="00130C45">
        <w:rPr>
          <w:rFonts w:ascii="Times New Roman" w:hAnsi="Times New Roman" w:cs="Times New Roman"/>
          <w:sz w:val="24"/>
          <w:szCs w:val="24"/>
          <w:lang w:val="en-US"/>
        </w:rPr>
        <w:t>contribution to</w:t>
      </w:r>
      <w:r w:rsidRPr="005A171C">
        <w:rPr>
          <w:rFonts w:ascii="Times New Roman" w:hAnsi="Times New Roman" w:cs="Times New Roman"/>
          <w:sz w:val="24"/>
          <w:szCs w:val="24"/>
          <w:lang w:val="en-US"/>
        </w:rPr>
        <w:t xml:space="preserve"> the study. Thus, the first hypothesis is constructed:</w:t>
      </w:r>
    </w:p>
    <w:p w14:paraId="60576165" w14:textId="4497517A" w:rsidR="005A171C" w:rsidRDefault="005A171C" w:rsidP="005A171C">
      <w:pPr>
        <w:spacing w:line="360" w:lineRule="auto"/>
        <w:jc w:val="both"/>
        <w:rPr>
          <w:rFonts w:ascii="Times New Roman" w:hAnsi="Times New Roman" w:cs="Times New Roman"/>
          <w:b/>
          <w:bCs/>
          <w:sz w:val="24"/>
          <w:szCs w:val="24"/>
          <w:lang w:val="en-US"/>
        </w:rPr>
      </w:pPr>
      <w:r w:rsidRPr="005A171C">
        <w:rPr>
          <w:rFonts w:ascii="Times New Roman" w:hAnsi="Times New Roman" w:cs="Times New Roman"/>
          <w:b/>
          <w:bCs/>
          <w:sz w:val="24"/>
          <w:szCs w:val="24"/>
          <w:lang w:val="en-US"/>
        </w:rPr>
        <w:tab/>
        <w:t>H1: The adoption of ESG practices within organizations increases their market value.</w:t>
      </w:r>
    </w:p>
    <w:p w14:paraId="14773F80" w14:textId="1AB3FE09" w:rsidR="005A171C" w:rsidRPr="005A171C" w:rsidRDefault="005A171C" w:rsidP="005A171C">
      <w:pPr>
        <w:pStyle w:val="PargrafodaLista"/>
        <w:numPr>
          <w:ilvl w:val="1"/>
          <w:numId w:val="1"/>
        </w:numPr>
        <w:spacing w:line="360" w:lineRule="auto"/>
        <w:jc w:val="both"/>
        <w:rPr>
          <w:rFonts w:ascii="Times New Roman" w:hAnsi="Times New Roman" w:cs="Times New Roman"/>
          <w:b/>
          <w:bCs/>
          <w:sz w:val="24"/>
          <w:szCs w:val="24"/>
          <w:lang w:val="en-US"/>
        </w:rPr>
      </w:pPr>
      <w:r w:rsidRPr="00895311">
        <w:rPr>
          <w:rFonts w:ascii="Times New Roman" w:hAnsi="Times New Roman" w:cs="Times New Roman"/>
          <w:sz w:val="24"/>
          <w:szCs w:val="24"/>
          <w:lang w:val="en-US"/>
        </w:rPr>
        <w:t xml:space="preserve"> </w:t>
      </w:r>
      <w:r w:rsidRPr="005A171C">
        <w:rPr>
          <w:rFonts w:ascii="Times New Roman" w:hAnsi="Times New Roman" w:cs="Times New Roman"/>
          <w:b/>
          <w:bCs/>
          <w:sz w:val="24"/>
          <w:szCs w:val="24"/>
        </w:rPr>
        <w:t>Shared Value</w:t>
      </w:r>
    </w:p>
    <w:p w14:paraId="640110FE" w14:textId="202E89E4"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EA271B">
        <w:rPr>
          <w:rFonts w:ascii="Times New Roman" w:hAnsi="Times New Roman" w:cs="Times New Roman"/>
          <w:sz w:val="24"/>
          <w:szCs w:val="24"/>
          <w:lang w:val="en-US"/>
        </w:rPr>
        <w:t xml:space="preserve">At this initial </w:t>
      </w:r>
      <w:r w:rsidR="00130C45">
        <w:rPr>
          <w:rFonts w:ascii="Times New Roman" w:hAnsi="Times New Roman" w:cs="Times New Roman"/>
          <w:sz w:val="24"/>
          <w:szCs w:val="24"/>
          <w:lang w:val="en-US"/>
        </w:rPr>
        <w:t>s</w:t>
      </w:r>
      <w:r w:rsidR="005A171C" w:rsidRPr="00EA271B">
        <w:rPr>
          <w:rFonts w:ascii="Times New Roman" w:hAnsi="Times New Roman" w:cs="Times New Roman"/>
          <w:sz w:val="24"/>
          <w:szCs w:val="24"/>
          <w:lang w:val="en-US"/>
        </w:rPr>
        <w:t>t</w:t>
      </w:r>
      <w:r w:rsidR="00130C45">
        <w:rPr>
          <w:rFonts w:ascii="Times New Roman" w:hAnsi="Times New Roman" w:cs="Times New Roman"/>
          <w:sz w:val="24"/>
          <w:szCs w:val="24"/>
          <w:lang w:val="en-US"/>
        </w:rPr>
        <w:t>age</w:t>
      </w:r>
      <w:r w:rsidR="005A171C" w:rsidRPr="00EA271B">
        <w:rPr>
          <w:rFonts w:ascii="Times New Roman" w:hAnsi="Times New Roman" w:cs="Times New Roman"/>
          <w:sz w:val="24"/>
          <w:szCs w:val="24"/>
          <w:lang w:val="en-US"/>
        </w:rPr>
        <w:t>, the analysis focuses on the direct impact of companies</w:t>
      </w:r>
      <w:r>
        <w:rPr>
          <w:rFonts w:ascii="Times New Roman" w:hAnsi="Times New Roman" w:cs="Times New Roman"/>
          <w:sz w:val="24"/>
          <w:szCs w:val="24"/>
          <w:lang w:val="en-US"/>
        </w:rPr>
        <w:t>’</w:t>
      </w:r>
      <w:r w:rsidR="005A171C" w:rsidRPr="00EA271B">
        <w:rPr>
          <w:rFonts w:ascii="Times New Roman" w:hAnsi="Times New Roman" w:cs="Times New Roman"/>
          <w:sz w:val="24"/>
          <w:szCs w:val="24"/>
          <w:lang w:val="en-US"/>
        </w:rPr>
        <w:t xml:space="preserve"> adoption of ESG practices on their market value, meaning it is </w:t>
      </w:r>
      <w:r w:rsidR="00130C45">
        <w:rPr>
          <w:rFonts w:ascii="Times New Roman" w:hAnsi="Times New Roman" w:cs="Times New Roman"/>
          <w:sz w:val="24"/>
          <w:szCs w:val="24"/>
          <w:lang w:val="en-US"/>
        </w:rPr>
        <w:t>entire</w:t>
      </w:r>
      <w:r w:rsidR="005A171C" w:rsidRPr="00EA271B">
        <w:rPr>
          <w:rFonts w:ascii="Times New Roman" w:hAnsi="Times New Roman" w:cs="Times New Roman"/>
          <w:sz w:val="24"/>
          <w:szCs w:val="24"/>
          <w:lang w:val="en-US"/>
        </w:rPr>
        <w:t xml:space="preserve">ly independent of the manner and </w:t>
      </w:r>
      <w:r w:rsidR="00130C45">
        <w:rPr>
          <w:rFonts w:ascii="Times New Roman" w:hAnsi="Times New Roman" w:cs="Times New Roman"/>
          <w:sz w:val="24"/>
          <w:szCs w:val="24"/>
          <w:lang w:val="en-US"/>
        </w:rPr>
        <w:t>co</w:t>
      </w:r>
      <w:r w:rsidR="005A171C" w:rsidRPr="00EA271B">
        <w:rPr>
          <w:rFonts w:ascii="Times New Roman" w:hAnsi="Times New Roman" w:cs="Times New Roman"/>
          <w:sz w:val="24"/>
          <w:szCs w:val="24"/>
          <w:lang w:val="en-US"/>
        </w:rPr>
        <w:t>nt</w:t>
      </w:r>
      <w:r w:rsidR="00130C45">
        <w:rPr>
          <w:rFonts w:ascii="Times New Roman" w:hAnsi="Times New Roman" w:cs="Times New Roman"/>
          <w:sz w:val="24"/>
          <w:szCs w:val="24"/>
          <w:lang w:val="en-US"/>
        </w:rPr>
        <w:t>ext</w:t>
      </w:r>
      <w:r w:rsidR="005A171C" w:rsidRPr="00EA271B">
        <w:rPr>
          <w:rFonts w:ascii="Times New Roman" w:hAnsi="Times New Roman" w:cs="Times New Roman"/>
          <w:sz w:val="24"/>
          <w:szCs w:val="24"/>
          <w:lang w:val="en-US"/>
        </w:rPr>
        <w:t xml:space="preserve"> in which this is applied. Regardless of whether through the internalization of existing negative externalities (Coase, 2013) or with the aim of mitigating possible structural and systemic externalities </w:t>
      </w:r>
      <w:r w:rsidR="00130C45">
        <w:rPr>
          <w:rFonts w:ascii="Times New Roman" w:hAnsi="Times New Roman" w:cs="Times New Roman"/>
          <w:sz w:val="24"/>
          <w:szCs w:val="24"/>
          <w:lang w:val="en-US"/>
        </w:rPr>
        <w:t xml:space="preserve">before the </w:t>
      </w:r>
      <w:r w:rsidR="005A171C" w:rsidRPr="00EA271B">
        <w:rPr>
          <w:rFonts w:ascii="Times New Roman" w:hAnsi="Times New Roman" w:cs="Times New Roman"/>
          <w:sz w:val="24"/>
          <w:szCs w:val="24"/>
          <w:lang w:val="en-US"/>
        </w:rPr>
        <w:t xml:space="preserve">damage </w:t>
      </w:r>
      <w:r w:rsidR="00130C45">
        <w:rPr>
          <w:rFonts w:ascii="Times New Roman" w:hAnsi="Times New Roman" w:cs="Times New Roman"/>
          <w:sz w:val="24"/>
          <w:szCs w:val="24"/>
          <w:lang w:val="en-US"/>
        </w:rPr>
        <w:t>is done</w:t>
      </w:r>
      <w:r w:rsidR="005A171C" w:rsidRPr="00EA271B">
        <w:rPr>
          <w:rFonts w:ascii="Times New Roman" w:hAnsi="Times New Roman" w:cs="Times New Roman"/>
          <w:sz w:val="24"/>
          <w:szCs w:val="24"/>
          <w:lang w:val="en-US"/>
        </w:rPr>
        <w:t xml:space="preserve"> (Raworth, 2018), the theoretical </w:t>
      </w:r>
      <w:r w:rsidR="00130C45">
        <w:rPr>
          <w:rFonts w:ascii="Times New Roman" w:hAnsi="Times New Roman" w:cs="Times New Roman"/>
          <w:sz w:val="24"/>
          <w:szCs w:val="24"/>
          <w:lang w:val="en-US"/>
        </w:rPr>
        <w:t>foundation</w:t>
      </w:r>
      <w:r w:rsidR="005A171C" w:rsidRPr="00EA271B">
        <w:rPr>
          <w:rFonts w:ascii="Times New Roman" w:hAnsi="Times New Roman" w:cs="Times New Roman"/>
          <w:sz w:val="24"/>
          <w:szCs w:val="24"/>
          <w:lang w:val="en-US"/>
        </w:rPr>
        <w:t xml:space="preserve"> indicates that the best way to resolve this issue is through actions </w:t>
      </w:r>
      <w:r w:rsidR="00130C45">
        <w:rPr>
          <w:rFonts w:ascii="Times New Roman" w:hAnsi="Times New Roman" w:cs="Times New Roman"/>
          <w:sz w:val="24"/>
          <w:szCs w:val="24"/>
          <w:lang w:val="en-US"/>
        </w:rPr>
        <w:t xml:space="preserve">initiated by </w:t>
      </w:r>
      <w:r w:rsidR="005A171C" w:rsidRPr="00EA271B">
        <w:rPr>
          <w:rFonts w:ascii="Times New Roman" w:hAnsi="Times New Roman" w:cs="Times New Roman"/>
          <w:sz w:val="24"/>
          <w:szCs w:val="24"/>
          <w:lang w:val="en-US"/>
        </w:rPr>
        <w:t>the companies themselves.</w:t>
      </w:r>
    </w:p>
    <w:p w14:paraId="60481B41" w14:textId="604DAA8B"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The inefficiency observed in the adoption of ESG practices, </w:t>
      </w:r>
      <w:r w:rsidR="00130C45">
        <w:rPr>
          <w:rFonts w:ascii="Times New Roman" w:hAnsi="Times New Roman" w:cs="Times New Roman"/>
          <w:sz w:val="24"/>
          <w:szCs w:val="24"/>
          <w:lang w:val="en-US"/>
        </w:rPr>
        <w:t xml:space="preserve">particularly </w:t>
      </w:r>
      <w:r w:rsidR="005A171C" w:rsidRPr="005A171C">
        <w:rPr>
          <w:rFonts w:ascii="Times New Roman" w:hAnsi="Times New Roman" w:cs="Times New Roman"/>
          <w:sz w:val="24"/>
          <w:szCs w:val="24"/>
          <w:lang w:val="en-US"/>
        </w:rPr>
        <w:t xml:space="preserve">regarding the implementation of effective actions to mitigate the negative collateral effects of economic activities, is directly related to how these practices are applied. Many companies still adopt a traditional Corporate Social Responsibility (CSR) approach </w:t>
      </w:r>
      <w:r w:rsidR="00130C45">
        <w:rPr>
          <w:rFonts w:ascii="Times New Roman" w:hAnsi="Times New Roman" w:cs="Times New Roman"/>
          <w:sz w:val="24"/>
          <w:szCs w:val="24"/>
          <w:lang w:val="en-US"/>
        </w:rPr>
        <w:t>which</w:t>
      </w:r>
      <w:r w:rsidR="005A171C" w:rsidRPr="005A171C">
        <w:rPr>
          <w:rFonts w:ascii="Times New Roman" w:hAnsi="Times New Roman" w:cs="Times New Roman"/>
          <w:sz w:val="24"/>
          <w:szCs w:val="24"/>
          <w:lang w:val="en-US"/>
        </w:rPr>
        <w:t xml:space="preserve"> predominantly focuses on </w:t>
      </w:r>
      <w:r w:rsidR="00130C45">
        <w:rPr>
          <w:rFonts w:ascii="Times New Roman" w:hAnsi="Times New Roman" w:cs="Times New Roman"/>
          <w:sz w:val="24"/>
          <w:szCs w:val="24"/>
          <w:lang w:val="en-US"/>
        </w:rPr>
        <w:t>enhanc</w:t>
      </w:r>
      <w:r w:rsidR="005A171C" w:rsidRPr="005A171C">
        <w:rPr>
          <w:rFonts w:ascii="Times New Roman" w:hAnsi="Times New Roman" w:cs="Times New Roman"/>
          <w:sz w:val="24"/>
          <w:szCs w:val="24"/>
          <w:lang w:val="en-US"/>
        </w:rPr>
        <w:t>ing corporate reputation</w:t>
      </w:r>
      <w:r w:rsidR="00130C45">
        <w:rPr>
          <w:rFonts w:ascii="Times New Roman" w:hAnsi="Times New Roman" w:cs="Times New Roman"/>
          <w:sz w:val="24"/>
          <w:szCs w:val="24"/>
          <w:lang w:val="en-US"/>
        </w:rPr>
        <w:t xml:space="preserve"> in response</w:t>
      </w:r>
      <w:r w:rsidR="005A171C" w:rsidRPr="005A171C">
        <w:rPr>
          <w:rFonts w:ascii="Times New Roman" w:hAnsi="Times New Roman" w:cs="Times New Roman"/>
          <w:sz w:val="24"/>
          <w:szCs w:val="24"/>
          <w:lang w:val="en-US"/>
        </w:rPr>
        <w:t xml:space="preserve"> to external pressures, mitigat</w:t>
      </w:r>
      <w:r w:rsidR="00130C45">
        <w:rPr>
          <w:rFonts w:ascii="Times New Roman" w:hAnsi="Times New Roman" w:cs="Times New Roman"/>
          <w:sz w:val="24"/>
          <w:szCs w:val="24"/>
          <w:lang w:val="en-US"/>
        </w:rPr>
        <w:t>ing</w:t>
      </w:r>
      <w:r w:rsidR="005A171C" w:rsidRPr="005A171C">
        <w:rPr>
          <w:rFonts w:ascii="Times New Roman" w:hAnsi="Times New Roman" w:cs="Times New Roman"/>
          <w:sz w:val="24"/>
          <w:szCs w:val="24"/>
          <w:lang w:val="en-US"/>
        </w:rPr>
        <w:t xml:space="preserve"> risks, and reduc</w:t>
      </w:r>
      <w:r w:rsidR="00130C45">
        <w:rPr>
          <w:rFonts w:ascii="Times New Roman" w:hAnsi="Times New Roman" w:cs="Times New Roman"/>
          <w:sz w:val="24"/>
          <w:szCs w:val="24"/>
          <w:lang w:val="en-US"/>
        </w:rPr>
        <w:t>ing</w:t>
      </w:r>
      <w:r w:rsidR="005A171C" w:rsidRPr="005A171C">
        <w:rPr>
          <w:rFonts w:ascii="Times New Roman" w:hAnsi="Times New Roman" w:cs="Times New Roman"/>
          <w:sz w:val="24"/>
          <w:szCs w:val="24"/>
          <w:lang w:val="en-US"/>
        </w:rPr>
        <w:t xml:space="preserve"> negative impacts without strategically integrating these actions. As a result, the benefits generate</w:t>
      </w:r>
      <w:r w:rsidR="00130C45">
        <w:rPr>
          <w:rFonts w:ascii="Times New Roman" w:hAnsi="Times New Roman" w:cs="Times New Roman"/>
          <w:sz w:val="24"/>
          <w:szCs w:val="24"/>
          <w:lang w:val="en-US"/>
        </w:rPr>
        <w:t>d –</w:t>
      </w:r>
      <w:r w:rsidR="005A171C" w:rsidRPr="005A171C">
        <w:rPr>
          <w:rFonts w:ascii="Times New Roman" w:hAnsi="Times New Roman" w:cs="Times New Roman"/>
          <w:sz w:val="24"/>
          <w:szCs w:val="24"/>
          <w:lang w:val="en-US"/>
        </w:rPr>
        <w:t xml:space="preserve"> if any</w:t>
      </w:r>
      <w:r w:rsidR="00130C45">
        <w:rPr>
          <w:rFonts w:ascii="Times New Roman" w:hAnsi="Times New Roman" w:cs="Times New Roman"/>
          <w:sz w:val="24"/>
          <w:szCs w:val="24"/>
          <w:lang w:val="en-US"/>
        </w:rPr>
        <w:t xml:space="preserve"> –</w:t>
      </w:r>
      <w:r w:rsidR="005A171C" w:rsidRPr="005A171C">
        <w:rPr>
          <w:rFonts w:ascii="Times New Roman" w:hAnsi="Times New Roman" w:cs="Times New Roman"/>
          <w:sz w:val="24"/>
          <w:szCs w:val="24"/>
          <w:lang w:val="en-US"/>
        </w:rPr>
        <w:t xml:space="preserve"> are limited, inefficient, and short-term, both for the company and for society and the environment (Porter et al., 2006).</w:t>
      </w:r>
    </w:p>
    <w:p w14:paraId="5765A4C9" w14:textId="18DAAEA3"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A more efficient approach involves prioritizing ESG practices that are materially relevant to the </w:t>
      </w:r>
      <w:r w:rsidR="00130C45">
        <w:rPr>
          <w:rFonts w:ascii="Times New Roman" w:hAnsi="Times New Roman" w:cs="Times New Roman"/>
          <w:sz w:val="24"/>
          <w:szCs w:val="24"/>
          <w:lang w:val="en-US"/>
        </w:rPr>
        <w:t xml:space="preserve">company’s </w:t>
      </w:r>
      <w:r w:rsidR="005A171C" w:rsidRPr="005A171C">
        <w:rPr>
          <w:rFonts w:ascii="Times New Roman" w:hAnsi="Times New Roman" w:cs="Times New Roman"/>
          <w:sz w:val="24"/>
          <w:szCs w:val="24"/>
          <w:lang w:val="en-US"/>
        </w:rPr>
        <w:t xml:space="preserve">strategy, </w:t>
      </w:r>
      <w:r w:rsidR="00130C45">
        <w:rPr>
          <w:rFonts w:ascii="Times New Roman" w:hAnsi="Times New Roman" w:cs="Times New Roman"/>
          <w:sz w:val="24"/>
          <w:szCs w:val="24"/>
          <w:lang w:val="en-US"/>
        </w:rPr>
        <w:t>rather than</w:t>
      </w:r>
      <w:r w:rsidR="005A171C" w:rsidRPr="005A171C">
        <w:rPr>
          <w:rFonts w:ascii="Times New Roman" w:hAnsi="Times New Roman" w:cs="Times New Roman"/>
          <w:sz w:val="24"/>
          <w:szCs w:val="24"/>
          <w:lang w:val="en-US"/>
        </w:rPr>
        <w:t xml:space="preserve"> adopting initiatives without solid foundation, aimed </w:t>
      </w:r>
      <w:r w:rsidR="00130C45">
        <w:rPr>
          <w:rFonts w:ascii="Times New Roman" w:hAnsi="Times New Roman" w:cs="Times New Roman"/>
          <w:sz w:val="24"/>
          <w:szCs w:val="24"/>
          <w:lang w:val="en-US"/>
        </w:rPr>
        <w:t>sole</w:t>
      </w:r>
      <w:r w:rsidR="005A171C" w:rsidRPr="005A171C">
        <w:rPr>
          <w:rFonts w:ascii="Times New Roman" w:hAnsi="Times New Roman" w:cs="Times New Roman"/>
          <w:sz w:val="24"/>
          <w:szCs w:val="24"/>
          <w:lang w:val="en-US"/>
        </w:rPr>
        <w:t xml:space="preserve">ly at improving market perception (Khan et al., 2016). A topic is considered material when it reflects significant economic, environmental, and social impacts (Global Reporting Initiative, 2021). In this context, financial materiality plays a fundamental role in directing organizations to the ESG themes that are most critical to their operations, enabling greater financial and competitive impact (Eccles &amp; Serafeim, 2013). Companies that develop their ESG strategies based on financial materiality tend to </w:t>
      </w:r>
      <w:r w:rsidR="00130C45">
        <w:rPr>
          <w:rFonts w:ascii="Times New Roman" w:hAnsi="Times New Roman" w:cs="Times New Roman"/>
          <w:sz w:val="24"/>
          <w:szCs w:val="24"/>
          <w:lang w:val="en-US"/>
        </w:rPr>
        <w:t>demonstrate</w:t>
      </w:r>
      <w:r w:rsidR="005A171C" w:rsidRPr="005A171C">
        <w:rPr>
          <w:rFonts w:ascii="Times New Roman" w:hAnsi="Times New Roman" w:cs="Times New Roman"/>
          <w:sz w:val="24"/>
          <w:szCs w:val="24"/>
          <w:lang w:val="en-US"/>
        </w:rPr>
        <w:t xml:space="preserve"> superior financial performance, as they </w:t>
      </w:r>
      <w:r w:rsidR="00130C45">
        <w:rPr>
          <w:rFonts w:ascii="Times New Roman" w:hAnsi="Times New Roman" w:cs="Times New Roman"/>
          <w:sz w:val="24"/>
          <w:szCs w:val="24"/>
          <w:lang w:val="en-US"/>
        </w:rPr>
        <w:t xml:space="preserve">focus </w:t>
      </w:r>
      <w:r w:rsidR="005A171C" w:rsidRPr="005A171C">
        <w:rPr>
          <w:rFonts w:ascii="Times New Roman" w:hAnsi="Times New Roman" w:cs="Times New Roman"/>
          <w:sz w:val="24"/>
          <w:szCs w:val="24"/>
          <w:lang w:val="en-US"/>
        </w:rPr>
        <w:t xml:space="preserve">exclusively </w:t>
      </w:r>
      <w:r w:rsidR="00130C45">
        <w:rPr>
          <w:rFonts w:ascii="Times New Roman" w:hAnsi="Times New Roman" w:cs="Times New Roman"/>
          <w:sz w:val="24"/>
          <w:szCs w:val="24"/>
          <w:lang w:val="en-US"/>
        </w:rPr>
        <w:t>on</w:t>
      </w:r>
      <w:r w:rsidR="005A171C" w:rsidRPr="005A171C">
        <w:rPr>
          <w:rFonts w:ascii="Times New Roman" w:hAnsi="Times New Roman" w:cs="Times New Roman"/>
          <w:sz w:val="24"/>
          <w:szCs w:val="24"/>
          <w:lang w:val="en-US"/>
        </w:rPr>
        <w:t xml:space="preserve"> relevant aspects with </w:t>
      </w:r>
      <w:r w:rsidR="00130C45">
        <w:rPr>
          <w:rFonts w:ascii="Times New Roman" w:hAnsi="Times New Roman" w:cs="Times New Roman"/>
          <w:sz w:val="24"/>
          <w:szCs w:val="24"/>
          <w:lang w:val="en-US"/>
        </w:rPr>
        <w:t xml:space="preserve">a </w:t>
      </w:r>
      <w:r w:rsidR="005A171C" w:rsidRPr="005A171C">
        <w:rPr>
          <w:rFonts w:ascii="Times New Roman" w:hAnsi="Times New Roman" w:cs="Times New Roman"/>
          <w:sz w:val="24"/>
          <w:szCs w:val="24"/>
          <w:lang w:val="en-US"/>
        </w:rPr>
        <w:t>greater business impact (Khan et al., 2016).</w:t>
      </w:r>
    </w:p>
    <w:p w14:paraId="075FD948" w14:textId="3C51FB18" w:rsidR="00EA271B" w:rsidRPr="00ED3D33"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Financial materiality </w:t>
      </w:r>
      <w:r w:rsidR="00130C45">
        <w:rPr>
          <w:rFonts w:ascii="Times New Roman" w:hAnsi="Times New Roman" w:cs="Times New Roman"/>
          <w:sz w:val="24"/>
          <w:szCs w:val="24"/>
          <w:lang w:val="en-US"/>
        </w:rPr>
        <w:t xml:space="preserve">focuses exclusively on the </w:t>
      </w:r>
      <w:r w:rsidR="005A171C" w:rsidRPr="005A171C">
        <w:rPr>
          <w:rFonts w:ascii="Times New Roman" w:hAnsi="Times New Roman" w:cs="Times New Roman"/>
          <w:sz w:val="24"/>
          <w:szCs w:val="24"/>
          <w:lang w:val="en-US"/>
        </w:rPr>
        <w:t xml:space="preserve">organization </w:t>
      </w:r>
      <w:r w:rsidR="00130C45">
        <w:rPr>
          <w:rFonts w:ascii="Times New Roman" w:hAnsi="Times New Roman" w:cs="Times New Roman"/>
          <w:sz w:val="24"/>
          <w:szCs w:val="24"/>
          <w:lang w:val="en-US"/>
        </w:rPr>
        <w:t xml:space="preserve">itself </w:t>
      </w:r>
      <w:r w:rsidR="005A171C" w:rsidRPr="005A171C">
        <w:rPr>
          <w:rFonts w:ascii="Times New Roman" w:hAnsi="Times New Roman" w:cs="Times New Roman"/>
          <w:sz w:val="24"/>
          <w:szCs w:val="24"/>
          <w:lang w:val="en-US"/>
        </w:rPr>
        <w:t xml:space="preserve">(Global Reporting Initiative, 2021). For example, consider an environmental regulation that imposes fines on companies that dump pollutants into rivers, or ethical consumers who choose not to consume products from these companies in response to such practices. </w:t>
      </w:r>
      <w:r w:rsidR="00130C45">
        <w:rPr>
          <w:rFonts w:ascii="Times New Roman" w:hAnsi="Times New Roman" w:cs="Times New Roman"/>
          <w:sz w:val="24"/>
          <w:szCs w:val="24"/>
          <w:lang w:val="en-US"/>
        </w:rPr>
        <w:t xml:space="preserve">In response to this </w:t>
      </w:r>
      <w:r w:rsidR="005A171C" w:rsidRPr="005A171C">
        <w:rPr>
          <w:rFonts w:ascii="Times New Roman" w:hAnsi="Times New Roman" w:cs="Times New Roman"/>
          <w:sz w:val="24"/>
          <w:szCs w:val="24"/>
          <w:lang w:val="en-US"/>
        </w:rPr>
        <w:t>regulation and consumer</w:t>
      </w:r>
      <w:r w:rsidR="00130C45">
        <w:rPr>
          <w:rFonts w:ascii="Times New Roman" w:hAnsi="Times New Roman" w:cs="Times New Roman"/>
          <w:sz w:val="24"/>
          <w:szCs w:val="24"/>
          <w:lang w:val="en-US"/>
        </w:rPr>
        <w:t xml:space="preserve"> pressure</w:t>
      </w:r>
      <w:r w:rsidR="005A171C" w:rsidRPr="005A171C">
        <w:rPr>
          <w:rFonts w:ascii="Times New Roman" w:hAnsi="Times New Roman" w:cs="Times New Roman"/>
          <w:sz w:val="24"/>
          <w:szCs w:val="24"/>
          <w:lang w:val="en-US"/>
        </w:rPr>
        <w:t xml:space="preserve">, the company </w:t>
      </w:r>
      <w:r w:rsidR="00ED3D33">
        <w:rPr>
          <w:rFonts w:ascii="Times New Roman" w:hAnsi="Times New Roman" w:cs="Times New Roman"/>
          <w:sz w:val="24"/>
          <w:szCs w:val="24"/>
          <w:lang w:val="en-US"/>
        </w:rPr>
        <w:t>may</w:t>
      </w:r>
      <w:r w:rsidR="005A171C" w:rsidRPr="005A171C">
        <w:rPr>
          <w:rFonts w:ascii="Times New Roman" w:hAnsi="Times New Roman" w:cs="Times New Roman"/>
          <w:sz w:val="24"/>
          <w:szCs w:val="24"/>
          <w:lang w:val="en-US"/>
        </w:rPr>
        <w:t xml:space="preserve"> take measures to avoid penalties, such as implementing waste treatment systems. Th</w:t>
      </w:r>
      <w:r w:rsidR="00ED3D33">
        <w:rPr>
          <w:rFonts w:ascii="Times New Roman" w:hAnsi="Times New Roman" w:cs="Times New Roman"/>
          <w:sz w:val="24"/>
          <w:szCs w:val="24"/>
          <w:lang w:val="en-US"/>
        </w:rPr>
        <w:t>e</w:t>
      </w:r>
      <w:r w:rsidR="005A171C" w:rsidRPr="005A171C">
        <w:rPr>
          <w:rFonts w:ascii="Times New Roman" w:hAnsi="Times New Roman" w:cs="Times New Roman"/>
          <w:sz w:val="24"/>
          <w:szCs w:val="24"/>
          <w:lang w:val="en-US"/>
        </w:rPr>
        <w:t>s</w:t>
      </w:r>
      <w:r w:rsidR="00ED3D33">
        <w:rPr>
          <w:rFonts w:ascii="Times New Roman" w:hAnsi="Times New Roman" w:cs="Times New Roman"/>
          <w:sz w:val="24"/>
          <w:szCs w:val="24"/>
          <w:lang w:val="en-US"/>
        </w:rPr>
        <w:t>e</w:t>
      </w:r>
      <w:r w:rsidR="005A171C" w:rsidRPr="005A171C">
        <w:rPr>
          <w:rFonts w:ascii="Times New Roman" w:hAnsi="Times New Roman" w:cs="Times New Roman"/>
          <w:sz w:val="24"/>
          <w:szCs w:val="24"/>
          <w:lang w:val="en-US"/>
        </w:rPr>
        <w:t xml:space="preserve"> effort</w:t>
      </w:r>
      <w:r w:rsidR="00ED3D33">
        <w:rPr>
          <w:rFonts w:ascii="Times New Roman" w:hAnsi="Times New Roman" w:cs="Times New Roman"/>
          <w:sz w:val="24"/>
          <w:szCs w:val="24"/>
          <w:lang w:val="en-US"/>
        </w:rPr>
        <w:t xml:space="preserve">s result in societal </w:t>
      </w:r>
      <w:r w:rsidR="005A171C" w:rsidRPr="005A171C">
        <w:rPr>
          <w:rFonts w:ascii="Times New Roman" w:hAnsi="Times New Roman" w:cs="Times New Roman"/>
          <w:sz w:val="24"/>
          <w:szCs w:val="24"/>
          <w:lang w:val="en-US"/>
        </w:rPr>
        <w:t xml:space="preserve">benefits by reducing the environmental impact of pollution. However, in the absence of such regulation </w:t>
      </w:r>
      <w:r w:rsidR="00ED3D33">
        <w:rPr>
          <w:rFonts w:ascii="Times New Roman" w:hAnsi="Times New Roman" w:cs="Times New Roman"/>
          <w:sz w:val="24"/>
          <w:szCs w:val="24"/>
          <w:lang w:val="en-US"/>
        </w:rPr>
        <w:t>or</w:t>
      </w:r>
      <w:r w:rsidR="005A171C" w:rsidRPr="005A171C">
        <w:rPr>
          <w:rFonts w:ascii="Times New Roman" w:hAnsi="Times New Roman" w:cs="Times New Roman"/>
          <w:sz w:val="24"/>
          <w:szCs w:val="24"/>
          <w:lang w:val="en-US"/>
        </w:rPr>
        <w:t xml:space="preserve"> ethical consumers, the company would likely not adopt </w:t>
      </w:r>
      <w:r w:rsidR="00ED3D33">
        <w:rPr>
          <w:rFonts w:ascii="Times New Roman" w:hAnsi="Times New Roman" w:cs="Times New Roman"/>
          <w:sz w:val="24"/>
          <w:szCs w:val="24"/>
          <w:lang w:val="en-US"/>
        </w:rPr>
        <w:t>these</w:t>
      </w:r>
      <w:r w:rsidR="005A171C" w:rsidRPr="005A171C">
        <w:rPr>
          <w:rFonts w:ascii="Times New Roman" w:hAnsi="Times New Roman" w:cs="Times New Roman"/>
          <w:sz w:val="24"/>
          <w:szCs w:val="24"/>
          <w:lang w:val="en-US"/>
        </w:rPr>
        <w:t xml:space="preserve"> measures voluntarily, and pollution would </w:t>
      </w:r>
      <w:r w:rsidR="00ED3D33">
        <w:rPr>
          <w:rFonts w:ascii="Times New Roman" w:hAnsi="Times New Roman" w:cs="Times New Roman"/>
          <w:sz w:val="24"/>
          <w:szCs w:val="24"/>
          <w:lang w:val="en-US"/>
        </w:rPr>
        <w:t>persist</w:t>
      </w:r>
      <w:r w:rsidR="005A171C" w:rsidRPr="005A171C">
        <w:rPr>
          <w:rFonts w:ascii="Times New Roman" w:hAnsi="Times New Roman" w:cs="Times New Roman"/>
          <w:sz w:val="24"/>
          <w:szCs w:val="24"/>
          <w:lang w:val="en-US"/>
        </w:rPr>
        <w:t xml:space="preserve">. </w:t>
      </w:r>
      <w:r w:rsidR="00ED3D33" w:rsidRPr="00ED3D33">
        <w:rPr>
          <w:rFonts w:ascii="Times New Roman" w:hAnsi="Times New Roman" w:cs="Times New Roman"/>
          <w:sz w:val="24"/>
          <w:szCs w:val="24"/>
          <w:lang w:val="en-US"/>
        </w:rPr>
        <w:t>Another example of applying financial materiality is identifying a strategic ESG-related opportunity. For instance, an automotive company might begin developing electric cars because of financial incentives and a perceived high demand for the product.</w:t>
      </w:r>
    </w:p>
    <w:p w14:paraId="71F894E4" w14:textId="34065F94"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However, companies should not ignore relevant environmental and social impacts </w:t>
      </w:r>
      <w:r w:rsidR="00ED3D33">
        <w:rPr>
          <w:rFonts w:ascii="Times New Roman" w:hAnsi="Times New Roman" w:cs="Times New Roman"/>
          <w:sz w:val="24"/>
          <w:szCs w:val="24"/>
          <w:lang w:val="en-US"/>
        </w:rPr>
        <w:t>simp</w:t>
      </w:r>
      <w:r w:rsidR="005A171C" w:rsidRPr="005A171C">
        <w:rPr>
          <w:rFonts w:ascii="Times New Roman" w:hAnsi="Times New Roman" w:cs="Times New Roman"/>
          <w:sz w:val="24"/>
          <w:szCs w:val="24"/>
          <w:lang w:val="en-US"/>
        </w:rPr>
        <w:t xml:space="preserve">ly because they do not generate direct financial returns; </w:t>
      </w:r>
      <w:r w:rsidR="00ED3D33">
        <w:rPr>
          <w:rFonts w:ascii="Times New Roman" w:hAnsi="Times New Roman" w:cs="Times New Roman"/>
          <w:sz w:val="24"/>
          <w:szCs w:val="24"/>
          <w:lang w:val="en-US"/>
        </w:rPr>
        <w:t>in other words</w:t>
      </w:r>
      <w:r w:rsidR="005A171C" w:rsidRPr="005A171C">
        <w:rPr>
          <w:rFonts w:ascii="Times New Roman" w:hAnsi="Times New Roman" w:cs="Times New Roman"/>
          <w:sz w:val="24"/>
          <w:szCs w:val="24"/>
          <w:lang w:val="en-US"/>
        </w:rPr>
        <w:t>, they should not rely exclusively on financial materiality. It is essential that they also consider impact materiality, which assesses the effects of their operations on society and the environment (Global Reporting Initiative, 2021). The concept of double materiality integrates these two perspectives, requiring companies to analyze both the financial impacts of ESG risks and opportunities on their economic performance</w:t>
      </w:r>
      <w:r w:rsidR="00796164">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 xml:space="preserve"> and the effects of their activities on society and the environment. Thus, double materiality </w:t>
      </w:r>
      <w:r w:rsidR="00ED3D33" w:rsidRPr="00ED3D33">
        <w:rPr>
          <w:rFonts w:ascii="Times New Roman" w:hAnsi="Times New Roman" w:cs="Times New Roman"/>
          <w:sz w:val="24"/>
          <w:szCs w:val="24"/>
          <w:lang w:val="en-US"/>
        </w:rPr>
        <w:t>acknowledges not only the influence of ESG factors on the company's value creation but also the company’s role in reducing negative impacts and generating positive outcomes for society and the environment,</w:t>
      </w:r>
      <w:r w:rsidR="00ED3D33">
        <w:rPr>
          <w:rFonts w:ascii="Times New Roman" w:hAnsi="Times New Roman" w:cs="Times New Roman"/>
          <w:sz w:val="24"/>
          <w:szCs w:val="24"/>
          <w:lang w:val="en-US"/>
        </w:rPr>
        <w:t xml:space="preserve"> </w:t>
      </w:r>
      <w:r w:rsidR="005A171C" w:rsidRPr="005A171C">
        <w:rPr>
          <w:rFonts w:ascii="Times New Roman" w:hAnsi="Times New Roman" w:cs="Times New Roman"/>
          <w:sz w:val="24"/>
          <w:szCs w:val="24"/>
          <w:lang w:val="en-US"/>
        </w:rPr>
        <w:t>regardless of the direct financial return of these actions (European Commission, 2019).</w:t>
      </w:r>
    </w:p>
    <w:p w14:paraId="4DEF32D4" w14:textId="546C80B4"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Nevertheless, the adoption of impact materiality faces significant challenges, especially in the absence of effective regulatory pressure. Companies have few concrete incentives to incorporate it, as direct benefits are not always immediately perceptible. Although impact materiality can strengthen the transparency and credibility of corporate reports, </w:t>
      </w:r>
      <w:r w:rsidR="00ED3D33">
        <w:rPr>
          <w:rFonts w:ascii="Times New Roman" w:hAnsi="Times New Roman" w:cs="Times New Roman"/>
          <w:sz w:val="24"/>
          <w:szCs w:val="24"/>
          <w:lang w:val="en-US"/>
        </w:rPr>
        <w:t>as well as promote b</w:t>
      </w:r>
      <w:r w:rsidR="005A171C" w:rsidRPr="005A171C">
        <w:rPr>
          <w:rFonts w:ascii="Times New Roman" w:hAnsi="Times New Roman" w:cs="Times New Roman"/>
          <w:sz w:val="24"/>
          <w:szCs w:val="24"/>
          <w:lang w:val="en-US"/>
        </w:rPr>
        <w:t xml:space="preserve">etter engagement with stakeholders, the prioritization of financial materiality still predominates in the business environment. </w:t>
      </w:r>
      <w:r w:rsidR="00ED3D33" w:rsidRPr="00ED3D33">
        <w:rPr>
          <w:rFonts w:ascii="Times New Roman" w:hAnsi="Times New Roman" w:cs="Times New Roman"/>
          <w:sz w:val="24"/>
          <w:szCs w:val="24"/>
          <w:lang w:val="en-US"/>
        </w:rPr>
        <w:t xml:space="preserve">The emphasis on immediate and direct financial return leads to superficial or short-term ESG actions, lacking real commitment to sustainable development. This dynamic makes it difficult to incorporate initiatives that generate longer-term sustainable and financial impacts </w:t>
      </w:r>
      <w:r w:rsidR="005A171C" w:rsidRPr="005A171C">
        <w:rPr>
          <w:rFonts w:ascii="Times New Roman" w:hAnsi="Times New Roman" w:cs="Times New Roman"/>
          <w:sz w:val="24"/>
          <w:szCs w:val="24"/>
          <w:lang w:val="en-US"/>
        </w:rPr>
        <w:t>(Global Reporting Initiative, 2021).</w:t>
      </w:r>
    </w:p>
    <w:p w14:paraId="1D339122" w14:textId="288DFEA1"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Given this scenario, the concept of Shared Value, introduced by Michael Porter and Mark Kramer (2018), becomes fundamental </w:t>
      </w:r>
      <w:r w:rsidR="00ED3D33">
        <w:rPr>
          <w:rFonts w:ascii="Times New Roman" w:hAnsi="Times New Roman" w:cs="Times New Roman"/>
          <w:sz w:val="24"/>
          <w:szCs w:val="24"/>
          <w:lang w:val="en-US"/>
        </w:rPr>
        <w:t>in</w:t>
      </w:r>
      <w:r w:rsidR="005A171C" w:rsidRPr="005A171C">
        <w:rPr>
          <w:rFonts w:ascii="Times New Roman" w:hAnsi="Times New Roman" w:cs="Times New Roman"/>
          <w:sz w:val="24"/>
          <w:szCs w:val="24"/>
          <w:lang w:val="en-US"/>
        </w:rPr>
        <w:t xml:space="preserve"> connecting financial materiality and impact materiality. While financial materiality focuses on risks and opportunities that directly affect the company</w:t>
      </w:r>
      <w:r>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 xml:space="preserve">s economic performance, impact materiality considers the effects of business activities on society and the environment. Shared Value proposes an approach </w:t>
      </w:r>
      <w:r w:rsidR="00ED3D33">
        <w:rPr>
          <w:rFonts w:ascii="Times New Roman" w:hAnsi="Times New Roman" w:cs="Times New Roman"/>
          <w:sz w:val="24"/>
          <w:szCs w:val="24"/>
          <w:lang w:val="en-US"/>
        </w:rPr>
        <w:t xml:space="preserve">in </w:t>
      </w:r>
      <w:r w:rsidR="005A171C" w:rsidRPr="005A171C">
        <w:rPr>
          <w:rFonts w:ascii="Times New Roman" w:hAnsi="Times New Roman" w:cs="Times New Roman"/>
          <w:sz w:val="24"/>
          <w:szCs w:val="24"/>
          <w:lang w:val="en-US"/>
        </w:rPr>
        <w:t>wh</w:t>
      </w:r>
      <w:r w:rsidR="00ED3D33">
        <w:rPr>
          <w:rFonts w:ascii="Times New Roman" w:hAnsi="Times New Roman" w:cs="Times New Roman"/>
          <w:sz w:val="24"/>
          <w:szCs w:val="24"/>
          <w:lang w:val="en-US"/>
        </w:rPr>
        <w:t>ich</w:t>
      </w:r>
      <w:r w:rsidR="005A171C" w:rsidRPr="005A171C">
        <w:rPr>
          <w:rFonts w:ascii="Times New Roman" w:hAnsi="Times New Roman" w:cs="Times New Roman"/>
          <w:sz w:val="24"/>
          <w:szCs w:val="24"/>
          <w:lang w:val="en-US"/>
        </w:rPr>
        <w:t xml:space="preserve"> these two aspects </w:t>
      </w:r>
      <w:r w:rsidR="00ED3D33">
        <w:rPr>
          <w:rFonts w:ascii="Times New Roman" w:hAnsi="Times New Roman" w:cs="Times New Roman"/>
          <w:sz w:val="24"/>
          <w:szCs w:val="24"/>
          <w:lang w:val="en-US"/>
        </w:rPr>
        <w:t xml:space="preserve">are not necessarily </w:t>
      </w:r>
      <w:r w:rsidR="005A171C" w:rsidRPr="005A171C">
        <w:rPr>
          <w:rFonts w:ascii="Times New Roman" w:hAnsi="Times New Roman" w:cs="Times New Roman"/>
          <w:sz w:val="24"/>
          <w:szCs w:val="24"/>
          <w:lang w:val="en-US"/>
        </w:rPr>
        <w:t xml:space="preserve">conflicting but </w:t>
      </w:r>
      <w:r w:rsidR="00ED3D33">
        <w:rPr>
          <w:rFonts w:ascii="Times New Roman" w:hAnsi="Times New Roman" w:cs="Times New Roman"/>
          <w:sz w:val="24"/>
          <w:szCs w:val="24"/>
          <w:lang w:val="en-US"/>
        </w:rPr>
        <w:t>can be</w:t>
      </w:r>
      <w:r w:rsidR="005A171C" w:rsidRPr="005A171C">
        <w:rPr>
          <w:rFonts w:ascii="Times New Roman" w:hAnsi="Times New Roman" w:cs="Times New Roman"/>
          <w:sz w:val="24"/>
          <w:szCs w:val="24"/>
          <w:lang w:val="en-US"/>
        </w:rPr>
        <w:t xml:space="preserve"> integrated into the business strategy.</w:t>
      </w:r>
    </w:p>
    <w:p w14:paraId="2BA60BFB" w14:textId="52357D7D"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Shared Value unites the concepts of financial materiality and impact materiality, demonstrating that it is possible for a company to improve its financial performance and increase its value </w:t>
      </w:r>
      <w:r w:rsidR="00ED3D33">
        <w:rPr>
          <w:rFonts w:ascii="Times New Roman" w:hAnsi="Times New Roman" w:cs="Times New Roman"/>
          <w:sz w:val="24"/>
          <w:szCs w:val="24"/>
          <w:lang w:val="en-US"/>
        </w:rPr>
        <w:t>through</w:t>
      </w:r>
      <w:r w:rsidR="005A171C" w:rsidRPr="005A171C">
        <w:rPr>
          <w:rFonts w:ascii="Times New Roman" w:hAnsi="Times New Roman" w:cs="Times New Roman"/>
          <w:sz w:val="24"/>
          <w:szCs w:val="24"/>
          <w:lang w:val="en-US"/>
        </w:rPr>
        <w:t xml:space="preserve"> impact materiality. This depends essentially on how these practices are developed and integrated into the business strategy. For example, Nike developed a running shoe that generated no waste (impact materiality), </w:t>
      </w:r>
      <w:r w:rsidR="00ED3D33">
        <w:rPr>
          <w:rFonts w:ascii="Times New Roman" w:hAnsi="Times New Roman" w:cs="Times New Roman"/>
          <w:sz w:val="24"/>
          <w:szCs w:val="24"/>
          <w:lang w:val="en-US"/>
        </w:rPr>
        <w:t>using</w:t>
      </w:r>
      <w:r w:rsidR="005A171C" w:rsidRPr="005A171C">
        <w:rPr>
          <w:rFonts w:ascii="Times New Roman" w:hAnsi="Times New Roman" w:cs="Times New Roman"/>
          <w:sz w:val="24"/>
          <w:szCs w:val="24"/>
          <w:lang w:val="en-US"/>
        </w:rPr>
        <w:t xml:space="preserve"> a material that made the product ideal for the sport (light and breathable), </w:t>
      </w:r>
      <w:r w:rsidR="00ED3D33">
        <w:rPr>
          <w:rFonts w:ascii="Times New Roman" w:hAnsi="Times New Roman" w:cs="Times New Roman"/>
          <w:sz w:val="24"/>
          <w:szCs w:val="24"/>
          <w:lang w:val="en-US"/>
        </w:rPr>
        <w:t>resul</w:t>
      </w:r>
      <w:r w:rsidR="005A171C" w:rsidRPr="005A171C">
        <w:rPr>
          <w:rFonts w:ascii="Times New Roman" w:hAnsi="Times New Roman" w:cs="Times New Roman"/>
          <w:sz w:val="24"/>
          <w:szCs w:val="24"/>
          <w:lang w:val="en-US"/>
        </w:rPr>
        <w:t xml:space="preserve">ting </w:t>
      </w:r>
      <w:r w:rsidR="00ED3D33">
        <w:rPr>
          <w:rFonts w:ascii="Times New Roman" w:hAnsi="Times New Roman" w:cs="Times New Roman"/>
          <w:sz w:val="24"/>
          <w:szCs w:val="24"/>
          <w:lang w:val="en-US"/>
        </w:rPr>
        <w:t xml:space="preserve">in </w:t>
      </w:r>
      <w:r w:rsidR="005A171C" w:rsidRPr="005A171C">
        <w:rPr>
          <w:rFonts w:ascii="Times New Roman" w:hAnsi="Times New Roman" w:cs="Times New Roman"/>
          <w:sz w:val="24"/>
          <w:szCs w:val="24"/>
          <w:lang w:val="en-US"/>
        </w:rPr>
        <w:t xml:space="preserve">over </w:t>
      </w:r>
      <w:r w:rsidR="00ED3D33">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1 billion in sales for the company and reducing production costs (financial materiality) (Porter et al., 2019).</w:t>
      </w:r>
    </w:p>
    <w:p w14:paraId="35855542" w14:textId="1FD36892"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The </w:t>
      </w:r>
      <w:r w:rsidR="00ED3D33">
        <w:rPr>
          <w:rFonts w:ascii="Times New Roman" w:hAnsi="Times New Roman" w:cs="Times New Roman"/>
          <w:sz w:val="24"/>
          <w:szCs w:val="24"/>
          <w:lang w:val="en-US"/>
        </w:rPr>
        <w:t>concept</w:t>
      </w:r>
      <w:r w:rsidR="005A171C" w:rsidRPr="005A171C">
        <w:rPr>
          <w:rFonts w:ascii="Times New Roman" w:hAnsi="Times New Roman" w:cs="Times New Roman"/>
          <w:sz w:val="24"/>
          <w:szCs w:val="24"/>
          <w:lang w:val="en-US"/>
        </w:rPr>
        <w:t xml:space="preserve"> of Shared Value emerges as a solution to the debate that the adoption of ESG practices based on impact materiality does not bring value to companies. Shared Value represents a concept </w:t>
      </w:r>
      <w:r w:rsidR="00ED3D33">
        <w:rPr>
          <w:rFonts w:ascii="Times New Roman" w:hAnsi="Times New Roman" w:cs="Times New Roman"/>
          <w:sz w:val="24"/>
          <w:szCs w:val="24"/>
          <w:lang w:val="en-US"/>
        </w:rPr>
        <w:t>in which</w:t>
      </w:r>
      <w:r w:rsidR="005A171C" w:rsidRPr="005A171C">
        <w:rPr>
          <w:rFonts w:ascii="Times New Roman" w:hAnsi="Times New Roman" w:cs="Times New Roman"/>
          <w:sz w:val="24"/>
          <w:szCs w:val="24"/>
          <w:lang w:val="en-US"/>
        </w:rPr>
        <w:t xml:space="preserve"> companies adopt practices that simultaneously improve their competitiveness and promote improvements in the economic and social conditions of the communities where they operate. Instead of considering social and environmental aspects as cost increases, Shared Value views them as opportunities for innovation, productivity, and market expansion. The concept d</w:t>
      </w:r>
      <w:r w:rsidR="00ED3D33">
        <w:rPr>
          <w:rFonts w:ascii="Times New Roman" w:hAnsi="Times New Roman" w:cs="Times New Roman"/>
          <w:sz w:val="24"/>
          <w:szCs w:val="24"/>
          <w:lang w:val="en-US"/>
        </w:rPr>
        <w:t>iffers</w:t>
      </w:r>
      <w:r w:rsidR="005A171C" w:rsidRPr="005A171C">
        <w:rPr>
          <w:rFonts w:ascii="Times New Roman" w:hAnsi="Times New Roman" w:cs="Times New Roman"/>
          <w:sz w:val="24"/>
          <w:szCs w:val="24"/>
          <w:lang w:val="en-US"/>
        </w:rPr>
        <w:t xml:space="preserve"> from traditional corporate social responsibility, as it is more integrated into the core of the strategy (Porter &amp; Kramer, 2018).</w:t>
      </w:r>
    </w:p>
    <w:p w14:paraId="0D2AD998" w14:textId="4AE31707"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The model is built on three main pillars: reconceiving products and markets, redefining productivity in the value chain, and enabling local cluster development (Porter &amp; Kramer, 2018). Reconceiving products allows the company to meet unexplored social needs, expanding its market and attracting new consumers, which increases its revenues and, consequently, its market value. Redefining productivity in the value chain, in turn, seeks greater operational efficiency by considering social and environmental factors, reducing costs and strengthening organizational resilience (as i</w:t>
      </w:r>
      <w:r w:rsidR="00ED3D33">
        <w:rPr>
          <w:rFonts w:ascii="Times New Roman" w:hAnsi="Times New Roman" w:cs="Times New Roman"/>
          <w:sz w:val="24"/>
          <w:szCs w:val="24"/>
          <w:lang w:val="en-US"/>
        </w:rPr>
        <w:t>llustrated by</w:t>
      </w:r>
      <w:r w:rsidR="005A171C" w:rsidRPr="005A171C">
        <w:rPr>
          <w:rFonts w:ascii="Times New Roman" w:hAnsi="Times New Roman" w:cs="Times New Roman"/>
          <w:sz w:val="24"/>
          <w:szCs w:val="24"/>
          <w:lang w:val="en-US"/>
        </w:rPr>
        <w:t xml:space="preserve"> the Nike example given earlier), making the company more attractive to investors who value sustainability. Finally, enabling local cluster development involves investments in infrastructure and conditions that benefit both the community and the business environment, promoting a more productive and innovative ecosystem.</w:t>
      </w:r>
    </w:p>
    <w:p w14:paraId="7D8D773C" w14:textId="684328C4"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To understand the differences between financial materiality b</w:t>
      </w:r>
      <w:r w:rsidR="00ED3D33">
        <w:rPr>
          <w:rFonts w:ascii="Times New Roman" w:hAnsi="Times New Roman" w:cs="Times New Roman"/>
          <w:sz w:val="24"/>
          <w:szCs w:val="24"/>
          <w:lang w:val="en-US"/>
        </w:rPr>
        <w:t>ased on</w:t>
      </w:r>
      <w:r w:rsidR="005A171C" w:rsidRPr="005A171C">
        <w:rPr>
          <w:rFonts w:ascii="Times New Roman" w:hAnsi="Times New Roman" w:cs="Times New Roman"/>
          <w:sz w:val="24"/>
          <w:szCs w:val="24"/>
          <w:lang w:val="en-US"/>
        </w:rPr>
        <w:t xml:space="preserve"> opportunity and Shared Value, we can analyze the case of an automotive company investing in electric cars. In the context of financial materiality b</w:t>
      </w:r>
      <w:r w:rsidR="00ED3D33">
        <w:rPr>
          <w:rFonts w:ascii="Times New Roman" w:hAnsi="Times New Roman" w:cs="Times New Roman"/>
          <w:sz w:val="24"/>
          <w:szCs w:val="24"/>
          <w:lang w:val="en-US"/>
        </w:rPr>
        <w:t>ased on</w:t>
      </w:r>
      <w:r w:rsidR="005A171C" w:rsidRPr="005A171C">
        <w:rPr>
          <w:rFonts w:ascii="Times New Roman" w:hAnsi="Times New Roman" w:cs="Times New Roman"/>
          <w:sz w:val="24"/>
          <w:szCs w:val="24"/>
          <w:lang w:val="en-US"/>
        </w:rPr>
        <w:t xml:space="preserve"> opportunity, the company decides to enter the electric vehicle market because it identifies high demand and financial incentives that make this segment profitable. The main focus of the strategic decision is on increasing revenue and market competitiveness. In this scenario, the company could even opt for less sustainable batter</w:t>
      </w:r>
      <w:r w:rsidR="00ED3D33">
        <w:rPr>
          <w:rFonts w:ascii="Times New Roman" w:hAnsi="Times New Roman" w:cs="Times New Roman"/>
          <w:sz w:val="24"/>
          <w:szCs w:val="24"/>
          <w:lang w:val="en-US"/>
        </w:rPr>
        <w:t>y options</w:t>
      </w:r>
      <w:r w:rsidR="005A171C" w:rsidRPr="005A171C">
        <w:rPr>
          <w:rFonts w:ascii="Times New Roman" w:hAnsi="Times New Roman" w:cs="Times New Roman"/>
          <w:sz w:val="24"/>
          <w:szCs w:val="24"/>
          <w:lang w:val="en-US"/>
        </w:rPr>
        <w:t xml:space="preserve"> if they </w:t>
      </w:r>
      <w:r w:rsidR="00ED3D33">
        <w:rPr>
          <w:rFonts w:ascii="Times New Roman" w:hAnsi="Times New Roman" w:cs="Times New Roman"/>
          <w:sz w:val="24"/>
          <w:szCs w:val="24"/>
          <w:lang w:val="en-US"/>
        </w:rPr>
        <w:t>offer</w:t>
      </w:r>
      <w:r w:rsidR="005A171C" w:rsidRPr="005A171C">
        <w:rPr>
          <w:rFonts w:ascii="Times New Roman" w:hAnsi="Times New Roman" w:cs="Times New Roman"/>
          <w:sz w:val="24"/>
          <w:szCs w:val="24"/>
          <w:lang w:val="en-US"/>
        </w:rPr>
        <w:t xml:space="preserve"> lower costs and higher profit margins, as its priority is the financial viability of the operation, and not necessarily the environmental impact.</w:t>
      </w:r>
    </w:p>
    <w:p w14:paraId="152B99FB" w14:textId="098BD54C"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On the other hand, in the context of Shared Value, the company recognizes that fossil fuels are a critical factor </w:t>
      </w:r>
      <w:r w:rsidR="00ED3D33">
        <w:rPr>
          <w:rFonts w:ascii="Times New Roman" w:hAnsi="Times New Roman" w:cs="Times New Roman"/>
          <w:sz w:val="24"/>
          <w:szCs w:val="24"/>
          <w:lang w:val="en-US"/>
        </w:rPr>
        <w:t>contributing to</w:t>
      </w:r>
      <w:r w:rsidR="005A171C" w:rsidRPr="005A171C">
        <w:rPr>
          <w:rFonts w:ascii="Times New Roman" w:hAnsi="Times New Roman" w:cs="Times New Roman"/>
          <w:sz w:val="24"/>
          <w:szCs w:val="24"/>
          <w:lang w:val="en-US"/>
        </w:rPr>
        <w:t xml:space="preserve"> climate change and, therefore, sees the transition to electric vehicles not only as a market opportunity but </w:t>
      </w:r>
      <w:r w:rsidR="00ED3D33">
        <w:rPr>
          <w:rFonts w:ascii="Times New Roman" w:hAnsi="Times New Roman" w:cs="Times New Roman"/>
          <w:sz w:val="24"/>
          <w:szCs w:val="24"/>
          <w:lang w:val="en-US"/>
        </w:rPr>
        <w:t xml:space="preserve">also as </w:t>
      </w:r>
      <w:r w:rsidR="005A171C" w:rsidRPr="005A171C">
        <w:rPr>
          <w:rFonts w:ascii="Times New Roman" w:hAnsi="Times New Roman" w:cs="Times New Roman"/>
          <w:sz w:val="24"/>
          <w:szCs w:val="24"/>
          <w:lang w:val="en-US"/>
        </w:rPr>
        <w:t xml:space="preserve">a necessity to transform the automotive sector sustainably. Thus, it not only invests in electric cars but also redesigns its business strategy, developing long-lasting and lower-cost batteries, </w:t>
      </w:r>
      <w:r w:rsidR="00ED3D33">
        <w:rPr>
          <w:rFonts w:ascii="Times New Roman" w:hAnsi="Times New Roman" w:cs="Times New Roman"/>
          <w:sz w:val="24"/>
          <w:szCs w:val="24"/>
          <w:lang w:val="en-US"/>
        </w:rPr>
        <w:t xml:space="preserve">which </w:t>
      </w:r>
      <w:r w:rsidR="005A171C" w:rsidRPr="005A171C">
        <w:rPr>
          <w:rFonts w:ascii="Times New Roman" w:hAnsi="Times New Roman" w:cs="Times New Roman"/>
          <w:sz w:val="24"/>
          <w:szCs w:val="24"/>
          <w:lang w:val="en-US"/>
        </w:rPr>
        <w:t>mak</w:t>
      </w:r>
      <w:r w:rsidR="00ED3D33">
        <w:rPr>
          <w:rFonts w:ascii="Times New Roman" w:hAnsi="Times New Roman" w:cs="Times New Roman"/>
          <w:sz w:val="24"/>
          <w:szCs w:val="24"/>
          <w:lang w:val="en-US"/>
        </w:rPr>
        <w:t>e</w:t>
      </w:r>
      <w:r w:rsidR="005A171C" w:rsidRPr="005A171C">
        <w:rPr>
          <w:rFonts w:ascii="Times New Roman" w:hAnsi="Times New Roman" w:cs="Times New Roman"/>
          <w:sz w:val="24"/>
          <w:szCs w:val="24"/>
          <w:lang w:val="en-US"/>
        </w:rPr>
        <w:t xml:space="preserve"> the technology viable for a wider audience. In this case, revenue growth occurs as a consequence of a business model that generates value for both the company and society.</w:t>
      </w:r>
    </w:p>
    <w:p w14:paraId="2C866A1E" w14:textId="18A20DD2"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Thus, the adoption of ESG practices through Shared Value can amplify a company</w:t>
      </w:r>
      <w:r w:rsidR="00E60193">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 xml:space="preserve">s value, because integrating these practices into the strategic core enhances the previously mentioned positive effects, such as efficiency gains, greater stability in cash flows, and </w:t>
      </w:r>
      <w:r w:rsidR="00ED3D33">
        <w:rPr>
          <w:rFonts w:ascii="Times New Roman" w:hAnsi="Times New Roman" w:cs="Times New Roman"/>
          <w:sz w:val="24"/>
          <w:szCs w:val="24"/>
          <w:lang w:val="en-US"/>
        </w:rPr>
        <w:t xml:space="preserve">the </w:t>
      </w:r>
      <w:r w:rsidR="005A171C" w:rsidRPr="005A171C">
        <w:rPr>
          <w:rFonts w:ascii="Times New Roman" w:hAnsi="Times New Roman" w:cs="Times New Roman"/>
          <w:sz w:val="24"/>
          <w:szCs w:val="24"/>
          <w:lang w:val="en-US"/>
        </w:rPr>
        <w:t>strengthening of intangible assets, such as brand, reputation, and stakeholder trust. Furthermore, by directly benefiting stakeholders, such as consumers, employees, and communities, the company strengthens its relationship with these groups, promoting trust, loyalty, and a lasting impact on corporate performance (Freeman, 2010).</w:t>
      </w:r>
    </w:p>
    <w:p w14:paraId="7EF518FE" w14:textId="6B1EB6FE"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The variable used to represent the adoption of ESG practices by companies already incorporates sectoral materiality, assigning greater weight to actions considered most relevant for each industry. Thus, it is possible to separate, albeit superficially due to the lack of detailed calculation specification, materiality from the concept of Shared Value. As the impacts of the Shared Value model are presented theoretically</w:t>
      </w:r>
      <w:r w:rsidR="00ED3D33">
        <w:rPr>
          <w:rFonts w:ascii="Times New Roman" w:hAnsi="Times New Roman" w:cs="Times New Roman"/>
          <w:sz w:val="24"/>
          <w:szCs w:val="24"/>
          <w:lang w:val="en-US"/>
        </w:rPr>
        <w:t xml:space="preserve"> in the literature</w:t>
      </w:r>
      <w:r w:rsidR="005A171C" w:rsidRPr="005A171C">
        <w:rPr>
          <w:rFonts w:ascii="Times New Roman" w:hAnsi="Times New Roman" w:cs="Times New Roman"/>
          <w:sz w:val="24"/>
          <w:szCs w:val="24"/>
          <w:lang w:val="en-US"/>
        </w:rPr>
        <w:t>, this study seeks to empirically analyze whether this impact is real and significant. Based on this, the second hypothesis to be tested is:</w:t>
      </w:r>
    </w:p>
    <w:p w14:paraId="35781AB3" w14:textId="603C8021" w:rsidR="00EA271B" w:rsidRDefault="00EA271B" w:rsidP="00EA271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005A171C" w:rsidRPr="005A171C">
        <w:rPr>
          <w:rFonts w:ascii="Times New Roman" w:hAnsi="Times New Roman" w:cs="Times New Roman"/>
          <w:b/>
          <w:bCs/>
          <w:sz w:val="24"/>
          <w:szCs w:val="24"/>
          <w:lang w:val="en-US"/>
        </w:rPr>
        <w:t>H2: Shared Value moderates the relationship between the adoption of ESG practices and firms</w:t>
      </w:r>
      <w:r w:rsidR="00E60193">
        <w:rPr>
          <w:rFonts w:ascii="Times New Roman" w:hAnsi="Times New Roman" w:cs="Times New Roman"/>
          <w:b/>
          <w:bCs/>
          <w:sz w:val="24"/>
          <w:szCs w:val="24"/>
          <w:lang w:val="en-US"/>
        </w:rPr>
        <w:t>’</w:t>
      </w:r>
      <w:r w:rsidR="005A171C" w:rsidRPr="005A171C">
        <w:rPr>
          <w:rFonts w:ascii="Times New Roman" w:hAnsi="Times New Roman" w:cs="Times New Roman"/>
          <w:b/>
          <w:bCs/>
          <w:sz w:val="24"/>
          <w:szCs w:val="24"/>
          <w:lang w:val="en-US"/>
        </w:rPr>
        <w:t xml:space="preserve"> market value, such that application through the Shared Value model intensifies the positive relationship between ESG and firm value.</w:t>
      </w:r>
    </w:p>
    <w:p w14:paraId="657080EB" w14:textId="77777777" w:rsidR="00EA271B" w:rsidRDefault="00EA271B" w:rsidP="00EA271B">
      <w:pPr>
        <w:spacing w:line="360" w:lineRule="auto"/>
        <w:jc w:val="both"/>
        <w:rPr>
          <w:rFonts w:ascii="Times New Roman" w:hAnsi="Times New Roman" w:cs="Times New Roman"/>
          <w:b/>
          <w:bCs/>
          <w:sz w:val="24"/>
          <w:szCs w:val="24"/>
          <w:lang w:val="en-US"/>
        </w:rPr>
      </w:pPr>
    </w:p>
    <w:p w14:paraId="1FF2653C" w14:textId="6CE9D4F7" w:rsidR="005A171C" w:rsidRPr="00EA271B" w:rsidRDefault="00EA271B" w:rsidP="00EA271B">
      <w:pPr>
        <w:pStyle w:val="PargrafodaLista"/>
        <w:numPr>
          <w:ilvl w:val="1"/>
          <w:numId w:val="1"/>
        </w:numPr>
        <w:spacing w:line="360" w:lineRule="auto"/>
        <w:jc w:val="both"/>
        <w:rPr>
          <w:rFonts w:ascii="Times New Roman" w:hAnsi="Times New Roman" w:cs="Times New Roman"/>
          <w:b/>
          <w:bCs/>
          <w:sz w:val="24"/>
          <w:szCs w:val="24"/>
          <w:lang w:val="en-US"/>
        </w:rPr>
      </w:pPr>
      <w:r w:rsidRPr="00E60193">
        <w:rPr>
          <w:rFonts w:ascii="Times New Roman" w:hAnsi="Times New Roman" w:cs="Times New Roman"/>
          <w:b/>
          <w:bCs/>
          <w:sz w:val="24"/>
          <w:szCs w:val="24"/>
          <w:lang w:val="en-US"/>
        </w:rPr>
        <w:t xml:space="preserve"> </w:t>
      </w:r>
      <w:r w:rsidR="005A171C" w:rsidRPr="00EA271B">
        <w:rPr>
          <w:rFonts w:ascii="Times New Roman" w:hAnsi="Times New Roman" w:cs="Times New Roman"/>
          <w:b/>
          <w:bCs/>
          <w:sz w:val="24"/>
          <w:szCs w:val="24"/>
        </w:rPr>
        <w:t>Organizational Culture</w:t>
      </w:r>
    </w:p>
    <w:p w14:paraId="3B90D81F" w14:textId="467048FD"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EA271B">
        <w:rPr>
          <w:rFonts w:ascii="Times New Roman" w:hAnsi="Times New Roman" w:cs="Times New Roman"/>
          <w:sz w:val="24"/>
          <w:szCs w:val="24"/>
          <w:lang w:val="en-US"/>
        </w:rPr>
        <w:t xml:space="preserve">After analyzing the impact of </w:t>
      </w:r>
      <w:r w:rsidR="005A171C" w:rsidRPr="00DA5ED7">
        <w:rPr>
          <w:rFonts w:ascii="Times New Roman" w:hAnsi="Times New Roman" w:cs="Times New Roman"/>
          <w:i/>
          <w:iCs/>
          <w:sz w:val="24"/>
          <w:szCs w:val="24"/>
          <w:lang w:val="en-US"/>
        </w:rPr>
        <w:t>how</w:t>
      </w:r>
      <w:r w:rsidR="005A171C" w:rsidRPr="00EA271B">
        <w:rPr>
          <w:rFonts w:ascii="Times New Roman" w:hAnsi="Times New Roman" w:cs="Times New Roman"/>
          <w:sz w:val="24"/>
          <w:szCs w:val="24"/>
          <w:lang w:val="en-US"/>
        </w:rPr>
        <w:t xml:space="preserve"> practices are implemented, </w:t>
      </w:r>
      <w:r w:rsidR="00DA5ED7">
        <w:rPr>
          <w:rFonts w:ascii="Times New Roman" w:hAnsi="Times New Roman" w:cs="Times New Roman"/>
          <w:sz w:val="24"/>
          <w:szCs w:val="24"/>
          <w:lang w:val="en-US"/>
        </w:rPr>
        <w:t>a new</w:t>
      </w:r>
      <w:r w:rsidR="005A171C" w:rsidRPr="00EA271B">
        <w:rPr>
          <w:rFonts w:ascii="Times New Roman" w:hAnsi="Times New Roman" w:cs="Times New Roman"/>
          <w:sz w:val="24"/>
          <w:szCs w:val="24"/>
          <w:lang w:val="en-US"/>
        </w:rPr>
        <w:t xml:space="preserve"> question arises: is there a more favorable environment for the development of ESG actions? Thus, in the third stage of this analysis, we focus on the importance of the environment in which these practices are implemented. In the context of organizations, this environment translates into organizational culture.</w:t>
      </w:r>
    </w:p>
    <w:p w14:paraId="79D90FBB" w14:textId="3F7FE487"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Cameron and Quinn</w:t>
      </w:r>
      <w:r w:rsidR="00E60193">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 xml:space="preserve">s (2011) model shows that organizations can be grouped into four distinct culture types, each with its own values and priorities: clan, adhocracy, market, and hierarchy. These cultures are organized </w:t>
      </w:r>
      <w:r w:rsidR="00DA5ED7">
        <w:rPr>
          <w:rFonts w:ascii="Times New Roman" w:hAnsi="Times New Roman" w:cs="Times New Roman"/>
          <w:sz w:val="24"/>
          <w:szCs w:val="24"/>
          <w:lang w:val="en-US"/>
        </w:rPr>
        <w:t>within</w:t>
      </w:r>
      <w:r w:rsidR="005A171C" w:rsidRPr="005A171C">
        <w:rPr>
          <w:rFonts w:ascii="Times New Roman" w:hAnsi="Times New Roman" w:cs="Times New Roman"/>
          <w:sz w:val="24"/>
          <w:szCs w:val="24"/>
          <w:lang w:val="en-US"/>
        </w:rPr>
        <w:t xml:space="preserve"> a </w:t>
      </w:r>
      <w:r w:rsidR="00DA5ED7">
        <w:rPr>
          <w:rFonts w:ascii="Times New Roman" w:hAnsi="Times New Roman" w:cs="Times New Roman"/>
          <w:sz w:val="24"/>
          <w:szCs w:val="24"/>
          <w:lang w:val="en-US"/>
        </w:rPr>
        <w:t>C</w:t>
      </w:r>
      <w:r w:rsidR="005A171C" w:rsidRPr="005A171C">
        <w:rPr>
          <w:rFonts w:ascii="Times New Roman" w:hAnsi="Times New Roman" w:cs="Times New Roman"/>
          <w:sz w:val="24"/>
          <w:szCs w:val="24"/>
          <w:lang w:val="en-US"/>
        </w:rPr>
        <w:t xml:space="preserve">ompeting </w:t>
      </w:r>
      <w:r w:rsidR="00DA5ED7">
        <w:rPr>
          <w:rFonts w:ascii="Times New Roman" w:hAnsi="Times New Roman" w:cs="Times New Roman"/>
          <w:sz w:val="24"/>
          <w:szCs w:val="24"/>
          <w:lang w:val="en-US"/>
        </w:rPr>
        <w:t>V</w:t>
      </w:r>
      <w:r w:rsidR="005A171C" w:rsidRPr="005A171C">
        <w:rPr>
          <w:rFonts w:ascii="Times New Roman" w:hAnsi="Times New Roman" w:cs="Times New Roman"/>
          <w:sz w:val="24"/>
          <w:szCs w:val="24"/>
          <w:lang w:val="en-US"/>
        </w:rPr>
        <w:t xml:space="preserve">alues </w:t>
      </w:r>
      <w:r w:rsidR="00DA5ED7">
        <w:rPr>
          <w:rFonts w:ascii="Times New Roman" w:hAnsi="Times New Roman" w:cs="Times New Roman"/>
          <w:sz w:val="24"/>
          <w:szCs w:val="24"/>
          <w:lang w:val="en-US"/>
        </w:rPr>
        <w:t>F</w:t>
      </w:r>
      <w:r w:rsidR="005A171C" w:rsidRPr="005A171C">
        <w:rPr>
          <w:rFonts w:ascii="Times New Roman" w:hAnsi="Times New Roman" w:cs="Times New Roman"/>
          <w:sz w:val="24"/>
          <w:szCs w:val="24"/>
          <w:lang w:val="en-US"/>
        </w:rPr>
        <w:t xml:space="preserve">ramework, where companies balance flexibility and control, </w:t>
      </w:r>
      <w:r w:rsidR="00DA5ED7">
        <w:rPr>
          <w:rFonts w:ascii="Times New Roman" w:hAnsi="Times New Roman" w:cs="Times New Roman"/>
          <w:sz w:val="24"/>
          <w:szCs w:val="24"/>
          <w:lang w:val="en-US"/>
        </w:rPr>
        <w:t>as well as</w:t>
      </w:r>
      <w:r w:rsidR="005A171C" w:rsidRPr="005A171C">
        <w:rPr>
          <w:rFonts w:ascii="Times New Roman" w:hAnsi="Times New Roman" w:cs="Times New Roman"/>
          <w:sz w:val="24"/>
          <w:szCs w:val="24"/>
          <w:lang w:val="en-US"/>
        </w:rPr>
        <w:t xml:space="preserve"> internal and external focus to meet their objectives. Clan culture emphasizes collaboration and employee engagement, creating a family-like environment. Adhocracy values innovation and adaptability, promoting creativity to face external changes. Market culture is results-oriented and competitive, while hierarchy </w:t>
      </w:r>
      <w:r w:rsidR="00DA5ED7">
        <w:rPr>
          <w:rFonts w:ascii="Times New Roman" w:hAnsi="Times New Roman" w:cs="Times New Roman"/>
          <w:sz w:val="24"/>
          <w:szCs w:val="24"/>
          <w:lang w:val="en-US"/>
        </w:rPr>
        <w:t xml:space="preserve">culture </w:t>
      </w:r>
      <w:r w:rsidR="005A171C" w:rsidRPr="005A171C">
        <w:rPr>
          <w:rFonts w:ascii="Times New Roman" w:hAnsi="Times New Roman" w:cs="Times New Roman"/>
          <w:sz w:val="24"/>
          <w:szCs w:val="24"/>
          <w:lang w:val="en-US"/>
        </w:rPr>
        <w:t>prioritizes order and efficiency, with structured processes to ensure stability.</w:t>
      </w:r>
    </w:p>
    <w:p w14:paraId="43DC41F1" w14:textId="793DA144"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As discussed in the construction of the first hypothesis, the integrated and synergistic implementation of ESG practices</w:t>
      </w:r>
      <w:r>
        <w:rPr>
          <w:rFonts w:ascii="Times New Roman" w:hAnsi="Times New Roman" w:cs="Times New Roman"/>
          <w:sz w:val="24"/>
          <w:szCs w:val="24"/>
          <w:lang w:val="en-US"/>
        </w:rPr>
        <w:t xml:space="preserve"> – </w:t>
      </w:r>
      <w:r w:rsidR="005A171C" w:rsidRPr="005A171C">
        <w:rPr>
          <w:rFonts w:ascii="Times New Roman" w:hAnsi="Times New Roman" w:cs="Times New Roman"/>
          <w:sz w:val="24"/>
          <w:szCs w:val="24"/>
          <w:lang w:val="en-US"/>
        </w:rPr>
        <w:t>which, in theory, benefits both the company and society as a whole</w:t>
      </w:r>
      <w:r>
        <w:rPr>
          <w:rFonts w:ascii="Times New Roman" w:hAnsi="Times New Roman" w:cs="Times New Roman"/>
          <w:sz w:val="24"/>
          <w:szCs w:val="24"/>
          <w:lang w:val="en-US"/>
        </w:rPr>
        <w:t xml:space="preserve"> – </w:t>
      </w:r>
      <w:r w:rsidR="005A171C" w:rsidRPr="005A171C">
        <w:rPr>
          <w:rFonts w:ascii="Times New Roman" w:hAnsi="Times New Roman" w:cs="Times New Roman"/>
          <w:sz w:val="24"/>
          <w:szCs w:val="24"/>
          <w:lang w:val="en-US"/>
        </w:rPr>
        <w:t>requires companies to undergo processes of change and adaptation (Hart, 1995). To effectively implement ESG practices, companies need to re-evaluate and renew their operations, redefining how established processes are executed (Matos &amp; Clegg, 2013). This type of transformation demands more than simple operational adjustments</w:t>
      </w:r>
      <w:r w:rsidR="00DA5ED7">
        <w:rPr>
          <w:rFonts w:ascii="Times New Roman" w:hAnsi="Times New Roman" w:cs="Times New Roman"/>
          <w:sz w:val="24"/>
          <w:szCs w:val="24"/>
          <w:lang w:val="en-US"/>
        </w:rPr>
        <w:t>; it</w:t>
      </w:r>
      <w:r w:rsidR="005A171C" w:rsidRPr="005A171C">
        <w:rPr>
          <w:rFonts w:ascii="Times New Roman" w:hAnsi="Times New Roman" w:cs="Times New Roman"/>
          <w:sz w:val="24"/>
          <w:szCs w:val="24"/>
          <w:lang w:val="en-US"/>
        </w:rPr>
        <w:t xml:space="preserve"> requir</w:t>
      </w:r>
      <w:r w:rsidR="00DA5ED7">
        <w:rPr>
          <w:rFonts w:ascii="Times New Roman" w:hAnsi="Times New Roman" w:cs="Times New Roman"/>
          <w:sz w:val="24"/>
          <w:szCs w:val="24"/>
          <w:lang w:val="en-US"/>
        </w:rPr>
        <w:t>es</w:t>
      </w:r>
      <w:r w:rsidR="005A171C" w:rsidRPr="005A171C">
        <w:rPr>
          <w:rFonts w:ascii="Times New Roman" w:hAnsi="Times New Roman" w:cs="Times New Roman"/>
          <w:sz w:val="24"/>
          <w:szCs w:val="24"/>
          <w:lang w:val="en-US"/>
        </w:rPr>
        <w:t xml:space="preserve"> strategic restructuring that incorporates sustainability and social responsibility at all organizational levels. In essence, this is a process of </w:t>
      </w:r>
      <w:r>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creative destruction</w:t>
      </w:r>
      <w:r>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 that is, continuous innovation, where old models are replaced by new methods, practices, and technologies that promote sustainable development, keeping compan</w:t>
      </w:r>
      <w:r w:rsidR="00DA5ED7">
        <w:rPr>
          <w:rFonts w:ascii="Times New Roman" w:hAnsi="Times New Roman" w:cs="Times New Roman"/>
          <w:sz w:val="24"/>
          <w:szCs w:val="24"/>
          <w:lang w:val="en-US"/>
        </w:rPr>
        <w:t>ies</w:t>
      </w:r>
      <w:r w:rsidR="005A171C" w:rsidRPr="005A171C">
        <w:rPr>
          <w:rFonts w:ascii="Times New Roman" w:hAnsi="Times New Roman" w:cs="Times New Roman"/>
          <w:sz w:val="24"/>
          <w:szCs w:val="24"/>
          <w:lang w:val="en-US"/>
        </w:rPr>
        <w:t xml:space="preserve"> competitive in a constantly changing scenario (Schumpeter, 1942).</w:t>
      </w:r>
    </w:p>
    <w:p w14:paraId="14A90593" w14:textId="6FA57E2C"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Considering the types of culture and the fact that the adoption of ESG practices in companies requires an environment that supports innovation, the most suitable culture for this implementation is adhocracy culture (Cameron &amp; Quinn, 2011). This culture is characterized by a focus on innovation, adaptability, and a long-term vision. In this environment, organizations are structured to allow constant experimentation, the incorporation of new technologies, and the generation of new ideas, </w:t>
      </w:r>
      <w:r w:rsidR="00DA5ED7">
        <w:rPr>
          <w:rFonts w:ascii="Times New Roman" w:hAnsi="Times New Roman" w:cs="Times New Roman"/>
          <w:sz w:val="24"/>
          <w:szCs w:val="24"/>
          <w:lang w:val="en-US"/>
        </w:rPr>
        <w:t xml:space="preserve">with </w:t>
      </w:r>
      <w:r w:rsidR="005A171C" w:rsidRPr="005A171C">
        <w:rPr>
          <w:rFonts w:ascii="Times New Roman" w:hAnsi="Times New Roman" w:cs="Times New Roman"/>
          <w:sz w:val="24"/>
          <w:szCs w:val="24"/>
          <w:lang w:val="en-US"/>
        </w:rPr>
        <w:t xml:space="preserve">innovation </w:t>
      </w:r>
      <w:r w:rsidR="00DA5ED7">
        <w:rPr>
          <w:rFonts w:ascii="Times New Roman" w:hAnsi="Times New Roman" w:cs="Times New Roman"/>
          <w:sz w:val="24"/>
          <w:szCs w:val="24"/>
          <w:lang w:val="en-US"/>
        </w:rPr>
        <w:t xml:space="preserve">valued </w:t>
      </w:r>
      <w:r w:rsidR="005A171C" w:rsidRPr="005A171C">
        <w:rPr>
          <w:rFonts w:ascii="Times New Roman" w:hAnsi="Times New Roman" w:cs="Times New Roman"/>
          <w:sz w:val="24"/>
          <w:szCs w:val="24"/>
          <w:lang w:val="en-US"/>
        </w:rPr>
        <w:t>as a central element for effectively integrating sustainable practices (Cameron &amp; Quinn, 2011).</w:t>
      </w:r>
    </w:p>
    <w:p w14:paraId="0E35FE39" w14:textId="0C5EBEB4"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In the context of a highly dynamic environment, digital transformation plays a central role in business competitiveness, while </w:t>
      </w:r>
      <w:r w:rsidR="00DA5ED7">
        <w:rPr>
          <w:rFonts w:ascii="Times New Roman" w:hAnsi="Times New Roman" w:cs="Times New Roman"/>
          <w:sz w:val="24"/>
          <w:szCs w:val="24"/>
          <w:lang w:val="en-US"/>
        </w:rPr>
        <w:t xml:space="preserve">also </w:t>
      </w:r>
      <w:r w:rsidR="005A171C" w:rsidRPr="005A171C">
        <w:rPr>
          <w:rFonts w:ascii="Times New Roman" w:hAnsi="Times New Roman" w:cs="Times New Roman"/>
          <w:sz w:val="24"/>
          <w:szCs w:val="24"/>
          <w:lang w:val="en-US"/>
        </w:rPr>
        <w:t>increasing uncertainty about the future and demanding increasingly rapid adaptation (Matt et al., 2015). For this adaptation to be successful, companies must integrate digitalization into their organizational strategy (Matt et al., 2015)</w:t>
      </w:r>
      <w:r w:rsidR="00DA5ED7">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 xml:space="preserve"> </w:t>
      </w:r>
      <w:r w:rsidR="00DA5ED7">
        <w:rPr>
          <w:rFonts w:ascii="Times New Roman" w:hAnsi="Times New Roman" w:cs="Times New Roman"/>
          <w:sz w:val="24"/>
          <w:szCs w:val="24"/>
          <w:lang w:val="en-US"/>
        </w:rPr>
        <w:t>T</w:t>
      </w:r>
      <w:r w:rsidR="005A171C" w:rsidRPr="005A171C">
        <w:rPr>
          <w:rFonts w:ascii="Times New Roman" w:hAnsi="Times New Roman" w:cs="Times New Roman"/>
          <w:sz w:val="24"/>
          <w:szCs w:val="24"/>
          <w:lang w:val="en-US"/>
        </w:rPr>
        <w:t xml:space="preserve">herefore, it </w:t>
      </w:r>
      <w:r w:rsidR="00DA5ED7">
        <w:rPr>
          <w:rFonts w:ascii="Times New Roman" w:hAnsi="Times New Roman" w:cs="Times New Roman"/>
          <w:sz w:val="24"/>
          <w:szCs w:val="24"/>
          <w:lang w:val="en-US"/>
        </w:rPr>
        <w:t xml:space="preserve">should not be overlooked </w:t>
      </w:r>
      <w:r w:rsidR="005A171C" w:rsidRPr="005A171C">
        <w:rPr>
          <w:rFonts w:ascii="Times New Roman" w:hAnsi="Times New Roman" w:cs="Times New Roman"/>
          <w:sz w:val="24"/>
          <w:szCs w:val="24"/>
          <w:lang w:val="en-US"/>
        </w:rPr>
        <w:t xml:space="preserve">when discussing the adoption of sustainable practices, as these structural changes can also affect sustainable decisions. On one hand, digitalization can generate environmental and social benefits, promoting efficiency and sustainable innovation; on the other hand, it can also introduce challenges, requiring the reformulation of ESG practices </w:t>
      </w:r>
      <w:r w:rsidR="00DA5ED7">
        <w:rPr>
          <w:rFonts w:ascii="Times New Roman" w:hAnsi="Times New Roman" w:cs="Times New Roman"/>
          <w:sz w:val="24"/>
          <w:szCs w:val="24"/>
          <w:lang w:val="en-US"/>
        </w:rPr>
        <w:t>to suit</w:t>
      </w:r>
      <w:r w:rsidR="005A171C" w:rsidRPr="005A171C">
        <w:rPr>
          <w:rFonts w:ascii="Times New Roman" w:hAnsi="Times New Roman" w:cs="Times New Roman"/>
          <w:sz w:val="24"/>
          <w:szCs w:val="24"/>
          <w:lang w:val="en-US"/>
        </w:rPr>
        <w:t xml:space="preserve"> a more dynamic and competitive environment. Furthermore, some of these technological changes can compromise previously established sustainable practices, requiring a more strategic approach to avoid adverse effects (Feroz et al., 2021).</w:t>
      </w:r>
    </w:p>
    <w:p w14:paraId="43E71C05" w14:textId="3707A3E3"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In this context of accelerated digitalization and constant transformation, companies need to e</w:t>
      </w:r>
      <w:r w:rsidR="00DA5ED7">
        <w:rPr>
          <w:rFonts w:ascii="Times New Roman" w:hAnsi="Times New Roman" w:cs="Times New Roman"/>
          <w:sz w:val="24"/>
          <w:szCs w:val="24"/>
          <w:lang w:val="en-US"/>
        </w:rPr>
        <w:t>nhance</w:t>
      </w:r>
      <w:r w:rsidR="005A171C" w:rsidRPr="005A171C">
        <w:rPr>
          <w:rFonts w:ascii="Times New Roman" w:hAnsi="Times New Roman" w:cs="Times New Roman"/>
          <w:sz w:val="24"/>
          <w:szCs w:val="24"/>
          <w:lang w:val="en-US"/>
        </w:rPr>
        <w:t xml:space="preserve"> their capacity for adaptation and decision-making to ensure that digital transformation not only aligns with ESG practices but </w:t>
      </w:r>
      <w:r w:rsidR="00DA5ED7">
        <w:rPr>
          <w:rFonts w:ascii="Times New Roman" w:hAnsi="Times New Roman" w:cs="Times New Roman"/>
          <w:sz w:val="24"/>
          <w:szCs w:val="24"/>
          <w:lang w:val="en-US"/>
        </w:rPr>
        <w:t xml:space="preserve">also </w:t>
      </w:r>
      <w:r w:rsidR="005A171C" w:rsidRPr="005A171C">
        <w:rPr>
          <w:rFonts w:ascii="Times New Roman" w:hAnsi="Times New Roman" w:cs="Times New Roman"/>
          <w:sz w:val="24"/>
          <w:szCs w:val="24"/>
          <w:lang w:val="en-US"/>
        </w:rPr>
        <w:t xml:space="preserve">acts as a complementary element, strengthening their effectiveness and impact (Feroz et al., 2021). The key to this alignment also lies in </w:t>
      </w:r>
      <w:r w:rsidR="00DA5ED7">
        <w:rPr>
          <w:rFonts w:ascii="Times New Roman" w:hAnsi="Times New Roman" w:cs="Times New Roman"/>
          <w:sz w:val="24"/>
          <w:szCs w:val="24"/>
          <w:lang w:val="en-US"/>
        </w:rPr>
        <w:t xml:space="preserve">an </w:t>
      </w:r>
      <w:r w:rsidR="005A171C" w:rsidRPr="005A171C">
        <w:rPr>
          <w:rFonts w:ascii="Times New Roman" w:hAnsi="Times New Roman" w:cs="Times New Roman"/>
          <w:sz w:val="24"/>
          <w:szCs w:val="24"/>
          <w:lang w:val="en-US"/>
        </w:rPr>
        <w:t>innovative organizational culture (or adhocracy), which enables the rapid reconfiguration of strategies and enhances business resilience in the face of disruptive market changes (Cameron &amp; Quinn, 2011).</w:t>
      </w:r>
    </w:p>
    <w:p w14:paraId="053118BC" w14:textId="323101A1"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The article by Büschgens et al. (2013) </w:t>
      </w:r>
      <w:r w:rsidR="00DA5ED7">
        <w:rPr>
          <w:rFonts w:ascii="Times New Roman" w:hAnsi="Times New Roman" w:cs="Times New Roman"/>
          <w:sz w:val="24"/>
          <w:szCs w:val="24"/>
          <w:lang w:val="en-US"/>
        </w:rPr>
        <w:t>present</w:t>
      </w:r>
      <w:r w:rsidR="005A171C" w:rsidRPr="005A171C">
        <w:rPr>
          <w:rFonts w:ascii="Times New Roman" w:hAnsi="Times New Roman" w:cs="Times New Roman"/>
          <w:sz w:val="24"/>
          <w:szCs w:val="24"/>
          <w:lang w:val="en-US"/>
        </w:rPr>
        <w:t xml:space="preserve">s a comprehensive meta-analysis on how organizational culture influences innovation in companies. Analyzing 43 studies involving more than 6,300 organizations, the authors identify that certain cultural values promote innovation, especially those related to flexibility and external orientation. Conversely, cultures that emphasize control and internal orientation are less </w:t>
      </w:r>
      <w:r w:rsidR="00DA5ED7">
        <w:rPr>
          <w:rFonts w:ascii="Times New Roman" w:hAnsi="Times New Roman" w:cs="Times New Roman"/>
          <w:sz w:val="24"/>
          <w:szCs w:val="24"/>
          <w:lang w:val="en-US"/>
        </w:rPr>
        <w:t>favorable</w:t>
      </w:r>
      <w:r w:rsidR="005A171C" w:rsidRPr="005A171C">
        <w:rPr>
          <w:rFonts w:ascii="Times New Roman" w:hAnsi="Times New Roman" w:cs="Times New Roman"/>
          <w:sz w:val="24"/>
          <w:szCs w:val="24"/>
          <w:lang w:val="en-US"/>
        </w:rPr>
        <w:t xml:space="preserve"> to innovation. The meta-analysis also reveals that the congruence between organizational culture and innovation objectives is </w:t>
      </w:r>
      <w:r w:rsidR="00DA5ED7">
        <w:rPr>
          <w:rFonts w:ascii="Times New Roman" w:hAnsi="Times New Roman" w:cs="Times New Roman"/>
          <w:sz w:val="24"/>
          <w:szCs w:val="24"/>
          <w:lang w:val="en-US"/>
        </w:rPr>
        <w:t>cruci</w:t>
      </w:r>
      <w:r w:rsidR="005A171C" w:rsidRPr="005A171C">
        <w:rPr>
          <w:rFonts w:ascii="Times New Roman" w:hAnsi="Times New Roman" w:cs="Times New Roman"/>
          <w:sz w:val="24"/>
          <w:szCs w:val="24"/>
          <w:lang w:val="en-US"/>
        </w:rPr>
        <w:t>al for success.</w:t>
      </w:r>
    </w:p>
    <w:p w14:paraId="705CA9BA" w14:textId="414EAECA"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Martins and Terblanche (2003) detail </w:t>
      </w:r>
      <w:r w:rsidR="00DA5ED7">
        <w:rPr>
          <w:rFonts w:ascii="Times New Roman" w:hAnsi="Times New Roman" w:cs="Times New Roman"/>
          <w:sz w:val="24"/>
          <w:szCs w:val="24"/>
          <w:lang w:val="en-US"/>
        </w:rPr>
        <w:t xml:space="preserve">the </w:t>
      </w:r>
      <w:r w:rsidR="005A171C" w:rsidRPr="005A171C">
        <w:rPr>
          <w:rFonts w:ascii="Times New Roman" w:hAnsi="Times New Roman" w:cs="Times New Roman"/>
          <w:sz w:val="24"/>
          <w:szCs w:val="24"/>
          <w:lang w:val="en-US"/>
        </w:rPr>
        <w:t xml:space="preserve">crucial elements for forming an organizational culture that fosters creativity and innovation. They emphasize the importance of providing autonomy and freedom to employees, allowing them to explore and develop new ideas. Furthermore, open communication at all organizational levels is vital </w:t>
      </w:r>
      <w:r w:rsidR="00DA5ED7">
        <w:rPr>
          <w:rFonts w:ascii="Times New Roman" w:hAnsi="Times New Roman" w:cs="Times New Roman"/>
          <w:sz w:val="24"/>
          <w:szCs w:val="24"/>
          <w:lang w:val="en-US"/>
        </w:rPr>
        <w:t>for</w:t>
      </w:r>
      <w:r w:rsidR="005A171C" w:rsidRPr="005A171C">
        <w:rPr>
          <w:rFonts w:ascii="Times New Roman" w:hAnsi="Times New Roman" w:cs="Times New Roman"/>
          <w:sz w:val="24"/>
          <w:szCs w:val="24"/>
          <w:lang w:val="en-US"/>
        </w:rPr>
        <w:t xml:space="preserve"> facilitat</w:t>
      </w:r>
      <w:r w:rsidR="00DA5ED7">
        <w:rPr>
          <w:rFonts w:ascii="Times New Roman" w:hAnsi="Times New Roman" w:cs="Times New Roman"/>
          <w:sz w:val="24"/>
          <w:szCs w:val="24"/>
          <w:lang w:val="en-US"/>
        </w:rPr>
        <w:t>ing</w:t>
      </w:r>
      <w:r w:rsidR="005A171C" w:rsidRPr="005A171C">
        <w:rPr>
          <w:rFonts w:ascii="Times New Roman" w:hAnsi="Times New Roman" w:cs="Times New Roman"/>
          <w:sz w:val="24"/>
          <w:szCs w:val="24"/>
          <w:lang w:val="en-US"/>
        </w:rPr>
        <w:t xml:space="preserve"> the free flow of ideas and feedback, creating an environment that not only supports but actively promotes innovation.</w:t>
      </w:r>
    </w:p>
    <w:p w14:paraId="7B46BBEB" w14:textId="7417DEC4"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From this analysis, it is possible to argue that an innovative organizational culture environment can facilitat</w:t>
      </w:r>
      <w:r w:rsidR="00DA5ED7">
        <w:rPr>
          <w:rFonts w:ascii="Times New Roman" w:hAnsi="Times New Roman" w:cs="Times New Roman"/>
          <w:sz w:val="24"/>
          <w:szCs w:val="24"/>
          <w:lang w:val="en-US"/>
        </w:rPr>
        <w:t>e</w:t>
      </w:r>
      <w:r w:rsidR="005A171C" w:rsidRPr="005A171C">
        <w:rPr>
          <w:rFonts w:ascii="Times New Roman" w:hAnsi="Times New Roman" w:cs="Times New Roman"/>
          <w:sz w:val="24"/>
          <w:szCs w:val="24"/>
          <w:lang w:val="en-US"/>
        </w:rPr>
        <w:t xml:space="preserve"> the adoption of these practices. Therefore, the third hypothesis is constructed as follows:</w:t>
      </w:r>
    </w:p>
    <w:p w14:paraId="4B700AEA" w14:textId="7DF8F9A0" w:rsidR="00EA271B" w:rsidRDefault="00EA271B" w:rsidP="00EA271B">
      <w:pPr>
        <w:spacing w:line="360" w:lineRule="auto"/>
        <w:jc w:val="both"/>
        <w:rPr>
          <w:rFonts w:ascii="Times New Roman" w:hAnsi="Times New Roman" w:cs="Times New Roman"/>
          <w:b/>
          <w:bCs/>
          <w:sz w:val="24"/>
          <w:szCs w:val="24"/>
          <w:lang w:val="en-US"/>
        </w:rPr>
      </w:pPr>
      <w:r w:rsidRPr="00EA271B">
        <w:rPr>
          <w:rFonts w:ascii="Times New Roman" w:hAnsi="Times New Roman" w:cs="Times New Roman"/>
          <w:b/>
          <w:bCs/>
          <w:sz w:val="24"/>
          <w:szCs w:val="24"/>
          <w:lang w:val="en-US"/>
        </w:rPr>
        <w:tab/>
      </w:r>
      <w:r w:rsidR="005A171C" w:rsidRPr="005A171C">
        <w:rPr>
          <w:rFonts w:ascii="Times New Roman" w:hAnsi="Times New Roman" w:cs="Times New Roman"/>
          <w:b/>
          <w:bCs/>
          <w:sz w:val="24"/>
          <w:szCs w:val="24"/>
          <w:lang w:val="en-US"/>
        </w:rPr>
        <w:t xml:space="preserve">H3: </w:t>
      </w:r>
      <w:r w:rsidR="00DA5ED7">
        <w:rPr>
          <w:rFonts w:ascii="Times New Roman" w:hAnsi="Times New Roman" w:cs="Times New Roman"/>
          <w:b/>
          <w:bCs/>
          <w:sz w:val="24"/>
          <w:szCs w:val="24"/>
          <w:lang w:val="en-US"/>
        </w:rPr>
        <w:t>An i</w:t>
      </w:r>
      <w:r w:rsidR="005A171C" w:rsidRPr="005A171C">
        <w:rPr>
          <w:rFonts w:ascii="Times New Roman" w:hAnsi="Times New Roman" w:cs="Times New Roman"/>
          <w:b/>
          <w:bCs/>
          <w:sz w:val="24"/>
          <w:szCs w:val="24"/>
          <w:lang w:val="en-US"/>
        </w:rPr>
        <w:t>nnovative culture moderates the relationship between the adoption of ESG practices and firms</w:t>
      </w:r>
      <w:r>
        <w:rPr>
          <w:rFonts w:ascii="Times New Roman" w:hAnsi="Times New Roman" w:cs="Times New Roman"/>
          <w:b/>
          <w:bCs/>
          <w:sz w:val="24"/>
          <w:szCs w:val="24"/>
          <w:lang w:val="en-US"/>
        </w:rPr>
        <w:t>’</w:t>
      </w:r>
      <w:r w:rsidR="005A171C" w:rsidRPr="005A171C">
        <w:rPr>
          <w:rFonts w:ascii="Times New Roman" w:hAnsi="Times New Roman" w:cs="Times New Roman"/>
          <w:b/>
          <w:bCs/>
          <w:sz w:val="24"/>
          <w:szCs w:val="24"/>
          <w:lang w:val="en-US"/>
        </w:rPr>
        <w:t xml:space="preserve"> market value, such that when applied in innovative culture environments, the positive relationship between ESG and firm value is intensified.</w:t>
      </w:r>
    </w:p>
    <w:p w14:paraId="4F113077" w14:textId="1F229F1F"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5A171C" w:rsidRPr="005A171C">
        <w:rPr>
          <w:rFonts w:ascii="Times New Roman" w:hAnsi="Times New Roman" w:cs="Times New Roman"/>
          <w:sz w:val="24"/>
          <w:szCs w:val="24"/>
          <w:lang w:val="en-US"/>
        </w:rPr>
        <w:t>It is important to highlight that Cameron and Quinn</w:t>
      </w:r>
      <w:r w:rsidR="00E60193">
        <w:rPr>
          <w:rFonts w:ascii="Times New Roman" w:hAnsi="Times New Roman" w:cs="Times New Roman"/>
          <w:sz w:val="24"/>
          <w:szCs w:val="24"/>
          <w:lang w:val="en-US"/>
        </w:rPr>
        <w:t>’</w:t>
      </w:r>
      <w:r w:rsidR="005A171C" w:rsidRPr="005A171C">
        <w:rPr>
          <w:rFonts w:ascii="Times New Roman" w:hAnsi="Times New Roman" w:cs="Times New Roman"/>
          <w:sz w:val="24"/>
          <w:szCs w:val="24"/>
          <w:lang w:val="en-US"/>
        </w:rPr>
        <w:t xml:space="preserve">s (2011) model indicates that companies are not characterized by a single organizational culture, but by a combination of different cultures, with one or two tending to </w:t>
      </w:r>
      <w:r w:rsidR="00DA5ED7">
        <w:rPr>
          <w:rFonts w:ascii="Times New Roman" w:hAnsi="Times New Roman" w:cs="Times New Roman"/>
          <w:sz w:val="24"/>
          <w:szCs w:val="24"/>
          <w:lang w:val="en-US"/>
        </w:rPr>
        <w:t>be more dominant</w:t>
      </w:r>
      <w:r w:rsidR="005A171C" w:rsidRPr="005A171C">
        <w:rPr>
          <w:rFonts w:ascii="Times New Roman" w:hAnsi="Times New Roman" w:cs="Times New Roman"/>
          <w:sz w:val="24"/>
          <w:szCs w:val="24"/>
          <w:lang w:val="en-US"/>
        </w:rPr>
        <w:t>. Based on the analyses performed, if it were necessary to design the ideal culture for adopting ESG practices, a contribution from clan culture would also be relevant. This is due to the fact that the social component of ESG practices includes attention to individuals internally, promoting a collaborative environment focused on employee well-being. However, since it is not feasible to identify a precise proxy that combines</w:t>
      </w:r>
      <w:r w:rsidR="00DA5ED7">
        <w:rPr>
          <w:rFonts w:ascii="Times New Roman" w:hAnsi="Times New Roman" w:cs="Times New Roman"/>
          <w:sz w:val="24"/>
          <w:szCs w:val="24"/>
          <w:lang w:val="en-US"/>
        </w:rPr>
        <w:t xml:space="preserve"> a</w:t>
      </w:r>
      <w:r w:rsidR="005A171C" w:rsidRPr="005A171C">
        <w:rPr>
          <w:rFonts w:ascii="Times New Roman" w:hAnsi="Times New Roman" w:cs="Times New Roman"/>
          <w:sz w:val="24"/>
          <w:szCs w:val="24"/>
          <w:lang w:val="en-US"/>
        </w:rPr>
        <w:t xml:space="preserve">dhocracy culture with aspects of clan, only adhocracy, which presents greater relevance for the analysis, will be considered. The difficulty </w:t>
      </w:r>
      <w:r w:rsidR="00DA5ED7">
        <w:rPr>
          <w:rFonts w:ascii="Times New Roman" w:hAnsi="Times New Roman" w:cs="Times New Roman"/>
          <w:sz w:val="24"/>
          <w:szCs w:val="24"/>
          <w:lang w:val="en-US"/>
        </w:rPr>
        <w:t>in</w:t>
      </w:r>
      <w:r w:rsidR="005A171C" w:rsidRPr="005A171C">
        <w:rPr>
          <w:rFonts w:ascii="Times New Roman" w:hAnsi="Times New Roman" w:cs="Times New Roman"/>
          <w:sz w:val="24"/>
          <w:szCs w:val="24"/>
          <w:lang w:val="en-US"/>
        </w:rPr>
        <w:t xml:space="preserve"> finding a proxy for the type of culture </w:t>
      </w:r>
      <w:r w:rsidR="00DA5ED7">
        <w:rPr>
          <w:rFonts w:ascii="Times New Roman" w:hAnsi="Times New Roman" w:cs="Times New Roman"/>
          <w:sz w:val="24"/>
          <w:szCs w:val="24"/>
          <w:lang w:val="en-US"/>
        </w:rPr>
        <w:t>deemed</w:t>
      </w:r>
      <w:r w:rsidR="005A171C" w:rsidRPr="005A171C">
        <w:rPr>
          <w:rFonts w:ascii="Times New Roman" w:hAnsi="Times New Roman" w:cs="Times New Roman"/>
          <w:sz w:val="24"/>
          <w:szCs w:val="24"/>
          <w:lang w:val="en-US"/>
        </w:rPr>
        <w:t xml:space="preserve"> ideal for adopting sustainable practices is a limitation of the study.</w:t>
      </w:r>
    </w:p>
    <w:p w14:paraId="637B652E" w14:textId="6E6450A1" w:rsidR="00D3545A"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71C" w:rsidRPr="005A171C">
        <w:rPr>
          <w:rFonts w:ascii="Times New Roman" w:hAnsi="Times New Roman" w:cs="Times New Roman"/>
          <w:sz w:val="24"/>
          <w:szCs w:val="24"/>
          <w:lang w:val="en-US"/>
        </w:rPr>
        <w:t xml:space="preserve">Considering </w:t>
      </w:r>
      <w:r w:rsidR="00DA5ED7">
        <w:rPr>
          <w:rFonts w:ascii="Times New Roman" w:hAnsi="Times New Roman" w:cs="Times New Roman"/>
          <w:sz w:val="24"/>
          <w:szCs w:val="24"/>
          <w:lang w:val="en-US"/>
        </w:rPr>
        <w:t xml:space="preserve">the previous </w:t>
      </w:r>
      <w:r w:rsidR="005A171C" w:rsidRPr="005A171C">
        <w:rPr>
          <w:rFonts w:ascii="Times New Roman" w:hAnsi="Times New Roman" w:cs="Times New Roman"/>
          <w:sz w:val="24"/>
          <w:szCs w:val="24"/>
          <w:lang w:val="en-US"/>
        </w:rPr>
        <w:t>discuss</w:t>
      </w:r>
      <w:r w:rsidR="00DA5ED7">
        <w:rPr>
          <w:rFonts w:ascii="Times New Roman" w:hAnsi="Times New Roman" w:cs="Times New Roman"/>
          <w:sz w:val="24"/>
          <w:szCs w:val="24"/>
          <w:lang w:val="en-US"/>
        </w:rPr>
        <w:t>ion</w:t>
      </w:r>
      <w:r w:rsidR="005A171C" w:rsidRPr="005A171C">
        <w:rPr>
          <w:rFonts w:ascii="Times New Roman" w:hAnsi="Times New Roman" w:cs="Times New Roman"/>
          <w:sz w:val="24"/>
          <w:szCs w:val="24"/>
          <w:lang w:val="en-US"/>
        </w:rPr>
        <w:t>, the constructed conceptual model is presented in Figure 1.</w:t>
      </w:r>
    </w:p>
    <w:p w14:paraId="4DD48DC5" w14:textId="77777777" w:rsidR="00EA271B" w:rsidRDefault="00EA271B" w:rsidP="00EA271B">
      <w:pPr>
        <w:spacing w:line="360" w:lineRule="auto"/>
        <w:jc w:val="both"/>
        <w:rPr>
          <w:rFonts w:ascii="Times New Roman" w:hAnsi="Times New Roman" w:cs="Times New Roman"/>
          <w:sz w:val="24"/>
          <w:szCs w:val="24"/>
          <w:lang w:val="en-US"/>
        </w:rPr>
      </w:pPr>
      <w:r w:rsidRPr="00EA271B">
        <w:rPr>
          <w:rFonts w:ascii="Times New Roman" w:hAnsi="Times New Roman" w:cs="Times New Roman"/>
          <w:sz w:val="24"/>
          <w:szCs w:val="24"/>
          <w:lang w:val="en-US"/>
        </w:rPr>
        <w:t>Figure 1- Conceptual Model</w:t>
      </w:r>
    </w:p>
    <w:p w14:paraId="6F25C21F" w14:textId="60A2BF56" w:rsidR="00EA271B" w:rsidRPr="00EA271B" w:rsidRDefault="00EA271B" w:rsidP="00EA271B">
      <w:pPr>
        <w:spacing w:line="360" w:lineRule="auto"/>
        <w:jc w:val="center"/>
        <w:rPr>
          <w:rFonts w:ascii="Times New Roman" w:hAnsi="Times New Roman" w:cs="Times New Roman"/>
          <w:sz w:val="24"/>
          <w:szCs w:val="24"/>
          <w:lang w:val="en-US"/>
        </w:rPr>
      </w:pPr>
      <w:r w:rsidRPr="00EA271B">
        <w:rPr>
          <w:rFonts w:ascii="Times New Roman" w:hAnsi="Times New Roman" w:cs="Times New Roman"/>
          <w:noProof/>
          <w:sz w:val="24"/>
          <w:szCs w:val="24"/>
          <w:lang w:val="en-US"/>
        </w:rPr>
        <w:drawing>
          <wp:inline distT="0" distB="0" distL="0" distR="0" wp14:anchorId="5E934146" wp14:editId="6E5EF177">
            <wp:extent cx="4244340" cy="2355887"/>
            <wp:effectExtent l="0" t="0" r="3810" b="6350"/>
            <wp:docPr id="924626250"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26250" name="Imagem 1" descr="Diagrama&#10;&#10;O conteúdo gerado por IA pode estar incorreto."/>
                    <pic:cNvPicPr/>
                  </pic:nvPicPr>
                  <pic:blipFill>
                    <a:blip r:embed="rId7"/>
                    <a:stretch>
                      <a:fillRect/>
                    </a:stretch>
                  </pic:blipFill>
                  <pic:spPr>
                    <a:xfrm>
                      <a:off x="0" y="0"/>
                      <a:ext cx="4249210" cy="2358590"/>
                    </a:xfrm>
                    <a:prstGeom prst="rect">
                      <a:avLst/>
                    </a:prstGeom>
                  </pic:spPr>
                </pic:pic>
              </a:graphicData>
            </a:graphic>
          </wp:inline>
        </w:drawing>
      </w:r>
    </w:p>
    <w:p w14:paraId="3B9B7394" w14:textId="6E4FA67D" w:rsidR="00EA271B" w:rsidRDefault="00EA271B" w:rsidP="00EA271B">
      <w:pPr>
        <w:spacing w:line="360" w:lineRule="auto"/>
        <w:jc w:val="both"/>
        <w:rPr>
          <w:rFonts w:ascii="Times New Roman" w:hAnsi="Times New Roman" w:cs="Times New Roman"/>
          <w:sz w:val="20"/>
          <w:szCs w:val="20"/>
          <w:lang w:val="en-US"/>
        </w:rPr>
      </w:pPr>
      <w:r w:rsidRPr="00EA271B">
        <w:rPr>
          <w:rFonts w:ascii="Times New Roman" w:hAnsi="Times New Roman" w:cs="Times New Roman"/>
          <w:sz w:val="20"/>
          <w:szCs w:val="20"/>
          <w:lang w:val="en-US"/>
        </w:rPr>
        <w:t>Source: Prepared by the authors</w:t>
      </w:r>
    </w:p>
    <w:p w14:paraId="15679087" w14:textId="77777777" w:rsidR="00EA271B" w:rsidRDefault="00EA271B" w:rsidP="00EA271B">
      <w:pPr>
        <w:spacing w:line="360" w:lineRule="auto"/>
        <w:jc w:val="both"/>
        <w:rPr>
          <w:rFonts w:ascii="Times New Roman" w:hAnsi="Times New Roman" w:cs="Times New Roman"/>
          <w:sz w:val="20"/>
          <w:szCs w:val="20"/>
          <w:lang w:val="en-US"/>
        </w:rPr>
      </w:pPr>
    </w:p>
    <w:p w14:paraId="643CDECF" w14:textId="77777777" w:rsidR="00DA5ED7" w:rsidRDefault="00DA5ED7" w:rsidP="00EA271B">
      <w:pPr>
        <w:spacing w:line="360" w:lineRule="auto"/>
        <w:jc w:val="both"/>
        <w:rPr>
          <w:rFonts w:ascii="Times New Roman" w:hAnsi="Times New Roman" w:cs="Times New Roman"/>
          <w:sz w:val="20"/>
          <w:szCs w:val="20"/>
          <w:lang w:val="en-US"/>
        </w:rPr>
      </w:pPr>
    </w:p>
    <w:p w14:paraId="4338BD43" w14:textId="77777777" w:rsidR="00DA5ED7" w:rsidRDefault="00DA5ED7" w:rsidP="00EA271B">
      <w:pPr>
        <w:spacing w:line="360" w:lineRule="auto"/>
        <w:jc w:val="both"/>
        <w:rPr>
          <w:rFonts w:ascii="Times New Roman" w:hAnsi="Times New Roman" w:cs="Times New Roman"/>
          <w:sz w:val="20"/>
          <w:szCs w:val="20"/>
          <w:lang w:val="en-US"/>
        </w:rPr>
      </w:pPr>
    </w:p>
    <w:p w14:paraId="10E539A2" w14:textId="45D98BC9" w:rsidR="00EA271B" w:rsidRPr="00EA271B" w:rsidRDefault="00EA271B" w:rsidP="00EA271B">
      <w:pPr>
        <w:pStyle w:val="PargrafodaLista"/>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14:paraId="2131D192" w14:textId="260117B6" w:rsidR="00EA271B" w:rsidRDefault="00EA271B" w:rsidP="00EA27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A271B">
        <w:rPr>
          <w:rFonts w:ascii="Times New Roman" w:hAnsi="Times New Roman" w:cs="Times New Roman"/>
          <w:sz w:val="24"/>
          <w:szCs w:val="24"/>
          <w:lang w:val="en-US"/>
        </w:rPr>
        <w:t>This study</w:t>
      </w:r>
      <w:r w:rsidR="00DA5ED7">
        <w:rPr>
          <w:rFonts w:ascii="Times New Roman" w:hAnsi="Times New Roman" w:cs="Times New Roman"/>
          <w:sz w:val="24"/>
          <w:szCs w:val="24"/>
          <w:lang w:val="en-US"/>
        </w:rPr>
        <w:t xml:space="preserve"> employs a</w:t>
      </w:r>
      <w:r w:rsidRPr="00EA271B">
        <w:rPr>
          <w:rFonts w:ascii="Times New Roman" w:hAnsi="Times New Roman" w:cs="Times New Roman"/>
          <w:sz w:val="24"/>
          <w:szCs w:val="24"/>
          <w:lang w:val="en-US"/>
        </w:rPr>
        <w:t xml:space="preserve"> deductive and quantitative</w:t>
      </w:r>
      <w:r w:rsidR="00DA5ED7">
        <w:rPr>
          <w:rFonts w:ascii="Times New Roman" w:hAnsi="Times New Roman" w:cs="Times New Roman"/>
          <w:sz w:val="24"/>
          <w:szCs w:val="24"/>
          <w:lang w:val="en-US"/>
        </w:rPr>
        <w:t xml:space="preserve"> methodology</w:t>
      </w:r>
      <w:r w:rsidRPr="00EA271B">
        <w:rPr>
          <w:rFonts w:ascii="Times New Roman" w:hAnsi="Times New Roman" w:cs="Times New Roman"/>
          <w:sz w:val="24"/>
          <w:szCs w:val="24"/>
          <w:lang w:val="en-US"/>
        </w:rPr>
        <w:t xml:space="preserve">, based on the empirical studies presented in the previous section. The data collected are from publicly traded companies in the United States of America with an </w:t>
      </w:r>
      <w:r w:rsidRPr="00EA271B">
        <w:rPr>
          <w:rStyle w:val="Forte"/>
          <w:rFonts w:ascii="Times New Roman" w:hAnsi="Times New Roman" w:cs="Times New Roman"/>
          <w:b w:val="0"/>
          <w:bCs w:val="0"/>
          <w:sz w:val="24"/>
          <w:szCs w:val="24"/>
          <w:lang w:val="en-US"/>
        </w:rPr>
        <w:t>ESG Combined Score</w:t>
      </w:r>
      <w:r w:rsidRPr="00EA271B">
        <w:rPr>
          <w:rFonts w:ascii="Times New Roman" w:hAnsi="Times New Roman" w:cs="Times New Roman"/>
          <w:sz w:val="24"/>
          <w:szCs w:val="24"/>
          <w:lang w:val="en-US"/>
        </w:rPr>
        <w:t xml:space="preserve"> greater than zero, </w:t>
      </w:r>
      <w:r w:rsidR="00DA5ED7" w:rsidRPr="00DA5ED7">
        <w:rPr>
          <w:rFonts w:ascii="Times New Roman" w:hAnsi="Times New Roman" w:cs="Times New Roman"/>
          <w:sz w:val="24"/>
          <w:szCs w:val="24"/>
          <w:lang w:val="en-US"/>
        </w:rPr>
        <w:t>covering the period from 2016 to 2024. The final dataset includes 1,963 companies and 7,238 observations. The United States was selected due to the greater availability of ESG data, which enables more robust and reliable results</w:t>
      </w:r>
      <w:r w:rsidR="00DA5ED7">
        <w:rPr>
          <w:rFonts w:ascii="Times New Roman" w:hAnsi="Times New Roman" w:cs="Times New Roman"/>
          <w:sz w:val="24"/>
          <w:szCs w:val="24"/>
          <w:lang w:val="en-US"/>
        </w:rPr>
        <w:t>. A</w:t>
      </w:r>
      <w:r w:rsidRPr="00EA271B">
        <w:rPr>
          <w:rFonts w:ascii="Times New Roman" w:hAnsi="Times New Roman" w:cs="Times New Roman"/>
          <w:sz w:val="24"/>
          <w:szCs w:val="24"/>
          <w:lang w:val="en-US"/>
        </w:rPr>
        <w:t xml:space="preserve">ll data were </w:t>
      </w:r>
      <w:r w:rsidR="00DA5ED7">
        <w:rPr>
          <w:rFonts w:ascii="Times New Roman" w:hAnsi="Times New Roman" w:cs="Times New Roman"/>
          <w:sz w:val="24"/>
          <w:szCs w:val="24"/>
          <w:lang w:val="en-US"/>
        </w:rPr>
        <w:t>obtained</w:t>
      </w:r>
      <w:r w:rsidRPr="00EA271B">
        <w:rPr>
          <w:rFonts w:ascii="Times New Roman" w:hAnsi="Times New Roman" w:cs="Times New Roman"/>
          <w:sz w:val="24"/>
          <w:szCs w:val="24"/>
          <w:lang w:val="en-US"/>
        </w:rPr>
        <w:t xml:space="preserve"> from the Refinitiv Eikon financial analysis platform and are </w:t>
      </w:r>
      <w:r w:rsidR="00DA5ED7">
        <w:rPr>
          <w:rFonts w:ascii="Times New Roman" w:hAnsi="Times New Roman" w:cs="Times New Roman"/>
          <w:sz w:val="24"/>
          <w:szCs w:val="24"/>
          <w:lang w:val="en-US"/>
        </w:rPr>
        <w:t>denominated in</w:t>
      </w:r>
      <w:r w:rsidRPr="00EA271B">
        <w:rPr>
          <w:rFonts w:ascii="Times New Roman" w:hAnsi="Times New Roman" w:cs="Times New Roman"/>
          <w:sz w:val="24"/>
          <w:szCs w:val="24"/>
          <w:lang w:val="en-US"/>
        </w:rPr>
        <w:t xml:space="preserve"> U.S. dollar</w:t>
      </w:r>
      <w:r w:rsidR="00DA5ED7">
        <w:rPr>
          <w:rFonts w:ascii="Times New Roman" w:hAnsi="Times New Roman" w:cs="Times New Roman"/>
          <w:sz w:val="24"/>
          <w:szCs w:val="24"/>
          <w:lang w:val="en-US"/>
        </w:rPr>
        <w:t>s</w:t>
      </w:r>
      <w:r w:rsidRPr="00EA271B">
        <w:rPr>
          <w:rFonts w:ascii="Times New Roman" w:hAnsi="Times New Roman" w:cs="Times New Roman"/>
          <w:sz w:val="24"/>
          <w:szCs w:val="24"/>
          <w:lang w:val="en-US"/>
        </w:rPr>
        <w:t>.</w:t>
      </w:r>
    </w:p>
    <w:p w14:paraId="5C72293F" w14:textId="67BA6ED8" w:rsidR="00870EFC" w:rsidRDefault="00EA271B" w:rsidP="00870EFC">
      <w:pPr>
        <w:spacing w:line="360" w:lineRule="auto"/>
        <w:jc w:val="both"/>
        <w:rPr>
          <w:rFonts w:ascii="Times New Roman" w:hAnsi="Times New Roman" w:cs="Times New Roman"/>
          <w:sz w:val="24"/>
          <w:szCs w:val="24"/>
          <w:lang w:val="en-US"/>
        </w:rPr>
      </w:pPr>
      <w:r w:rsidRPr="00870EFC">
        <w:rPr>
          <w:rFonts w:ascii="Times New Roman" w:hAnsi="Times New Roman" w:cs="Times New Roman"/>
          <w:sz w:val="24"/>
          <w:szCs w:val="24"/>
          <w:lang w:val="en-US"/>
        </w:rPr>
        <w:tab/>
        <w:t xml:space="preserve">The dependent variable used in the analysis is </w:t>
      </w:r>
      <w:r w:rsidRPr="00870EFC">
        <w:rPr>
          <w:rStyle w:val="Forte"/>
          <w:rFonts w:ascii="Times New Roman" w:hAnsi="Times New Roman" w:cs="Times New Roman"/>
          <w:b w:val="0"/>
          <w:bCs w:val="0"/>
          <w:sz w:val="24"/>
          <w:szCs w:val="24"/>
          <w:lang w:val="en-US"/>
        </w:rPr>
        <w:t>firm market value</w:t>
      </w:r>
      <w:r w:rsidRPr="00870EFC">
        <w:rPr>
          <w:rFonts w:ascii="Times New Roman" w:hAnsi="Times New Roman" w:cs="Times New Roman"/>
          <w:sz w:val="24"/>
          <w:szCs w:val="24"/>
          <w:lang w:val="en-US"/>
        </w:rPr>
        <w:t xml:space="preserve">. As this dependent variable is affected by its own past values, the analysis </w:t>
      </w:r>
      <w:r w:rsidR="00DA5ED7">
        <w:rPr>
          <w:rFonts w:ascii="Times New Roman" w:hAnsi="Times New Roman" w:cs="Times New Roman"/>
          <w:sz w:val="24"/>
          <w:szCs w:val="24"/>
          <w:lang w:val="en-US"/>
        </w:rPr>
        <w:t>is</w:t>
      </w:r>
      <w:r w:rsidRPr="00870EFC">
        <w:rPr>
          <w:rFonts w:ascii="Times New Roman" w:hAnsi="Times New Roman" w:cs="Times New Roman"/>
          <w:sz w:val="24"/>
          <w:szCs w:val="24"/>
          <w:lang w:val="en-US"/>
        </w:rPr>
        <w:t xml:space="preserve"> conducted using a </w:t>
      </w:r>
      <w:r w:rsidRPr="00870EFC">
        <w:rPr>
          <w:rStyle w:val="Forte"/>
          <w:rFonts w:ascii="Times New Roman" w:hAnsi="Times New Roman" w:cs="Times New Roman"/>
          <w:b w:val="0"/>
          <w:bCs w:val="0"/>
          <w:sz w:val="24"/>
          <w:szCs w:val="24"/>
          <w:lang w:val="en-US"/>
        </w:rPr>
        <w:t>dynamic panel regression model</w:t>
      </w:r>
      <w:r w:rsidRPr="00870EFC">
        <w:rPr>
          <w:rFonts w:ascii="Times New Roman" w:hAnsi="Times New Roman" w:cs="Times New Roman"/>
          <w:sz w:val="24"/>
          <w:szCs w:val="24"/>
          <w:lang w:val="en-US"/>
        </w:rPr>
        <w:t xml:space="preserve">. Much of the literature studied focuses on the relationship between sustainable practices and firm performance; however, this variable does not have a clear </w:t>
      </w:r>
      <w:r w:rsidR="00DA5ED7">
        <w:rPr>
          <w:rFonts w:ascii="Times New Roman" w:hAnsi="Times New Roman" w:cs="Times New Roman"/>
          <w:sz w:val="24"/>
          <w:szCs w:val="24"/>
          <w:lang w:val="en-US"/>
        </w:rPr>
        <w:t xml:space="preserve">and </w:t>
      </w:r>
      <w:r w:rsidRPr="00870EFC">
        <w:rPr>
          <w:rFonts w:ascii="Times New Roman" w:hAnsi="Times New Roman" w:cs="Times New Roman"/>
          <w:sz w:val="24"/>
          <w:szCs w:val="24"/>
          <w:lang w:val="en-US"/>
        </w:rPr>
        <w:t>direct relationship with the company</w:t>
      </w:r>
      <w:r w:rsidR="00870EFC">
        <w:rPr>
          <w:rFonts w:ascii="Times New Roman" w:hAnsi="Times New Roman" w:cs="Times New Roman"/>
          <w:sz w:val="24"/>
          <w:szCs w:val="24"/>
          <w:lang w:val="en-US"/>
        </w:rPr>
        <w:t>’</w:t>
      </w:r>
      <w:r w:rsidRPr="00870EFC">
        <w:rPr>
          <w:rFonts w:ascii="Times New Roman" w:hAnsi="Times New Roman" w:cs="Times New Roman"/>
          <w:sz w:val="24"/>
          <w:szCs w:val="24"/>
          <w:lang w:val="en-US"/>
        </w:rPr>
        <w:t>s value itself. Other studies us</w:t>
      </w:r>
      <w:r w:rsidR="00DA5ED7">
        <w:rPr>
          <w:rFonts w:ascii="Times New Roman" w:hAnsi="Times New Roman" w:cs="Times New Roman"/>
          <w:sz w:val="24"/>
          <w:szCs w:val="24"/>
          <w:lang w:val="en-US"/>
        </w:rPr>
        <w:t>e</w:t>
      </w:r>
      <w:r w:rsidRPr="00870EFC">
        <w:rPr>
          <w:rFonts w:ascii="Times New Roman" w:hAnsi="Times New Roman" w:cs="Times New Roman"/>
          <w:sz w:val="24"/>
          <w:szCs w:val="24"/>
          <w:lang w:val="en-US"/>
        </w:rPr>
        <w:t xml:space="preserve"> the financial indicator </w:t>
      </w:r>
      <w:r w:rsidRPr="00870EFC">
        <w:rPr>
          <w:rStyle w:val="Forte"/>
          <w:rFonts w:ascii="Times New Roman" w:hAnsi="Times New Roman" w:cs="Times New Roman"/>
          <w:b w:val="0"/>
          <w:bCs w:val="0"/>
          <w:sz w:val="24"/>
          <w:szCs w:val="24"/>
          <w:lang w:val="en-US"/>
        </w:rPr>
        <w:t>Tobi</w:t>
      </w:r>
      <w:r w:rsidR="00870EFC">
        <w:rPr>
          <w:rStyle w:val="Forte"/>
          <w:rFonts w:ascii="Times New Roman" w:hAnsi="Times New Roman" w:cs="Times New Roman"/>
          <w:b w:val="0"/>
          <w:bCs w:val="0"/>
          <w:sz w:val="24"/>
          <w:szCs w:val="24"/>
          <w:lang w:val="en-US"/>
        </w:rPr>
        <w:t>n’</w:t>
      </w:r>
      <w:r w:rsidRPr="00870EFC">
        <w:rPr>
          <w:rStyle w:val="Forte"/>
          <w:rFonts w:ascii="Times New Roman" w:hAnsi="Times New Roman" w:cs="Times New Roman"/>
          <w:b w:val="0"/>
          <w:bCs w:val="0"/>
          <w:sz w:val="24"/>
          <w:szCs w:val="24"/>
          <w:lang w:val="en-US"/>
        </w:rPr>
        <w:t>s Q</w:t>
      </w:r>
      <w:r w:rsidRPr="00870EFC">
        <w:rPr>
          <w:rFonts w:ascii="Times New Roman" w:hAnsi="Times New Roman" w:cs="Times New Roman"/>
          <w:sz w:val="24"/>
          <w:szCs w:val="24"/>
          <w:lang w:val="en-US"/>
        </w:rPr>
        <w:t xml:space="preserve"> (Fuente et al., 2022; Zumente &amp; Bistrova, 2021), which is the total market value of </w:t>
      </w:r>
      <w:r w:rsidR="00DA5ED7">
        <w:rPr>
          <w:rFonts w:ascii="Times New Roman" w:hAnsi="Times New Roman" w:cs="Times New Roman"/>
          <w:sz w:val="24"/>
          <w:szCs w:val="24"/>
          <w:lang w:val="en-US"/>
        </w:rPr>
        <w:t>a</w:t>
      </w:r>
      <w:r w:rsidRPr="00870EFC">
        <w:rPr>
          <w:rFonts w:ascii="Times New Roman" w:hAnsi="Times New Roman" w:cs="Times New Roman"/>
          <w:sz w:val="24"/>
          <w:szCs w:val="24"/>
          <w:lang w:val="en-US"/>
        </w:rPr>
        <w:t xml:space="preserve"> company divided by the replacement cost of the company</w:t>
      </w:r>
      <w:r w:rsidR="00870EFC">
        <w:rPr>
          <w:rFonts w:ascii="Times New Roman" w:hAnsi="Times New Roman" w:cs="Times New Roman"/>
          <w:sz w:val="24"/>
          <w:szCs w:val="24"/>
          <w:lang w:val="en-US"/>
        </w:rPr>
        <w:t>’</w:t>
      </w:r>
      <w:r w:rsidRPr="00870EFC">
        <w:rPr>
          <w:rFonts w:ascii="Times New Roman" w:hAnsi="Times New Roman" w:cs="Times New Roman"/>
          <w:sz w:val="24"/>
          <w:szCs w:val="24"/>
          <w:lang w:val="en-US"/>
        </w:rPr>
        <w:t>s assets. Many factors can impact a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s market value, such as a reduction in the</w:t>
      </w:r>
      <w:r w:rsidR="00DA5ED7">
        <w:rPr>
          <w:rFonts w:ascii="Times New Roman" w:hAnsi="Times New Roman" w:cs="Times New Roman"/>
          <w:sz w:val="24"/>
          <w:szCs w:val="24"/>
          <w:lang w:val="en-US"/>
        </w:rPr>
        <w:t xml:space="preserve"> </w:t>
      </w:r>
      <w:r w:rsidRPr="00870EFC">
        <w:rPr>
          <w:rFonts w:ascii="Times New Roman" w:hAnsi="Times New Roman" w:cs="Times New Roman"/>
          <w:sz w:val="24"/>
          <w:szCs w:val="24"/>
          <w:lang w:val="en-US"/>
        </w:rPr>
        <w:t xml:space="preserve">cost of capital, </w:t>
      </w:r>
      <w:r w:rsidR="00DA5ED7" w:rsidRPr="00DA5ED7">
        <w:rPr>
          <w:rFonts w:ascii="Times New Roman" w:hAnsi="Times New Roman" w:cs="Times New Roman"/>
          <w:sz w:val="24"/>
          <w:szCs w:val="24"/>
          <w:lang w:val="en-US"/>
        </w:rPr>
        <w:t>improved performance, or even cost reductions through greater efficiency</w:t>
      </w:r>
      <w:r w:rsidR="00DA5ED7">
        <w:rPr>
          <w:rFonts w:ascii="Times New Roman" w:hAnsi="Times New Roman" w:cs="Times New Roman"/>
          <w:sz w:val="24"/>
          <w:szCs w:val="24"/>
          <w:lang w:val="en-US"/>
        </w:rPr>
        <w:t xml:space="preserve"> – </w:t>
      </w:r>
      <w:r w:rsidR="00DA5ED7" w:rsidRPr="00DA5ED7">
        <w:rPr>
          <w:rFonts w:ascii="Times New Roman" w:hAnsi="Times New Roman" w:cs="Times New Roman"/>
          <w:sz w:val="24"/>
          <w:szCs w:val="24"/>
          <w:lang w:val="en-US"/>
        </w:rPr>
        <w:t xml:space="preserve">all of which can be influenced by the adoption of ESG practices </w:t>
      </w:r>
      <w:r w:rsidRPr="00870EFC">
        <w:rPr>
          <w:rFonts w:ascii="Times New Roman" w:hAnsi="Times New Roman" w:cs="Times New Roman"/>
          <w:sz w:val="24"/>
          <w:szCs w:val="24"/>
          <w:lang w:val="en-US"/>
        </w:rPr>
        <w:t>(Porter et al., 2019).</w:t>
      </w:r>
    </w:p>
    <w:p w14:paraId="12B92D35" w14:textId="30D6A890" w:rsid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A271B" w:rsidRPr="00870EFC">
        <w:rPr>
          <w:rFonts w:ascii="Times New Roman" w:hAnsi="Times New Roman" w:cs="Times New Roman"/>
          <w:sz w:val="24"/>
          <w:szCs w:val="24"/>
          <w:lang w:val="en-US"/>
        </w:rPr>
        <w:t>The Tobin</w:t>
      </w:r>
      <w:r>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s Q indicator encompasses all these factors and goes further, as it also pr</w:t>
      </w:r>
      <w:r w:rsidR="00DA5ED7">
        <w:rPr>
          <w:rFonts w:ascii="Times New Roman" w:hAnsi="Times New Roman" w:cs="Times New Roman"/>
          <w:sz w:val="24"/>
          <w:szCs w:val="24"/>
          <w:lang w:val="en-US"/>
        </w:rPr>
        <w:t xml:space="preserve">ovides </w:t>
      </w:r>
      <w:r w:rsidR="00EA271B" w:rsidRPr="00870EFC">
        <w:rPr>
          <w:rFonts w:ascii="Times New Roman" w:hAnsi="Times New Roman" w:cs="Times New Roman"/>
          <w:sz w:val="24"/>
          <w:szCs w:val="24"/>
          <w:lang w:val="en-US"/>
        </w:rPr>
        <w:t>a view of market expectations based on the replacement value of the company</w:t>
      </w:r>
      <w:r>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s assets. Thus, the indicator also reflects the intrinsic value of the company, where the impact of ESG practices can be observed. A Tobin</w:t>
      </w:r>
      <w:r>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s Q value greater than 1 suggests that the market values the company more than the cost of its physical assets, indicating that the market view</w:t>
      </w:r>
      <w:r w:rsidR="00DA5ED7">
        <w:rPr>
          <w:rFonts w:ascii="Times New Roman" w:hAnsi="Times New Roman" w:cs="Times New Roman"/>
          <w:sz w:val="24"/>
          <w:szCs w:val="24"/>
          <w:lang w:val="en-US"/>
        </w:rPr>
        <w:t>s</w:t>
      </w:r>
      <w:r w:rsidR="00EA271B" w:rsidRPr="00870EFC">
        <w:rPr>
          <w:rFonts w:ascii="Times New Roman" w:hAnsi="Times New Roman" w:cs="Times New Roman"/>
          <w:sz w:val="24"/>
          <w:szCs w:val="24"/>
          <w:lang w:val="en-US"/>
        </w:rPr>
        <w:t xml:space="preserve"> </w:t>
      </w:r>
      <w:r w:rsidR="00DA5ED7">
        <w:rPr>
          <w:rFonts w:ascii="Times New Roman" w:hAnsi="Times New Roman" w:cs="Times New Roman"/>
          <w:sz w:val="24"/>
          <w:szCs w:val="24"/>
          <w:lang w:val="en-US"/>
        </w:rPr>
        <w:t>the</w:t>
      </w:r>
      <w:r w:rsidR="00EA271B" w:rsidRPr="00870EFC">
        <w:rPr>
          <w:rFonts w:ascii="Times New Roman" w:hAnsi="Times New Roman" w:cs="Times New Roman"/>
          <w:sz w:val="24"/>
          <w:szCs w:val="24"/>
          <w:lang w:val="en-US"/>
        </w:rPr>
        <w:t xml:space="preserve"> organization </w:t>
      </w:r>
      <w:r w:rsidR="00DA5ED7">
        <w:rPr>
          <w:rFonts w:ascii="Times New Roman" w:hAnsi="Times New Roman" w:cs="Times New Roman"/>
          <w:sz w:val="24"/>
          <w:szCs w:val="24"/>
          <w:lang w:val="en-US"/>
        </w:rPr>
        <w:t xml:space="preserve">as having strong </w:t>
      </w:r>
      <w:r w:rsidR="00EA271B" w:rsidRPr="00870EFC">
        <w:rPr>
          <w:rFonts w:ascii="Times New Roman" w:hAnsi="Times New Roman" w:cs="Times New Roman"/>
          <w:sz w:val="24"/>
          <w:szCs w:val="24"/>
          <w:lang w:val="en-US"/>
        </w:rPr>
        <w:t>future growth</w:t>
      </w:r>
      <w:r w:rsidR="00DA5ED7">
        <w:rPr>
          <w:rFonts w:ascii="Times New Roman" w:hAnsi="Times New Roman" w:cs="Times New Roman"/>
          <w:sz w:val="24"/>
          <w:szCs w:val="24"/>
          <w:lang w:val="en-US"/>
        </w:rPr>
        <w:t xml:space="preserve"> potential</w:t>
      </w:r>
      <w:r w:rsidR="00EA271B" w:rsidRPr="00870EFC">
        <w:rPr>
          <w:rFonts w:ascii="Times New Roman" w:hAnsi="Times New Roman" w:cs="Times New Roman"/>
          <w:sz w:val="24"/>
          <w:szCs w:val="24"/>
          <w:lang w:val="en-US"/>
        </w:rPr>
        <w:t xml:space="preserve">. If it is less than 1, the interpretation is the opposite, meaning that the cost of </w:t>
      </w:r>
      <w:r w:rsidR="00DA5ED7">
        <w:rPr>
          <w:rFonts w:ascii="Times New Roman" w:hAnsi="Times New Roman" w:cs="Times New Roman"/>
          <w:sz w:val="24"/>
          <w:szCs w:val="24"/>
          <w:lang w:val="en-US"/>
        </w:rPr>
        <w:t>the company’s</w:t>
      </w:r>
      <w:r w:rsidR="00EA271B" w:rsidRPr="00870EFC">
        <w:rPr>
          <w:rFonts w:ascii="Times New Roman" w:hAnsi="Times New Roman" w:cs="Times New Roman"/>
          <w:sz w:val="24"/>
          <w:szCs w:val="24"/>
          <w:lang w:val="en-US"/>
        </w:rPr>
        <w:t xml:space="preserve"> fixed assets i</w:t>
      </w:r>
      <w:r w:rsidR="00DA5ED7">
        <w:rPr>
          <w:rFonts w:ascii="Times New Roman" w:hAnsi="Times New Roman" w:cs="Times New Roman"/>
          <w:sz w:val="24"/>
          <w:szCs w:val="24"/>
          <w:lang w:val="en-US"/>
        </w:rPr>
        <w:t>t</w:t>
      </w:r>
      <w:r w:rsidR="00EA271B" w:rsidRPr="00870EFC">
        <w:rPr>
          <w:rFonts w:ascii="Times New Roman" w:hAnsi="Times New Roman" w:cs="Times New Roman"/>
          <w:sz w:val="24"/>
          <w:szCs w:val="24"/>
          <w:lang w:val="en-US"/>
        </w:rPr>
        <w:t xml:space="preserve">s </w:t>
      </w:r>
      <w:r w:rsidR="00DA5ED7">
        <w:rPr>
          <w:rFonts w:ascii="Times New Roman" w:hAnsi="Times New Roman" w:cs="Times New Roman"/>
          <w:sz w:val="24"/>
          <w:szCs w:val="24"/>
          <w:lang w:val="en-US"/>
        </w:rPr>
        <w:t>total market</w:t>
      </w:r>
      <w:r w:rsidR="006952E6">
        <w:rPr>
          <w:rFonts w:ascii="Times New Roman" w:hAnsi="Times New Roman" w:cs="Times New Roman"/>
          <w:sz w:val="24"/>
          <w:szCs w:val="24"/>
          <w:lang w:val="en-US"/>
        </w:rPr>
        <w:t xml:space="preserve"> value</w:t>
      </w:r>
      <w:r w:rsidR="00EA271B" w:rsidRPr="00870EFC">
        <w:rPr>
          <w:rFonts w:ascii="Times New Roman" w:hAnsi="Times New Roman" w:cs="Times New Roman"/>
          <w:sz w:val="24"/>
          <w:szCs w:val="24"/>
          <w:lang w:val="en-US"/>
        </w:rPr>
        <w:t xml:space="preserve">, </w:t>
      </w:r>
      <w:r w:rsidR="006952E6" w:rsidRPr="00870EFC">
        <w:rPr>
          <w:rFonts w:ascii="Times New Roman" w:hAnsi="Times New Roman" w:cs="Times New Roman"/>
          <w:sz w:val="24"/>
          <w:szCs w:val="24"/>
          <w:lang w:val="en-US"/>
        </w:rPr>
        <w:t>sign</w:t>
      </w:r>
      <w:r w:rsidR="006952E6">
        <w:rPr>
          <w:rFonts w:ascii="Times New Roman" w:hAnsi="Times New Roman" w:cs="Times New Roman"/>
          <w:sz w:val="24"/>
          <w:szCs w:val="24"/>
          <w:lang w:val="en-US"/>
        </w:rPr>
        <w:t>aling</w:t>
      </w:r>
      <w:r w:rsidR="00EA271B" w:rsidRPr="00870EFC">
        <w:rPr>
          <w:rFonts w:ascii="Times New Roman" w:hAnsi="Times New Roman" w:cs="Times New Roman"/>
          <w:sz w:val="24"/>
          <w:szCs w:val="24"/>
          <w:lang w:val="en-US"/>
        </w:rPr>
        <w:t xml:space="preserve"> a pessimistic market view on the company</w:t>
      </w:r>
      <w:r w:rsidR="00E60193">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s future profit potential. For the</w:t>
      </w:r>
      <w:r w:rsidR="006952E6">
        <w:rPr>
          <w:rFonts w:ascii="Times New Roman" w:hAnsi="Times New Roman" w:cs="Times New Roman"/>
          <w:sz w:val="24"/>
          <w:szCs w:val="24"/>
          <w:lang w:val="en-US"/>
        </w:rPr>
        <w:t>se</w:t>
      </w:r>
      <w:r w:rsidR="00EA271B" w:rsidRPr="00870EFC">
        <w:rPr>
          <w:rFonts w:ascii="Times New Roman" w:hAnsi="Times New Roman" w:cs="Times New Roman"/>
          <w:sz w:val="24"/>
          <w:szCs w:val="24"/>
          <w:lang w:val="en-US"/>
        </w:rPr>
        <w:t xml:space="preserve"> reasons presented, this will be the variable representing the market value of organizations in this study.</w:t>
      </w:r>
    </w:p>
    <w:p w14:paraId="1EADBF43" w14:textId="289E5982" w:rsidR="00EA271B" w:rsidRPr="00870EFC" w:rsidRDefault="00870EFC" w:rsidP="00870EFC">
      <w:pPr>
        <w:spacing w:line="360" w:lineRule="auto"/>
        <w:jc w:val="both"/>
        <w:rPr>
          <w:rFonts w:ascii="Times New Roman" w:hAnsi="Times New Roman" w:cs="Times New Roman"/>
          <w:sz w:val="32"/>
          <w:szCs w:val="32"/>
          <w:lang w:val="en-US"/>
        </w:rPr>
      </w:pPr>
      <w:r>
        <w:rPr>
          <w:rFonts w:ascii="Times New Roman" w:hAnsi="Times New Roman" w:cs="Times New Roman"/>
          <w:sz w:val="24"/>
          <w:szCs w:val="24"/>
          <w:lang w:val="en-US"/>
        </w:rPr>
        <w:tab/>
      </w:r>
      <w:r w:rsidR="00EA271B" w:rsidRPr="00870EFC">
        <w:rPr>
          <w:rFonts w:ascii="Times New Roman" w:hAnsi="Times New Roman" w:cs="Times New Roman"/>
          <w:sz w:val="24"/>
          <w:szCs w:val="24"/>
          <w:lang w:val="en-US"/>
        </w:rPr>
        <w:t xml:space="preserve">The variable was </w:t>
      </w:r>
      <w:r w:rsidR="006952E6">
        <w:rPr>
          <w:rFonts w:ascii="Times New Roman" w:hAnsi="Times New Roman" w:cs="Times New Roman"/>
          <w:sz w:val="24"/>
          <w:szCs w:val="24"/>
          <w:lang w:val="en-US"/>
        </w:rPr>
        <w:t>calculat</w:t>
      </w:r>
      <w:r w:rsidR="00EA271B" w:rsidRPr="00870EFC">
        <w:rPr>
          <w:rFonts w:ascii="Times New Roman" w:hAnsi="Times New Roman" w:cs="Times New Roman"/>
          <w:sz w:val="24"/>
          <w:szCs w:val="24"/>
          <w:lang w:val="en-US"/>
        </w:rPr>
        <w:t>ed by dividing the</w:t>
      </w:r>
      <w:r w:rsidR="006952E6">
        <w:rPr>
          <w:rFonts w:ascii="Times New Roman" w:hAnsi="Times New Roman" w:cs="Times New Roman"/>
          <w:sz w:val="24"/>
          <w:szCs w:val="24"/>
          <w:lang w:val="en-US"/>
        </w:rPr>
        <w:t xml:space="preserve"> company’s</w:t>
      </w:r>
      <w:r w:rsidR="00EA271B" w:rsidRPr="00870EFC">
        <w:rPr>
          <w:rFonts w:ascii="Times New Roman" w:hAnsi="Times New Roman" w:cs="Times New Roman"/>
          <w:sz w:val="24"/>
          <w:szCs w:val="24"/>
          <w:lang w:val="en-US"/>
        </w:rPr>
        <w:t xml:space="preserve"> </w:t>
      </w:r>
      <w:r w:rsidRPr="00870EFC">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Enterprise Value – Actual</w:t>
      </w:r>
      <w:r>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 xml:space="preserve"> by </w:t>
      </w:r>
      <w:r w:rsidR="006952E6">
        <w:rPr>
          <w:rFonts w:ascii="Times New Roman" w:hAnsi="Times New Roman" w:cs="Times New Roman"/>
          <w:sz w:val="24"/>
          <w:szCs w:val="24"/>
          <w:lang w:val="en-US"/>
        </w:rPr>
        <w:t>its</w:t>
      </w:r>
      <w:r w:rsidR="00EA271B" w:rsidRPr="00870EF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Total Assets – Actual</w:t>
      </w:r>
      <w:r>
        <w:rPr>
          <w:rFonts w:ascii="Times New Roman" w:hAnsi="Times New Roman" w:cs="Times New Roman"/>
          <w:sz w:val="24"/>
          <w:szCs w:val="24"/>
          <w:lang w:val="en-US"/>
        </w:rPr>
        <w:t>”</w:t>
      </w:r>
      <w:r w:rsidR="00EA271B" w:rsidRPr="00870EFC">
        <w:rPr>
          <w:rFonts w:ascii="Times New Roman" w:hAnsi="Times New Roman" w:cs="Times New Roman"/>
          <w:sz w:val="24"/>
          <w:szCs w:val="24"/>
          <w:lang w:val="en-US"/>
        </w:rPr>
        <w:t>.</w:t>
      </w:r>
    </w:p>
    <w:p w14:paraId="40163B6A" w14:textId="77777777" w:rsidR="00870EFC" w:rsidRPr="00CD65FF" w:rsidRDefault="00870EFC" w:rsidP="00870EFC">
      <w:pPr>
        <w:spacing w:after="0" w:line="360" w:lineRule="auto"/>
        <w:ind w:firstLine="709"/>
        <w:jc w:val="both"/>
        <w:rPr>
          <w:rFonts w:ascii="Times New Roman" w:eastAsiaTheme="minorEastAsia" w:hAnsi="Times New Roman" w:cs="Times New Roman"/>
          <w:sz w:val="24"/>
          <w:szCs w:val="24"/>
        </w:rPr>
      </w:pPr>
      <m:oMathPara>
        <m:oMath>
          <m:r>
            <w:rPr>
              <w:rFonts w:ascii="Cambria Math" w:hAnsi="Cambria Math" w:cs="Times New Roman"/>
              <w:sz w:val="24"/>
              <w:szCs w:val="24"/>
            </w:rPr>
            <m:t>Tobi</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r>
            <w:rPr>
              <w:rFonts w:ascii="Cambria Math" w:hAnsi="Cambria Math" w:cs="Times New Roman"/>
              <w:sz w:val="24"/>
              <w:szCs w:val="24"/>
            </w:rPr>
            <m:t>s Q=</m:t>
          </m:r>
          <m:f>
            <m:fPr>
              <m:ctrlPr>
                <w:rPr>
                  <w:rFonts w:ascii="Cambria Math" w:hAnsi="Cambria Math" w:cs="Times New Roman"/>
                  <w:i/>
                  <w:sz w:val="24"/>
                  <w:szCs w:val="24"/>
                </w:rPr>
              </m:ctrlPr>
            </m:fPr>
            <m:num>
              <m:r>
                <w:rPr>
                  <w:rFonts w:ascii="Cambria Math" w:hAnsi="Cambria Math" w:cs="Times New Roman"/>
                  <w:sz w:val="24"/>
                  <w:szCs w:val="24"/>
                </w:rPr>
                <m:t>Enterprise Value</m:t>
              </m:r>
            </m:num>
            <m:den>
              <m:r>
                <w:rPr>
                  <w:rFonts w:ascii="Cambria Math" w:hAnsi="Cambria Math" w:cs="Times New Roman"/>
                  <w:sz w:val="24"/>
                  <w:szCs w:val="24"/>
                </w:rPr>
                <m:t>Total Assets</m:t>
              </m:r>
            </m:den>
          </m:f>
        </m:oMath>
      </m:oMathPara>
    </w:p>
    <w:p w14:paraId="22116CEE" w14:textId="20FF4FE2"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i/>
          <w:iCs/>
          <w:sz w:val="24"/>
          <w:szCs w:val="24"/>
          <w:lang w:val="en-US"/>
        </w:rPr>
        <w:t>Enterprise Value</w:t>
      </w:r>
      <w:r w:rsidRPr="00870EFC">
        <w:rPr>
          <w:rFonts w:ascii="Times New Roman" w:hAnsi="Times New Roman" w:cs="Times New Roman"/>
          <w:sz w:val="24"/>
          <w:szCs w:val="24"/>
          <w:lang w:val="en-US"/>
        </w:rPr>
        <w:t xml:space="preserve"> represents the total value of </w:t>
      </w:r>
      <w:r w:rsidR="006952E6">
        <w:rPr>
          <w:rFonts w:ascii="Times New Roman" w:hAnsi="Times New Roman" w:cs="Times New Roman"/>
          <w:sz w:val="24"/>
          <w:szCs w:val="24"/>
          <w:lang w:val="en-US"/>
        </w:rPr>
        <w:t>a</w:t>
      </w:r>
      <w:r w:rsidRPr="00870EFC">
        <w:rPr>
          <w:rFonts w:ascii="Times New Roman" w:hAnsi="Times New Roman" w:cs="Times New Roman"/>
          <w:sz w:val="24"/>
          <w:szCs w:val="24"/>
          <w:lang w:val="en-US"/>
        </w:rPr>
        <w:t xml:space="preserve"> company, considering both equity and debt. Its value in Refinitiv Eikon is calculated by summing the market value of shares with total debt, </w:t>
      </w:r>
      <w:r w:rsidR="006952E6">
        <w:rPr>
          <w:rFonts w:ascii="Times New Roman" w:hAnsi="Times New Roman" w:cs="Times New Roman"/>
          <w:sz w:val="24"/>
          <w:szCs w:val="24"/>
          <w:lang w:val="en-US"/>
        </w:rPr>
        <w:t>then</w:t>
      </w:r>
      <w:r w:rsidRPr="00870EFC">
        <w:rPr>
          <w:rFonts w:ascii="Times New Roman" w:hAnsi="Times New Roman" w:cs="Times New Roman"/>
          <w:sz w:val="24"/>
          <w:szCs w:val="24"/>
          <w:lang w:val="en-US"/>
        </w:rPr>
        <w:t xml:space="preserve"> subtracting cash and cash equivalents. </w:t>
      </w:r>
      <w:r w:rsidRPr="00870EFC">
        <w:rPr>
          <w:rFonts w:ascii="Times New Roman" w:hAnsi="Times New Roman" w:cs="Times New Roman"/>
          <w:i/>
          <w:iCs/>
          <w:sz w:val="24"/>
          <w:szCs w:val="24"/>
          <w:lang w:val="en-US"/>
        </w:rPr>
        <w:t>Total Assets</w:t>
      </w:r>
      <w:r w:rsidRPr="00870EFC">
        <w:rPr>
          <w:rFonts w:ascii="Times New Roman" w:hAnsi="Times New Roman" w:cs="Times New Roman"/>
          <w:sz w:val="24"/>
          <w:szCs w:val="24"/>
          <w:lang w:val="en-US"/>
        </w:rPr>
        <w:t xml:space="preserve"> represents the total value of resources that a company possesses, both short-term and long-term. Thus, Tobin</w:t>
      </w:r>
      <w:r>
        <w:rPr>
          <w:rFonts w:ascii="Times New Roman" w:hAnsi="Times New Roman" w:cs="Times New Roman"/>
          <w:sz w:val="24"/>
          <w:szCs w:val="24"/>
          <w:lang w:val="en-US"/>
        </w:rPr>
        <w:t>’</w:t>
      </w:r>
      <w:r w:rsidRPr="00870EFC">
        <w:rPr>
          <w:rFonts w:ascii="Times New Roman" w:hAnsi="Times New Roman" w:cs="Times New Roman"/>
          <w:sz w:val="24"/>
          <w:szCs w:val="24"/>
          <w:lang w:val="en-US"/>
        </w:rPr>
        <w:t>s Q represents the relationship between a company</w:t>
      </w:r>
      <w:r>
        <w:rPr>
          <w:rFonts w:ascii="Times New Roman" w:hAnsi="Times New Roman" w:cs="Times New Roman"/>
          <w:sz w:val="24"/>
          <w:szCs w:val="24"/>
          <w:lang w:val="en-US"/>
        </w:rPr>
        <w:t>’</w:t>
      </w:r>
      <w:r w:rsidRPr="00870EFC">
        <w:rPr>
          <w:rFonts w:ascii="Times New Roman" w:hAnsi="Times New Roman" w:cs="Times New Roman"/>
          <w:sz w:val="24"/>
          <w:szCs w:val="24"/>
          <w:lang w:val="en-US"/>
        </w:rPr>
        <w:t>s market value and the replacement cost of its assets. If its value is greater than 1, it means that the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s market value is greater than the replacement cost of its assets, i.e., the market is attributing some kind of premium to the company</w:t>
      </w:r>
      <w:r>
        <w:rPr>
          <w:rFonts w:ascii="Times New Roman" w:hAnsi="Times New Roman" w:cs="Times New Roman"/>
          <w:sz w:val="24"/>
          <w:szCs w:val="24"/>
          <w:lang w:val="en-US"/>
        </w:rPr>
        <w:t>’</w:t>
      </w:r>
      <w:r w:rsidRPr="00870EFC">
        <w:rPr>
          <w:rFonts w:ascii="Times New Roman" w:hAnsi="Times New Roman" w:cs="Times New Roman"/>
          <w:sz w:val="24"/>
          <w:szCs w:val="24"/>
          <w:lang w:val="en-US"/>
        </w:rPr>
        <w:t>s assets (</w:t>
      </w:r>
      <w:r w:rsidR="006952E6" w:rsidRPr="006952E6">
        <w:rPr>
          <w:rFonts w:ascii="Times New Roman" w:hAnsi="Times New Roman" w:cs="Times New Roman"/>
          <w:sz w:val="24"/>
          <w:szCs w:val="24"/>
          <w:lang w:val="en-US"/>
        </w:rPr>
        <w:t>such as the intangible assets discussed in the theoretical part of this study</w:t>
      </w:r>
      <w:r w:rsidR="006952E6">
        <w:rPr>
          <w:rFonts w:ascii="Times New Roman" w:hAnsi="Times New Roman" w:cs="Times New Roman"/>
          <w:sz w:val="24"/>
          <w:szCs w:val="24"/>
          <w:lang w:val="en-US"/>
        </w:rPr>
        <w:t xml:space="preserve">). </w:t>
      </w:r>
      <w:r w:rsidRPr="00870EFC">
        <w:rPr>
          <w:rFonts w:ascii="Times New Roman" w:hAnsi="Times New Roman" w:cs="Times New Roman"/>
          <w:sz w:val="24"/>
          <w:szCs w:val="24"/>
          <w:lang w:val="en-US"/>
        </w:rPr>
        <w:t>If the value is less than 1, it means that the replacement cost of the assets is greater than the company</w:t>
      </w:r>
      <w:r>
        <w:rPr>
          <w:rFonts w:ascii="Times New Roman" w:hAnsi="Times New Roman" w:cs="Times New Roman"/>
          <w:sz w:val="24"/>
          <w:szCs w:val="24"/>
          <w:lang w:val="en-US"/>
        </w:rPr>
        <w:t>’</w:t>
      </w:r>
      <w:r w:rsidRPr="00870EFC">
        <w:rPr>
          <w:rFonts w:ascii="Times New Roman" w:hAnsi="Times New Roman" w:cs="Times New Roman"/>
          <w:sz w:val="24"/>
          <w:szCs w:val="24"/>
          <w:lang w:val="en-US"/>
        </w:rPr>
        <w:t>s market value. This indicates a market perception of underutilized resources or insufficient returns generation.</w:t>
      </w:r>
    </w:p>
    <w:p w14:paraId="118CB849" w14:textId="1BC01B10"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The independent variable used in the analysis is</w:t>
      </w:r>
      <w:r w:rsidR="006952E6">
        <w:rPr>
          <w:rFonts w:ascii="Times New Roman" w:hAnsi="Times New Roman" w:cs="Times New Roman"/>
          <w:sz w:val="24"/>
          <w:szCs w:val="24"/>
          <w:lang w:val="en-US"/>
        </w:rPr>
        <w:t xml:space="preserve"> the</w:t>
      </w:r>
      <w:r w:rsidRPr="00870EFC">
        <w:rPr>
          <w:rFonts w:ascii="Times New Roman" w:hAnsi="Times New Roman" w:cs="Times New Roman"/>
          <w:sz w:val="24"/>
          <w:szCs w:val="24"/>
          <w:lang w:val="en-US"/>
        </w:rPr>
        <w:t xml:space="preserve"> adoption of ESG practices by companies. The </w:t>
      </w:r>
      <w:r w:rsidR="006952E6">
        <w:rPr>
          <w:rFonts w:ascii="Times New Roman" w:hAnsi="Times New Roman" w:cs="Times New Roman"/>
          <w:sz w:val="24"/>
          <w:szCs w:val="24"/>
          <w:lang w:val="en-US"/>
        </w:rPr>
        <w:t>goal</w:t>
      </w:r>
      <w:r w:rsidRPr="00870EFC">
        <w:rPr>
          <w:rFonts w:ascii="Times New Roman" w:hAnsi="Times New Roman" w:cs="Times New Roman"/>
          <w:sz w:val="24"/>
          <w:szCs w:val="24"/>
          <w:lang w:val="en-US"/>
        </w:rPr>
        <w:t xml:space="preserve"> is to understand </w:t>
      </w:r>
      <w:r w:rsidR="006952E6">
        <w:rPr>
          <w:rFonts w:ascii="Times New Roman" w:hAnsi="Times New Roman" w:cs="Times New Roman"/>
          <w:sz w:val="24"/>
          <w:szCs w:val="24"/>
          <w:lang w:val="en-US"/>
        </w:rPr>
        <w:t>whether</w:t>
      </w:r>
      <w:r w:rsidRPr="00870EFC">
        <w:rPr>
          <w:rFonts w:ascii="Times New Roman" w:hAnsi="Times New Roman" w:cs="Times New Roman"/>
          <w:sz w:val="24"/>
          <w:szCs w:val="24"/>
          <w:lang w:val="en-US"/>
        </w:rPr>
        <w:t xml:space="preserve"> there is a positive causal relationship between the adoption of social and sustainable practices and the market value of companies. Thus, the chosen independent variable </w:t>
      </w:r>
      <w:r w:rsidR="006952E6">
        <w:rPr>
          <w:rFonts w:ascii="Times New Roman" w:hAnsi="Times New Roman" w:cs="Times New Roman"/>
          <w:sz w:val="24"/>
          <w:szCs w:val="24"/>
          <w:lang w:val="en-US"/>
        </w:rPr>
        <w:t xml:space="preserve">is the </w:t>
      </w:r>
      <w:r w:rsidRPr="00870EFC">
        <w:rPr>
          <w:rFonts w:ascii="Times New Roman" w:hAnsi="Times New Roman" w:cs="Times New Roman"/>
          <w:sz w:val="24"/>
          <w:szCs w:val="24"/>
          <w:lang w:val="en-US"/>
        </w:rPr>
        <w:t xml:space="preserve">ESG </w:t>
      </w:r>
      <w:r w:rsidR="006952E6">
        <w:rPr>
          <w:rFonts w:ascii="Times New Roman" w:hAnsi="Times New Roman" w:cs="Times New Roman"/>
          <w:sz w:val="24"/>
          <w:szCs w:val="24"/>
          <w:lang w:val="en-US"/>
        </w:rPr>
        <w:t>Combined S</w:t>
      </w:r>
      <w:r w:rsidRPr="00870EFC">
        <w:rPr>
          <w:rFonts w:ascii="Times New Roman" w:hAnsi="Times New Roman" w:cs="Times New Roman"/>
          <w:sz w:val="24"/>
          <w:szCs w:val="24"/>
          <w:lang w:val="en-US"/>
        </w:rPr>
        <w:t>core</w:t>
      </w:r>
      <w:r w:rsidR="006952E6">
        <w:rPr>
          <w:rFonts w:ascii="Times New Roman" w:hAnsi="Times New Roman" w:cs="Times New Roman"/>
          <w:sz w:val="24"/>
          <w:szCs w:val="24"/>
          <w:lang w:val="en-US"/>
        </w:rPr>
        <w:t>, with data</w:t>
      </w:r>
      <w:r w:rsidRPr="00870EFC">
        <w:rPr>
          <w:rFonts w:ascii="Times New Roman" w:hAnsi="Times New Roman" w:cs="Times New Roman"/>
          <w:sz w:val="24"/>
          <w:szCs w:val="24"/>
          <w:lang w:val="en-US"/>
        </w:rPr>
        <w:t xml:space="preserve"> collected from Refinitiv</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ESG Combined Score (Cheng et al., 2014; Fuente et al., 2022). The ESG Combined Score from Refinitiv Eikon (Thomson Reuters ASSET4 ESG) is a comprehensive index based on self-reported information across the environmental, social, and governance pillars of companies, </w:t>
      </w:r>
      <w:r w:rsidR="006952E6">
        <w:rPr>
          <w:rFonts w:ascii="Times New Roman" w:hAnsi="Times New Roman" w:cs="Times New Roman"/>
          <w:sz w:val="24"/>
          <w:szCs w:val="24"/>
          <w:lang w:val="en-US"/>
        </w:rPr>
        <w:t>sup</w:t>
      </w:r>
      <w:r w:rsidRPr="00870EFC">
        <w:rPr>
          <w:rFonts w:ascii="Times New Roman" w:hAnsi="Times New Roman" w:cs="Times New Roman"/>
          <w:sz w:val="24"/>
          <w:szCs w:val="24"/>
          <w:lang w:val="en-US"/>
        </w:rPr>
        <w:t xml:space="preserve">plemented by an analysis of ESG controversies </w:t>
      </w:r>
      <w:r w:rsidR="006952E6">
        <w:rPr>
          <w:rFonts w:ascii="Times New Roman" w:hAnsi="Times New Roman" w:cs="Times New Roman"/>
          <w:sz w:val="24"/>
          <w:szCs w:val="24"/>
          <w:lang w:val="en-US"/>
        </w:rPr>
        <w:t>sourc</w:t>
      </w:r>
      <w:r w:rsidRPr="00870EFC">
        <w:rPr>
          <w:rFonts w:ascii="Times New Roman" w:hAnsi="Times New Roman" w:cs="Times New Roman"/>
          <w:sz w:val="24"/>
          <w:szCs w:val="24"/>
          <w:lang w:val="en-US"/>
        </w:rPr>
        <w:t xml:space="preserve">ed from global media </w:t>
      </w:r>
      <w:r w:rsidR="006952E6">
        <w:rPr>
          <w:rFonts w:ascii="Times New Roman" w:hAnsi="Times New Roman" w:cs="Times New Roman"/>
          <w:sz w:val="24"/>
          <w:szCs w:val="24"/>
          <w:lang w:val="en-US"/>
        </w:rPr>
        <w:t>outlet</w:t>
      </w:r>
      <w:r w:rsidRPr="00870EFC">
        <w:rPr>
          <w:rFonts w:ascii="Times New Roman" w:hAnsi="Times New Roman" w:cs="Times New Roman"/>
          <w:sz w:val="24"/>
          <w:szCs w:val="24"/>
          <w:lang w:val="en-US"/>
        </w:rPr>
        <w:t>s.</w:t>
      </w:r>
    </w:p>
    <w:p w14:paraId="5E86897B" w14:textId="56C27950"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 xml:space="preserve">The ESG Combined Score integrates the ESG score with the ESG controversies score. The ESG score reflects </w:t>
      </w:r>
      <w:r w:rsidR="006952E6">
        <w:rPr>
          <w:rFonts w:ascii="Times New Roman" w:hAnsi="Times New Roman" w:cs="Times New Roman"/>
          <w:sz w:val="24"/>
          <w:szCs w:val="24"/>
          <w:lang w:val="en-US"/>
        </w:rPr>
        <w:t>a</w:t>
      </w:r>
      <w:r w:rsidRPr="00870EFC">
        <w:rPr>
          <w:rFonts w:ascii="Times New Roman" w:hAnsi="Times New Roman" w:cs="Times New Roman"/>
          <w:sz w:val="24"/>
          <w:szCs w:val="24"/>
          <w:lang w:val="en-US"/>
        </w:rPr>
        <w:t xml:space="preserv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performance in environmental, social, and governance aspects, calculated from data collected from self-reported sources, such as official sustainability reports and financial disclosures, as well as </w:t>
      </w:r>
      <w:r w:rsidR="006952E6">
        <w:rPr>
          <w:rFonts w:ascii="Times New Roman" w:hAnsi="Times New Roman" w:cs="Times New Roman"/>
          <w:sz w:val="24"/>
          <w:szCs w:val="24"/>
          <w:lang w:val="en-US"/>
        </w:rPr>
        <w:t xml:space="preserve">such </w:t>
      </w:r>
      <w:r w:rsidRPr="00870EFC">
        <w:rPr>
          <w:rFonts w:ascii="Times New Roman" w:hAnsi="Times New Roman" w:cs="Times New Roman"/>
          <w:sz w:val="24"/>
          <w:szCs w:val="24"/>
          <w:lang w:val="en-US"/>
        </w:rPr>
        <w:t>public sources</w:t>
      </w:r>
      <w:r w:rsidR="006952E6">
        <w:rPr>
          <w:rFonts w:ascii="Times New Roman" w:hAnsi="Times New Roman" w:cs="Times New Roman"/>
          <w:sz w:val="24"/>
          <w:szCs w:val="24"/>
          <w:lang w:val="en-US"/>
        </w:rPr>
        <w:t xml:space="preserve"> </w:t>
      </w:r>
      <w:r w:rsidRPr="00870EFC">
        <w:rPr>
          <w:rFonts w:ascii="Times New Roman" w:hAnsi="Times New Roman" w:cs="Times New Roman"/>
          <w:sz w:val="24"/>
          <w:szCs w:val="24"/>
          <w:lang w:val="en-US"/>
        </w:rPr>
        <w:t>as non-governmental organizations (NGOs), re</w:t>
      </w:r>
      <w:r w:rsidR="006952E6">
        <w:rPr>
          <w:rFonts w:ascii="Times New Roman" w:hAnsi="Times New Roman" w:cs="Times New Roman"/>
          <w:sz w:val="24"/>
          <w:szCs w:val="24"/>
          <w:lang w:val="en-US"/>
        </w:rPr>
        <w:t>puta</w:t>
      </w:r>
      <w:r w:rsidRPr="00870EFC">
        <w:rPr>
          <w:rFonts w:ascii="Times New Roman" w:hAnsi="Times New Roman" w:cs="Times New Roman"/>
          <w:sz w:val="24"/>
          <w:szCs w:val="24"/>
          <w:lang w:val="en-US"/>
        </w:rPr>
        <w:t>ble digital media, and public databases.</w:t>
      </w:r>
    </w:p>
    <w:p w14:paraId="6A552007" w14:textId="05CDDCFC"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 xml:space="preserve">The ESG controversies score, on the other hand, considers negative incidents reported in the media that may </w:t>
      </w:r>
      <w:r w:rsidR="00E60193" w:rsidRPr="00870EFC">
        <w:rPr>
          <w:rFonts w:ascii="Times New Roman" w:hAnsi="Times New Roman" w:cs="Times New Roman"/>
          <w:sz w:val="24"/>
          <w:szCs w:val="24"/>
          <w:lang w:val="en-US"/>
        </w:rPr>
        <w:t xml:space="preserve">impact </w:t>
      </w:r>
      <w:r w:rsidRPr="00870EFC">
        <w:rPr>
          <w:rFonts w:ascii="Times New Roman" w:hAnsi="Times New Roman" w:cs="Times New Roman"/>
          <w:sz w:val="24"/>
          <w:szCs w:val="24"/>
          <w:lang w:val="en-US"/>
        </w:rPr>
        <w:t>the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s reputation and ESG practices. The use of the combined variable seeks to avoid including companies that, although presenting high ESG indices, do not demonstrate a real commitment to these practices</w:t>
      </w:r>
      <w:r w:rsidR="006952E6">
        <w:rPr>
          <w:rFonts w:ascii="Times New Roman" w:hAnsi="Times New Roman" w:cs="Times New Roman"/>
          <w:sz w:val="24"/>
          <w:szCs w:val="24"/>
          <w:lang w:val="en-US"/>
        </w:rPr>
        <w:t xml:space="preserve"> –</w:t>
      </w:r>
      <w:r w:rsidRPr="00870EFC">
        <w:rPr>
          <w:rFonts w:ascii="Times New Roman" w:hAnsi="Times New Roman" w:cs="Times New Roman"/>
          <w:sz w:val="24"/>
          <w:szCs w:val="24"/>
          <w:lang w:val="en-US"/>
        </w:rPr>
        <w:t xml:space="preserve"> something evidenced by the presence of controversies. Scores range from 0 to 100, with higher values indicating better ESG performance. This approach allows for greater rigor in evaluating corporate sustainability, capturing both alignment with good ESG practices and consistency in fulfilling these policies.</w:t>
      </w:r>
    </w:p>
    <w:p w14:paraId="5EBA9F68" w14:textId="0E4F49DC"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This variable naturally presents a time lag, as the scores published in a given year are calculated based on data from the previous fiscal year. The lag is justified by the fact that the effects of ESG practices do not manifest in the short term, requiring a longer period to impact company value (Friede et al., 2015). Thus, the adopted methodology allows for comparison</w:t>
      </w:r>
      <w:r w:rsidR="006952E6">
        <w:rPr>
          <w:rFonts w:ascii="Times New Roman" w:hAnsi="Times New Roman" w:cs="Times New Roman"/>
          <w:sz w:val="24"/>
          <w:szCs w:val="24"/>
          <w:lang w:val="en-US"/>
        </w:rPr>
        <w:t xml:space="preserve"> –</w:t>
      </w:r>
      <w:r w:rsidRPr="00870EFC">
        <w:rPr>
          <w:rFonts w:ascii="Times New Roman" w:hAnsi="Times New Roman" w:cs="Times New Roman"/>
          <w:sz w:val="24"/>
          <w:szCs w:val="24"/>
          <w:lang w:val="en-US"/>
        </w:rPr>
        <w:t xml:space="preserve"> for example, between practices implemented in 2019 and their reflection on company value in 2020. For the same reason, the moderating variables, which also </w:t>
      </w:r>
      <w:r w:rsidR="006952E6">
        <w:rPr>
          <w:rFonts w:ascii="Times New Roman" w:hAnsi="Times New Roman" w:cs="Times New Roman"/>
          <w:sz w:val="24"/>
          <w:szCs w:val="24"/>
          <w:lang w:val="en-US"/>
        </w:rPr>
        <w:t>exhibi</w:t>
      </w:r>
      <w:r w:rsidRPr="00870EFC">
        <w:rPr>
          <w:rFonts w:ascii="Times New Roman" w:hAnsi="Times New Roman" w:cs="Times New Roman"/>
          <w:sz w:val="24"/>
          <w:szCs w:val="24"/>
          <w:lang w:val="en-US"/>
        </w:rPr>
        <w:t xml:space="preserve">t a natural lag, are maintained, as the analysis seeks to relate the practices adopted in 2019 with their application within a Shared Value strategy and in an organizational culture environment </w:t>
      </w:r>
      <w:r w:rsidR="006952E6">
        <w:rPr>
          <w:rFonts w:ascii="Times New Roman" w:hAnsi="Times New Roman" w:cs="Times New Roman"/>
          <w:sz w:val="24"/>
          <w:szCs w:val="24"/>
          <w:lang w:val="en-US"/>
        </w:rPr>
        <w:t>from</w:t>
      </w:r>
      <w:r w:rsidRPr="00870EFC">
        <w:rPr>
          <w:rFonts w:ascii="Times New Roman" w:hAnsi="Times New Roman" w:cs="Times New Roman"/>
          <w:sz w:val="24"/>
          <w:szCs w:val="24"/>
          <w:lang w:val="en-US"/>
        </w:rPr>
        <w:t xml:space="preserve"> the same period.</w:t>
      </w:r>
    </w:p>
    <w:p w14:paraId="38824414" w14:textId="4109D2FE"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 xml:space="preserve">The control variables </w:t>
      </w:r>
      <w:r w:rsidR="006952E6">
        <w:rPr>
          <w:rFonts w:ascii="Times New Roman" w:hAnsi="Times New Roman" w:cs="Times New Roman"/>
          <w:sz w:val="24"/>
          <w:szCs w:val="24"/>
          <w:lang w:val="en-US"/>
        </w:rPr>
        <w:t>are</w:t>
      </w:r>
      <w:r w:rsidRPr="00870EFC">
        <w:rPr>
          <w:rFonts w:ascii="Times New Roman" w:hAnsi="Times New Roman" w:cs="Times New Roman"/>
          <w:sz w:val="24"/>
          <w:szCs w:val="24"/>
          <w:lang w:val="en-US"/>
        </w:rPr>
        <w:t xml:space="preserve"> Firm Size, Leverage, Return on Assets (ROA), and Sales Growth (Fuente et al., 2022). Firm size is measured by the natural logarithm of the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s total assets. Leverage reflects the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s degree of indebtedness relative to its total assets and is calculated by dividing total debt by total assets. ROA measures the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operational profitability relative to its total assets and is calculated by dividing </w:t>
      </w:r>
      <w:r w:rsidR="006952E6">
        <w:rPr>
          <w:rFonts w:ascii="Times New Roman" w:hAnsi="Times New Roman" w:cs="Times New Roman"/>
          <w:sz w:val="24"/>
          <w:szCs w:val="24"/>
          <w:lang w:val="en-US"/>
        </w:rPr>
        <w:t>e</w:t>
      </w:r>
      <w:r w:rsidRPr="00870EFC">
        <w:rPr>
          <w:rFonts w:ascii="Times New Roman" w:hAnsi="Times New Roman" w:cs="Times New Roman"/>
          <w:sz w:val="24"/>
          <w:szCs w:val="24"/>
          <w:lang w:val="en-US"/>
        </w:rPr>
        <w:t xml:space="preserve">arnings </w:t>
      </w:r>
      <w:r w:rsidR="006952E6">
        <w:rPr>
          <w:rFonts w:ascii="Times New Roman" w:hAnsi="Times New Roman" w:cs="Times New Roman"/>
          <w:sz w:val="24"/>
          <w:szCs w:val="24"/>
          <w:lang w:val="en-US"/>
        </w:rPr>
        <w:t>b</w:t>
      </w:r>
      <w:r w:rsidRPr="00870EFC">
        <w:rPr>
          <w:rFonts w:ascii="Times New Roman" w:hAnsi="Times New Roman" w:cs="Times New Roman"/>
          <w:sz w:val="24"/>
          <w:szCs w:val="24"/>
          <w:lang w:val="en-US"/>
        </w:rPr>
        <w:t xml:space="preserve">efore </w:t>
      </w:r>
      <w:r w:rsidR="006952E6">
        <w:rPr>
          <w:rFonts w:ascii="Times New Roman" w:hAnsi="Times New Roman" w:cs="Times New Roman"/>
          <w:sz w:val="24"/>
          <w:szCs w:val="24"/>
          <w:lang w:val="en-US"/>
        </w:rPr>
        <w:t>i</w:t>
      </w:r>
      <w:r w:rsidRPr="00870EFC">
        <w:rPr>
          <w:rFonts w:ascii="Times New Roman" w:hAnsi="Times New Roman" w:cs="Times New Roman"/>
          <w:sz w:val="24"/>
          <w:szCs w:val="24"/>
          <w:lang w:val="en-US"/>
        </w:rPr>
        <w:t xml:space="preserve">nterest and </w:t>
      </w:r>
      <w:r w:rsidR="006952E6">
        <w:rPr>
          <w:rFonts w:ascii="Times New Roman" w:hAnsi="Times New Roman" w:cs="Times New Roman"/>
          <w:sz w:val="24"/>
          <w:szCs w:val="24"/>
          <w:lang w:val="en-US"/>
        </w:rPr>
        <w:t>t</w:t>
      </w:r>
      <w:r w:rsidRPr="00870EFC">
        <w:rPr>
          <w:rFonts w:ascii="Times New Roman" w:hAnsi="Times New Roman" w:cs="Times New Roman"/>
          <w:sz w:val="24"/>
          <w:szCs w:val="24"/>
          <w:lang w:val="en-US"/>
        </w:rPr>
        <w:t xml:space="preserve">axes (EBIT) by total assets. Sales Growth is calculated </w:t>
      </w:r>
      <w:r w:rsidR="006952E6">
        <w:rPr>
          <w:rFonts w:ascii="Times New Roman" w:hAnsi="Times New Roman" w:cs="Times New Roman"/>
          <w:sz w:val="24"/>
          <w:szCs w:val="24"/>
          <w:lang w:val="en-US"/>
        </w:rPr>
        <w:t>based on t</w:t>
      </w:r>
      <w:r w:rsidRPr="00870EFC">
        <w:rPr>
          <w:rFonts w:ascii="Times New Roman" w:hAnsi="Times New Roman" w:cs="Times New Roman"/>
          <w:sz w:val="24"/>
          <w:szCs w:val="24"/>
          <w:lang w:val="en-US"/>
        </w:rPr>
        <w:t>he year-over-year change in the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total revenues; this variable is relevant </w:t>
      </w:r>
      <w:r w:rsidR="006952E6">
        <w:rPr>
          <w:rFonts w:ascii="Times New Roman" w:hAnsi="Times New Roman" w:cs="Times New Roman"/>
          <w:sz w:val="24"/>
          <w:szCs w:val="24"/>
          <w:lang w:val="en-US"/>
        </w:rPr>
        <w:t>bec</w:t>
      </w:r>
      <w:r w:rsidRPr="00870EFC">
        <w:rPr>
          <w:rFonts w:ascii="Times New Roman" w:hAnsi="Times New Roman" w:cs="Times New Roman"/>
          <w:sz w:val="24"/>
          <w:szCs w:val="24"/>
          <w:lang w:val="en-US"/>
        </w:rPr>
        <w:t>a</w:t>
      </w:r>
      <w:r w:rsidR="006952E6">
        <w:rPr>
          <w:rFonts w:ascii="Times New Roman" w:hAnsi="Times New Roman" w:cs="Times New Roman"/>
          <w:sz w:val="24"/>
          <w:szCs w:val="24"/>
          <w:lang w:val="en-US"/>
        </w:rPr>
        <w:t>u</w:t>
      </w:r>
      <w:r w:rsidRPr="00870EFC">
        <w:rPr>
          <w:rFonts w:ascii="Times New Roman" w:hAnsi="Times New Roman" w:cs="Times New Roman"/>
          <w:sz w:val="24"/>
          <w:szCs w:val="24"/>
          <w:lang w:val="en-US"/>
        </w:rPr>
        <w:t>s</w:t>
      </w:r>
      <w:r w:rsidR="006952E6">
        <w:rPr>
          <w:rFonts w:ascii="Times New Roman" w:hAnsi="Times New Roman" w:cs="Times New Roman"/>
          <w:sz w:val="24"/>
          <w:szCs w:val="24"/>
          <w:lang w:val="en-US"/>
        </w:rPr>
        <w:t>e</w:t>
      </w:r>
      <w:r w:rsidRPr="00870EFC">
        <w:rPr>
          <w:rFonts w:ascii="Times New Roman" w:hAnsi="Times New Roman" w:cs="Times New Roman"/>
          <w:sz w:val="24"/>
          <w:szCs w:val="24"/>
          <w:lang w:val="en-US"/>
        </w:rPr>
        <w:t xml:space="preserve"> it directly affects future cash flow projections (Damodaran, 2012) and investor expectations (Brealey et al., 2020), which are fundamental concepts </w:t>
      </w:r>
      <w:r w:rsidR="006952E6">
        <w:rPr>
          <w:rFonts w:ascii="Times New Roman" w:hAnsi="Times New Roman" w:cs="Times New Roman"/>
          <w:sz w:val="24"/>
          <w:szCs w:val="24"/>
          <w:lang w:val="en-US"/>
        </w:rPr>
        <w:t>in</w:t>
      </w:r>
      <w:r w:rsidRPr="00870EFC">
        <w:rPr>
          <w:rFonts w:ascii="Times New Roman" w:hAnsi="Times New Roman" w:cs="Times New Roman"/>
          <w:sz w:val="24"/>
          <w:szCs w:val="24"/>
          <w:lang w:val="en-US"/>
        </w:rPr>
        <w:t xml:space="preserve"> company valuation.</w:t>
      </w:r>
    </w:p>
    <w:p w14:paraId="787A914C" w14:textId="5A46C5CC"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Finally, the</w:t>
      </w:r>
      <w:r w:rsidR="006952E6">
        <w:rPr>
          <w:rFonts w:ascii="Times New Roman" w:hAnsi="Times New Roman" w:cs="Times New Roman"/>
          <w:sz w:val="24"/>
          <w:szCs w:val="24"/>
          <w:lang w:val="en-US"/>
        </w:rPr>
        <w:t>re is the</w:t>
      </w:r>
      <w:r w:rsidRPr="00870EFC">
        <w:rPr>
          <w:rFonts w:ascii="Times New Roman" w:hAnsi="Times New Roman" w:cs="Times New Roman"/>
          <w:sz w:val="24"/>
          <w:szCs w:val="24"/>
          <w:lang w:val="en-US"/>
        </w:rPr>
        <w:t xml:space="preserve"> variable related to the company</w:t>
      </w:r>
      <w:r>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industry sector, which plays a significant role in analyzing the impacts of ESG practices (Borghesi et al., 2014; Gillan et al., 2021). The adopted sectors follow the classification provided by the Refinitiv Eikon database, resulting in a total of 17 distinct sectors: </w:t>
      </w:r>
      <w:r w:rsidRPr="00870EFC">
        <w:rPr>
          <w:rFonts w:ascii="Times New Roman" w:hAnsi="Times New Roman" w:cs="Times New Roman"/>
          <w:i/>
          <w:iCs/>
          <w:sz w:val="24"/>
          <w:szCs w:val="24"/>
          <w:lang w:val="en-US"/>
        </w:rPr>
        <w:t>Accommodation and Food Services; Administrative and Support and Waste Management; Arts, Entertainment</w:t>
      </w:r>
      <w:r w:rsidR="00011093">
        <w:rPr>
          <w:rFonts w:ascii="Times New Roman" w:hAnsi="Times New Roman" w:cs="Times New Roman"/>
          <w:i/>
          <w:iCs/>
          <w:sz w:val="24"/>
          <w:szCs w:val="24"/>
          <w:lang w:val="en-US"/>
        </w:rPr>
        <w:t xml:space="preserve"> </w:t>
      </w:r>
      <w:r w:rsidRPr="00870EFC">
        <w:rPr>
          <w:rFonts w:ascii="Times New Roman" w:hAnsi="Times New Roman" w:cs="Times New Roman"/>
          <w:i/>
          <w:iCs/>
          <w:sz w:val="24"/>
          <w:szCs w:val="24"/>
          <w:lang w:val="en-US"/>
        </w:rPr>
        <w:t>and Recreation; Construction; Educational Services; Finance and Insurance; Health Care and Social Assistance; Information; Manufacturing; Mining, Quarrying, and Oil and Gas Extraction; Other Services (except Public Administration); Professional, Scientific, and Technical Services; Real Estate and Rental and Leasing; Retail Trade; Transportation and Warehousing; Utilities; and Wholesale Trade</w:t>
      </w:r>
      <w:r w:rsidRPr="00870EFC">
        <w:rPr>
          <w:rFonts w:ascii="Times New Roman" w:hAnsi="Times New Roman" w:cs="Times New Roman"/>
          <w:sz w:val="24"/>
          <w:szCs w:val="24"/>
          <w:lang w:val="en-US"/>
        </w:rPr>
        <w:t>.</w:t>
      </w:r>
    </w:p>
    <w:p w14:paraId="4A9AA327" w14:textId="01018348" w:rsid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To identify Shared Value, Fortune magazine</w:t>
      </w:r>
      <w:r>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w:t>
      </w:r>
      <w:r>
        <w:rPr>
          <w:rFonts w:ascii="Times New Roman" w:hAnsi="Times New Roman" w:cs="Times New Roman"/>
          <w:sz w:val="24"/>
          <w:szCs w:val="24"/>
          <w:lang w:val="en-US"/>
        </w:rPr>
        <w:t>“</w:t>
      </w:r>
      <w:r w:rsidRPr="00870EFC">
        <w:rPr>
          <w:rFonts w:ascii="Times New Roman" w:hAnsi="Times New Roman" w:cs="Times New Roman"/>
          <w:sz w:val="24"/>
          <w:szCs w:val="24"/>
          <w:lang w:val="en-US"/>
        </w:rPr>
        <w:t>Change the World</w:t>
      </w:r>
      <w:r w:rsidR="006952E6">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 list was used (Porter et al., 2019). This list is compiled annually and recognizes companies that demonstrate positive social impact through activities directly integrated into their business strategies. </w:t>
      </w:r>
      <w:r w:rsidR="006952E6">
        <w:rPr>
          <w:rFonts w:ascii="Times New Roman" w:hAnsi="Times New Roman" w:cs="Times New Roman"/>
          <w:sz w:val="24"/>
          <w:szCs w:val="24"/>
          <w:lang w:val="en-US"/>
        </w:rPr>
        <w:t>It</w:t>
      </w:r>
      <w:r w:rsidRPr="00870EFC">
        <w:rPr>
          <w:rFonts w:ascii="Times New Roman" w:hAnsi="Times New Roman" w:cs="Times New Roman"/>
          <w:sz w:val="24"/>
          <w:szCs w:val="24"/>
          <w:lang w:val="en-US"/>
        </w:rPr>
        <w:t xml:space="preserve"> use</w:t>
      </w:r>
      <w:r w:rsidR="006952E6">
        <w:rPr>
          <w:rFonts w:ascii="Times New Roman" w:hAnsi="Times New Roman" w:cs="Times New Roman"/>
          <w:sz w:val="24"/>
          <w:szCs w:val="24"/>
          <w:lang w:val="en-US"/>
        </w:rPr>
        <w:t>s</w:t>
      </w:r>
      <w:r w:rsidRPr="00870EFC">
        <w:rPr>
          <w:rFonts w:ascii="Times New Roman" w:hAnsi="Times New Roman" w:cs="Times New Roman"/>
          <w:sz w:val="24"/>
          <w:szCs w:val="24"/>
          <w:lang w:val="en-US"/>
        </w:rPr>
        <w:t xml:space="preserve"> 3 main criteria: </w:t>
      </w:r>
      <w:r w:rsidR="006952E6">
        <w:rPr>
          <w:rFonts w:ascii="Times New Roman" w:hAnsi="Times New Roman" w:cs="Times New Roman"/>
          <w:sz w:val="24"/>
          <w:szCs w:val="24"/>
          <w:lang w:val="en-US"/>
        </w:rPr>
        <w:t>m</w:t>
      </w:r>
      <w:r w:rsidRPr="00870EFC">
        <w:rPr>
          <w:rFonts w:ascii="Times New Roman" w:hAnsi="Times New Roman" w:cs="Times New Roman"/>
          <w:sz w:val="24"/>
          <w:szCs w:val="24"/>
          <w:lang w:val="en-US"/>
        </w:rPr>
        <w:t xml:space="preserve">easurable </w:t>
      </w:r>
      <w:r w:rsidR="006952E6">
        <w:rPr>
          <w:rFonts w:ascii="Times New Roman" w:hAnsi="Times New Roman" w:cs="Times New Roman"/>
          <w:sz w:val="24"/>
          <w:szCs w:val="24"/>
          <w:lang w:val="en-US"/>
        </w:rPr>
        <w:t>s</w:t>
      </w:r>
      <w:r w:rsidRPr="00870EFC">
        <w:rPr>
          <w:rFonts w:ascii="Times New Roman" w:hAnsi="Times New Roman" w:cs="Times New Roman"/>
          <w:sz w:val="24"/>
          <w:szCs w:val="24"/>
          <w:lang w:val="en-US"/>
        </w:rPr>
        <w:t xml:space="preserve">ocial </w:t>
      </w:r>
      <w:r w:rsidR="006952E6">
        <w:rPr>
          <w:rFonts w:ascii="Times New Roman" w:hAnsi="Times New Roman" w:cs="Times New Roman"/>
          <w:sz w:val="24"/>
          <w:szCs w:val="24"/>
          <w:lang w:val="en-US"/>
        </w:rPr>
        <w:t>i</w:t>
      </w:r>
      <w:r w:rsidRPr="00870EFC">
        <w:rPr>
          <w:rFonts w:ascii="Times New Roman" w:hAnsi="Times New Roman" w:cs="Times New Roman"/>
          <w:sz w:val="24"/>
          <w:szCs w:val="24"/>
          <w:lang w:val="en-US"/>
        </w:rPr>
        <w:t xml:space="preserve">mpact, </w:t>
      </w:r>
      <w:r w:rsidR="006952E6">
        <w:rPr>
          <w:rFonts w:ascii="Times New Roman" w:hAnsi="Times New Roman" w:cs="Times New Roman"/>
          <w:sz w:val="24"/>
          <w:szCs w:val="24"/>
          <w:lang w:val="en-US"/>
        </w:rPr>
        <w:t>b</w:t>
      </w:r>
      <w:r w:rsidRPr="00870EFC">
        <w:rPr>
          <w:rFonts w:ascii="Times New Roman" w:hAnsi="Times New Roman" w:cs="Times New Roman"/>
          <w:sz w:val="24"/>
          <w:szCs w:val="24"/>
          <w:lang w:val="en-US"/>
        </w:rPr>
        <w:t xml:space="preserve">usiness </w:t>
      </w:r>
      <w:r w:rsidR="006952E6">
        <w:rPr>
          <w:rFonts w:ascii="Times New Roman" w:hAnsi="Times New Roman" w:cs="Times New Roman"/>
          <w:sz w:val="24"/>
          <w:szCs w:val="24"/>
          <w:lang w:val="en-US"/>
        </w:rPr>
        <w:t>r</w:t>
      </w:r>
      <w:r w:rsidRPr="00870EFC">
        <w:rPr>
          <w:rFonts w:ascii="Times New Roman" w:hAnsi="Times New Roman" w:cs="Times New Roman"/>
          <w:sz w:val="24"/>
          <w:szCs w:val="24"/>
          <w:lang w:val="en-US"/>
        </w:rPr>
        <w:t xml:space="preserve">esults, and </w:t>
      </w:r>
      <w:r w:rsidR="006952E6">
        <w:rPr>
          <w:rFonts w:ascii="Times New Roman" w:hAnsi="Times New Roman" w:cs="Times New Roman"/>
          <w:sz w:val="24"/>
          <w:szCs w:val="24"/>
          <w:lang w:val="en-US"/>
        </w:rPr>
        <w:t>d</w:t>
      </w:r>
      <w:r w:rsidRPr="00870EFC">
        <w:rPr>
          <w:rFonts w:ascii="Times New Roman" w:hAnsi="Times New Roman" w:cs="Times New Roman"/>
          <w:sz w:val="24"/>
          <w:szCs w:val="24"/>
          <w:lang w:val="en-US"/>
        </w:rPr>
        <w:t xml:space="preserve">egree of </w:t>
      </w:r>
      <w:r w:rsidR="006952E6">
        <w:rPr>
          <w:rFonts w:ascii="Times New Roman" w:hAnsi="Times New Roman" w:cs="Times New Roman"/>
          <w:sz w:val="24"/>
          <w:szCs w:val="24"/>
          <w:lang w:val="en-US"/>
        </w:rPr>
        <w:t>i</w:t>
      </w:r>
      <w:r w:rsidRPr="00870EFC">
        <w:rPr>
          <w:rFonts w:ascii="Times New Roman" w:hAnsi="Times New Roman" w:cs="Times New Roman"/>
          <w:sz w:val="24"/>
          <w:szCs w:val="24"/>
          <w:lang w:val="en-US"/>
        </w:rPr>
        <w:t xml:space="preserve">nnovation. Measurable social impact </w:t>
      </w:r>
      <w:r w:rsidR="006952E6">
        <w:rPr>
          <w:rFonts w:ascii="Times New Roman" w:hAnsi="Times New Roman" w:cs="Times New Roman"/>
          <w:sz w:val="24"/>
          <w:szCs w:val="24"/>
          <w:lang w:val="en-US"/>
        </w:rPr>
        <w:t>evaluate</w:t>
      </w:r>
      <w:r w:rsidRPr="00870EFC">
        <w:rPr>
          <w:rFonts w:ascii="Times New Roman" w:hAnsi="Times New Roman" w:cs="Times New Roman"/>
          <w:sz w:val="24"/>
          <w:szCs w:val="24"/>
          <w:lang w:val="en-US"/>
        </w:rPr>
        <w:t xml:space="preserve">s how much the company contributes to solving social or environmental problems, with quantifiable results. Business results </w:t>
      </w:r>
      <w:r w:rsidR="006952E6">
        <w:rPr>
          <w:rFonts w:ascii="Times New Roman" w:hAnsi="Times New Roman" w:cs="Times New Roman"/>
          <w:sz w:val="24"/>
          <w:szCs w:val="24"/>
          <w:lang w:val="en-US"/>
        </w:rPr>
        <w:t>assess</w:t>
      </w:r>
      <w:r w:rsidRPr="00870EFC">
        <w:rPr>
          <w:rFonts w:ascii="Times New Roman" w:hAnsi="Times New Roman" w:cs="Times New Roman"/>
          <w:sz w:val="24"/>
          <w:szCs w:val="24"/>
          <w:lang w:val="en-US"/>
        </w:rPr>
        <w:t xml:space="preserve"> how these actions positively impact the company</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financial performance, prioritizing real impact over simple reputational gains. Finally, the degree of innovation </w:t>
      </w:r>
      <w:r w:rsidR="006952E6">
        <w:rPr>
          <w:rFonts w:ascii="Times New Roman" w:hAnsi="Times New Roman" w:cs="Times New Roman"/>
          <w:sz w:val="24"/>
          <w:szCs w:val="24"/>
          <w:lang w:val="en-US"/>
        </w:rPr>
        <w:t>assess</w:t>
      </w:r>
      <w:r w:rsidRPr="00870EFC">
        <w:rPr>
          <w:rFonts w:ascii="Times New Roman" w:hAnsi="Times New Roman" w:cs="Times New Roman"/>
          <w:sz w:val="24"/>
          <w:szCs w:val="24"/>
          <w:lang w:val="en-US"/>
        </w:rPr>
        <w:t>es the originality of the company's approach and its ability to influence or inspire other organizations in its sector. The variables were defined as dumm</w:t>
      </w:r>
      <w:r w:rsidR="006952E6">
        <w:rPr>
          <w:rFonts w:ascii="Times New Roman" w:hAnsi="Times New Roman" w:cs="Times New Roman"/>
          <w:sz w:val="24"/>
          <w:szCs w:val="24"/>
          <w:lang w:val="en-US"/>
        </w:rPr>
        <w:t>y variables</w:t>
      </w:r>
      <w:r w:rsidRPr="00870EFC">
        <w:rPr>
          <w:rFonts w:ascii="Times New Roman" w:hAnsi="Times New Roman" w:cs="Times New Roman"/>
          <w:sz w:val="24"/>
          <w:szCs w:val="24"/>
          <w:lang w:val="en-US"/>
        </w:rPr>
        <w:t xml:space="preserve">, </w:t>
      </w:r>
      <w:r w:rsidR="006952E6">
        <w:rPr>
          <w:rFonts w:ascii="Times New Roman" w:hAnsi="Times New Roman" w:cs="Times New Roman"/>
          <w:sz w:val="24"/>
          <w:szCs w:val="24"/>
          <w:lang w:val="en-US"/>
        </w:rPr>
        <w:t>assigned a</w:t>
      </w:r>
      <w:r w:rsidRPr="00870EFC">
        <w:rPr>
          <w:rFonts w:ascii="Times New Roman" w:hAnsi="Times New Roman" w:cs="Times New Roman"/>
          <w:sz w:val="24"/>
          <w:szCs w:val="24"/>
          <w:lang w:val="en-US"/>
        </w:rPr>
        <w:t xml:space="preserve"> value of 1 </w:t>
      </w:r>
      <w:r w:rsidR="006952E6">
        <w:rPr>
          <w:rFonts w:ascii="Times New Roman" w:hAnsi="Times New Roman" w:cs="Times New Roman"/>
          <w:sz w:val="24"/>
          <w:szCs w:val="24"/>
          <w:lang w:val="en-US"/>
        </w:rPr>
        <w:t xml:space="preserve">if the company </w:t>
      </w:r>
      <w:r w:rsidRPr="00870EFC">
        <w:rPr>
          <w:rFonts w:ascii="Times New Roman" w:hAnsi="Times New Roman" w:cs="Times New Roman"/>
          <w:sz w:val="24"/>
          <w:szCs w:val="24"/>
          <w:lang w:val="en-US"/>
        </w:rPr>
        <w:t xml:space="preserve">appeared on the list for the year and 0 </w:t>
      </w:r>
      <w:r w:rsidR="006952E6">
        <w:rPr>
          <w:rFonts w:ascii="Times New Roman" w:hAnsi="Times New Roman" w:cs="Times New Roman"/>
          <w:sz w:val="24"/>
          <w:szCs w:val="24"/>
          <w:lang w:val="en-US"/>
        </w:rPr>
        <w:t xml:space="preserve">if it </w:t>
      </w:r>
      <w:r w:rsidRPr="00870EFC">
        <w:rPr>
          <w:rFonts w:ascii="Times New Roman" w:hAnsi="Times New Roman" w:cs="Times New Roman"/>
          <w:sz w:val="24"/>
          <w:szCs w:val="24"/>
          <w:lang w:val="en-US"/>
        </w:rPr>
        <w:t>did not.</w:t>
      </w:r>
    </w:p>
    <w:p w14:paraId="55C67019" w14:textId="4DA06F30" w:rsidR="00870EFC" w:rsidRPr="006952E6"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 xml:space="preserve">For </w:t>
      </w:r>
      <w:r w:rsidR="006952E6">
        <w:rPr>
          <w:rFonts w:ascii="Times New Roman" w:hAnsi="Times New Roman" w:cs="Times New Roman"/>
          <w:sz w:val="24"/>
          <w:szCs w:val="24"/>
          <w:lang w:val="en-US"/>
        </w:rPr>
        <w:t xml:space="preserve">the </w:t>
      </w:r>
      <w:r w:rsidRPr="00870EFC">
        <w:rPr>
          <w:rFonts w:ascii="Times New Roman" w:hAnsi="Times New Roman" w:cs="Times New Roman"/>
          <w:sz w:val="24"/>
          <w:szCs w:val="24"/>
          <w:lang w:val="en-US"/>
        </w:rPr>
        <w:t>innovative organizational culture, the Boston Consulting Group (BCG)</w:t>
      </w:r>
      <w:r>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w:t>
      </w:r>
      <w:r>
        <w:rPr>
          <w:rFonts w:ascii="Times New Roman" w:hAnsi="Times New Roman" w:cs="Times New Roman"/>
          <w:sz w:val="24"/>
          <w:szCs w:val="24"/>
          <w:lang w:val="en-US"/>
        </w:rPr>
        <w:t>“</w:t>
      </w:r>
      <w:r w:rsidRPr="00870EFC">
        <w:rPr>
          <w:rFonts w:ascii="Times New Roman" w:hAnsi="Times New Roman" w:cs="Times New Roman"/>
          <w:sz w:val="24"/>
          <w:szCs w:val="24"/>
          <w:lang w:val="en-US"/>
        </w:rPr>
        <w:t>Most Innovative Companies</w:t>
      </w:r>
      <w:r>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 ranking was used. This list is compiled annually based on a global survey involving executives from various industries and regions. BCG develops its list of </w:t>
      </w:r>
      <w:r w:rsidR="006952E6">
        <w:rPr>
          <w:rFonts w:ascii="Times New Roman" w:hAnsi="Times New Roman" w:cs="Times New Roman"/>
          <w:sz w:val="24"/>
          <w:szCs w:val="24"/>
          <w:lang w:val="en-US"/>
        </w:rPr>
        <w:t xml:space="preserve">the </w:t>
      </w:r>
      <w:r w:rsidRPr="00870EFC">
        <w:rPr>
          <w:rFonts w:ascii="Times New Roman" w:hAnsi="Times New Roman" w:cs="Times New Roman"/>
          <w:sz w:val="24"/>
          <w:szCs w:val="24"/>
          <w:lang w:val="en-US"/>
        </w:rPr>
        <w:t xml:space="preserve">most innovative companies based on three main criteria: a survey of about 1,000 senior executives, who nominate the most innovative companies in their sectors and globally; financial performance, measured by Total Shareholder Return (TSR), which evaluates how innovation impacts financial results; and innovation capabilities, which include strategies, processes, organizational culture, and R&amp;D investments, analyzed through public data and interviews. The annual lists are based on surveys conducted in the previous year. </w:t>
      </w:r>
      <w:r w:rsidR="006952E6" w:rsidRPr="006952E6">
        <w:rPr>
          <w:rFonts w:ascii="Times New Roman" w:hAnsi="Times New Roman" w:cs="Times New Roman"/>
          <w:sz w:val="24"/>
          <w:szCs w:val="24"/>
          <w:lang w:val="en-US"/>
        </w:rPr>
        <w:t>The variables were defined as dummy variables, assigned a value of 1 if the company appeared on the list for that year and 0 if it did not.</w:t>
      </w:r>
    </w:p>
    <w:p w14:paraId="38C76039" w14:textId="5AD8BE8F"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After an in-depth analysis of possible proxies with a broader database, it was concluded that the methodology adopted by these two classifications, a</w:t>
      </w:r>
      <w:r w:rsidR="006952E6">
        <w:rPr>
          <w:rFonts w:ascii="Times New Roman" w:hAnsi="Times New Roman" w:cs="Times New Roman"/>
          <w:sz w:val="24"/>
          <w:szCs w:val="24"/>
          <w:lang w:val="en-US"/>
        </w:rPr>
        <w:t>long with</w:t>
      </w:r>
      <w:r w:rsidRPr="00870EFC">
        <w:rPr>
          <w:rFonts w:ascii="Times New Roman" w:hAnsi="Times New Roman" w:cs="Times New Roman"/>
          <w:sz w:val="24"/>
          <w:szCs w:val="24"/>
          <w:lang w:val="en-US"/>
        </w:rPr>
        <w:t xml:space="preserve"> how the surveys were conducted, ensure</w:t>
      </w:r>
      <w:r w:rsidR="006952E6">
        <w:rPr>
          <w:rFonts w:ascii="Times New Roman" w:hAnsi="Times New Roman" w:cs="Times New Roman"/>
          <w:sz w:val="24"/>
          <w:szCs w:val="24"/>
          <w:lang w:val="en-US"/>
        </w:rPr>
        <w:t>s</w:t>
      </w:r>
      <w:r w:rsidRPr="00870EFC">
        <w:rPr>
          <w:rFonts w:ascii="Times New Roman" w:hAnsi="Times New Roman" w:cs="Times New Roman"/>
          <w:sz w:val="24"/>
          <w:szCs w:val="24"/>
          <w:lang w:val="en-US"/>
        </w:rPr>
        <w:t xml:space="preserve"> greater alignment with the hypotheses raised. BCG</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Most Innovative Companies</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 list is based on executives</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 perception of innovation within companies, combining this assessment with </w:t>
      </w:r>
      <w:r w:rsidR="006952E6">
        <w:rPr>
          <w:rFonts w:ascii="Times New Roman" w:hAnsi="Times New Roman" w:cs="Times New Roman"/>
          <w:sz w:val="24"/>
          <w:szCs w:val="24"/>
          <w:lang w:val="en-US"/>
        </w:rPr>
        <w:t>its</w:t>
      </w:r>
      <w:r w:rsidRPr="00870EFC">
        <w:rPr>
          <w:rFonts w:ascii="Times New Roman" w:hAnsi="Times New Roman" w:cs="Times New Roman"/>
          <w:sz w:val="24"/>
          <w:szCs w:val="24"/>
          <w:lang w:val="en-US"/>
        </w:rPr>
        <w:t xml:space="preserve"> direct impact on financial results. This differs from indirect metrics, such as industry sector, R&amp;D investments, or isolated technological advances. Fortune</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Change the World</w:t>
      </w:r>
      <w:r w:rsidR="006952E6">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 </w:t>
      </w:r>
      <w:r w:rsidR="006952E6">
        <w:rPr>
          <w:rFonts w:ascii="Times New Roman" w:hAnsi="Times New Roman" w:cs="Times New Roman"/>
          <w:sz w:val="24"/>
          <w:szCs w:val="24"/>
          <w:lang w:val="en-US"/>
        </w:rPr>
        <w:t>l</w:t>
      </w:r>
      <w:r w:rsidRPr="00870EFC">
        <w:rPr>
          <w:rFonts w:ascii="Times New Roman" w:hAnsi="Times New Roman" w:cs="Times New Roman"/>
          <w:sz w:val="24"/>
          <w:szCs w:val="24"/>
          <w:lang w:val="en-US"/>
        </w:rPr>
        <w:t xml:space="preserve">ist classifies companies based on the integration of ESG practices into the core business, evaluating how this incorporation generates financial value and </w:t>
      </w:r>
      <w:r w:rsidR="006952E6">
        <w:rPr>
          <w:rFonts w:ascii="Times New Roman" w:hAnsi="Times New Roman" w:cs="Times New Roman"/>
          <w:sz w:val="24"/>
          <w:szCs w:val="24"/>
          <w:lang w:val="en-US"/>
        </w:rPr>
        <w:t xml:space="preserve">a </w:t>
      </w:r>
      <w:r w:rsidRPr="00870EFC">
        <w:rPr>
          <w:rFonts w:ascii="Times New Roman" w:hAnsi="Times New Roman" w:cs="Times New Roman"/>
          <w:sz w:val="24"/>
          <w:szCs w:val="24"/>
          <w:lang w:val="en-US"/>
        </w:rPr>
        <w:t>positive impact for society. The methodology employed in this list is directly aligned with the concept of Shared Value, as defined by Porter and Kramer (2018).</w:t>
      </w:r>
    </w:p>
    <w:p w14:paraId="53C34F2F" w14:textId="6AFD4929"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 xml:space="preserve">The empirical analyses of all hypotheses will be performed using dynamic panel regression models, estimated via </w:t>
      </w:r>
      <w:r w:rsidR="006952E6">
        <w:rPr>
          <w:rFonts w:ascii="Times New Roman" w:hAnsi="Times New Roman" w:cs="Times New Roman"/>
          <w:sz w:val="24"/>
          <w:szCs w:val="24"/>
          <w:lang w:val="en-US"/>
        </w:rPr>
        <w:t>the Generalized Method of Moments (</w:t>
      </w:r>
      <w:r w:rsidRPr="00870EFC">
        <w:rPr>
          <w:rFonts w:ascii="Times New Roman" w:hAnsi="Times New Roman" w:cs="Times New Roman"/>
          <w:sz w:val="24"/>
          <w:szCs w:val="24"/>
          <w:lang w:val="en-US"/>
        </w:rPr>
        <w:t>GMM</w:t>
      </w:r>
      <w:r w:rsidR="006952E6">
        <w:rPr>
          <w:rFonts w:ascii="Times New Roman" w:hAnsi="Times New Roman" w:cs="Times New Roman"/>
          <w:sz w:val="24"/>
          <w:szCs w:val="24"/>
          <w:lang w:val="en-US"/>
        </w:rPr>
        <w:t>)</w:t>
      </w:r>
      <w:r w:rsidRPr="00870EFC">
        <w:rPr>
          <w:rFonts w:ascii="Times New Roman" w:hAnsi="Times New Roman" w:cs="Times New Roman"/>
          <w:sz w:val="24"/>
          <w:szCs w:val="24"/>
          <w:lang w:val="en-US"/>
        </w:rPr>
        <w:t>, meaning that the Tobin</w:t>
      </w:r>
      <w:r>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s Q variable </w:t>
      </w:r>
      <w:r w:rsidR="006952E6">
        <w:rPr>
          <w:rFonts w:ascii="Times New Roman" w:hAnsi="Times New Roman" w:cs="Times New Roman"/>
          <w:sz w:val="24"/>
          <w:szCs w:val="24"/>
          <w:lang w:val="en-US"/>
        </w:rPr>
        <w:t>from</w:t>
      </w:r>
      <w:r w:rsidRPr="00870EFC">
        <w:rPr>
          <w:rFonts w:ascii="Times New Roman" w:hAnsi="Times New Roman" w:cs="Times New Roman"/>
          <w:sz w:val="24"/>
          <w:szCs w:val="24"/>
          <w:lang w:val="en-US"/>
        </w:rPr>
        <w:t xml:space="preserve"> period t−1 will be used as one of the main controls in the econometric equation.</w:t>
      </w:r>
    </w:p>
    <w:p w14:paraId="06C1AE2C" w14:textId="4C2C9756" w:rsidR="00870EFC" w:rsidRPr="006952E6"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952E6" w:rsidRPr="006952E6">
        <w:rPr>
          <w:rFonts w:ascii="Times New Roman" w:hAnsi="Times New Roman" w:cs="Times New Roman"/>
          <w:sz w:val="24"/>
          <w:szCs w:val="24"/>
          <w:lang w:val="en-US"/>
        </w:rPr>
        <w:t>Accordingly, we specify the following baseline econometric model:</w:t>
      </w:r>
    </w:p>
    <w:bookmarkStart w:id="0" w:name="_Hlk182821398"/>
    <w:p w14:paraId="2500FDA7" w14:textId="77777777" w:rsidR="00870EFC" w:rsidRPr="00CD65FF" w:rsidRDefault="00000000" w:rsidP="00870EFC">
      <w:pPr>
        <w:spacing w:after="0" w:line="360" w:lineRule="auto"/>
        <w:ind w:firstLine="709"/>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TQ</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0it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ESG</m:t>
              </m:r>
            </m:e>
            <m:sub>
              <m:r>
                <w:rPr>
                  <w:rFonts w:ascii="Cambria Math" w:eastAsiaTheme="minorEastAsia" w:hAnsi="Cambria Math" w:cs="Times New Roman"/>
                  <w:sz w:val="24"/>
                  <w:szCs w:val="24"/>
                </w:rPr>
                <m:t>it-1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TQ</m:t>
              </m:r>
            </m:e>
            <m:sub>
              <m:r>
                <w:rPr>
                  <w:rFonts w:ascii="Cambria Math" w:eastAsiaTheme="minorEastAsia" w:hAnsi="Cambria Math" w:cs="Times New Roman"/>
                  <w:sz w:val="24"/>
                  <w:szCs w:val="24"/>
                </w:rPr>
                <m:t>it-1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TE</m:t>
              </m:r>
            </m:e>
            <m:sub>
              <m:r>
                <w:rPr>
                  <w:rFonts w:ascii="Cambria Math" w:eastAsiaTheme="minorEastAsia" w:hAnsi="Cambria Math" w:cs="Times New Roman"/>
                  <w:sz w:val="24"/>
                  <w:szCs w:val="24"/>
                </w:rPr>
                <m:t>it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ROA</m:t>
              </m:r>
            </m:e>
            <m:sub>
              <m:r>
                <w:rPr>
                  <w:rFonts w:ascii="Cambria Math" w:eastAsiaTheme="minorEastAsia" w:hAnsi="Cambria Math" w:cs="Times New Roman"/>
                  <w:sz w:val="24"/>
                  <w:szCs w:val="24"/>
                </w:rPr>
                <m:t>it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CV</m:t>
              </m:r>
            </m:e>
            <m:sub>
              <m:r>
                <w:rPr>
                  <w:rFonts w:ascii="Cambria Math" w:eastAsiaTheme="minorEastAsia" w:hAnsi="Cambria Math" w:cs="Times New Roman"/>
                  <w:sz w:val="24"/>
                  <w:szCs w:val="24"/>
                </w:rPr>
                <m:t>it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ԑ</m:t>
              </m:r>
            </m:e>
            <m:sub>
              <m:r>
                <w:rPr>
                  <w:rFonts w:ascii="Cambria Math" w:eastAsiaTheme="minorEastAsia" w:hAnsi="Cambria Math" w:cs="Times New Roman"/>
                  <w:sz w:val="24"/>
                  <w:szCs w:val="24"/>
                </w:rPr>
                <m:t>it</m:t>
              </m:r>
            </m:sub>
          </m:sSub>
        </m:oMath>
      </m:oMathPara>
      <w:bookmarkEnd w:id="0"/>
    </w:p>
    <w:p w14:paraId="02EA45E4" w14:textId="56F582B2" w:rsidR="00EA271B"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Where:</w:t>
      </w:r>
    </w:p>
    <w:p w14:paraId="3F27279A" w14:textId="293980DC" w:rsidR="00870EFC" w:rsidRPr="00870EFC" w:rsidRDefault="00870EFC" w:rsidP="00870EFC">
      <w:pPr>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ab/>
      </w:r>
      <w:r w:rsidRPr="00870EFC">
        <w:rPr>
          <w:rFonts w:ascii="Times New Roman" w:hAnsi="Times New Roman" w:cs="Times New Roman"/>
          <w:i/>
          <w:iCs/>
          <w:sz w:val="24"/>
          <w:szCs w:val="24"/>
          <w:lang w:val="en-US"/>
        </w:rPr>
        <w:t>TQ: Tobin’s Q; ESG: ESG Comb</w:t>
      </w:r>
      <w:r>
        <w:rPr>
          <w:rFonts w:ascii="Times New Roman" w:hAnsi="Times New Roman" w:cs="Times New Roman"/>
          <w:i/>
          <w:iCs/>
          <w:sz w:val="24"/>
          <w:szCs w:val="24"/>
          <w:lang w:val="en-US"/>
        </w:rPr>
        <w:t>ined Score; TE: Firm Size; A: Leverage; ROA: Return on Assets; CV: Sales Growth.</w:t>
      </w:r>
    </w:p>
    <w:p w14:paraId="587E8669" w14:textId="714685E2" w:rsid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 xml:space="preserve">The equation presented </w:t>
      </w:r>
      <w:r w:rsidR="006952E6">
        <w:rPr>
          <w:rFonts w:ascii="Times New Roman" w:hAnsi="Times New Roman" w:cs="Times New Roman"/>
          <w:sz w:val="24"/>
          <w:szCs w:val="24"/>
          <w:lang w:val="en-US"/>
        </w:rPr>
        <w:t xml:space="preserve">above </w:t>
      </w:r>
      <w:r w:rsidRPr="00870EFC">
        <w:rPr>
          <w:rFonts w:ascii="Times New Roman" w:hAnsi="Times New Roman" w:cs="Times New Roman"/>
          <w:sz w:val="24"/>
          <w:szCs w:val="24"/>
          <w:lang w:val="en-US"/>
        </w:rPr>
        <w:t xml:space="preserve">tests H1, assessing the effect of </w:t>
      </w:r>
      <w:r w:rsidR="006952E6">
        <w:rPr>
          <w:rFonts w:ascii="Times New Roman" w:hAnsi="Times New Roman" w:cs="Times New Roman"/>
          <w:sz w:val="24"/>
          <w:szCs w:val="24"/>
          <w:lang w:val="en-US"/>
        </w:rPr>
        <w:t xml:space="preserve">the adoption of </w:t>
      </w:r>
      <w:r w:rsidRPr="00870EFC">
        <w:rPr>
          <w:rFonts w:ascii="Times New Roman" w:hAnsi="Times New Roman" w:cs="Times New Roman"/>
          <w:sz w:val="24"/>
          <w:szCs w:val="24"/>
          <w:lang w:val="en-US"/>
        </w:rPr>
        <w:t>ESG practices on firms</w:t>
      </w:r>
      <w:r>
        <w:rPr>
          <w:rFonts w:ascii="Times New Roman" w:hAnsi="Times New Roman" w:cs="Times New Roman"/>
          <w:sz w:val="24"/>
          <w:szCs w:val="24"/>
          <w:lang w:val="en-US"/>
        </w:rPr>
        <w:t>’</w:t>
      </w:r>
      <w:r w:rsidRPr="00870EFC">
        <w:rPr>
          <w:rFonts w:ascii="Times New Roman" w:hAnsi="Times New Roman" w:cs="Times New Roman"/>
          <w:sz w:val="24"/>
          <w:szCs w:val="24"/>
          <w:lang w:val="en-US"/>
        </w:rPr>
        <w:t xml:space="preserve"> market value. To test H2 (Shared Value moderation) and H3 (innovative culture moderation), corresponding dummy variables are added to the equation, </w:t>
      </w:r>
      <w:r w:rsidR="006952E6">
        <w:rPr>
          <w:rFonts w:ascii="Times New Roman" w:hAnsi="Times New Roman" w:cs="Times New Roman"/>
          <w:sz w:val="24"/>
          <w:szCs w:val="24"/>
          <w:lang w:val="en-US"/>
        </w:rPr>
        <w:t xml:space="preserve">which </w:t>
      </w:r>
      <w:r w:rsidRPr="00870EFC">
        <w:rPr>
          <w:rFonts w:ascii="Times New Roman" w:hAnsi="Times New Roman" w:cs="Times New Roman"/>
          <w:sz w:val="24"/>
          <w:szCs w:val="24"/>
          <w:lang w:val="en-US"/>
        </w:rPr>
        <w:t>allow</w:t>
      </w:r>
      <w:r w:rsidR="006952E6">
        <w:rPr>
          <w:rFonts w:ascii="Times New Roman" w:hAnsi="Times New Roman" w:cs="Times New Roman"/>
          <w:sz w:val="24"/>
          <w:szCs w:val="24"/>
          <w:lang w:val="en-US"/>
        </w:rPr>
        <w:t>s</w:t>
      </w:r>
      <w:r w:rsidRPr="00870EFC">
        <w:rPr>
          <w:rFonts w:ascii="Times New Roman" w:hAnsi="Times New Roman" w:cs="Times New Roman"/>
          <w:sz w:val="24"/>
          <w:szCs w:val="24"/>
          <w:lang w:val="en-US"/>
        </w:rPr>
        <w:t xml:space="preserve"> for the analysis of their moderating effects.</w:t>
      </w:r>
    </w:p>
    <w:p w14:paraId="643AA9CA" w14:textId="6F6EE14D" w:rsidR="00870EFC" w:rsidRPr="00870EFC"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The Hausman Test indicated that, for these dynamic panels, the most efficient estimation</w:t>
      </w:r>
      <w:r w:rsidR="006952E6">
        <w:rPr>
          <w:rFonts w:ascii="Times New Roman" w:hAnsi="Times New Roman" w:cs="Times New Roman"/>
          <w:sz w:val="24"/>
          <w:szCs w:val="24"/>
          <w:lang w:val="en-US"/>
        </w:rPr>
        <w:t xml:space="preserve"> method</w:t>
      </w:r>
      <w:r w:rsidRPr="00870EFC">
        <w:rPr>
          <w:rFonts w:ascii="Times New Roman" w:hAnsi="Times New Roman" w:cs="Times New Roman"/>
          <w:sz w:val="24"/>
          <w:szCs w:val="24"/>
          <w:lang w:val="en-US"/>
        </w:rPr>
        <w:t xml:space="preserve"> would be Fixed Effects. Since the model is estimated using fixed effects, </w:t>
      </w:r>
      <w:r w:rsidR="006952E6" w:rsidRPr="006952E6">
        <w:rPr>
          <w:rFonts w:ascii="Times New Roman" w:hAnsi="Times New Roman" w:cs="Times New Roman"/>
          <w:sz w:val="24"/>
          <w:szCs w:val="24"/>
          <w:lang w:val="en-US"/>
        </w:rPr>
        <w:t>the influences of company, sector, and year are already incorporated into the estimation and captured in the intercept as unobservable effects.</w:t>
      </w:r>
      <w:r w:rsidRPr="00870EFC">
        <w:rPr>
          <w:rFonts w:ascii="Times New Roman" w:hAnsi="Times New Roman" w:cs="Times New Roman"/>
          <w:sz w:val="24"/>
          <w:szCs w:val="24"/>
          <w:lang w:val="en-US"/>
        </w:rPr>
        <w:t xml:space="preserve"> The error term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Pr="00870EFC">
        <w:rPr>
          <w:rFonts w:ascii="Times New Roman" w:hAnsi="Times New Roman" w:cs="Times New Roman"/>
          <w:sz w:val="24"/>
          <w:szCs w:val="24"/>
          <w:lang w:val="en-US"/>
        </w:rPr>
        <w:t>) represents the idiosyncratic error, reflecting specific variations not explained by the model</w:t>
      </w:r>
      <w:r w:rsidR="00E60193">
        <w:rPr>
          <w:rFonts w:ascii="Times New Roman" w:hAnsi="Times New Roman" w:cs="Times New Roman"/>
          <w:sz w:val="24"/>
          <w:szCs w:val="24"/>
          <w:lang w:val="en-US"/>
        </w:rPr>
        <w:t>’</w:t>
      </w:r>
      <w:r w:rsidRPr="00870EFC">
        <w:rPr>
          <w:rFonts w:ascii="Times New Roman" w:hAnsi="Times New Roman" w:cs="Times New Roman"/>
          <w:sz w:val="24"/>
          <w:szCs w:val="24"/>
          <w:lang w:val="en-US"/>
        </w:rPr>
        <w:t>s variables.</w:t>
      </w:r>
    </w:p>
    <w:p w14:paraId="39909DFF" w14:textId="57792475" w:rsidR="00870EFC" w:rsidRPr="006952E6" w:rsidRDefault="00870EFC" w:rsidP="00870E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0EFC">
        <w:rPr>
          <w:rFonts w:ascii="Times New Roman" w:hAnsi="Times New Roman" w:cs="Times New Roman"/>
          <w:sz w:val="24"/>
          <w:szCs w:val="24"/>
          <w:lang w:val="en-US"/>
        </w:rPr>
        <w:t>The model used for estimation was the Generalized Method of Moments (GMM) by Arellano and Bond (1991)</w:t>
      </w:r>
      <w:r>
        <w:rPr>
          <w:rFonts w:ascii="Times New Roman" w:hAnsi="Times New Roman" w:cs="Times New Roman"/>
          <w:sz w:val="24"/>
          <w:szCs w:val="24"/>
          <w:lang w:val="en-US"/>
        </w:rPr>
        <w:t xml:space="preserve"> – </w:t>
      </w:r>
      <w:r w:rsidRPr="00870EFC">
        <w:rPr>
          <w:rFonts w:ascii="Times New Roman" w:hAnsi="Times New Roman" w:cs="Times New Roman"/>
          <w:sz w:val="24"/>
          <w:szCs w:val="24"/>
          <w:lang w:val="en-US"/>
        </w:rPr>
        <w:t xml:space="preserve">a dynamic panel difference model with fixed effects. In this model, the instruments used for the analysis of endogenous variables are their own lagged values. The lags used </w:t>
      </w:r>
      <w:r w:rsidR="006952E6">
        <w:rPr>
          <w:rFonts w:ascii="Times New Roman" w:hAnsi="Times New Roman" w:cs="Times New Roman"/>
          <w:sz w:val="24"/>
          <w:szCs w:val="24"/>
          <w:lang w:val="en-US"/>
        </w:rPr>
        <w:t>ranged from</w:t>
      </w:r>
      <w:r w:rsidRPr="00870EFC">
        <w:rPr>
          <w:rFonts w:ascii="Times New Roman" w:hAnsi="Times New Roman" w:cs="Times New Roman"/>
          <w:sz w:val="24"/>
          <w:szCs w:val="24"/>
          <w:lang w:val="en-US"/>
        </w:rPr>
        <w:t xml:space="preserve"> a minimum of two </w:t>
      </w:r>
      <w:r w:rsidR="006952E6">
        <w:rPr>
          <w:rFonts w:ascii="Times New Roman" w:hAnsi="Times New Roman" w:cs="Times New Roman"/>
          <w:sz w:val="24"/>
          <w:szCs w:val="24"/>
          <w:lang w:val="en-US"/>
        </w:rPr>
        <w:t>to</w:t>
      </w:r>
      <w:r w:rsidRPr="00870EFC">
        <w:rPr>
          <w:rFonts w:ascii="Times New Roman" w:hAnsi="Times New Roman" w:cs="Times New Roman"/>
          <w:sz w:val="24"/>
          <w:szCs w:val="24"/>
          <w:lang w:val="en-US"/>
        </w:rPr>
        <w:t xml:space="preserve"> a maximum of three periods. </w:t>
      </w:r>
      <w:r w:rsidRPr="006952E6">
        <w:rPr>
          <w:rFonts w:ascii="Times New Roman" w:hAnsi="Times New Roman" w:cs="Times New Roman"/>
          <w:sz w:val="24"/>
          <w:szCs w:val="24"/>
          <w:lang w:val="en-US"/>
        </w:rPr>
        <w:t xml:space="preserve">All instruments </w:t>
      </w:r>
      <w:r w:rsidR="006952E6">
        <w:rPr>
          <w:rFonts w:ascii="Times New Roman" w:hAnsi="Times New Roman" w:cs="Times New Roman"/>
          <w:sz w:val="24"/>
          <w:szCs w:val="24"/>
          <w:lang w:val="en-US"/>
        </w:rPr>
        <w:t>were found</w:t>
      </w:r>
      <w:r w:rsidRPr="006952E6">
        <w:rPr>
          <w:rFonts w:ascii="Times New Roman" w:hAnsi="Times New Roman" w:cs="Times New Roman"/>
          <w:sz w:val="24"/>
          <w:szCs w:val="24"/>
          <w:lang w:val="en-US"/>
        </w:rPr>
        <w:t xml:space="preserve"> to be valid.</w:t>
      </w:r>
    </w:p>
    <w:p w14:paraId="208C058F" w14:textId="77777777" w:rsidR="00870EFC" w:rsidRDefault="00870EFC" w:rsidP="00870EFC">
      <w:pPr>
        <w:spacing w:line="360" w:lineRule="auto"/>
        <w:jc w:val="both"/>
        <w:rPr>
          <w:rFonts w:ascii="Times New Roman" w:hAnsi="Times New Roman" w:cs="Times New Roman"/>
          <w:sz w:val="24"/>
          <w:szCs w:val="24"/>
          <w:lang w:val="en-US"/>
        </w:rPr>
      </w:pPr>
    </w:p>
    <w:p w14:paraId="7041E467" w14:textId="75E10694" w:rsidR="006A593D" w:rsidRPr="006A593D" w:rsidRDefault="006A593D" w:rsidP="006A593D">
      <w:pPr>
        <w:pStyle w:val="PargrafodaLista"/>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40626D75" w14:textId="7B125397" w:rsidR="006A593D" w:rsidRDefault="006A593D" w:rsidP="006A59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A593D">
        <w:rPr>
          <w:rFonts w:ascii="Times New Roman" w:hAnsi="Times New Roman" w:cs="Times New Roman"/>
          <w:sz w:val="24"/>
          <w:szCs w:val="24"/>
          <w:lang w:val="en-US"/>
        </w:rPr>
        <w:t>From the descriptive data (</w:t>
      </w:r>
      <w:r w:rsidRPr="006A593D">
        <w:rPr>
          <w:rStyle w:val="Forte"/>
          <w:rFonts w:ascii="Times New Roman" w:hAnsi="Times New Roman" w:cs="Times New Roman"/>
          <w:b w:val="0"/>
          <w:bCs w:val="0"/>
          <w:sz w:val="24"/>
          <w:szCs w:val="24"/>
          <w:lang w:val="en-US"/>
        </w:rPr>
        <w:t>Table 1</w:t>
      </w:r>
      <w:r w:rsidRPr="006A593D">
        <w:rPr>
          <w:rFonts w:ascii="Times New Roman" w:hAnsi="Times New Roman" w:cs="Times New Roman"/>
          <w:sz w:val="24"/>
          <w:szCs w:val="24"/>
          <w:lang w:val="en-US"/>
        </w:rPr>
        <w:t xml:space="preserve">), we can observe that the </w:t>
      </w:r>
      <w:r w:rsidRPr="006A593D">
        <w:rPr>
          <w:rStyle w:val="Forte"/>
          <w:rFonts w:ascii="Times New Roman" w:hAnsi="Times New Roman" w:cs="Times New Roman"/>
          <w:b w:val="0"/>
          <w:bCs w:val="0"/>
          <w:sz w:val="24"/>
          <w:szCs w:val="24"/>
          <w:lang w:val="en-US"/>
        </w:rPr>
        <w:t>Tobin</w:t>
      </w:r>
      <w:r>
        <w:rPr>
          <w:rStyle w:val="Forte"/>
          <w:rFonts w:ascii="Times New Roman" w:hAnsi="Times New Roman" w:cs="Times New Roman"/>
          <w:b w:val="0"/>
          <w:bCs w:val="0"/>
          <w:sz w:val="24"/>
          <w:szCs w:val="24"/>
          <w:lang w:val="en-US"/>
        </w:rPr>
        <w:t>’</w:t>
      </w:r>
      <w:r w:rsidRPr="006A593D">
        <w:rPr>
          <w:rStyle w:val="Forte"/>
          <w:rFonts w:ascii="Times New Roman" w:hAnsi="Times New Roman" w:cs="Times New Roman"/>
          <w:b w:val="0"/>
          <w:bCs w:val="0"/>
          <w:sz w:val="24"/>
          <w:szCs w:val="24"/>
          <w:lang w:val="en-US"/>
        </w:rPr>
        <w:t>s Q</w:t>
      </w:r>
      <w:r w:rsidRPr="006A593D">
        <w:rPr>
          <w:rFonts w:ascii="Times New Roman" w:hAnsi="Times New Roman" w:cs="Times New Roman"/>
          <w:sz w:val="24"/>
          <w:szCs w:val="24"/>
          <w:lang w:val="en-US"/>
        </w:rPr>
        <w:t xml:space="preserve"> variable exhibits a mean significantly higher than its median, indicating positive </w:t>
      </w:r>
      <w:r w:rsidR="006952E6">
        <w:rPr>
          <w:rFonts w:ascii="Times New Roman" w:hAnsi="Times New Roman" w:cs="Times New Roman"/>
          <w:sz w:val="24"/>
          <w:szCs w:val="24"/>
          <w:lang w:val="en-US"/>
        </w:rPr>
        <w:t xml:space="preserve">skewness – </w:t>
      </w:r>
      <w:r w:rsidR="006952E6" w:rsidRPr="006A593D">
        <w:rPr>
          <w:rFonts w:ascii="Times New Roman" w:hAnsi="Times New Roman" w:cs="Times New Roman"/>
          <w:sz w:val="24"/>
          <w:szCs w:val="24"/>
          <w:lang w:val="en-US"/>
        </w:rPr>
        <w:t>i.e.</w:t>
      </w:r>
      <w:r w:rsidRPr="006A593D">
        <w:rPr>
          <w:rFonts w:ascii="Times New Roman" w:hAnsi="Times New Roman" w:cs="Times New Roman"/>
          <w:sz w:val="24"/>
          <w:szCs w:val="24"/>
          <w:lang w:val="en-US"/>
        </w:rPr>
        <w:t xml:space="preserve">, a concentration of higher values. The mean and median of the </w:t>
      </w:r>
      <w:r w:rsidRPr="006A593D">
        <w:rPr>
          <w:rStyle w:val="Forte"/>
          <w:rFonts w:ascii="Times New Roman" w:hAnsi="Times New Roman" w:cs="Times New Roman"/>
          <w:b w:val="0"/>
          <w:bCs w:val="0"/>
          <w:sz w:val="24"/>
          <w:szCs w:val="24"/>
          <w:lang w:val="en-US"/>
        </w:rPr>
        <w:t>Firm Size</w:t>
      </w:r>
      <w:r w:rsidRPr="006A593D">
        <w:rPr>
          <w:rFonts w:ascii="Times New Roman" w:hAnsi="Times New Roman" w:cs="Times New Roman"/>
          <w:sz w:val="24"/>
          <w:szCs w:val="24"/>
          <w:lang w:val="en-US"/>
        </w:rPr>
        <w:t xml:space="preserve"> variable are approximately 22, representing companies with Total Assets exceeding </w:t>
      </w:r>
      <w:r w:rsidR="006952E6">
        <w:rPr>
          <w:rFonts w:ascii="Times New Roman" w:hAnsi="Times New Roman" w:cs="Times New Roman"/>
          <w:sz w:val="24"/>
          <w:szCs w:val="24"/>
          <w:lang w:val="en-US"/>
        </w:rPr>
        <w:t>one</w:t>
      </w:r>
      <w:r w:rsidRPr="006A593D">
        <w:rPr>
          <w:rFonts w:ascii="Times New Roman" w:hAnsi="Times New Roman" w:cs="Times New Roman"/>
          <w:sz w:val="24"/>
          <w:szCs w:val="24"/>
          <w:lang w:val="en-US"/>
        </w:rPr>
        <w:t xml:space="preserve"> billion dollars, which suggests that the sample is primarily composed of large companies. </w:t>
      </w:r>
      <w:r w:rsidRPr="006A593D">
        <w:rPr>
          <w:rStyle w:val="Forte"/>
          <w:rFonts w:ascii="Times New Roman" w:hAnsi="Times New Roman" w:cs="Times New Roman"/>
          <w:b w:val="0"/>
          <w:bCs w:val="0"/>
          <w:sz w:val="24"/>
          <w:szCs w:val="24"/>
          <w:lang w:val="en-US"/>
        </w:rPr>
        <w:t>Leverage</w:t>
      </w:r>
      <w:r w:rsidRPr="006A593D">
        <w:rPr>
          <w:rFonts w:ascii="Times New Roman" w:hAnsi="Times New Roman" w:cs="Times New Roman"/>
          <w:sz w:val="24"/>
          <w:szCs w:val="24"/>
          <w:lang w:val="en-US"/>
        </w:rPr>
        <w:t xml:space="preserve"> s</w:t>
      </w:r>
      <w:r w:rsidR="006952E6">
        <w:rPr>
          <w:rFonts w:ascii="Times New Roman" w:hAnsi="Times New Roman" w:cs="Times New Roman"/>
          <w:sz w:val="24"/>
          <w:szCs w:val="24"/>
          <w:lang w:val="en-US"/>
        </w:rPr>
        <w:t>hows</w:t>
      </w:r>
      <w:r w:rsidRPr="006A593D">
        <w:rPr>
          <w:rFonts w:ascii="Times New Roman" w:hAnsi="Times New Roman" w:cs="Times New Roman"/>
          <w:sz w:val="24"/>
          <w:szCs w:val="24"/>
          <w:lang w:val="en-US"/>
        </w:rPr>
        <w:t xml:space="preserve"> that, on average, 33% of companies</w:t>
      </w:r>
      <w:r w:rsidR="00E60193">
        <w:rPr>
          <w:rFonts w:ascii="Times New Roman" w:hAnsi="Times New Roman" w:cs="Times New Roman"/>
          <w:sz w:val="24"/>
          <w:szCs w:val="24"/>
          <w:lang w:val="en-US"/>
        </w:rPr>
        <w:t>’</w:t>
      </w:r>
      <w:r w:rsidRPr="006A593D">
        <w:rPr>
          <w:rFonts w:ascii="Times New Roman" w:hAnsi="Times New Roman" w:cs="Times New Roman"/>
          <w:sz w:val="24"/>
          <w:szCs w:val="24"/>
          <w:lang w:val="en-US"/>
        </w:rPr>
        <w:t xml:space="preserve"> assets are financed by debt. </w:t>
      </w:r>
      <w:r w:rsidRPr="006A593D">
        <w:rPr>
          <w:rStyle w:val="Forte"/>
          <w:rFonts w:ascii="Times New Roman" w:hAnsi="Times New Roman" w:cs="Times New Roman"/>
          <w:b w:val="0"/>
          <w:bCs w:val="0"/>
          <w:sz w:val="24"/>
          <w:szCs w:val="24"/>
          <w:lang w:val="en-US"/>
        </w:rPr>
        <w:t>Sales Growth</w:t>
      </w:r>
      <w:r w:rsidRPr="006A593D">
        <w:rPr>
          <w:rFonts w:ascii="Times New Roman" w:hAnsi="Times New Roman" w:cs="Times New Roman"/>
          <w:sz w:val="24"/>
          <w:szCs w:val="24"/>
          <w:lang w:val="en-US"/>
        </w:rPr>
        <w:t xml:space="preserve"> and </w:t>
      </w:r>
      <w:r w:rsidRPr="006A593D">
        <w:rPr>
          <w:rStyle w:val="Forte"/>
          <w:rFonts w:ascii="Times New Roman" w:hAnsi="Times New Roman" w:cs="Times New Roman"/>
          <w:b w:val="0"/>
          <w:bCs w:val="0"/>
          <w:sz w:val="24"/>
          <w:szCs w:val="24"/>
          <w:lang w:val="en-US"/>
        </w:rPr>
        <w:t>ROA</w:t>
      </w:r>
      <w:r w:rsidRPr="006A593D">
        <w:rPr>
          <w:rFonts w:ascii="Times New Roman" w:hAnsi="Times New Roman" w:cs="Times New Roman"/>
          <w:sz w:val="24"/>
          <w:szCs w:val="24"/>
          <w:lang w:val="en-US"/>
        </w:rPr>
        <w:t xml:space="preserve"> </w:t>
      </w:r>
      <w:r w:rsidR="006952E6">
        <w:rPr>
          <w:rFonts w:ascii="Times New Roman" w:hAnsi="Times New Roman" w:cs="Times New Roman"/>
          <w:sz w:val="24"/>
          <w:szCs w:val="24"/>
          <w:lang w:val="en-US"/>
        </w:rPr>
        <w:t>display</w:t>
      </w:r>
      <w:r w:rsidRPr="006A593D">
        <w:rPr>
          <w:rFonts w:ascii="Times New Roman" w:hAnsi="Times New Roman" w:cs="Times New Roman"/>
          <w:sz w:val="24"/>
          <w:szCs w:val="24"/>
          <w:lang w:val="en-US"/>
        </w:rPr>
        <w:t xml:space="preserve"> wide variations, indicating that companies have very different performances in terms of profitability and expansion. The distribution of the </w:t>
      </w:r>
      <w:r w:rsidRPr="006A593D">
        <w:rPr>
          <w:rStyle w:val="Forte"/>
          <w:rFonts w:ascii="Times New Roman" w:hAnsi="Times New Roman" w:cs="Times New Roman"/>
          <w:b w:val="0"/>
          <w:bCs w:val="0"/>
          <w:sz w:val="24"/>
          <w:szCs w:val="24"/>
          <w:lang w:val="en-US"/>
        </w:rPr>
        <w:t>Tobin</w:t>
      </w:r>
      <w:r w:rsidR="00E60193">
        <w:rPr>
          <w:rStyle w:val="Forte"/>
          <w:rFonts w:ascii="Times New Roman" w:hAnsi="Times New Roman" w:cs="Times New Roman"/>
          <w:b w:val="0"/>
          <w:bCs w:val="0"/>
          <w:sz w:val="24"/>
          <w:szCs w:val="24"/>
          <w:lang w:val="en-US"/>
        </w:rPr>
        <w:t>’</w:t>
      </w:r>
      <w:r w:rsidRPr="006A593D">
        <w:rPr>
          <w:rStyle w:val="Forte"/>
          <w:rFonts w:ascii="Times New Roman" w:hAnsi="Times New Roman" w:cs="Times New Roman"/>
          <w:b w:val="0"/>
          <w:bCs w:val="0"/>
          <w:sz w:val="24"/>
          <w:szCs w:val="24"/>
          <w:lang w:val="en-US"/>
        </w:rPr>
        <w:t>s Q</w:t>
      </w:r>
      <w:r w:rsidRPr="006A593D">
        <w:rPr>
          <w:rFonts w:ascii="Times New Roman" w:hAnsi="Times New Roman" w:cs="Times New Roman"/>
          <w:b/>
          <w:bCs/>
          <w:sz w:val="24"/>
          <w:szCs w:val="24"/>
          <w:lang w:val="en-US"/>
        </w:rPr>
        <w:t xml:space="preserve">, </w:t>
      </w:r>
      <w:r w:rsidRPr="006A593D">
        <w:rPr>
          <w:rStyle w:val="Forte"/>
          <w:rFonts w:ascii="Times New Roman" w:hAnsi="Times New Roman" w:cs="Times New Roman"/>
          <w:b w:val="0"/>
          <w:bCs w:val="0"/>
          <w:sz w:val="24"/>
          <w:szCs w:val="24"/>
          <w:lang w:val="en-US"/>
        </w:rPr>
        <w:t>ESG Combined Score</w:t>
      </w:r>
      <w:r w:rsidRPr="006A593D">
        <w:rPr>
          <w:rFonts w:ascii="Times New Roman" w:hAnsi="Times New Roman" w:cs="Times New Roman"/>
          <w:sz w:val="24"/>
          <w:szCs w:val="24"/>
          <w:lang w:val="en-US"/>
        </w:rPr>
        <w:t xml:space="preserve">, and </w:t>
      </w:r>
      <w:r w:rsidRPr="006A593D">
        <w:rPr>
          <w:rStyle w:val="Forte"/>
          <w:rFonts w:ascii="Times New Roman" w:hAnsi="Times New Roman" w:cs="Times New Roman"/>
          <w:b w:val="0"/>
          <w:bCs w:val="0"/>
          <w:sz w:val="24"/>
          <w:szCs w:val="24"/>
          <w:lang w:val="en-US"/>
        </w:rPr>
        <w:t>Sales Growth</w:t>
      </w:r>
      <w:r w:rsidRPr="006A593D">
        <w:rPr>
          <w:rFonts w:ascii="Times New Roman" w:hAnsi="Times New Roman" w:cs="Times New Roman"/>
          <w:sz w:val="24"/>
          <w:szCs w:val="24"/>
          <w:lang w:val="en-US"/>
        </w:rPr>
        <w:t xml:space="preserve"> variables is </w:t>
      </w:r>
      <w:r w:rsidR="006952E6">
        <w:rPr>
          <w:rFonts w:ascii="Times New Roman" w:hAnsi="Times New Roman" w:cs="Times New Roman"/>
          <w:sz w:val="24"/>
          <w:szCs w:val="24"/>
          <w:lang w:val="en-US"/>
        </w:rPr>
        <w:t>skewed,</w:t>
      </w:r>
      <w:r w:rsidRPr="006A593D">
        <w:rPr>
          <w:rFonts w:ascii="Times New Roman" w:hAnsi="Times New Roman" w:cs="Times New Roman"/>
          <w:sz w:val="24"/>
          <w:szCs w:val="24"/>
          <w:lang w:val="en-US"/>
        </w:rPr>
        <w:t xml:space="preserve"> especially the first and third. In contrast, </w:t>
      </w:r>
      <w:r w:rsidRPr="006A593D">
        <w:rPr>
          <w:rStyle w:val="Forte"/>
          <w:rFonts w:ascii="Times New Roman" w:hAnsi="Times New Roman" w:cs="Times New Roman"/>
          <w:b w:val="0"/>
          <w:bCs w:val="0"/>
          <w:sz w:val="24"/>
          <w:szCs w:val="24"/>
          <w:lang w:val="en-US"/>
        </w:rPr>
        <w:t>ROA</w:t>
      </w:r>
      <w:r w:rsidRPr="006A593D">
        <w:rPr>
          <w:rFonts w:ascii="Times New Roman" w:hAnsi="Times New Roman" w:cs="Times New Roman"/>
          <w:sz w:val="24"/>
          <w:szCs w:val="24"/>
          <w:lang w:val="en-US"/>
        </w:rPr>
        <w:t xml:space="preserve"> and </w:t>
      </w:r>
      <w:r w:rsidRPr="006A593D">
        <w:rPr>
          <w:rStyle w:val="Forte"/>
          <w:rFonts w:ascii="Times New Roman" w:hAnsi="Times New Roman" w:cs="Times New Roman"/>
          <w:b w:val="0"/>
          <w:bCs w:val="0"/>
          <w:sz w:val="24"/>
          <w:szCs w:val="24"/>
          <w:lang w:val="en-US"/>
        </w:rPr>
        <w:t>Leverage</w:t>
      </w:r>
      <w:r w:rsidRPr="006A593D">
        <w:rPr>
          <w:rFonts w:ascii="Times New Roman" w:hAnsi="Times New Roman" w:cs="Times New Roman"/>
          <w:sz w:val="24"/>
          <w:szCs w:val="24"/>
          <w:lang w:val="en-US"/>
        </w:rPr>
        <w:t xml:space="preserve"> present more symmetrical distributions. </w:t>
      </w:r>
      <w:r w:rsidR="006952E6">
        <w:rPr>
          <w:rFonts w:ascii="Times New Roman" w:hAnsi="Times New Roman" w:cs="Times New Roman"/>
          <w:sz w:val="24"/>
          <w:szCs w:val="24"/>
          <w:lang w:val="en-US"/>
        </w:rPr>
        <w:t>Such v</w:t>
      </w:r>
      <w:r w:rsidRPr="006A593D">
        <w:rPr>
          <w:rFonts w:ascii="Times New Roman" w:hAnsi="Times New Roman" w:cs="Times New Roman"/>
          <w:sz w:val="24"/>
          <w:szCs w:val="24"/>
          <w:lang w:val="en-US"/>
        </w:rPr>
        <w:t xml:space="preserve">ariables as </w:t>
      </w:r>
      <w:r w:rsidRPr="006A593D">
        <w:rPr>
          <w:rStyle w:val="Forte"/>
          <w:rFonts w:ascii="Times New Roman" w:hAnsi="Times New Roman" w:cs="Times New Roman"/>
          <w:b w:val="0"/>
          <w:bCs w:val="0"/>
          <w:sz w:val="24"/>
          <w:szCs w:val="24"/>
          <w:lang w:val="en-US"/>
        </w:rPr>
        <w:t>Tobin</w:t>
      </w:r>
      <w:r w:rsidR="00E60193">
        <w:rPr>
          <w:rStyle w:val="Forte"/>
          <w:rFonts w:ascii="Times New Roman" w:hAnsi="Times New Roman" w:cs="Times New Roman"/>
          <w:b w:val="0"/>
          <w:bCs w:val="0"/>
          <w:sz w:val="24"/>
          <w:szCs w:val="24"/>
          <w:lang w:val="en-US"/>
        </w:rPr>
        <w:t>’</w:t>
      </w:r>
      <w:r w:rsidRPr="006A593D">
        <w:rPr>
          <w:rStyle w:val="Forte"/>
          <w:rFonts w:ascii="Times New Roman" w:hAnsi="Times New Roman" w:cs="Times New Roman"/>
          <w:b w:val="0"/>
          <w:bCs w:val="0"/>
          <w:sz w:val="24"/>
          <w:szCs w:val="24"/>
          <w:lang w:val="en-US"/>
        </w:rPr>
        <w:t>s Q</w:t>
      </w:r>
      <w:r w:rsidRPr="006A593D">
        <w:rPr>
          <w:rFonts w:ascii="Times New Roman" w:hAnsi="Times New Roman" w:cs="Times New Roman"/>
          <w:b/>
          <w:bCs/>
          <w:sz w:val="24"/>
          <w:szCs w:val="24"/>
          <w:lang w:val="en-US"/>
        </w:rPr>
        <w:t xml:space="preserve">, </w:t>
      </w:r>
      <w:r w:rsidRPr="006A593D">
        <w:rPr>
          <w:rStyle w:val="Forte"/>
          <w:rFonts w:ascii="Times New Roman" w:hAnsi="Times New Roman" w:cs="Times New Roman"/>
          <w:b w:val="0"/>
          <w:bCs w:val="0"/>
          <w:sz w:val="24"/>
          <w:szCs w:val="24"/>
          <w:lang w:val="en-US"/>
        </w:rPr>
        <w:t>Leverage</w:t>
      </w:r>
      <w:r w:rsidRPr="006A593D">
        <w:rPr>
          <w:rFonts w:ascii="Times New Roman" w:hAnsi="Times New Roman" w:cs="Times New Roman"/>
          <w:b/>
          <w:bCs/>
          <w:sz w:val="24"/>
          <w:szCs w:val="24"/>
          <w:lang w:val="en-US"/>
        </w:rPr>
        <w:t xml:space="preserve">, </w:t>
      </w:r>
      <w:r w:rsidRPr="006A593D">
        <w:rPr>
          <w:rFonts w:ascii="Times New Roman" w:hAnsi="Times New Roman" w:cs="Times New Roman"/>
          <w:sz w:val="24"/>
          <w:szCs w:val="24"/>
          <w:lang w:val="en-US"/>
        </w:rPr>
        <w:t>and</w:t>
      </w:r>
      <w:r w:rsidRPr="006A593D">
        <w:rPr>
          <w:rFonts w:ascii="Times New Roman" w:hAnsi="Times New Roman" w:cs="Times New Roman"/>
          <w:b/>
          <w:bCs/>
          <w:sz w:val="24"/>
          <w:szCs w:val="24"/>
          <w:lang w:val="en-US"/>
        </w:rPr>
        <w:t xml:space="preserve"> </w:t>
      </w:r>
      <w:r w:rsidRPr="006A593D">
        <w:rPr>
          <w:rStyle w:val="Forte"/>
          <w:rFonts w:ascii="Times New Roman" w:hAnsi="Times New Roman" w:cs="Times New Roman"/>
          <w:b w:val="0"/>
          <w:bCs w:val="0"/>
          <w:sz w:val="24"/>
          <w:szCs w:val="24"/>
          <w:lang w:val="en-US"/>
        </w:rPr>
        <w:t>Sales Growth</w:t>
      </w:r>
      <w:r w:rsidRPr="006A593D">
        <w:rPr>
          <w:rFonts w:ascii="Times New Roman" w:hAnsi="Times New Roman" w:cs="Times New Roman"/>
          <w:sz w:val="24"/>
          <w:szCs w:val="24"/>
          <w:lang w:val="en-US"/>
        </w:rPr>
        <w:t xml:space="preserve"> show minimum or maximum values outside the expected pattern, which may indicate the presence of outliers.</w:t>
      </w:r>
    </w:p>
    <w:p w14:paraId="178FB4C5" w14:textId="5AB3D796" w:rsidR="006A593D" w:rsidRPr="006A593D" w:rsidRDefault="006A593D" w:rsidP="006A593D">
      <w:pPr>
        <w:spacing w:line="360" w:lineRule="auto"/>
        <w:jc w:val="both"/>
        <w:rPr>
          <w:rFonts w:ascii="Times New Roman" w:hAnsi="Times New Roman" w:cs="Times New Roman"/>
          <w:b/>
          <w:bCs/>
          <w:sz w:val="28"/>
          <w:szCs w:val="28"/>
          <w:lang w:val="en-US"/>
        </w:rPr>
      </w:pPr>
      <w:r w:rsidRPr="006A593D">
        <w:rPr>
          <w:rStyle w:val="Forte"/>
          <w:rFonts w:ascii="Times New Roman" w:hAnsi="Times New Roman" w:cs="Times New Roman"/>
          <w:b w:val="0"/>
          <w:bCs w:val="0"/>
          <w:sz w:val="24"/>
          <w:szCs w:val="24"/>
        </w:rPr>
        <w:t>Table 1 - General Descriptive Information</w:t>
      </w:r>
    </w:p>
    <w:tbl>
      <w:tblPr>
        <w:tblW w:w="9144" w:type="dxa"/>
        <w:tblCellMar>
          <w:left w:w="70" w:type="dxa"/>
          <w:right w:w="70" w:type="dxa"/>
        </w:tblCellMar>
        <w:tblLook w:val="04A0" w:firstRow="1" w:lastRow="0" w:firstColumn="1" w:lastColumn="0" w:noHBand="0" w:noVBand="1"/>
      </w:tblPr>
      <w:tblGrid>
        <w:gridCol w:w="1420"/>
        <w:gridCol w:w="1180"/>
        <w:gridCol w:w="1540"/>
        <w:gridCol w:w="1400"/>
        <w:gridCol w:w="1364"/>
        <w:gridCol w:w="920"/>
        <w:gridCol w:w="1320"/>
      </w:tblGrid>
      <w:tr w:rsidR="006A593D" w:rsidRPr="00CD65FF" w14:paraId="4363BF07" w14:textId="77777777" w:rsidTr="00804A34">
        <w:trPr>
          <w:trHeight w:val="600"/>
        </w:trPr>
        <w:tc>
          <w:tcPr>
            <w:tcW w:w="1420" w:type="dxa"/>
            <w:tcBorders>
              <w:top w:val="single" w:sz="4" w:space="0" w:color="000000"/>
              <w:left w:val="nil"/>
              <w:bottom w:val="single" w:sz="4" w:space="0" w:color="000000"/>
              <w:right w:val="nil"/>
            </w:tcBorders>
            <w:noWrap/>
            <w:hideMark/>
          </w:tcPr>
          <w:p w14:paraId="2839801E" w14:textId="42B7DBD9" w:rsidR="006A593D" w:rsidRPr="00CD65FF" w:rsidRDefault="006A593D" w:rsidP="00804A34">
            <w:pPr>
              <w:spacing w:after="0" w:line="240" w:lineRule="auto"/>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Statistics</w:t>
            </w:r>
          </w:p>
        </w:tc>
        <w:tc>
          <w:tcPr>
            <w:tcW w:w="1180" w:type="dxa"/>
            <w:tcBorders>
              <w:top w:val="single" w:sz="4" w:space="0" w:color="000000"/>
              <w:left w:val="nil"/>
              <w:bottom w:val="single" w:sz="4" w:space="0" w:color="000000"/>
              <w:right w:val="nil"/>
            </w:tcBorders>
            <w:noWrap/>
            <w:hideMark/>
          </w:tcPr>
          <w:p w14:paraId="40F4C2A2" w14:textId="1AF1DBA8" w:rsidR="006A593D" w:rsidRPr="00CD65FF" w:rsidRDefault="006A593D"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Tobin</w:t>
            </w:r>
            <w:r w:rsidR="00E60193">
              <w:rPr>
                <w:rFonts w:ascii="Times New Roman" w:eastAsia="Times New Roman" w:hAnsi="Times New Roman" w:cs="Times New Roman"/>
                <w:b/>
                <w:bCs/>
                <w:color w:val="000000"/>
                <w:kern w:val="0"/>
                <w:sz w:val="24"/>
                <w:szCs w:val="24"/>
                <w:lang w:eastAsia="pt-BR"/>
                <w14:ligatures w14:val="none"/>
              </w:rPr>
              <w:t>’</w:t>
            </w:r>
            <w:r w:rsidRPr="00CD65FF">
              <w:rPr>
                <w:rFonts w:ascii="Times New Roman" w:eastAsia="Times New Roman" w:hAnsi="Times New Roman" w:cs="Times New Roman"/>
                <w:b/>
                <w:bCs/>
                <w:color w:val="000000"/>
                <w:kern w:val="0"/>
                <w:sz w:val="24"/>
                <w:szCs w:val="24"/>
                <w:lang w:eastAsia="pt-BR"/>
                <w14:ligatures w14:val="none"/>
              </w:rPr>
              <w:t>s Q</w:t>
            </w:r>
          </w:p>
        </w:tc>
        <w:tc>
          <w:tcPr>
            <w:tcW w:w="1540" w:type="dxa"/>
            <w:tcBorders>
              <w:top w:val="single" w:sz="4" w:space="0" w:color="000000"/>
              <w:left w:val="nil"/>
              <w:bottom w:val="single" w:sz="4" w:space="0" w:color="000000"/>
              <w:right w:val="nil"/>
            </w:tcBorders>
            <w:hideMark/>
          </w:tcPr>
          <w:p w14:paraId="08DBA27D" w14:textId="77777777" w:rsidR="006A593D" w:rsidRPr="00CD65FF" w:rsidRDefault="006A593D"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 xml:space="preserve">ESG Combined </w:t>
            </w:r>
            <w:r>
              <w:rPr>
                <w:rFonts w:ascii="Times New Roman" w:eastAsia="Times New Roman" w:hAnsi="Times New Roman" w:cs="Times New Roman"/>
                <w:b/>
                <w:bCs/>
                <w:color w:val="000000"/>
                <w:kern w:val="0"/>
                <w:sz w:val="24"/>
                <w:szCs w:val="24"/>
                <w:lang w:eastAsia="pt-BR"/>
                <w14:ligatures w14:val="none"/>
              </w:rPr>
              <w:t>Score</w:t>
            </w:r>
          </w:p>
        </w:tc>
        <w:tc>
          <w:tcPr>
            <w:tcW w:w="1400" w:type="dxa"/>
            <w:tcBorders>
              <w:top w:val="single" w:sz="4" w:space="0" w:color="000000"/>
              <w:left w:val="nil"/>
              <w:bottom w:val="single" w:sz="4" w:space="0" w:color="000000"/>
              <w:right w:val="nil"/>
            </w:tcBorders>
            <w:hideMark/>
          </w:tcPr>
          <w:p w14:paraId="6CF53C85" w14:textId="6AB3A43B" w:rsidR="006A593D" w:rsidRPr="00CD65FF" w:rsidRDefault="006A593D"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Firm Size</w:t>
            </w:r>
          </w:p>
        </w:tc>
        <w:tc>
          <w:tcPr>
            <w:tcW w:w="1364" w:type="dxa"/>
            <w:tcBorders>
              <w:top w:val="single" w:sz="4" w:space="0" w:color="000000"/>
              <w:left w:val="nil"/>
              <w:bottom w:val="single" w:sz="4" w:space="0" w:color="000000"/>
              <w:right w:val="nil"/>
            </w:tcBorders>
            <w:noWrap/>
            <w:hideMark/>
          </w:tcPr>
          <w:p w14:paraId="171FB37A" w14:textId="31097044" w:rsidR="006A593D" w:rsidRPr="00CD65FF" w:rsidRDefault="006A593D"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Leverage</w:t>
            </w:r>
          </w:p>
        </w:tc>
        <w:tc>
          <w:tcPr>
            <w:tcW w:w="920" w:type="dxa"/>
            <w:tcBorders>
              <w:top w:val="single" w:sz="4" w:space="0" w:color="000000"/>
              <w:left w:val="nil"/>
              <w:bottom w:val="single" w:sz="4" w:space="0" w:color="000000"/>
              <w:right w:val="nil"/>
            </w:tcBorders>
            <w:noWrap/>
            <w:hideMark/>
          </w:tcPr>
          <w:p w14:paraId="36351E39" w14:textId="77777777" w:rsidR="006A593D" w:rsidRPr="00CD65FF" w:rsidRDefault="006A593D"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ROA</w:t>
            </w:r>
          </w:p>
        </w:tc>
        <w:tc>
          <w:tcPr>
            <w:tcW w:w="1320" w:type="dxa"/>
            <w:tcBorders>
              <w:top w:val="single" w:sz="4" w:space="0" w:color="000000"/>
              <w:left w:val="nil"/>
              <w:bottom w:val="single" w:sz="4" w:space="0" w:color="000000"/>
              <w:right w:val="nil"/>
            </w:tcBorders>
            <w:hideMark/>
          </w:tcPr>
          <w:p w14:paraId="2ED52E73" w14:textId="19B2BE88" w:rsidR="006A593D" w:rsidRPr="00CD65FF" w:rsidRDefault="006A593D"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Sales Growth</w:t>
            </w:r>
          </w:p>
        </w:tc>
      </w:tr>
      <w:tr w:rsidR="006A593D" w:rsidRPr="00CD65FF" w14:paraId="729254C1" w14:textId="77777777" w:rsidTr="00804A34">
        <w:trPr>
          <w:trHeight w:val="300"/>
        </w:trPr>
        <w:tc>
          <w:tcPr>
            <w:tcW w:w="1420" w:type="dxa"/>
            <w:tcBorders>
              <w:top w:val="nil"/>
              <w:left w:val="nil"/>
              <w:bottom w:val="nil"/>
              <w:right w:val="nil"/>
            </w:tcBorders>
            <w:shd w:val="clear" w:color="D9D9D9" w:fill="D9D9D9"/>
            <w:noWrap/>
            <w:vAlign w:val="bottom"/>
            <w:hideMark/>
          </w:tcPr>
          <w:p w14:paraId="64A453CC" w14:textId="410EBD81" w:rsidR="006A593D" w:rsidRPr="00CD65FF" w:rsidRDefault="006A593D"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M</w:t>
            </w:r>
            <w:r>
              <w:rPr>
                <w:rFonts w:ascii="Times New Roman" w:eastAsia="Times New Roman" w:hAnsi="Times New Roman" w:cs="Times New Roman"/>
                <w:color w:val="000000"/>
                <w:kern w:val="0"/>
                <w:sz w:val="24"/>
                <w:szCs w:val="24"/>
                <w:lang w:eastAsia="pt-BR"/>
                <w14:ligatures w14:val="none"/>
              </w:rPr>
              <w:t>ean</w:t>
            </w:r>
          </w:p>
        </w:tc>
        <w:tc>
          <w:tcPr>
            <w:tcW w:w="1180" w:type="dxa"/>
            <w:tcBorders>
              <w:top w:val="nil"/>
              <w:left w:val="nil"/>
              <w:bottom w:val="nil"/>
              <w:right w:val="nil"/>
            </w:tcBorders>
            <w:shd w:val="clear" w:color="D9D9D9" w:fill="D9D9D9"/>
            <w:noWrap/>
            <w:vAlign w:val="bottom"/>
            <w:hideMark/>
          </w:tcPr>
          <w:p w14:paraId="0F2F944D"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8</w:t>
            </w:r>
          </w:p>
        </w:tc>
        <w:tc>
          <w:tcPr>
            <w:tcW w:w="1540" w:type="dxa"/>
            <w:tcBorders>
              <w:top w:val="nil"/>
              <w:left w:val="nil"/>
              <w:bottom w:val="nil"/>
              <w:right w:val="nil"/>
            </w:tcBorders>
            <w:shd w:val="clear" w:color="D9D9D9" w:fill="D9D9D9"/>
            <w:noWrap/>
            <w:vAlign w:val="bottom"/>
            <w:hideMark/>
          </w:tcPr>
          <w:p w14:paraId="2F59039F"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43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56</w:t>
            </w:r>
          </w:p>
        </w:tc>
        <w:tc>
          <w:tcPr>
            <w:tcW w:w="1400" w:type="dxa"/>
            <w:tcBorders>
              <w:top w:val="nil"/>
              <w:left w:val="nil"/>
              <w:bottom w:val="nil"/>
              <w:right w:val="nil"/>
            </w:tcBorders>
            <w:shd w:val="clear" w:color="D9D9D9" w:fill="D9D9D9"/>
            <w:noWrap/>
            <w:vAlign w:val="bottom"/>
            <w:hideMark/>
          </w:tcPr>
          <w:p w14:paraId="04ECC6B4"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22</w:t>
            </w:r>
          </w:p>
        </w:tc>
        <w:tc>
          <w:tcPr>
            <w:tcW w:w="1364" w:type="dxa"/>
            <w:tcBorders>
              <w:top w:val="nil"/>
              <w:left w:val="nil"/>
              <w:bottom w:val="nil"/>
              <w:right w:val="nil"/>
            </w:tcBorders>
            <w:shd w:val="clear" w:color="D9D9D9" w:fill="D9D9D9"/>
            <w:noWrap/>
            <w:vAlign w:val="bottom"/>
            <w:hideMark/>
          </w:tcPr>
          <w:p w14:paraId="0A8F9600"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33</w:t>
            </w:r>
          </w:p>
        </w:tc>
        <w:tc>
          <w:tcPr>
            <w:tcW w:w="920" w:type="dxa"/>
            <w:tcBorders>
              <w:top w:val="nil"/>
              <w:left w:val="nil"/>
              <w:bottom w:val="nil"/>
              <w:right w:val="nil"/>
            </w:tcBorders>
            <w:shd w:val="clear" w:color="D9D9D9" w:fill="D9D9D9"/>
            <w:noWrap/>
            <w:vAlign w:val="bottom"/>
            <w:hideMark/>
          </w:tcPr>
          <w:p w14:paraId="417A30BA"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02</w:t>
            </w:r>
          </w:p>
        </w:tc>
        <w:tc>
          <w:tcPr>
            <w:tcW w:w="1320" w:type="dxa"/>
            <w:tcBorders>
              <w:top w:val="nil"/>
              <w:left w:val="nil"/>
              <w:bottom w:val="nil"/>
              <w:right w:val="nil"/>
            </w:tcBorders>
            <w:shd w:val="clear" w:color="D9D9D9" w:fill="D9D9D9"/>
            <w:noWrap/>
            <w:vAlign w:val="bottom"/>
            <w:hideMark/>
          </w:tcPr>
          <w:p w14:paraId="07AC284A"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37</w:t>
            </w:r>
          </w:p>
        </w:tc>
      </w:tr>
      <w:tr w:rsidR="006A593D" w:rsidRPr="00CD65FF" w14:paraId="084F4D70" w14:textId="77777777" w:rsidTr="00804A34">
        <w:trPr>
          <w:trHeight w:val="300"/>
        </w:trPr>
        <w:tc>
          <w:tcPr>
            <w:tcW w:w="1420" w:type="dxa"/>
            <w:tcBorders>
              <w:top w:val="nil"/>
              <w:left w:val="nil"/>
              <w:bottom w:val="nil"/>
              <w:right w:val="nil"/>
            </w:tcBorders>
            <w:noWrap/>
            <w:vAlign w:val="bottom"/>
            <w:hideMark/>
          </w:tcPr>
          <w:p w14:paraId="72CA60F4" w14:textId="33A6CD9C" w:rsidR="006A593D" w:rsidRPr="00CD65FF" w:rsidRDefault="006A593D"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S</w:t>
            </w:r>
            <w:r w:rsidRPr="006A593D">
              <w:rPr>
                <w:rFonts w:ascii="Times New Roman" w:eastAsia="Times New Roman" w:hAnsi="Times New Roman" w:cs="Times New Roman"/>
                <w:color w:val="000000"/>
                <w:kern w:val="0"/>
                <w:sz w:val="24"/>
                <w:szCs w:val="24"/>
                <w:lang w:eastAsia="pt-BR"/>
                <w14:ligatures w14:val="none"/>
              </w:rPr>
              <w:t xml:space="preserve">tandard </w:t>
            </w:r>
            <w:r>
              <w:rPr>
                <w:rFonts w:ascii="Times New Roman" w:eastAsia="Times New Roman" w:hAnsi="Times New Roman" w:cs="Times New Roman"/>
                <w:color w:val="000000"/>
                <w:kern w:val="0"/>
                <w:sz w:val="24"/>
                <w:szCs w:val="24"/>
                <w:lang w:eastAsia="pt-BR"/>
                <w14:ligatures w14:val="none"/>
              </w:rPr>
              <w:t>D</w:t>
            </w:r>
            <w:r w:rsidRPr="006A593D">
              <w:rPr>
                <w:rFonts w:ascii="Times New Roman" w:eastAsia="Times New Roman" w:hAnsi="Times New Roman" w:cs="Times New Roman"/>
                <w:color w:val="000000"/>
                <w:kern w:val="0"/>
                <w:sz w:val="24"/>
                <w:szCs w:val="24"/>
                <w:lang w:eastAsia="pt-BR"/>
                <w14:ligatures w14:val="none"/>
              </w:rPr>
              <w:t>eviation</w:t>
            </w:r>
          </w:p>
        </w:tc>
        <w:tc>
          <w:tcPr>
            <w:tcW w:w="1180" w:type="dxa"/>
            <w:tcBorders>
              <w:top w:val="nil"/>
              <w:left w:val="nil"/>
              <w:bottom w:val="nil"/>
              <w:right w:val="nil"/>
            </w:tcBorders>
            <w:noWrap/>
            <w:vAlign w:val="bottom"/>
            <w:hideMark/>
          </w:tcPr>
          <w:p w14:paraId="58F65FC2"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101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59</w:t>
            </w:r>
          </w:p>
        </w:tc>
        <w:tc>
          <w:tcPr>
            <w:tcW w:w="1540" w:type="dxa"/>
            <w:tcBorders>
              <w:top w:val="nil"/>
              <w:left w:val="nil"/>
              <w:bottom w:val="nil"/>
              <w:right w:val="nil"/>
            </w:tcBorders>
            <w:noWrap/>
            <w:vAlign w:val="bottom"/>
            <w:hideMark/>
          </w:tcPr>
          <w:p w14:paraId="7EC47DB3"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18</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93</w:t>
            </w:r>
          </w:p>
        </w:tc>
        <w:tc>
          <w:tcPr>
            <w:tcW w:w="1400" w:type="dxa"/>
            <w:tcBorders>
              <w:top w:val="nil"/>
              <w:left w:val="nil"/>
              <w:bottom w:val="nil"/>
              <w:right w:val="nil"/>
            </w:tcBorders>
            <w:noWrap/>
            <w:vAlign w:val="bottom"/>
            <w:hideMark/>
          </w:tcPr>
          <w:p w14:paraId="53172F44"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74</w:t>
            </w:r>
          </w:p>
        </w:tc>
        <w:tc>
          <w:tcPr>
            <w:tcW w:w="1364" w:type="dxa"/>
            <w:tcBorders>
              <w:top w:val="nil"/>
              <w:left w:val="nil"/>
              <w:bottom w:val="nil"/>
              <w:right w:val="nil"/>
            </w:tcBorders>
            <w:noWrap/>
            <w:vAlign w:val="bottom"/>
            <w:hideMark/>
          </w:tcPr>
          <w:p w14:paraId="3B7D2BA1"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25</w:t>
            </w:r>
          </w:p>
        </w:tc>
        <w:tc>
          <w:tcPr>
            <w:tcW w:w="920" w:type="dxa"/>
            <w:tcBorders>
              <w:top w:val="nil"/>
              <w:left w:val="nil"/>
              <w:bottom w:val="nil"/>
              <w:right w:val="nil"/>
            </w:tcBorders>
            <w:noWrap/>
            <w:vAlign w:val="bottom"/>
            <w:hideMark/>
          </w:tcPr>
          <w:p w14:paraId="4BFF96DB"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21</w:t>
            </w:r>
          </w:p>
        </w:tc>
        <w:tc>
          <w:tcPr>
            <w:tcW w:w="1320" w:type="dxa"/>
            <w:tcBorders>
              <w:top w:val="nil"/>
              <w:left w:val="nil"/>
              <w:bottom w:val="nil"/>
              <w:right w:val="nil"/>
            </w:tcBorders>
            <w:noWrap/>
            <w:vAlign w:val="bottom"/>
            <w:hideMark/>
          </w:tcPr>
          <w:p w14:paraId="274B2175"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2038</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15</w:t>
            </w:r>
          </w:p>
        </w:tc>
      </w:tr>
      <w:tr w:rsidR="006A593D" w:rsidRPr="00CD65FF" w14:paraId="1D8BDAFB" w14:textId="77777777" w:rsidTr="00804A34">
        <w:trPr>
          <w:trHeight w:val="300"/>
        </w:trPr>
        <w:tc>
          <w:tcPr>
            <w:tcW w:w="1420" w:type="dxa"/>
            <w:tcBorders>
              <w:top w:val="nil"/>
              <w:left w:val="nil"/>
              <w:bottom w:val="nil"/>
              <w:right w:val="nil"/>
            </w:tcBorders>
            <w:shd w:val="clear" w:color="D9D9D9" w:fill="D9D9D9"/>
            <w:noWrap/>
            <w:vAlign w:val="bottom"/>
            <w:hideMark/>
          </w:tcPr>
          <w:p w14:paraId="655A838C" w14:textId="376C5AFA" w:rsidR="006A593D" w:rsidRPr="00CD65FF" w:rsidRDefault="006A593D"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Media</w:t>
            </w:r>
            <w:r>
              <w:rPr>
                <w:rFonts w:ascii="Times New Roman" w:eastAsia="Times New Roman" w:hAnsi="Times New Roman" w:cs="Times New Roman"/>
                <w:color w:val="000000"/>
                <w:kern w:val="0"/>
                <w:sz w:val="24"/>
                <w:szCs w:val="24"/>
                <w:lang w:eastAsia="pt-BR"/>
                <w14:ligatures w14:val="none"/>
              </w:rPr>
              <w:t>n</w:t>
            </w:r>
          </w:p>
        </w:tc>
        <w:tc>
          <w:tcPr>
            <w:tcW w:w="1180" w:type="dxa"/>
            <w:tcBorders>
              <w:top w:val="nil"/>
              <w:left w:val="nil"/>
              <w:bottom w:val="nil"/>
              <w:right w:val="nil"/>
            </w:tcBorders>
            <w:shd w:val="clear" w:color="D9D9D9" w:fill="D9D9D9"/>
            <w:noWrap/>
            <w:vAlign w:val="bottom"/>
            <w:hideMark/>
          </w:tcPr>
          <w:p w14:paraId="5C758519"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45</w:t>
            </w:r>
          </w:p>
        </w:tc>
        <w:tc>
          <w:tcPr>
            <w:tcW w:w="1540" w:type="dxa"/>
            <w:tcBorders>
              <w:top w:val="nil"/>
              <w:left w:val="nil"/>
              <w:bottom w:val="nil"/>
              <w:right w:val="nil"/>
            </w:tcBorders>
            <w:shd w:val="clear" w:color="D9D9D9" w:fill="D9D9D9"/>
            <w:noWrap/>
            <w:vAlign w:val="bottom"/>
            <w:hideMark/>
          </w:tcPr>
          <w:p w14:paraId="237FF7DC"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41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94</w:t>
            </w:r>
          </w:p>
        </w:tc>
        <w:tc>
          <w:tcPr>
            <w:tcW w:w="1400" w:type="dxa"/>
            <w:tcBorders>
              <w:top w:val="nil"/>
              <w:left w:val="nil"/>
              <w:bottom w:val="nil"/>
              <w:right w:val="nil"/>
            </w:tcBorders>
            <w:shd w:val="clear" w:color="D9D9D9" w:fill="D9D9D9"/>
            <w:noWrap/>
            <w:vAlign w:val="bottom"/>
            <w:hideMark/>
          </w:tcPr>
          <w:p w14:paraId="7F547C59"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22</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02</w:t>
            </w:r>
          </w:p>
        </w:tc>
        <w:tc>
          <w:tcPr>
            <w:tcW w:w="1364" w:type="dxa"/>
            <w:tcBorders>
              <w:top w:val="nil"/>
              <w:left w:val="nil"/>
              <w:bottom w:val="nil"/>
              <w:right w:val="nil"/>
            </w:tcBorders>
            <w:shd w:val="clear" w:color="D9D9D9" w:fill="D9D9D9"/>
            <w:noWrap/>
            <w:vAlign w:val="bottom"/>
            <w:hideMark/>
          </w:tcPr>
          <w:p w14:paraId="673362D5"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31</w:t>
            </w:r>
          </w:p>
        </w:tc>
        <w:tc>
          <w:tcPr>
            <w:tcW w:w="920" w:type="dxa"/>
            <w:tcBorders>
              <w:top w:val="nil"/>
              <w:left w:val="nil"/>
              <w:bottom w:val="nil"/>
              <w:right w:val="nil"/>
            </w:tcBorders>
            <w:shd w:val="clear" w:color="D9D9D9" w:fill="D9D9D9"/>
            <w:noWrap/>
            <w:vAlign w:val="bottom"/>
            <w:hideMark/>
          </w:tcPr>
          <w:p w14:paraId="39637300"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06</w:t>
            </w:r>
          </w:p>
        </w:tc>
        <w:tc>
          <w:tcPr>
            <w:tcW w:w="1320" w:type="dxa"/>
            <w:tcBorders>
              <w:top w:val="nil"/>
              <w:left w:val="nil"/>
              <w:bottom w:val="nil"/>
              <w:right w:val="nil"/>
            </w:tcBorders>
            <w:shd w:val="clear" w:color="D9D9D9" w:fill="D9D9D9"/>
            <w:noWrap/>
            <w:vAlign w:val="bottom"/>
            <w:hideMark/>
          </w:tcPr>
          <w:p w14:paraId="373F96E0"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09</w:t>
            </w:r>
          </w:p>
        </w:tc>
      </w:tr>
      <w:tr w:rsidR="006A593D" w:rsidRPr="00CD65FF" w14:paraId="37FB4A6D" w14:textId="77777777" w:rsidTr="00804A34">
        <w:trPr>
          <w:trHeight w:val="300"/>
        </w:trPr>
        <w:tc>
          <w:tcPr>
            <w:tcW w:w="1420" w:type="dxa"/>
            <w:tcBorders>
              <w:top w:val="nil"/>
              <w:left w:val="nil"/>
              <w:bottom w:val="nil"/>
              <w:right w:val="nil"/>
            </w:tcBorders>
            <w:noWrap/>
            <w:vAlign w:val="bottom"/>
            <w:hideMark/>
          </w:tcPr>
          <w:p w14:paraId="195C8D3A" w14:textId="69B8BB0B" w:rsidR="006A593D" w:rsidRPr="00CD65FF" w:rsidRDefault="006A593D"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M</w:t>
            </w:r>
            <w:r>
              <w:rPr>
                <w:rFonts w:ascii="Times New Roman" w:eastAsia="Times New Roman" w:hAnsi="Times New Roman" w:cs="Times New Roman"/>
                <w:color w:val="000000"/>
                <w:kern w:val="0"/>
                <w:sz w:val="24"/>
                <w:szCs w:val="24"/>
                <w:lang w:eastAsia="pt-BR"/>
                <w14:ligatures w14:val="none"/>
              </w:rPr>
              <w:t>inimum</w:t>
            </w:r>
          </w:p>
        </w:tc>
        <w:tc>
          <w:tcPr>
            <w:tcW w:w="1180" w:type="dxa"/>
            <w:tcBorders>
              <w:top w:val="nil"/>
              <w:left w:val="nil"/>
              <w:bottom w:val="nil"/>
              <w:right w:val="nil"/>
            </w:tcBorders>
            <w:noWrap/>
            <w:vAlign w:val="bottom"/>
            <w:hideMark/>
          </w:tcPr>
          <w:p w14:paraId="0EA2ACD6"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56</w:t>
            </w:r>
          </w:p>
        </w:tc>
        <w:tc>
          <w:tcPr>
            <w:tcW w:w="1540" w:type="dxa"/>
            <w:tcBorders>
              <w:top w:val="nil"/>
              <w:left w:val="nil"/>
              <w:bottom w:val="nil"/>
              <w:right w:val="nil"/>
            </w:tcBorders>
            <w:noWrap/>
            <w:vAlign w:val="bottom"/>
            <w:hideMark/>
          </w:tcPr>
          <w:p w14:paraId="11CD3B27"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07</w:t>
            </w:r>
          </w:p>
        </w:tc>
        <w:tc>
          <w:tcPr>
            <w:tcW w:w="1400" w:type="dxa"/>
            <w:tcBorders>
              <w:top w:val="nil"/>
              <w:left w:val="nil"/>
              <w:bottom w:val="nil"/>
              <w:right w:val="nil"/>
            </w:tcBorders>
            <w:noWrap/>
            <w:vAlign w:val="bottom"/>
            <w:hideMark/>
          </w:tcPr>
          <w:p w14:paraId="0962FD7F"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15</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66</w:t>
            </w:r>
          </w:p>
        </w:tc>
        <w:tc>
          <w:tcPr>
            <w:tcW w:w="1364" w:type="dxa"/>
            <w:tcBorders>
              <w:top w:val="nil"/>
              <w:left w:val="nil"/>
              <w:bottom w:val="nil"/>
              <w:right w:val="nil"/>
            </w:tcBorders>
            <w:noWrap/>
            <w:vAlign w:val="bottom"/>
            <w:hideMark/>
          </w:tcPr>
          <w:p w14:paraId="35A398B3"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00</w:t>
            </w:r>
          </w:p>
        </w:tc>
        <w:tc>
          <w:tcPr>
            <w:tcW w:w="920" w:type="dxa"/>
            <w:tcBorders>
              <w:top w:val="nil"/>
              <w:left w:val="nil"/>
              <w:bottom w:val="nil"/>
              <w:right w:val="nil"/>
            </w:tcBorders>
            <w:noWrap/>
            <w:vAlign w:val="bottom"/>
            <w:hideMark/>
          </w:tcPr>
          <w:p w14:paraId="6025E145"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92</w:t>
            </w:r>
          </w:p>
        </w:tc>
        <w:tc>
          <w:tcPr>
            <w:tcW w:w="1320" w:type="dxa"/>
            <w:tcBorders>
              <w:top w:val="nil"/>
              <w:left w:val="nil"/>
              <w:bottom w:val="nil"/>
              <w:right w:val="nil"/>
            </w:tcBorders>
            <w:noWrap/>
            <w:vAlign w:val="bottom"/>
            <w:hideMark/>
          </w:tcPr>
          <w:p w14:paraId="283FF088"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-47</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58</w:t>
            </w:r>
          </w:p>
        </w:tc>
      </w:tr>
      <w:tr w:rsidR="006A593D" w:rsidRPr="00CD65FF" w14:paraId="0DDDE256" w14:textId="77777777" w:rsidTr="00804A34">
        <w:trPr>
          <w:trHeight w:val="300"/>
        </w:trPr>
        <w:tc>
          <w:tcPr>
            <w:tcW w:w="1420" w:type="dxa"/>
            <w:tcBorders>
              <w:top w:val="nil"/>
              <w:left w:val="nil"/>
              <w:bottom w:val="nil"/>
              <w:right w:val="nil"/>
            </w:tcBorders>
            <w:shd w:val="clear" w:color="D9D9D9" w:fill="D9D9D9"/>
            <w:noWrap/>
            <w:vAlign w:val="bottom"/>
            <w:hideMark/>
          </w:tcPr>
          <w:p w14:paraId="3E631A34" w14:textId="76569C91" w:rsidR="006A593D" w:rsidRPr="00CD65FF" w:rsidRDefault="006A593D"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M</w:t>
            </w:r>
            <w:r>
              <w:rPr>
                <w:rFonts w:ascii="Times New Roman" w:eastAsia="Times New Roman" w:hAnsi="Times New Roman" w:cs="Times New Roman"/>
                <w:color w:val="000000"/>
                <w:kern w:val="0"/>
                <w:sz w:val="24"/>
                <w:szCs w:val="24"/>
                <w:lang w:eastAsia="pt-BR"/>
                <w14:ligatures w14:val="none"/>
              </w:rPr>
              <w:t>aximum</w:t>
            </w:r>
          </w:p>
        </w:tc>
        <w:tc>
          <w:tcPr>
            <w:tcW w:w="1180" w:type="dxa"/>
            <w:tcBorders>
              <w:top w:val="nil"/>
              <w:left w:val="nil"/>
              <w:bottom w:val="nil"/>
              <w:right w:val="nil"/>
            </w:tcBorders>
            <w:shd w:val="clear" w:color="D9D9D9" w:fill="D9D9D9"/>
            <w:noWrap/>
            <w:vAlign w:val="bottom"/>
            <w:hideMark/>
          </w:tcPr>
          <w:p w14:paraId="7AF1183A"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8508</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68</w:t>
            </w:r>
          </w:p>
        </w:tc>
        <w:tc>
          <w:tcPr>
            <w:tcW w:w="1540" w:type="dxa"/>
            <w:tcBorders>
              <w:top w:val="nil"/>
              <w:left w:val="nil"/>
              <w:bottom w:val="nil"/>
              <w:right w:val="nil"/>
            </w:tcBorders>
            <w:shd w:val="clear" w:color="D9D9D9" w:fill="D9D9D9"/>
            <w:noWrap/>
            <w:vAlign w:val="bottom"/>
            <w:hideMark/>
          </w:tcPr>
          <w:p w14:paraId="0E3B5306"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93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07</w:t>
            </w:r>
          </w:p>
        </w:tc>
        <w:tc>
          <w:tcPr>
            <w:tcW w:w="1400" w:type="dxa"/>
            <w:tcBorders>
              <w:top w:val="nil"/>
              <w:left w:val="nil"/>
              <w:bottom w:val="nil"/>
              <w:right w:val="nil"/>
            </w:tcBorders>
            <w:shd w:val="clear" w:color="D9D9D9" w:fill="D9D9D9"/>
            <w:noWrap/>
            <w:vAlign w:val="bottom"/>
            <w:hideMark/>
          </w:tcPr>
          <w:p w14:paraId="14ECBAAA"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28</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8</w:t>
            </w:r>
          </w:p>
        </w:tc>
        <w:tc>
          <w:tcPr>
            <w:tcW w:w="1364" w:type="dxa"/>
            <w:tcBorders>
              <w:top w:val="nil"/>
              <w:left w:val="nil"/>
              <w:bottom w:val="nil"/>
              <w:right w:val="nil"/>
            </w:tcBorders>
            <w:shd w:val="clear" w:color="D9D9D9" w:fill="D9D9D9"/>
            <w:noWrap/>
            <w:vAlign w:val="bottom"/>
            <w:hideMark/>
          </w:tcPr>
          <w:p w14:paraId="58C1C90C"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89</w:t>
            </w:r>
          </w:p>
        </w:tc>
        <w:tc>
          <w:tcPr>
            <w:tcW w:w="920" w:type="dxa"/>
            <w:tcBorders>
              <w:top w:val="nil"/>
              <w:left w:val="nil"/>
              <w:bottom w:val="nil"/>
              <w:right w:val="nil"/>
            </w:tcBorders>
            <w:shd w:val="clear" w:color="D9D9D9" w:fill="D9D9D9"/>
            <w:noWrap/>
            <w:vAlign w:val="bottom"/>
            <w:hideMark/>
          </w:tcPr>
          <w:p w14:paraId="1D4AC188"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83</w:t>
            </w:r>
          </w:p>
        </w:tc>
        <w:tc>
          <w:tcPr>
            <w:tcW w:w="1320" w:type="dxa"/>
            <w:tcBorders>
              <w:top w:val="nil"/>
              <w:left w:val="nil"/>
              <w:bottom w:val="nil"/>
              <w:right w:val="nil"/>
            </w:tcBorders>
            <w:shd w:val="clear" w:color="D9D9D9" w:fill="D9D9D9"/>
            <w:noWrap/>
            <w:vAlign w:val="bottom"/>
            <w:hideMark/>
          </w:tcPr>
          <w:p w14:paraId="57EF2EA9"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157696</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4</w:t>
            </w:r>
          </w:p>
        </w:tc>
      </w:tr>
      <w:tr w:rsidR="006A593D" w:rsidRPr="00CD65FF" w14:paraId="7DD56774" w14:textId="77777777" w:rsidTr="00804A34">
        <w:trPr>
          <w:trHeight w:val="300"/>
        </w:trPr>
        <w:tc>
          <w:tcPr>
            <w:tcW w:w="1420" w:type="dxa"/>
            <w:tcBorders>
              <w:top w:val="nil"/>
              <w:left w:val="nil"/>
              <w:bottom w:val="single" w:sz="4" w:space="0" w:color="000000"/>
              <w:right w:val="nil"/>
            </w:tcBorders>
            <w:noWrap/>
            <w:vAlign w:val="bottom"/>
            <w:hideMark/>
          </w:tcPr>
          <w:p w14:paraId="1440C806" w14:textId="77777777" w:rsidR="006A593D" w:rsidRPr="00CD65FF" w:rsidRDefault="006A593D"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N</w:t>
            </w:r>
          </w:p>
        </w:tc>
        <w:tc>
          <w:tcPr>
            <w:tcW w:w="1180" w:type="dxa"/>
            <w:tcBorders>
              <w:top w:val="nil"/>
              <w:left w:val="nil"/>
              <w:bottom w:val="single" w:sz="4" w:space="0" w:color="000000"/>
              <w:right w:val="nil"/>
            </w:tcBorders>
            <w:noWrap/>
            <w:vAlign w:val="bottom"/>
            <w:hideMark/>
          </w:tcPr>
          <w:p w14:paraId="14464C4C"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239</w:t>
            </w:r>
          </w:p>
        </w:tc>
        <w:tc>
          <w:tcPr>
            <w:tcW w:w="1540" w:type="dxa"/>
            <w:tcBorders>
              <w:top w:val="nil"/>
              <w:left w:val="nil"/>
              <w:bottom w:val="single" w:sz="4" w:space="0" w:color="000000"/>
              <w:right w:val="nil"/>
            </w:tcBorders>
            <w:noWrap/>
            <w:vAlign w:val="bottom"/>
            <w:hideMark/>
          </w:tcPr>
          <w:p w14:paraId="67E9C956"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239</w:t>
            </w:r>
          </w:p>
        </w:tc>
        <w:tc>
          <w:tcPr>
            <w:tcW w:w="1400" w:type="dxa"/>
            <w:tcBorders>
              <w:top w:val="nil"/>
              <w:left w:val="nil"/>
              <w:bottom w:val="single" w:sz="4" w:space="0" w:color="000000"/>
              <w:right w:val="nil"/>
            </w:tcBorders>
            <w:noWrap/>
            <w:vAlign w:val="bottom"/>
            <w:hideMark/>
          </w:tcPr>
          <w:p w14:paraId="0EDDDE42"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239</w:t>
            </w:r>
          </w:p>
        </w:tc>
        <w:tc>
          <w:tcPr>
            <w:tcW w:w="1364" w:type="dxa"/>
            <w:tcBorders>
              <w:top w:val="nil"/>
              <w:left w:val="nil"/>
              <w:bottom w:val="single" w:sz="4" w:space="0" w:color="000000"/>
              <w:right w:val="nil"/>
            </w:tcBorders>
            <w:noWrap/>
            <w:vAlign w:val="bottom"/>
            <w:hideMark/>
          </w:tcPr>
          <w:p w14:paraId="70A440AC"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5</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698</w:t>
            </w:r>
          </w:p>
        </w:tc>
        <w:tc>
          <w:tcPr>
            <w:tcW w:w="920" w:type="dxa"/>
            <w:tcBorders>
              <w:top w:val="nil"/>
              <w:left w:val="nil"/>
              <w:bottom w:val="single" w:sz="4" w:space="0" w:color="000000"/>
              <w:right w:val="nil"/>
            </w:tcBorders>
            <w:noWrap/>
            <w:vAlign w:val="bottom"/>
            <w:hideMark/>
          </w:tcPr>
          <w:p w14:paraId="6851F740"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231</w:t>
            </w:r>
          </w:p>
        </w:tc>
        <w:tc>
          <w:tcPr>
            <w:tcW w:w="1320" w:type="dxa"/>
            <w:tcBorders>
              <w:top w:val="nil"/>
              <w:left w:val="nil"/>
              <w:bottom w:val="single" w:sz="4" w:space="0" w:color="000000"/>
              <w:right w:val="nil"/>
            </w:tcBorders>
            <w:noWrap/>
            <w:vAlign w:val="bottom"/>
            <w:hideMark/>
          </w:tcPr>
          <w:p w14:paraId="2B873A54" w14:textId="77777777" w:rsidR="006A593D" w:rsidRPr="00CD65FF" w:rsidRDefault="006A593D"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6</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064</w:t>
            </w:r>
          </w:p>
        </w:tc>
      </w:tr>
    </w:tbl>
    <w:p w14:paraId="2A882ABB" w14:textId="020635D5" w:rsidR="006A593D" w:rsidRDefault="006A593D" w:rsidP="006A593D">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Source: Prepared by </w:t>
      </w:r>
      <w:r w:rsidR="006952E6">
        <w:rPr>
          <w:rFonts w:ascii="Times New Roman" w:hAnsi="Times New Roman" w:cs="Times New Roman"/>
          <w:sz w:val="20"/>
          <w:szCs w:val="20"/>
          <w:lang w:val="en-US"/>
        </w:rPr>
        <w:t xml:space="preserve">the </w:t>
      </w:r>
      <w:r>
        <w:rPr>
          <w:rFonts w:ascii="Times New Roman" w:hAnsi="Times New Roman" w:cs="Times New Roman"/>
          <w:sz w:val="20"/>
          <w:szCs w:val="20"/>
          <w:lang w:val="en-US"/>
        </w:rPr>
        <w:t>authors</w:t>
      </w:r>
    </w:p>
    <w:p w14:paraId="35C3519B" w14:textId="5F394F19" w:rsidR="006A593D" w:rsidRPr="006A593D" w:rsidRDefault="006A593D" w:rsidP="006A593D">
      <w:pPr>
        <w:spacing w:line="360" w:lineRule="auto"/>
        <w:jc w:val="both"/>
        <w:rPr>
          <w:rFonts w:ascii="Times New Roman" w:hAnsi="Times New Roman" w:cs="Times New Roman"/>
          <w:sz w:val="24"/>
          <w:szCs w:val="24"/>
          <w:lang w:val="en-US"/>
        </w:rPr>
      </w:pPr>
      <w:r>
        <w:rPr>
          <w:rFonts w:ascii="Times New Roman" w:hAnsi="Times New Roman" w:cs="Times New Roman"/>
          <w:sz w:val="20"/>
          <w:szCs w:val="20"/>
          <w:lang w:val="en-US"/>
        </w:rPr>
        <w:tab/>
      </w:r>
      <w:r w:rsidRPr="006A593D">
        <w:rPr>
          <w:rFonts w:ascii="Times New Roman" w:hAnsi="Times New Roman" w:cs="Times New Roman"/>
          <w:sz w:val="24"/>
          <w:szCs w:val="24"/>
          <w:lang w:val="en-US"/>
        </w:rPr>
        <w:t xml:space="preserve">The presence of outliers in the Tobin’s Q variable can be identified by analyzing the evolution of its annual averages over time (Figure </w:t>
      </w:r>
      <w:r w:rsidR="00441605">
        <w:rPr>
          <w:rFonts w:ascii="Times New Roman" w:hAnsi="Times New Roman" w:cs="Times New Roman"/>
          <w:sz w:val="24"/>
          <w:szCs w:val="24"/>
          <w:lang w:val="en-US"/>
        </w:rPr>
        <w:t>2</w:t>
      </w:r>
      <w:r w:rsidRPr="006A593D">
        <w:rPr>
          <w:rFonts w:ascii="Times New Roman" w:hAnsi="Times New Roman" w:cs="Times New Roman"/>
          <w:sz w:val="24"/>
          <w:szCs w:val="24"/>
          <w:lang w:val="en-US"/>
        </w:rPr>
        <w:t xml:space="preserve">). We observe that the years 2022 and 2024 </w:t>
      </w:r>
      <w:r w:rsidR="006952E6">
        <w:rPr>
          <w:rFonts w:ascii="Times New Roman" w:hAnsi="Times New Roman" w:cs="Times New Roman"/>
          <w:sz w:val="24"/>
          <w:szCs w:val="24"/>
          <w:lang w:val="en-US"/>
        </w:rPr>
        <w:t>exhibit</w:t>
      </w:r>
      <w:r w:rsidRPr="006A593D">
        <w:rPr>
          <w:rFonts w:ascii="Times New Roman" w:hAnsi="Times New Roman" w:cs="Times New Roman"/>
          <w:sz w:val="24"/>
          <w:szCs w:val="24"/>
          <w:lang w:val="en-US"/>
        </w:rPr>
        <w:t xml:space="preserve"> significant jumps, reflecting possible distortions in </w:t>
      </w:r>
      <w:r w:rsidR="006952E6">
        <w:rPr>
          <w:rFonts w:ascii="Times New Roman" w:hAnsi="Times New Roman" w:cs="Times New Roman"/>
          <w:sz w:val="24"/>
          <w:szCs w:val="24"/>
          <w:lang w:val="en-US"/>
        </w:rPr>
        <w:t xml:space="preserve">the </w:t>
      </w:r>
      <w:r w:rsidRPr="006A593D">
        <w:rPr>
          <w:rFonts w:ascii="Times New Roman" w:hAnsi="Times New Roman" w:cs="Times New Roman"/>
          <w:sz w:val="24"/>
          <w:szCs w:val="24"/>
          <w:lang w:val="en-US"/>
        </w:rPr>
        <w:t>data distribution. In particular, the extremely high Tobin</w:t>
      </w:r>
      <w:r>
        <w:rPr>
          <w:rFonts w:ascii="Times New Roman" w:hAnsi="Times New Roman" w:cs="Times New Roman"/>
          <w:sz w:val="24"/>
          <w:szCs w:val="24"/>
          <w:lang w:val="en-US"/>
        </w:rPr>
        <w:t>’</w:t>
      </w:r>
      <w:r w:rsidRPr="006A593D">
        <w:rPr>
          <w:rFonts w:ascii="Times New Roman" w:hAnsi="Times New Roman" w:cs="Times New Roman"/>
          <w:sz w:val="24"/>
          <w:szCs w:val="24"/>
          <w:lang w:val="en-US"/>
        </w:rPr>
        <w:t>s Q values in 2022 are largely concentrated in the Professional, Scientific, and Technical Services; Manufacturing; and Information Technology and Services sectors.</w:t>
      </w:r>
    </w:p>
    <w:p w14:paraId="211E6CD8" w14:textId="3F723AA7" w:rsidR="006A593D" w:rsidRPr="006A593D" w:rsidRDefault="006A593D" w:rsidP="006A59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A593D">
        <w:rPr>
          <w:rFonts w:ascii="Times New Roman" w:hAnsi="Times New Roman" w:cs="Times New Roman"/>
          <w:sz w:val="24"/>
          <w:szCs w:val="24"/>
          <w:lang w:val="en-US"/>
        </w:rPr>
        <w:t xml:space="preserve">The increase in the Tobin’s Q variable in 2022 is consistent with the economic context of the period, which was marked by a significant </w:t>
      </w:r>
      <w:r w:rsidR="006952E6">
        <w:rPr>
          <w:rFonts w:ascii="Times New Roman" w:hAnsi="Times New Roman" w:cs="Times New Roman"/>
          <w:sz w:val="24"/>
          <w:szCs w:val="24"/>
          <w:lang w:val="en-US"/>
        </w:rPr>
        <w:t>ri</w:t>
      </w:r>
      <w:r w:rsidRPr="006A593D">
        <w:rPr>
          <w:rFonts w:ascii="Times New Roman" w:hAnsi="Times New Roman" w:cs="Times New Roman"/>
          <w:sz w:val="24"/>
          <w:szCs w:val="24"/>
          <w:lang w:val="en-US"/>
        </w:rPr>
        <w:t>se in economic activity following the COVID-19 pandemic. Biotechnology and pharmaceutical companies directly benefited from in</w:t>
      </w:r>
      <w:r w:rsidR="006952E6">
        <w:rPr>
          <w:rFonts w:ascii="Times New Roman" w:hAnsi="Times New Roman" w:cs="Times New Roman"/>
          <w:sz w:val="24"/>
          <w:szCs w:val="24"/>
          <w:lang w:val="en-US"/>
        </w:rPr>
        <w:t>creased</w:t>
      </w:r>
      <w:r w:rsidRPr="006A593D">
        <w:rPr>
          <w:rFonts w:ascii="Times New Roman" w:hAnsi="Times New Roman" w:cs="Times New Roman"/>
          <w:sz w:val="24"/>
          <w:szCs w:val="24"/>
          <w:lang w:val="en-US"/>
        </w:rPr>
        <w:t xml:space="preserve"> investments in healthcare, vaccines, and innovative therapies, leading to higher market valuations. Similarly, industries linked to biotechnology and digital platforms experienced strong appreciation, driven by the advancement of digitalization and </w:t>
      </w:r>
      <w:r w:rsidR="006952E6">
        <w:rPr>
          <w:rFonts w:ascii="Times New Roman" w:hAnsi="Times New Roman" w:cs="Times New Roman"/>
          <w:sz w:val="24"/>
          <w:szCs w:val="24"/>
          <w:lang w:val="en-US"/>
        </w:rPr>
        <w:t xml:space="preserve">the </w:t>
      </w:r>
      <w:r w:rsidRPr="006A593D">
        <w:rPr>
          <w:rFonts w:ascii="Times New Roman" w:hAnsi="Times New Roman" w:cs="Times New Roman"/>
          <w:sz w:val="24"/>
          <w:szCs w:val="24"/>
          <w:lang w:val="en-US"/>
        </w:rPr>
        <w:t xml:space="preserve">increased demand for technological services. Thus, the observed peak in Tobin’s Q in 2022 reflects a period of </w:t>
      </w:r>
      <w:r w:rsidR="006952E6">
        <w:rPr>
          <w:rFonts w:ascii="Times New Roman" w:hAnsi="Times New Roman" w:cs="Times New Roman"/>
          <w:sz w:val="24"/>
          <w:szCs w:val="24"/>
          <w:lang w:val="en-US"/>
        </w:rPr>
        <w:t xml:space="preserve">elevated </w:t>
      </w:r>
      <w:r w:rsidRPr="006A593D">
        <w:rPr>
          <w:rFonts w:ascii="Times New Roman" w:hAnsi="Times New Roman" w:cs="Times New Roman"/>
          <w:sz w:val="24"/>
          <w:szCs w:val="24"/>
          <w:lang w:val="en-US"/>
        </w:rPr>
        <w:t>valuation</w:t>
      </w:r>
      <w:r w:rsidR="006952E6">
        <w:rPr>
          <w:rFonts w:ascii="Times New Roman" w:hAnsi="Times New Roman" w:cs="Times New Roman"/>
          <w:sz w:val="24"/>
          <w:szCs w:val="24"/>
          <w:lang w:val="en-US"/>
        </w:rPr>
        <w:t>s</w:t>
      </w:r>
      <w:r w:rsidRPr="006A593D">
        <w:rPr>
          <w:rFonts w:ascii="Times New Roman" w:hAnsi="Times New Roman" w:cs="Times New Roman"/>
          <w:sz w:val="24"/>
          <w:szCs w:val="24"/>
          <w:lang w:val="en-US"/>
        </w:rPr>
        <w:t xml:space="preserve"> for these sectors, aligned with market optimism, followed by an economic slowdown in 2023, which may explain the subsequent drop in the metric.</w:t>
      </w:r>
    </w:p>
    <w:p w14:paraId="026D995C" w14:textId="77777777" w:rsidR="006952E6" w:rsidRDefault="006952E6" w:rsidP="006A593D">
      <w:pPr>
        <w:spacing w:line="360" w:lineRule="auto"/>
        <w:jc w:val="both"/>
        <w:rPr>
          <w:rFonts w:ascii="Times New Roman" w:hAnsi="Times New Roman" w:cs="Times New Roman"/>
          <w:sz w:val="24"/>
          <w:szCs w:val="24"/>
          <w:lang w:val="en-US"/>
        </w:rPr>
      </w:pPr>
    </w:p>
    <w:p w14:paraId="5B63944A" w14:textId="77777777" w:rsidR="006952E6" w:rsidRDefault="006952E6" w:rsidP="006A593D">
      <w:pPr>
        <w:spacing w:line="360" w:lineRule="auto"/>
        <w:jc w:val="both"/>
        <w:rPr>
          <w:rFonts w:ascii="Times New Roman" w:hAnsi="Times New Roman" w:cs="Times New Roman"/>
          <w:sz w:val="24"/>
          <w:szCs w:val="24"/>
          <w:lang w:val="en-US"/>
        </w:rPr>
      </w:pPr>
    </w:p>
    <w:p w14:paraId="31CB706F" w14:textId="77777777" w:rsidR="006952E6" w:rsidRDefault="006952E6" w:rsidP="006A593D">
      <w:pPr>
        <w:spacing w:line="360" w:lineRule="auto"/>
        <w:jc w:val="both"/>
        <w:rPr>
          <w:rFonts w:ascii="Times New Roman" w:hAnsi="Times New Roman" w:cs="Times New Roman"/>
          <w:sz w:val="24"/>
          <w:szCs w:val="24"/>
          <w:lang w:val="en-US"/>
        </w:rPr>
      </w:pPr>
    </w:p>
    <w:p w14:paraId="27426387" w14:textId="163CB3D3" w:rsidR="006A593D" w:rsidRPr="006A593D" w:rsidRDefault="006A593D" w:rsidP="006A593D">
      <w:pPr>
        <w:spacing w:line="360" w:lineRule="auto"/>
        <w:jc w:val="both"/>
        <w:rPr>
          <w:rFonts w:ascii="Times New Roman" w:hAnsi="Times New Roman" w:cs="Times New Roman"/>
          <w:sz w:val="24"/>
          <w:szCs w:val="24"/>
          <w:lang w:val="en-US"/>
        </w:rPr>
      </w:pPr>
      <w:r w:rsidRPr="006A593D">
        <w:rPr>
          <w:rFonts w:ascii="Times New Roman" w:hAnsi="Times New Roman" w:cs="Times New Roman"/>
          <w:sz w:val="24"/>
          <w:szCs w:val="24"/>
          <w:lang w:val="en-US"/>
        </w:rPr>
        <w:t xml:space="preserve">Figure </w:t>
      </w:r>
      <w:r w:rsidR="00E60193">
        <w:rPr>
          <w:rFonts w:ascii="Times New Roman" w:hAnsi="Times New Roman" w:cs="Times New Roman"/>
          <w:sz w:val="24"/>
          <w:szCs w:val="24"/>
          <w:lang w:val="en-US"/>
        </w:rPr>
        <w:t>2</w:t>
      </w:r>
      <w:r w:rsidRPr="006A593D">
        <w:rPr>
          <w:rFonts w:ascii="Times New Roman" w:hAnsi="Times New Roman" w:cs="Times New Roman"/>
          <w:sz w:val="24"/>
          <w:szCs w:val="24"/>
          <w:lang w:val="en-US"/>
        </w:rPr>
        <w:t xml:space="preserve"> - Annual Evolution of Average ESG Combined Score and Tobin</w:t>
      </w:r>
      <w:r w:rsidR="00E60193">
        <w:rPr>
          <w:rFonts w:ascii="Times New Roman" w:hAnsi="Times New Roman" w:cs="Times New Roman"/>
          <w:sz w:val="24"/>
          <w:szCs w:val="24"/>
          <w:lang w:val="en-US"/>
        </w:rPr>
        <w:t>’</w:t>
      </w:r>
      <w:r w:rsidRPr="006A593D">
        <w:rPr>
          <w:rFonts w:ascii="Times New Roman" w:hAnsi="Times New Roman" w:cs="Times New Roman"/>
          <w:sz w:val="24"/>
          <w:szCs w:val="24"/>
          <w:lang w:val="en-US"/>
        </w:rPr>
        <w:t>s Q (2016-2024)</w:t>
      </w:r>
    </w:p>
    <w:p w14:paraId="49F79266" w14:textId="7A9DE8A3" w:rsidR="006A593D" w:rsidRDefault="006A593D" w:rsidP="006A593D">
      <w:pPr>
        <w:spacing w:line="360" w:lineRule="auto"/>
        <w:jc w:val="center"/>
        <w:rPr>
          <w:rFonts w:ascii="Times New Roman" w:hAnsi="Times New Roman" w:cs="Times New Roman"/>
          <w:sz w:val="24"/>
          <w:szCs w:val="24"/>
          <w:lang w:val="en-US"/>
        </w:rPr>
      </w:pPr>
      <w:r w:rsidRPr="00CD65FF">
        <w:rPr>
          <w:rFonts w:ascii="Times New Roman" w:hAnsi="Times New Roman" w:cs="Times New Roman"/>
          <w:noProof/>
          <w:sz w:val="24"/>
          <w:szCs w:val="24"/>
        </w:rPr>
        <w:drawing>
          <wp:inline distT="0" distB="0" distL="0" distR="0" wp14:anchorId="16F2A0AA" wp14:editId="750A5F83">
            <wp:extent cx="4572000" cy="2743200"/>
            <wp:effectExtent l="0" t="0" r="0" b="0"/>
            <wp:docPr id="2054526562" name="Gráfico 1">
              <a:extLst xmlns:a="http://schemas.openxmlformats.org/drawingml/2006/main">
                <a:ext uri="{FF2B5EF4-FFF2-40B4-BE49-F238E27FC236}">
                  <a16:creationId xmlns:a16="http://schemas.microsoft.com/office/drawing/2014/main" id="{E10EB075-A722-DE37-A55E-F38291CE5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BBC171" w14:textId="7239FD65" w:rsidR="006A593D" w:rsidRDefault="006A593D" w:rsidP="006A593D">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Source: Prepared by </w:t>
      </w:r>
      <w:r w:rsidR="006952E6">
        <w:rPr>
          <w:rFonts w:ascii="Times New Roman" w:hAnsi="Times New Roman" w:cs="Times New Roman"/>
          <w:sz w:val="20"/>
          <w:szCs w:val="20"/>
          <w:lang w:val="en-US"/>
        </w:rPr>
        <w:t xml:space="preserve">the </w:t>
      </w:r>
      <w:r>
        <w:rPr>
          <w:rFonts w:ascii="Times New Roman" w:hAnsi="Times New Roman" w:cs="Times New Roman"/>
          <w:sz w:val="20"/>
          <w:szCs w:val="20"/>
          <w:lang w:val="en-US"/>
        </w:rPr>
        <w:t>authors</w:t>
      </w:r>
    </w:p>
    <w:p w14:paraId="5848A34B" w14:textId="0C22BEB3" w:rsidR="006A593D" w:rsidRDefault="006A593D" w:rsidP="006A59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A593D">
        <w:rPr>
          <w:rFonts w:ascii="Times New Roman" w:hAnsi="Times New Roman" w:cs="Times New Roman"/>
          <w:sz w:val="24"/>
          <w:szCs w:val="24"/>
          <w:lang w:val="en-US"/>
        </w:rPr>
        <w:t>In 2024, the observed increase in Tobin</w:t>
      </w:r>
      <w:r>
        <w:rPr>
          <w:rFonts w:ascii="Times New Roman" w:hAnsi="Times New Roman" w:cs="Times New Roman"/>
          <w:sz w:val="24"/>
          <w:szCs w:val="24"/>
          <w:lang w:val="en-US"/>
        </w:rPr>
        <w:t>’</w:t>
      </w:r>
      <w:r w:rsidRPr="006A593D">
        <w:rPr>
          <w:rFonts w:ascii="Times New Roman" w:hAnsi="Times New Roman" w:cs="Times New Roman"/>
          <w:sz w:val="24"/>
          <w:szCs w:val="24"/>
          <w:lang w:val="en-US"/>
        </w:rPr>
        <w:t xml:space="preserve">s Q can be attributed to the </w:t>
      </w:r>
      <w:r w:rsidR="006952E6">
        <w:rPr>
          <w:rFonts w:ascii="Times New Roman" w:hAnsi="Times New Roman" w:cs="Times New Roman"/>
          <w:sz w:val="24"/>
          <w:szCs w:val="24"/>
          <w:lang w:val="en-US"/>
        </w:rPr>
        <w:t>small</w:t>
      </w:r>
      <w:r w:rsidRPr="006A593D">
        <w:rPr>
          <w:rFonts w:ascii="Times New Roman" w:hAnsi="Times New Roman" w:cs="Times New Roman"/>
          <w:sz w:val="24"/>
          <w:szCs w:val="24"/>
          <w:lang w:val="en-US"/>
        </w:rPr>
        <w:t xml:space="preserve"> number of available observations for that year (only </w:t>
      </w:r>
      <w:r w:rsidR="006952E6">
        <w:rPr>
          <w:rFonts w:ascii="Times New Roman" w:hAnsi="Times New Roman" w:cs="Times New Roman"/>
          <w:sz w:val="24"/>
          <w:szCs w:val="24"/>
          <w:lang w:val="en-US"/>
        </w:rPr>
        <w:t>seven</w:t>
      </w:r>
      <w:r w:rsidRPr="006A593D">
        <w:rPr>
          <w:rFonts w:ascii="Times New Roman" w:hAnsi="Times New Roman" w:cs="Times New Roman"/>
          <w:sz w:val="24"/>
          <w:szCs w:val="24"/>
          <w:lang w:val="en-US"/>
        </w:rPr>
        <w:t xml:space="preserve"> companies), which </w:t>
      </w:r>
      <w:r w:rsidR="006952E6">
        <w:rPr>
          <w:rFonts w:ascii="Times New Roman" w:hAnsi="Times New Roman" w:cs="Times New Roman"/>
          <w:sz w:val="24"/>
          <w:szCs w:val="24"/>
          <w:lang w:val="en-US"/>
        </w:rPr>
        <w:t>mak</w:t>
      </w:r>
      <w:r w:rsidRPr="006A593D">
        <w:rPr>
          <w:rFonts w:ascii="Times New Roman" w:hAnsi="Times New Roman" w:cs="Times New Roman"/>
          <w:sz w:val="24"/>
          <w:szCs w:val="24"/>
          <w:lang w:val="en-US"/>
        </w:rPr>
        <w:t xml:space="preserve">es the average </w:t>
      </w:r>
      <w:r w:rsidR="006952E6">
        <w:rPr>
          <w:rFonts w:ascii="Times New Roman" w:hAnsi="Times New Roman" w:cs="Times New Roman"/>
          <w:sz w:val="24"/>
          <w:szCs w:val="24"/>
          <w:lang w:val="en-US"/>
        </w:rPr>
        <w:t xml:space="preserve">more </w:t>
      </w:r>
      <w:r w:rsidRPr="006A593D">
        <w:rPr>
          <w:rFonts w:ascii="Times New Roman" w:hAnsi="Times New Roman" w:cs="Times New Roman"/>
          <w:sz w:val="24"/>
          <w:szCs w:val="24"/>
          <w:lang w:val="en-US"/>
        </w:rPr>
        <w:t>sensitiv</w:t>
      </w:r>
      <w:r w:rsidR="006952E6">
        <w:rPr>
          <w:rFonts w:ascii="Times New Roman" w:hAnsi="Times New Roman" w:cs="Times New Roman"/>
          <w:sz w:val="24"/>
          <w:szCs w:val="24"/>
          <w:lang w:val="en-US"/>
        </w:rPr>
        <w:t>e</w:t>
      </w:r>
      <w:r w:rsidRPr="006A593D">
        <w:rPr>
          <w:rFonts w:ascii="Times New Roman" w:hAnsi="Times New Roman" w:cs="Times New Roman"/>
          <w:sz w:val="24"/>
          <w:szCs w:val="24"/>
          <w:lang w:val="en-US"/>
        </w:rPr>
        <w:t xml:space="preserve"> to the presence of extreme values. Thus, the inclusion of a few companies with high Tobin</w:t>
      </w:r>
      <w:r>
        <w:rPr>
          <w:rFonts w:ascii="Times New Roman" w:hAnsi="Times New Roman" w:cs="Times New Roman"/>
          <w:sz w:val="24"/>
          <w:szCs w:val="24"/>
          <w:lang w:val="en-US"/>
        </w:rPr>
        <w:t>’</w:t>
      </w:r>
      <w:r w:rsidRPr="006A593D">
        <w:rPr>
          <w:rFonts w:ascii="Times New Roman" w:hAnsi="Times New Roman" w:cs="Times New Roman"/>
          <w:sz w:val="24"/>
          <w:szCs w:val="24"/>
          <w:lang w:val="en-US"/>
        </w:rPr>
        <w:t xml:space="preserve">s Q values can distort the average, making it artificially </w:t>
      </w:r>
      <w:r w:rsidR="006952E6">
        <w:rPr>
          <w:rFonts w:ascii="Times New Roman" w:hAnsi="Times New Roman" w:cs="Times New Roman"/>
          <w:sz w:val="24"/>
          <w:szCs w:val="24"/>
          <w:lang w:val="en-US"/>
        </w:rPr>
        <w:t xml:space="preserve">inflated compared to </w:t>
      </w:r>
      <w:r w:rsidRPr="006A593D">
        <w:rPr>
          <w:rFonts w:ascii="Times New Roman" w:hAnsi="Times New Roman" w:cs="Times New Roman"/>
          <w:sz w:val="24"/>
          <w:szCs w:val="24"/>
          <w:lang w:val="en-US"/>
        </w:rPr>
        <w:t xml:space="preserve">previous years. Due to these significant variations in the data, the panel regression results will be presented both with and without winsorized data, </w:t>
      </w:r>
      <w:r w:rsidR="006952E6">
        <w:rPr>
          <w:rFonts w:ascii="Times New Roman" w:hAnsi="Times New Roman" w:cs="Times New Roman"/>
          <w:sz w:val="24"/>
          <w:szCs w:val="24"/>
          <w:lang w:val="en-US"/>
        </w:rPr>
        <w:t xml:space="preserve">that is, both including and excluding </w:t>
      </w:r>
      <w:r w:rsidRPr="006A593D">
        <w:rPr>
          <w:rFonts w:ascii="Times New Roman" w:hAnsi="Times New Roman" w:cs="Times New Roman"/>
          <w:sz w:val="24"/>
          <w:szCs w:val="24"/>
          <w:lang w:val="en-US"/>
        </w:rPr>
        <w:t xml:space="preserve">outliers (Appendix – Table </w:t>
      </w:r>
      <w:r w:rsidR="008B788C">
        <w:rPr>
          <w:rFonts w:ascii="Times New Roman" w:hAnsi="Times New Roman" w:cs="Times New Roman"/>
          <w:sz w:val="24"/>
          <w:szCs w:val="24"/>
          <w:lang w:val="en-US"/>
        </w:rPr>
        <w:t>4</w:t>
      </w:r>
      <w:r w:rsidRPr="006A593D">
        <w:rPr>
          <w:rFonts w:ascii="Times New Roman" w:hAnsi="Times New Roman" w:cs="Times New Roman"/>
          <w:sz w:val="24"/>
          <w:szCs w:val="24"/>
          <w:lang w:val="en-US"/>
        </w:rPr>
        <w:t>).</w:t>
      </w:r>
    </w:p>
    <w:p w14:paraId="6B618276" w14:textId="4FB284EB" w:rsidR="006A593D" w:rsidRPr="006A593D" w:rsidRDefault="006A593D" w:rsidP="006A59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A593D">
        <w:rPr>
          <w:rFonts w:ascii="Times New Roman" w:hAnsi="Times New Roman" w:cs="Times New Roman"/>
          <w:sz w:val="24"/>
          <w:szCs w:val="24"/>
          <w:lang w:val="en-US"/>
        </w:rPr>
        <w:t xml:space="preserve">The annual average of the ESG Combined Score variable observed over time (Figure </w:t>
      </w:r>
      <w:r w:rsidR="00441605">
        <w:rPr>
          <w:rFonts w:ascii="Times New Roman" w:hAnsi="Times New Roman" w:cs="Times New Roman"/>
          <w:sz w:val="24"/>
          <w:szCs w:val="24"/>
          <w:lang w:val="en-US"/>
        </w:rPr>
        <w:t>3</w:t>
      </w:r>
      <w:r w:rsidRPr="006A593D">
        <w:rPr>
          <w:rFonts w:ascii="Times New Roman" w:hAnsi="Times New Roman" w:cs="Times New Roman"/>
          <w:sz w:val="24"/>
          <w:szCs w:val="24"/>
          <w:lang w:val="en-US"/>
        </w:rPr>
        <w:t>) shows a general growth trend, reflecting a greater adoption of ESG practices by companies over t</w:t>
      </w:r>
      <w:r w:rsidR="006952E6">
        <w:rPr>
          <w:rFonts w:ascii="Times New Roman" w:hAnsi="Times New Roman" w:cs="Times New Roman"/>
          <w:sz w:val="24"/>
          <w:szCs w:val="24"/>
          <w:lang w:val="en-US"/>
        </w:rPr>
        <w:t>he years</w:t>
      </w:r>
      <w:r w:rsidRPr="006A593D">
        <w:rPr>
          <w:rFonts w:ascii="Times New Roman" w:hAnsi="Times New Roman" w:cs="Times New Roman"/>
          <w:sz w:val="24"/>
          <w:szCs w:val="24"/>
          <w:lang w:val="en-US"/>
        </w:rPr>
        <w:t>. From 2016 to 2021, a consistent and gradual increase</w:t>
      </w:r>
      <w:r w:rsidR="006952E6">
        <w:rPr>
          <w:rFonts w:ascii="Times New Roman" w:hAnsi="Times New Roman" w:cs="Times New Roman"/>
          <w:sz w:val="24"/>
          <w:szCs w:val="24"/>
          <w:lang w:val="en-US"/>
        </w:rPr>
        <w:t xml:space="preserve"> can be seen</w:t>
      </w:r>
      <w:r w:rsidRPr="006A593D">
        <w:rPr>
          <w:rFonts w:ascii="Times New Roman" w:hAnsi="Times New Roman" w:cs="Times New Roman"/>
          <w:sz w:val="24"/>
          <w:szCs w:val="24"/>
          <w:lang w:val="en-US"/>
        </w:rPr>
        <w:t xml:space="preserve">, indicating a progressive incorporation of ESG criteria into organizational strategies. However, in 2022 and 2023, there is a slight decrease, interrupting the continuous growth trajectory. This drop may represent a </w:t>
      </w:r>
      <w:r w:rsidR="006952E6">
        <w:rPr>
          <w:rFonts w:ascii="Times New Roman" w:hAnsi="Times New Roman" w:cs="Times New Roman"/>
          <w:sz w:val="24"/>
          <w:szCs w:val="24"/>
          <w:lang w:val="en-US"/>
        </w:rPr>
        <w:t>decline in</w:t>
      </w:r>
      <w:r w:rsidRPr="006A593D">
        <w:rPr>
          <w:rFonts w:ascii="Times New Roman" w:hAnsi="Times New Roman" w:cs="Times New Roman"/>
          <w:sz w:val="24"/>
          <w:szCs w:val="24"/>
          <w:lang w:val="en-US"/>
        </w:rPr>
        <w:t xml:space="preserve"> ESG</w:t>
      </w:r>
      <w:r w:rsidR="00E60193">
        <w:rPr>
          <w:rFonts w:ascii="Times New Roman" w:hAnsi="Times New Roman" w:cs="Times New Roman"/>
          <w:sz w:val="24"/>
          <w:szCs w:val="24"/>
          <w:lang w:val="en-US"/>
        </w:rPr>
        <w:t>’</w:t>
      </w:r>
      <w:r w:rsidRPr="006A593D">
        <w:rPr>
          <w:rFonts w:ascii="Times New Roman" w:hAnsi="Times New Roman" w:cs="Times New Roman"/>
          <w:sz w:val="24"/>
          <w:szCs w:val="24"/>
          <w:lang w:val="en-US"/>
        </w:rPr>
        <w:t xml:space="preserve">s momentum in the corporate world, </w:t>
      </w:r>
      <w:r w:rsidR="006952E6">
        <w:rPr>
          <w:rFonts w:ascii="Times New Roman" w:hAnsi="Times New Roman" w:cs="Times New Roman"/>
          <w:sz w:val="24"/>
          <w:szCs w:val="24"/>
          <w:lang w:val="en-US"/>
        </w:rPr>
        <w:t>a period during</w:t>
      </w:r>
      <w:r w:rsidRPr="006A593D">
        <w:rPr>
          <w:rFonts w:ascii="Times New Roman" w:hAnsi="Times New Roman" w:cs="Times New Roman"/>
          <w:sz w:val="24"/>
          <w:szCs w:val="24"/>
          <w:lang w:val="en-US"/>
        </w:rPr>
        <w:t xml:space="preserve"> which this practice began to be more </w:t>
      </w:r>
      <w:r w:rsidR="006952E6">
        <w:rPr>
          <w:rFonts w:ascii="Times New Roman" w:hAnsi="Times New Roman" w:cs="Times New Roman"/>
          <w:sz w:val="24"/>
          <w:szCs w:val="24"/>
          <w:lang w:val="en-US"/>
        </w:rPr>
        <w:t>scrutiniz</w:t>
      </w:r>
      <w:r w:rsidRPr="006A593D">
        <w:rPr>
          <w:rFonts w:ascii="Times New Roman" w:hAnsi="Times New Roman" w:cs="Times New Roman"/>
          <w:sz w:val="24"/>
          <w:szCs w:val="24"/>
          <w:lang w:val="en-US"/>
        </w:rPr>
        <w:t xml:space="preserve">ed in the market. The jump observed in 2024 </w:t>
      </w:r>
      <w:r w:rsidR="006952E6">
        <w:rPr>
          <w:rFonts w:ascii="Times New Roman" w:hAnsi="Times New Roman" w:cs="Times New Roman"/>
          <w:sz w:val="24"/>
          <w:szCs w:val="24"/>
          <w:lang w:val="en-US"/>
        </w:rPr>
        <w:t>i</w:t>
      </w:r>
      <w:r w:rsidRPr="006A593D">
        <w:rPr>
          <w:rFonts w:ascii="Times New Roman" w:hAnsi="Times New Roman" w:cs="Times New Roman"/>
          <w:sz w:val="24"/>
          <w:szCs w:val="24"/>
          <w:lang w:val="en-US"/>
        </w:rPr>
        <w:t>s due to the reduced amount of data available for that year compared to previous periods</w:t>
      </w:r>
      <w:r>
        <w:rPr>
          <w:rFonts w:ascii="Times New Roman" w:hAnsi="Times New Roman" w:cs="Times New Roman"/>
          <w:sz w:val="24"/>
          <w:szCs w:val="24"/>
          <w:lang w:val="en-US"/>
        </w:rPr>
        <w:t xml:space="preserve"> – </w:t>
      </w:r>
      <w:r w:rsidRPr="006A593D">
        <w:rPr>
          <w:rFonts w:ascii="Times New Roman" w:hAnsi="Times New Roman" w:cs="Times New Roman"/>
          <w:sz w:val="24"/>
          <w:szCs w:val="24"/>
          <w:lang w:val="en-US"/>
        </w:rPr>
        <w:t>only seven observations. This limitation distorts the average and makes an isolated analysis of that year impossible using this method.</w:t>
      </w:r>
    </w:p>
    <w:p w14:paraId="16D6E9BF" w14:textId="4D057D91" w:rsidR="006A593D" w:rsidRPr="006A593D" w:rsidRDefault="006A593D" w:rsidP="006A59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A593D">
        <w:rPr>
          <w:rFonts w:ascii="Times New Roman" w:hAnsi="Times New Roman" w:cs="Times New Roman"/>
          <w:sz w:val="24"/>
          <w:szCs w:val="24"/>
          <w:lang w:val="en-US"/>
        </w:rPr>
        <w:t>When we observe the 17 sectors in</w:t>
      </w:r>
      <w:r w:rsidR="006952E6">
        <w:rPr>
          <w:rFonts w:ascii="Times New Roman" w:hAnsi="Times New Roman" w:cs="Times New Roman"/>
          <w:sz w:val="24"/>
          <w:szCs w:val="24"/>
          <w:lang w:val="en-US"/>
        </w:rPr>
        <w:t>cluded in</w:t>
      </w:r>
      <w:r w:rsidRPr="006A593D">
        <w:rPr>
          <w:rFonts w:ascii="Times New Roman" w:hAnsi="Times New Roman" w:cs="Times New Roman"/>
          <w:sz w:val="24"/>
          <w:szCs w:val="24"/>
          <w:lang w:val="en-US"/>
        </w:rPr>
        <w:t xml:space="preserve"> the data, we can identify a concentration of companies in the Manufacturing; Professional, Scientific</w:t>
      </w:r>
      <w:r w:rsidR="003564D3">
        <w:rPr>
          <w:rFonts w:ascii="Times New Roman" w:hAnsi="Times New Roman" w:cs="Times New Roman"/>
          <w:sz w:val="24"/>
          <w:szCs w:val="24"/>
          <w:lang w:val="en-US"/>
        </w:rPr>
        <w:t>,</w:t>
      </w:r>
      <w:r w:rsidRPr="006A593D">
        <w:rPr>
          <w:rFonts w:ascii="Times New Roman" w:hAnsi="Times New Roman" w:cs="Times New Roman"/>
          <w:sz w:val="24"/>
          <w:szCs w:val="24"/>
          <w:lang w:val="en-US"/>
        </w:rPr>
        <w:t xml:space="preserve"> and Technical Services; and Information sectors, which account for 60.5% of the database. The industries with the fewest </w:t>
      </w:r>
      <w:r w:rsidR="006952E6">
        <w:rPr>
          <w:rFonts w:ascii="Times New Roman" w:hAnsi="Times New Roman" w:cs="Times New Roman"/>
          <w:sz w:val="24"/>
          <w:szCs w:val="24"/>
          <w:lang w:val="en-US"/>
        </w:rPr>
        <w:t>entri</w:t>
      </w:r>
      <w:r w:rsidRPr="006A593D">
        <w:rPr>
          <w:rFonts w:ascii="Times New Roman" w:hAnsi="Times New Roman" w:cs="Times New Roman"/>
          <w:sz w:val="24"/>
          <w:szCs w:val="24"/>
          <w:lang w:val="en-US"/>
        </w:rPr>
        <w:t xml:space="preserve">es in the database are Arts, Entertainment, and Recreation; Educational Services; and Other Services (except Public Administration). In terms of data frequency, these same sectors represent 58.36% of the total. The complete tables are presented in the </w:t>
      </w:r>
      <w:r w:rsidR="006952E6">
        <w:rPr>
          <w:rFonts w:ascii="Times New Roman" w:hAnsi="Times New Roman" w:cs="Times New Roman"/>
          <w:sz w:val="24"/>
          <w:szCs w:val="24"/>
          <w:lang w:val="en-US"/>
        </w:rPr>
        <w:t>A</w:t>
      </w:r>
      <w:r w:rsidRPr="006A593D">
        <w:rPr>
          <w:rFonts w:ascii="Times New Roman" w:hAnsi="Times New Roman" w:cs="Times New Roman"/>
          <w:sz w:val="24"/>
          <w:szCs w:val="24"/>
          <w:lang w:val="en-US"/>
        </w:rPr>
        <w:t>ppendix (Appendix – Chart 1).</w:t>
      </w:r>
    </w:p>
    <w:p w14:paraId="4DD2080C" w14:textId="40668416" w:rsidR="006A593D" w:rsidRPr="006A593D" w:rsidRDefault="006A593D" w:rsidP="006A593D">
      <w:pPr>
        <w:spacing w:line="360" w:lineRule="auto"/>
        <w:jc w:val="both"/>
        <w:rPr>
          <w:rFonts w:ascii="Times New Roman" w:hAnsi="Times New Roman" w:cs="Times New Roman"/>
          <w:sz w:val="24"/>
          <w:szCs w:val="24"/>
          <w:lang w:val="en-US"/>
        </w:rPr>
      </w:pPr>
      <w:r w:rsidRPr="006A593D">
        <w:rPr>
          <w:rFonts w:ascii="Times New Roman" w:hAnsi="Times New Roman" w:cs="Times New Roman"/>
          <w:sz w:val="24"/>
          <w:szCs w:val="24"/>
          <w:lang w:val="en-US"/>
        </w:rPr>
        <w:t xml:space="preserve">Figure </w:t>
      </w:r>
      <w:r w:rsidR="00E60193">
        <w:rPr>
          <w:rFonts w:ascii="Times New Roman" w:hAnsi="Times New Roman" w:cs="Times New Roman"/>
          <w:sz w:val="24"/>
          <w:szCs w:val="24"/>
          <w:lang w:val="en-US"/>
        </w:rPr>
        <w:t>3</w:t>
      </w:r>
      <w:r w:rsidRPr="006A593D">
        <w:rPr>
          <w:rFonts w:ascii="Times New Roman" w:hAnsi="Times New Roman" w:cs="Times New Roman"/>
          <w:sz w:val="24"/>
          <w:szCs w:val="24"/>
          <w:lang w:val="en-US"/>
        </w:rPr>
        <w:t xml:space="preserve"> - Annual Evolution of ESG and Tobin</w:t>
      </w:r>
      <w:r w:rsidR="00E60193">
        <w:rPr>
          <w:rFonts w:ascii="Times New Roman" w:hAnsi="Times New Roman" w:cs="Times New Roman"/>
          <w:sz w:val="24"/>
          <w:szCs w:val="24"/>
          <w:lang w:val="en-US"/>
        </w:rPr>
        <w:t>’</w:t>
      </w:r>
      <w:r w:rsidRPr="006A593D">
        <w:rPr>
          <w:rFonts w:ascii="Times New Roman" w:hAnsi="Times New Roman" w:cs="Times New Roman"/>
          <w:sz w:val="24"/>
          <w:szCs w:val="24"/>
          <w:lang w:val="en-US"/>
        </w:rPr>
        <w:t>s Q by Innovative Culture and Shared Value (2017-2023)</w:t>
      </w:r>
    </w:p>
    <w:p w14:paraId="3DF3ADC8" w14:textId="0AC8AB34" w:rsidR="006A593D" w:rsidRDefault="006A593D" w:rsidP="006A593D">
      <w:pPr>
        <w:spacing w:line="360" w:lineRule="auto"/>
        <w:jc w:val="both"/>
        <w:rPr>
          <w:rFonts w:ascii="Times New Roman" w:hAnsi="Times New Roman" w:cs="Times New Roman"/>
          <w:sz w:val="24"/>
          <w:szCs w:val="24"/>
          <w:lang w:val="en-US"/>
        </w:rPr>
      </w:pPr>
      <w:r w:rsidRPr="006A593D">
        <w:rPr>
          <w:rFonts w:ascii="Times New Roman" w:hAnsi="Times New Roman" w:cs="Times New Roman"/>
          <w:noProof/>
          <w:sz w:val="24"/>
          <w:szCs w:val="24"/>
          <w:lang w:val="en-US"/>
        </w:rPr>
        <w:drawing>
          <wp:inline distT="0" distB="0" distL="0" distR="0" wp14:anchorId="4F5CA888" wp14:editId="66EB0754">
            <wp:extent cx="5760085" cy="3642360"/>
            <wp:effectExtent l="0" t="0" r="0" b="0"/>
            <wp:docPr id="435242645"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42645" name="Imagem 1" descr="Gráfico, Gráfico de linhas&#10;&#10;O conteúdo gerado por IA pode estar incorreto."/>
                    <pic:cNvPicPr/>
                  </pic:nvPicPr>
                  <pic:blipFill>
                    <a:blip r:embed="rId9"/>
                    <a:stretch>
                      <a:fillRect/>
                    </a:stretch>
                  </pic:blipFill>
                  <pic:spPr>
                    <a:xfrm>
                      <a:off x="0" y="0"/>
                      <a:ext cx="5760085" cy="3642360"/>
                    </a:xfrm>
                    <a:prstGeom prst="rect">
                      <a:avLst/>
                    </a:prstGeom>
                  </pic:spPr>
                </pic:pic>
              </a:graphicData>
            </a:graphic>
          </wp:inline>
        </w:drawing>
      </w:r>
    </w:p>
    <w:p w14:paraId="4871A3C9" w14:textId="44ABA85E" w:rsidR="006A593D" w:rsidRDefault="006A593D" w:rsidP="006A593D">
      <w:pPr>
        <w:spacing w:line="360" w:lineRule="auto"/>
        <w:jc w:val="both"/>
        <w:rPr>
          <w:rFonts w:ascii="Times New Roman" w:hAnsi="Times New Roman" w:cs="Times New Roman"/>
          <w:b/>
          <w:bCs/>
          <w:sz w:val="20"/>
          <w:szCs w:val="20"/>
          <w:lang w:val="en-US"/>
        </w:rPr>
      </w:pPr>
      <w:r>
        <w:rPr>
          <w:rFonts w:ascii="Times New Roman" w:hAnsi="Times New Roman" w:cs="Times New Roman"/>
          <w:sz w:val="20"/>
          <w:szCs w:val="20"/>
          <w:lang w:val="en-US"/>
        </w:rPr>
        <w:t>Source: Prepared by authors</w:t>
      </w:r>
    </w:p>
    <w:p w14:paraId="356EB1BA" w14:textId="711E5501" w:rsidR="00A36E16" w:rsidRPr="00A36E16" w:rsidRDefault="00A36E16" w:rsidP="00A36E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36E16">
        <w:rPr>
          <w:rFonts w:ascii="Times New Roman" w:hAnsi="Times New Roman" w:cs="Times New Roman"/>
          <w:sz w:val="24"/>
          <w:szCs w:val="24"/>
          <w:lang w:val="en-US"/>
        </w:rPr>
        <w:t xml:space="preserve">Only 57 companies were recognized on the </w:t>
      </w:r>
      <w:r>
        <w:rPr>
          <w:rFonts w:ascii="Times New Roman" w:hAnsi="Times New Roman" w:cs="Times New Roman"/>
          <w:sz w:val="24"/>
          <w:szCs w:val="24"/>
          <w:lang w:val="en-US"/>
        </w:rPr>
        <w:t>“</w:t>
      </w:r>
      <w:r w:rsidRPr="00A36E16">
        <w:rPr>
          <w:rFonts w:ascii="Times New Roman" w:hAnsi="Times New Roman" w:cs="Times New Roman"/>
          <w:sz w:val="24"/>
          <w:szCs w:val="24"/>
          <w:lang w:val="en-US"/>
        </w:rPr>
        <w:t>Change the World</w:t>
      </w:r>
      <w:r>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 list, account</w:t>
      </w:r>
      <w:r w:rsidR="006952E6">
        <w:rPr>
          <w:rFonts w:ascii="Times New Roman" w:hAnsi="Times New Roman" w:cs="Times New Roman"/>
          <w:sz w:val="24"/>
          <w:szCs w:val="24"/>
          <w:lang w:val="en-US"/>
        </w:rPr>
        <w:t>ing</w:t>
      </w:r>
      <w:r w:rsidRPr="00A36E16">
        <w:rPr>
          <w:rFonts w:ascii="Times New Roman" w:hAnsi="Times New Roman" w:cs="Times New Roman"/>
          <w:sz w:val="24"/>
          <w:szCs w:val="24"/>
          <w:lang w:val="en-US"/>
        </w:rPr>
        <w:t xml:space="preserve"> for 90 data points where the Shared Value dummy is equal to 1 (1.24% of the data). The same applies to the variable representing the company</w:t>
      </w:r>
      <w:r w:rsidR="00E60193">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s organizational culture: only 52 companies were recognized as innovative </w:t>
      </w:r>
      <w:r w:rsidR="006952E6">
        <w:rPr>
          <w:rFonts w:ascii="Times New Roman" w:hAnsi="Times New Roman" w:cs="Times New Roman"/>
          <w:sz w:val="24"/>
          <w:szCs w:val="24"/>
          <w:lang w:val="en-US"/>
        </w:rPr>
        <w:t>in</w:t>
      </w:r>
      <w:r w:rsidRPr="00A36E16">
        <w:rPr>
          <w:rFonts w:ascii="Times New Roman" w:hAnsi="Times New Roman" w:cs="Times New Roman"/>
          <w:sz w:val="24"/>
          <w:szCs w:val="24"/>
          <w:lang w:val="en-US"/>
        </w:rPr>
        <w:t xml:space="preserve"> the BCG ranking, representing 137 data points where the innovative organizational culture dummy is equal to 1 (1.89% of the data). This demonstrates that these lists are highly selective and represent a small group within the analyzed universe.</w:t>
      </w:r>
      <w:r>
        <w:rPr>
          <w:rFonts w:ascii="Times New Roman" w:hAnsi="Times New Roman" w:cs="Times New Roman"/>
          <w:sz w:val="24"/>
          <w:szCs w:val="24"/>
          <w:lang w:val="en-US"/>
        </w:rPr>
        <w:tab/>
      </w:r>
      <w:r w:rsidRPr="00A36E16">
        <w:rPr>
          <w:rFonts w:ascii="Times New Roman" w:hAnsi="Times New Roman" w:cs="Times New Roman"/>
          <w:sz w:val="24"/>
          <w:szCs w:val="24"/>
          <w:lang w:val="en-US"/>
        </w:rPr>
        <w:t xml:space="preserve">The descriptive analysis of the data (Figure </w:t>
      </w:r>
      <w:r w:rsidR="00441605">
        <w:rPr>
          <w:rFonts w:ascii="Times New Roman" w:hAnsi="Times New Roman" w:cs="Times New Roman"/>
          <w:sz w:val="24"/>
          <w:szCs w:val="24"/>
          <w:lang w:val="en-US"/>
        </w:rPr>
        <w:t>3</w:t>
      </w:r>
      <w:r w:rsidRPr="00A36E16">
        <w:rPr>
          <w:rFonts w:ascii="Times New Roman" w:hAnsi="Times New Roman" w:cs="Times New Roman"/>
          <w:sz w:val="24"/>
          <w:szCs w:val="24"/>
          <w:lang w:val="en-US"/>
        </w:rPr>
        <w:t>) suggests that companies with an innovative culture consistently exhibit higher averages in the ESG Combined Score and market value over the years, with the exception of 2022 for Tobin</w:t>
      </w:r>
      <w:r>
        <w:rPr>
          <w:rFonts w:ascii="Times New Roman" w:hAnsi="Times New Roman" w:cs="Times New Roman"/>
          <w:sz w:val="24"/>
          <w:szCs w:val="24"/>
          <w:lang w:val="en-US"/>
        </w:rPr>
        <w:t>’</w:t>
      </w:r>
      <w:r w:rsidRPr="00A36E16">
        <w:rPr>
          <w:rFonts w:ascii="Times New Roman" w:hAnsi="Times New Roman" w:cs="Times New Roman"/>
          <w:sz w:val="24"/>
          <w:szCs w:val="24"/>
          <w:lang w:val="en-US"/>
        </w:rPr>
        <w:t>s Q</w:t>
      </w:r>
      <w:r w:rsidR="006952E6">
        <w:rPr>
          <w:rFonts w:ascii="Times New Roman" w:hAnsi="Times New Roman" w:cs="Times New Roman"/>
          <w:sz w:val="24"/>
          <w:szCs w:val="24"/>
          <w:lang w:val="en-US"/>
        </w:rPr>
        <w:t xml:space="preserve"> –</w:t>
      </w:r>
      <w:r w:rsidRPr="00A36E16">
        <w:rPr>
          <w:rFonts w:ascii="Times New Roman" w:hAnsi="Times New Roman" w:cs="Times New Roman"/>
          <w:sz w:val="24"/>
          <w:szCs w:val="24"/>
          <w:lang w:val="en-US"/>
        </w:rPr>
        <w:t xml:space="preserve"> possibly due to the influence of previously identified outliers. Similarly, companies adopting the Shared Value strategy show, on average, superior ESG scores and market values compared to those that do not, except in 2017, 2019, and 2022 for Tobin</w:t>
      </w:r>
      <w:r>
        <w:rPr>
          <w:rFonts w:ascii="Times New Roman" w:hAnsi="Times New Roman" w:cs="Times New Roman"/>
          <w:sz w:val="24"/>
          <w:szCs w:val="24"/>
          <w:lang w:val="en-US"/>
        </w:rPr>
        <w:t>’</w:t>
      </w:r>
      <w:r w:rsidRPr="00A36E16">
        <w:rPr>
          <w:rFonts w:ascii="Times New Roman" w:hAnsi="Times New Roman" w:cs="Times New Roman"/>
          <w:sz w:val="24"/>
          <w:szCs w:val="24"/>
          <w:lang w:val="en-US"/>
        </w:rPr>
        <w:t>s Q. The values for 2017 and 2019 were very close.</w:t>
      </w:r>
    </w:p>
    <w:p w14:paraId="72A4EF8E" w14:textId="38648EA4" w:rsidR="00A36E16" w:rsidRPr="00A36E16" w:rsidRDefault="00A36E16" w:rsidP="00A36E1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A36E16">
        <w:rPr>
          <w:rFonts w:ascii="Times New Roman" w:hAnsi="Times New Roman" w:cs="Times New Roman"/>
          <w:sz w:val="24"/>
          <w:szCs w:val="24"/>
          <w:lang w:val="en-US"/>
        </w:rPr>
        <w:t>Table 2 presents the results of the panel regressions. These results e</w:t>
      </w:r>
      <w:r w:rsidR="006952E6">
        <w:rPr>
          <w:rFonts w:ascii="Times New Roman" w:hAnsi="Times New Roman" w:cs="Times New Roman"/>
          <w:sz w:val="24"/>
          <w:szCs w:val="24"/>
          <w:lang w:val="en-US"/>
        </w:rPr>
        <w:t>xamine</w:t>
      </w:r>
      <w:r w:rsidRPr="00A36E16">
        <w:rPr>
          <w:rFonts w:ascii="Times New Roman" w:hAnsi="Times New Roman" w:cs="Times New Roman"/>
          <w:sz w:val="24"/>
          <w:szCs w:val="24"/>
          <w:lang w:val="en-US"/>
        </w:rPr>
        <w:t xml:space="preserve"> the relationship between the ESG Combined Score and firms</w:t>
      </w:r>
      <w:r w:rsidR="00E60193">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 market value (Model 1), measured by the Tobin</w:t>
      </w:r>
      <w:r w:rsidR="00E60193">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s Q variable, and also consider the impact of the Shared Value (Model 2) and innovative culture (Model 3) moderators. Understanding and interpreting these results is essential </w:t>
      </w:r>
      <w:r w:rsidR="006952E6">
        <w:rPr>
          <w:rFonts w:ascii="Times New Roman" w:hAnsi="Times New Roman" w:cs="Times New Roman"/>
          <w:sz w:val="24"/>
          <w:szCs w:val="24"/>
          <w:lang w:val="en-US"/>
        </w:rPr>
        <w:t>for</w:t>
      </w:r>
      <w:r w:rsidRPr="00A36E16">
        <w:rPr>
          <w:rFonts w:ascii="Times New Roman" w:hAnsi="Times New Roman" w:cs="Times New Roman"/>
          <w:sz w:val="24"/>
          <w:szCs w:val="24"/>
          <w:lang w:val="en-US"/>
        </w:rPr>
        <w:t xml:space="preserve"> support</w:t>
      </w:r>
      <w:r w:rsidR="006952E6">
        <w:rPr>
          <w:rFonts w:ascii="Times New Roman" w:hAnsi="Times New Roman" w:cs="Times New Roman"/>
          <w:sz w:val="24"/>
          <w:szCs w:val="24"/>
          <w:lang w:val="en-US"/>
        </w:rPr>
        <w:t>ing</w:t>
      </w:r>
      <w:r w:rsidRPr="00A36E16">
        <w:rPr>
          <w:rFonts w:ascii="Times New Roman" w:hAnsi="Times New Roman" w:cs="Times New Roman"/>
          <w:sz w:val="24"/>
          <w:szCs w:val="24"/>
          <w:lang w:val="en-US"/>
        </w:rPr>
        <w:t xml:space="preserve"> the study</w:t>
      </w:r>
      <w:r w:rsidR="00E60193">
        <w:rPr>
          <w:rFonts w:ascii="Times New Roman" w:hAnsi="Times New Roman" w:cs="Times New Roman"/>
          <w:sz w:val="24"/>
          <w:szCs w:val="24"/>
          <w:lang w:val="en-US"/>
        </w:rPr>
        <w:t>’</w:t>
      </w:r>
      <w:r w:rsidRPr="00A36E16">
        <w:rPr>
          <w:rFonts w:ascii="Times New Roman" w:hAnsi="Times New Roman" w:cs="Times New Roman"/>
          <w:sz w:val="24"/>
          <w:szCs w:val="24"/>
          <w:lang w:val="en-US"/>
        </w:rPr>
        <w:t>s conclusions and validat</w:t>
      </w:r>
      <w:r w:rsidR="006952E6">
        <w:rPr>
          <w:rFonts w:ascii="Times New Roman" w:hAnsi="Times New Roman" w:cs="Times New Roman"/>
          <w:sz w:val="24"/>
          <w:szCs w:val="24"/>
          <w:lang w:val="en-US"/>
        </w:rPr>
        <w:t>ing</w:t>
      </w:r>
      <w:r w:rsidRPr="00A36E16">
        <w:rPr>
          <w:rFonts w:ascii="Times New Roman" w:hAnsi="Times New Roman" w:cs="Times New Roman"/>
          <w:sz w:val="24"/>
          <w:szCs w:val="24"/>
          <w:lang w:val="en-US"/>
        </w:rPr>
        <w:t xml:space="preserve"> the proposed hypotheses.</w:t>
      </w:r>
    </w:p>
    <w:p w14:paraId="39AE8438" w14:textId="2468258B" w:rsidR="00A36E16" w:rsidRDefault="00A36E16" w:rsidP="00A36E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36E16">
        <w:rPr>
          <w:rFonts w:ascii="Times New Roman" w:hAnsi="Times New Roman" w:cs="Times New Roman"/>
          <w:sz w:val="24"/>
          <w:szCs w:val="24"/>
          <w:lang w:val="en-US"/>
        </w:rPr>
        <w:t>The regression analyzed does not include winsorization of firms</w:t>
      </w:r>
      <w:r>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 market values. The </w:t>
      </w:r>
      <w:r w:rsidR="006952E6">
        <w:rPr>
          <w:rFonts w:ascii="Times New Roman" w:hAnsi="Times New Roman" w:cs="Times New Roman"/>
          <w:sz w:val="24"/>
          <w:szCs w:val="24"/>
          <w:lang w:val="en-US"/>
        </w:rPr>
        <w:t>decision</w:t>
      </w:r>
      <w:r w:rsidRPr="00A36E16">
        <w:rPr>
          <w:rFonts w:ascii="Times New Roman" w:hAnsi="Times New Roman" w:cs="Times New Roman"/>
          <w:sz w:val="24"/>
          <w:szCs w:val="24"/>
          <w:lang w:val="en-US"/>
        </w:rPr>
        <w:t xml:space="preserve"> to maintain the analysis based on Tobin</w:t>
      </w:r>
      <w:r>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s Q data without winsorization was due to the high similarity of the results obtained with </w:t>
      </w:r>
      <w:r w:rsidR="006952E6">
        <w:rPr>
          <w:rFonts w:ascii="Times New Roman" w:hAnsi="Times New Roman" w:cs="Times New Roman"/>
          <w:sz w:val="24"/>
          <w:szCs w:val="24"/>
          <w:lang w:val="en-US"/>
        </w:rPr>
        <w:t xml:space="preserve">winsorization </w:t>
      </w:r>
      <w:r w:rsidRPr="00A36E16">
        <w:rPr>
          <w:rFonts w:ascii="Times New Roman" w:hAnsi="Times New Roman" w:cs="Times New Roman"/>
          <w:sz w:val="24"/>
          <w:szCs w:val="24"/>
          <w:lang w:val="en-US"/>
        </w:rPr>
        <w:t xml:space="preserve">(Appendix - Table </w:t>
      </w:r>
      <w:r w:rsidR="008B788C">
        <w:rPr>
          <w:rFonts w:ascii="Times New Roman" w:hAnsi="Times New Roman" w:cs="Times New Roman"/>
          <w:sz w:val="24"/>
          <w:szCs w:val="24"/>
          <w:lang w:val="en-US"/>
        </w:rPr>
        <w:t>4</w:t>
      </w:r>
      <w:r w:rsidRPr="00A36E16">
        <w:rPr>
          <w:rFonts w:ascii="Times New Roman" w:hAnsi="Times New Roman" w:cs="Times New Roman"/>
          <w:sz w:val="24"/>
          <w:szCs w:val="24"/>
          <w:lang w:val="en-US"/>
        </w:rPr>
        <w:t>) and without</w:t>
      </w:r>
      <w:r w:rsidR="006952E6">
        <w:rPr>
          <w:rFonts w:ascii="Times New Roman" w:hAnsi="Times New Roman" w:cs="Times New Roman"/>
          <w:sz w:val="24"/>
          <w:szCs w:val="24"/>
          <w:lang w:val="en-US"/>
        </w:rPr>
        <w:t xml:space="preserve"> it</w:t>
      </w:r>
      <w:r w:rsidRPr="00A36E16">
        <w:rPr>
          <w:rFonts w:ascii="Times New Roman" w:hAnsi="Times New Roman" w:cs="Times New Roman"/>
          <w:sz w:val="24"/>
          <w:szCs w:val="24"/>
          <w:lang w:val="en-US"/>
        </w:rPr>
        <w:t xml:space="preserve"> (Table 2)</w:t>
      </w:r>
      <w:r w:rsidR="006952E6">
        <w:rPr>
          <w:rFonts w:ascii="Times New Roman" w:hAnsi="Times New Roman" w:cs="Times New Roman"/>
          <w:sz w:val="24"/>
          <w:szCs w:val="24"/>
          <w:lang w:val="en-US"/>
        </w:rPr>
        <w:t>.</w:t>
      </w:r>
      <w:r w:rsidRPr="0067133D">
        <w:rPr>
          <w:rFonts w:ascii="Times New Roman" w:hAnsi="Times New Roman" w:cs="Times New Roman"/>
          <w:color w:val="EE0000"/>
          <w:sz w:val="24"/>
          <w:szCs w:val="24"/>
          <w:lang w:val="en-US"/>
        </w:rPr>
        <w:t xml:space="preserve"> </w:t>
      </w:r>
      <w:r w:rsidRPr="00A36E16">
        <w:rPr>
          <w:rFonts w:ascii="Times New Roman" w:hAnsi="Times New Roman" w:cs="Times New Roman"/>
          <w:sz w:val="24"/>
          <w:szCs w:val="24"/>
          <w:lang w:val="en-US"/>
        </w:rPr>
        <w:t xml:space="preserve">Furthermore, the data reflect real company characteristics, which should not be excluded, as their </w:t>
      </w:r>
      <w:r w:rsidR="006952E6">
        <w:rPr>
          <w:rFonts w:ascii="Times New Roman" w:hAnsi="Times New Roman" w:cs="Times New Roman"/>
          <w:sz w:val="24"/>
          <w:szCs w:val="24"/>
          <w:lang w:val="en-US"/>
        </w:rPr>
        <w:t xml:space="preserve">removal </w:t>
      </w:r>
      <w:r w:rsidRPr="00A36E16">
        <w:rPr>
          <w:rFonts w:ascii="Times New Roman" w:hAnsi="Times New Roman" w:cs="Times New Roman"/>
          <w:sz w:val="24"/>
          <w:szCs w:val="24"/>
          <w:lang w:val="en-US"/>
        </w:rPr>
        <w:t xml:space="preserve">could </w:t>
      </w:r>
      <w:r w:rsidR="006952E6">
        <w:rPr>
          <w:rFonts w:ascii="Times New Roman" w:hAnsi="Times New Roman" w:cs="Times New Roman"/>
          <w:sz w:val="24"/>
          <w:szCs w:val="24"/>
          <w:lang w:val="en-US"/>
        </w:rPr>
        <w:t>obscure</w:t>
      </w:r>
      <w:r w:rsidRPr="00A36E16">
        <w:rPr>
          <w:rFonts w:ascii="Times New Roman" w:hAnsi="Times New Roman" w:cs="Times New Roman"/>
          <w:sz w:val="24"/>
          <w:szCs w:val="24"/>
          <w:lang w:val="en-US"/>
        </w:rPr>
        <w:t xml:space="preserve"> important information about the impact of ESG </w:t>
      </w:r>
      <w:r w:rsidR="006952E6">
        <w:rPr>
          <w:rFonts w:ascii="Times New Roman" w:hAnsi="Times New Roman" w:cs="Times New Roman"/>
          <w:sz w:val="24"/>
          <w:szCs w:val="24"/>
          <w:lang w:val="en-US"/>
        </w:rPr>
        <w:t>across</w:t>
      </w:r>
      <w:r w:rsidRPr="00A36E16">
        <w:rPr>
          <w:rFonts w:ascii="Times New Roman" w:hAnsi="Times New Roman" w:cs="Times New Roman"/>
          <w:sz w:val="24"/>
          <w:szCs w:val="24"/>
          <w:lang w:val="en-US"/>
        </w:rPr>
        <w:t xml:space="preserve"> different market contexts and dynamics.</w:t>
      </w:r>
    </w:p>
    <w:p w14:paraId="3DA96D70" w14:textId="3D18AB6C" w:rsidR="001F1E9E" w:rsidRDefault="00A36E16" w:rsidP="00A36E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36E16">
        <w:rPr>
          <w:rFonts w:ascii="Times New Roman" w:hAnsi="Times New Roman" w:cs="Times New Roman"/>
          <w:sz w:val="24"/>
          <w:szCs w:val="24"/>
          <w:lang w:val="en-US"/>
        </w:rPr>
        <w:t>Observing Model 1 (first column of Table 2), the results validat</w:t>
      </w:r>
      <w:r w:rsidR="006952E6">
        <w:rPr>
          <w:rFonts w:ascii="Times New Roman" w:hAnsi="Times New Roman" w:cs="Times New Roman"/>
          <w:sz w:val="24"/>
          <w:szCs w:val="24"/>
          <w:lang w:val="en-US"/>
        </w:rPr>
        <w:t xml:space="preserve">e </w:t>
      </w:r>
      <w:r w:rsidRPr="00A36E16">
        <w:rPr>
          <w:rFonts w:ascii="Times New Roman" w:hAnsi="Times New Roman" w:cs="Times New Roman"/>
          <w:sz w:val="24"/>
          <w:szCs w:val="24"/>
          <w:lang w:val="en-US"/>
        </w:rPr>
        <w:t>the first hypothesis: the ESG Combined Score is statistically significant (p</w:t>
      </w:r>
      <w:r>
        <w:rPr>
          <w:rFonts w:ascii="Times New Roman" w:hAnsi="Times New Roman" w:cs="Times New Roman"/>
          <w:sz w:val="24"/>
          <w:szCs w:val="24"/>
          <w:lang w:val="en-US"/>
        </w:rPr>
        <w:t xml:space="preserve"> </w:t>
      </w:r>
      <w:r w:rsidR="006D605B">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36E16">
        <w:rPr>
          <w:rFonts w:ascii="Times New Roman" w:hAnsi="Times New Roman" w:cs="Times New Roman"/>
          <w:sz w:val="24"/>
          <w:szCs w:val="24"/>
          <w:lang w:val="en-US"/>
        </w:rPr>
        <w:t>0.0</w:t>
      </w:r>
      <w:r w:rsidR="006D605B">
        <w:rPr>
          <w:rFonts w:ascii="Times New Roman" w:hAnsi="Times New Roman" w:cs="Times New Roman"/>
          <w:sz w:val="24"/>
          <w:szCs w:val="24"/>
          <w:lang w:val="en-US"/>
        </w:rPr>
        <w:t>1</w:t>
      </w:r>
      <w:r w:rsidRPr="00A36E16">
        <w:rPr>
          <w:rFonts w:ascii="Times New Roman" w:hAnsi="Times New Roman" w:cs="Times New Roman"/>
          <w:sz w:val="24"/>
          <w:szCs w:val="24"/>
          <w:lang w:val="en-US"/>
        </w:rPr>
        <w:t>) in explaining the Tobin</w:t>
      </w:r>
      <w:r>
        <w:rPr>
          <w:rFonts w:ascii="Times New Roman" w:hAnsi="Times New Roman" w:cs="Times New Roman"/>
          <w:sz w:val="24"/>
          <w:szCs w:val="24"/>
          <w:lang w:val="en-US"/>
        </w:rPr>
        <w:t>’</w:t>
      </w:r>
      <w:r w:rsidRPr="00A36E16">
        <w:rPr>
          <w:rFonts w:ascii="Times New Roman" w:hAnsi="Times New Roman" w:cs="Times New Roman"/>
          <w:sz w:val="24"/>
          <w:szCs w:val="24"/>
          <w:lang w:val="en-US"/>
        </w:rPr>
        <w:t>s Q variable, and this relationship is positive. This indicates that the higher a company</w:t>
      </w:r>
      <w:r>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s ESG </w:t>
      </w:r>
      <w:r w:rsidR="001F1E9E">
        <w:rPr>
          <w:rFonts w:ascii="Times New Roman" w:hAnsi="Times New Roman" w:cs="Times New Roman"/>
          <w:sz w:val="24"/>
          <w:szCs w:val="24"/>
          <w:lang w:val="en-US"/>
        </w:rPr>
        <w:t xml:space="preserve">Combined </w:t>
      </w:r>
      <w:r w:rsidRPr="00A36E16">
        <w:rPr>
          <w:rFonts w:ascii="Times New Roman" w:hAnsi="Times New Roman" w:cs="Times New Roman"/>
          <w:sz w:val="24"/>
          <w:szCs w:val="24"/>
          <w:lang w:val="en-US"/>
        </w:rPr>
        <w:t xml:space="preserve">Score, the higher its market value. However, despite being an important variable, its effect on market value is </w:t>
      </w:r>
      <w:r w:rsidR="001F1E9E">
        <w:rPr>
          <w:rFonts w:ascii="Times New Roman" w:hAnsi="Times New Roman" w:cs="Times New Roman"/>
          <w:sz w:val="24"/>
          <w:szCs w:val="24"/>
          <w:lang w:val="en-US"/>
        </w:rPr>
        <w:t>modest</w:t>
      </w:r>
      <w:r>
        <w:rPr>
          <w:rFonts w:ascii="Times New Roman" w:hAnsi="Times New Roman" w:cs="Times New Roman"/>
          <w:sz w:val="24"/>
          <w:szCs w:val="24"/>
          <w:lang w:val="en-US"/>
        </w:rPr>
        <w:t xml:space="preserve"> – </w:t>
      </w:r>
      <w:r w:rsidR="001F1E9E">
        <w:rPr>
          <w:rFonts w:ascii="Times New Roman" w:hAnsi="Times New Roman" w:cs="Times New Roman"/>
          <w:sz w:val="24"/>
          <w:szCs w:val="24"/>
          <w:lang w:val="en-US"/>
        </w:rPr>
        <w:t xml:space="preserve">holding </w:t>
      </w:r>
      <w:r w:rsidRPr="00A36E16">
        <w:rPr>
          <w:rFonts w:ascii="Times New Roman" w:hAnsi="Times New Roman" w:cs="Times New Roman"/>
          <w:sz w:val="24"/>
          <w:szCs w:val="24"/>
          <w:lang w:val="en-US"/>
        </w:rPr>
        <w:t>all else constant, a 0.014 increase in firm value for every 1</w:t>
      </w:r>
      <w:r>
        <w:rPr>
          <w:rFonts w:ascii="Times New Roman" w:hAnsi="Times New Roman" w:cs="Times New Roman"/>
          <w:sz w:val="24"/>
          <w:szCs w:val="24"/>
          <w:lang w:val="en-US"/>
        </w:rPr>
        <w:t>-</w:t>
      </w:r>
      <w:r w:rsidRPr="00A36E16">
        <w:rPr>
          <w:rFonts w:ascii="Times New Roman" w:hAnsi="Times New Roman" w:cs="Times New Roman"/>
          <w:sz w:val="24"/>
          <w:szCs w:val="24"/>
          <w:lang w:val="en-US"/>
        </w:rPr>
        <w:t xml:space="preserve">point increase in the ESG Combined Score. These results are consistent with the literature on the topic, as the vast majority of studies </w:t>
      </w:r>
      <w:r w:rsidR="001F1E9E">
        <w:rPr>
          <w:rFonts w:ascii="Times New Roman" w:hAnsi="Times New Roman" w:cs="Times New Roman"/>
          <w:sz w:val="24"/>
          <w:szCs w:val="24"/>
          <w:lang w:val="en-US"/>
        </w:rPr>
        <w:t>report a</w:t>
      </w:r>
      <w:r w:rsidRPr="00A36E16">
        <w:rPr>
          <w:rFonts w:ascii="Times New Roman" w:hAnsi="Times New Roman" w:cs="Times New Roman"/>
          <w:sz w:val="24"/>
          <w:szCs w:val="24"/>
          <w:lang w:val="en-US"/>
        </w:rPr>
        <w:t xml:space="preserve"> positive relationship between these variables (Friede et al., 2015; Ferrell et al., 2016).</w:t>
      </w:r>
    </w:p>
    <w:p w14:paraId="32240661" w14:textId="77777777" w:rsidR="001F1E9E" w:rsidRDefault="001F1E9E" w:rsidP="00A36E16">
      <w:pPr>
        <w:spacing w:line="360" w:lineRule="auto"/>
        <w:jc w:val="both"/>
        <w:rPr>
          <w:rFonts w:ascii="Times New Roman" w:hAnsi="Times New Roman" w:cs="Times New Roman"/>
          <w:sz w:val="24"/>
          <w:szCs w:val="24"/>
          <w:lang w:val="en-US"/>
        </w:rPr>
      </w:pPr>
    </w:p>
    <w:p w14:paraId="2DFF2D7E" w14:textId="77777777" w:rsidR="00C065E8" w:rsidRDefault="00C065E8" w:rsidP="00A36E16">
      <w:pPr>
        <w:spacing w:line="360" w:lineRule="auto"/>
        <w:jc w:val="both"/>
        <w:rPr>
          <w:rFonts w:ascii="Times New Roman" w:hAnsi="Times New Roman" w:cs="Times New Roman"/>
          <w:sz w:val="24"/>
          <w:szCs w:val="24"/>
          <w:lang w:val="en-US"/>
        </w:rPr>
      </w:pPr>
    </w:p>
    <w:p w14:paraId="3E17F2B1" w14:textId="77777777" w:rsidR="00C065E8" w:rsidRDefault="00C065E8" w:rsidP="00A36E16">
      <w:pPr>
        <w:spacing w:line="360" w:lineRule="auto"/>
        <w:jc w:val="both"/>
        <w:rPr>
          <w:rFonts w:ascii="Times New Roman" w:hAnsi="Times New Roman" w:cs="Times New Roman"/>
          <w:sz w:val="24"/>
          <w:szCs w:val="24"/>
          <w:lang w:val="en-US"/>
        </w:rPr>
      </w:pPr>
    </w:p>
    <w:p w14:paraId="4E870832" w14:textId="77777777" w:rsidR="00C065E8" w:rsidRDefault="00C065E8" w:rsidP="00A36E16">
      <w:pPr>
        <w:spacing w:line="360" w:lineRule="auto"/>
        <w:jc w:val="both"/>
        <w:rPr>
          <w:rFonts w:ascii="Times New Roman" w:hAnsi="Times New Roman" w:cs="Times New Roman"/>
          <w:sz w:val="24"/>
          <w:szCs w:val="24"/>
          <w:lang w:val="en-US"/>
        </w:rPr>
      </w:pPr>
    </w:p>
    <w:p w14:paraId="48CCE842" w14:textId="77777777" w:rsidR="00C065E8" w:rsidRDefault="00C065E8" w:rsidP="00A36E16">
      <w:pPr>
        <w:spacing w:line="360" w:lineRule="auto"/>
        <w:jc w:val="both"/>
        <w:rPr>
          <w:rFonts w:ascii="Times New Roman" w:hAnsi="Times New Roman" w:cs="Times New Roman"/>
          <w:sz w:val="24"/>
          <w:szCs w:val="24"/>
          <w:lang w:val="en-US"/>
        </w:rPr>
      </w:pPr>
    </w:p>
    <w:p w14:paraId="59FA7C5B" w14:textId="77777777" w:rsidR="00C065E8" w:rsidRDefault="00C065E8" w:rsidP="00A36E16">
      <w:pPr>
        <w:spacing w:line="360" w:lineRule="auto"/>
        <w:jc w:val="both"/>
        <w:rPr>
          <w:rFonts w:ascii="Times New Roman" w:hAnsi="Times New Roman" w:cs="Times New Roman"/>
          <w:sz w:val="24"/>
          <w:szCs w:val="24"/>
          <w:lang w:val="en-US"/>
        </w:rPr>
      </w:pPr>
    </w:p>
    <w:p w14:paraId="7BF19441" w14:textId="77777777" w:rsidR="00C065E8" w:rsidRDefault="00C065E8" w:rsidP="00A36E16">
      <w:pPr>
        <w:spacing w:line="360" w:lineRule="auto"/>
        <w:jc w:val="both"/>
        <w:rPr>
          <w:rFonts w:ascii="Times New Roman" w:hAnsi="Times New Roman" w:cs="Times New Roman"/>
          <w:sz w:val="24"/>
          <w:szCs w:val="24"/>
          <w:lang w:val="en-US"/>
        </w:rPr>
      </w:pPr>
    </w:p>
    <w:p w14:paraId="69068553" w14:textId="77777777" w:rsidR="00C065E8" w:rsidRPr="00A36E16" w:rsidRDefault="00C065E8" w:rsidP="00A36E16">
      <w:pPr>
        <w:spacing w:line="360" w:lineRule="auto"/>
        <w:jc w:val="both"/>
        <w:rPr>
          <w:rFonts w:ascii="Times New Roman" w:hAnsi="Times New Roman" w:cs="Times New Roman"/>
          <w:sz w:val="24"/>
          <w:szCs w:val="24"/>
          <w:lang w:val="en-US"/>
        </w:rPr>
      </w:pPr>
    </w:p>
    <w:tbl>
      <w:tblPr>
        <w:tblpPr w:leftFromText="141" w:rightFromText="141" w:vertAnchor="page" w:horzAnchor="margin" w:tblpY="2101"/>
        <w:tblW w:w="8795" w:type="dxa"/>
        <w:tblCellMar>
          <w:left w:w="70" w:type="dxa"/>
          <w:right w:w="70" w:type="dxa"/>
        </w:tblCellMar>
        <w:tblLook w:val="04A0" w:firstRow="1" w:lastRow="0" w:firstColumn="1" w:lastColumn="0" w:noHBand="0" w:noVBand="1"/>
      </w:tblPr>
      <w:tblGrid>
        <w:gridCol w:w="2753"/>
        <w:gridCol w:w="2382"/>
        <w:gridCol w:w="1798"/>
        <w:gridCol w:w="1862"/>
      </w:tblGrid>
      <w:tr w:rsidR="00C065E8" w:rsidRPr="00E40BCD" w14:paraId="2C032FA2" w14:textId="77777777" w:rsidTr="00C065E8">
        <w:trPr>
          <w:trHeight w:val="243"/>
        </w:trPr>
        <w:tc>
          <w:tcPr>
            <w:tcW w:w="2753" w:type="dxa"/>
            <w:tcBorders>
              <w:top w:val="single" w:sz="4" w:space="0" w:color="auto"/>
              <w:left w:val="single" w:sz="4" w:space="0" w:color="auto"/>
              <w:bottom w:val="single" w:sz="4" w:space="0" w:color="000000"/>
              <w:right w:val="single" w:sz="4" w:space="0" w:color="auto"/>
            </w:tcBorders>
            <w:hideMark/>
          </w:tcPr>
          <w:p w14:paraId="15DDA3AF" w14:textId="77777777" w:rsidR="00C065E8" w:rsidRPr="00E40BCD" w:rsidRDefault="00C065E8" w:rsidP="00C065E8">
            <w:pPr>
              <w:spacing w:after="0" w:line="240" w:lineRule="auto"/>
              <w:jc w:val="both"/>
              <w:rPr>
                <w:rFonts w:ascii="Times New Roman" w:eastAsia="Times New Roman" w:hAnsi="Times New Roman" w:cs="Times New Roman"/>
                <w:b/>
                <w:bCs/>
                <w:color w:val="000000"/>
                <w:kern w:val="0"/>
                <w:lang w:eastAsia="pt-BR"/>
                <w14:ligatures w14:val="none"/>
              </w:rPr>
            </w:pPr>
            <w:r>
              <w:rPr>
                <w:rFonts w:ascii="Times New Roman" w:eastAsia="Times New Roman" w:hAnsi="Times New Roman" w:cs="Times New Roman"/>
                <w:b/>
                <w:bCs/>
                <w:color w:val="000000"/>
                <w:kern w:val="0"/>
                <w:lang w:eastAsia="pt-BR"/>
                <w14:ligatures w14:val="none"/>
              </w:rPr>
              <w:t>Dynamic Panel Regression</w:t>
            </w:r>
          </w:p>
        </w:tc>
        <w:tc>
          <w:tcPr>
            <w:tcW w:w="2382" w:type="dxa"/>
            <w:tcBorders>
              <w:top w:val="single" w:sz="4" w:space="0" w:color="auto"/>
              <w:left w:val="single" w:sz="4" w:space="0" w:color="auto"/>
              <w:bottom w:val="single" w:sz="4" w:space="0" w:color="000000"/>
              <w:right w:val="single" w:sz="4" w:space="0" w:color="auto"/>
            </w:tcBorders>
            <w:noWrap/>
            <w:hideMark/>
          </w:tcPr>
          <w:p w14:paraId="72DD26F8" w14:textId="77777777" w:rsidR="00C065E8" w:rsidRPr="00E40BCD" w:rsidRDefault="00C065E8" w:rsidP="00C065E8">
            <w:pPr>
              <w:spacing w:after="0" w:line="240" w:lineRule="auto"/>
              <w:jc w:val="center"/>
              <w:rPr>
                <w:rFonts w:ascii="Times New Roman" w:eastAsia="Times New Roman" w:hAnsi="Times New Roman" w:cs="Times New Roman"/>
                <w:b/>
                <w:bCs/>
                <w:color w:val="000000"/>
                <w:kern w:val="0"/>
                <w:lang w:eastAsia="pt-BR"/>
                <w14:ligatures w14:val="none"/>
              </w:rPr>
            </w:pPr>
            <w:r w:rsidRPr="00E40BCD">
              <w:rPr>
                <w:rFonts w:ascii="Times New Roman" w:eastAsia="Times New Roman" w:hAnsi="Times New Roman" w:cs="Times New Roman"/>
                <w:b/>
                <w:bCs/>
                <w:color w:val="000000"/>
                <w:kern w:val="0"/>
                <w:lang w:eastAsia="pt-BR"/>
                <w14:ligatures w14:val="none"/>
              </w:rPr>
              <w:t>Model 1</w:t>
            </w:r>
          </w:p>
        </w:tc>
        <w:tc>
          <w:tcPr>
            <w:tcW w:w="1798" w:type="dxa"/>
            <w:tcBorders>
              <w:top w:val="single" w:sz="4" w:space="0" w:color="auto"/>
              <w:left w:val="single" w:sz="4" w:space="0" w:color="auto"/>
              <w:bottom w:val="single" w:sz="4" w:space="0" w:color="000000"/>
              <w:right w:val="single" w:sz="4" w:space="0" w:color="auto"/>
            </w:tcBorders>
            <w:noWrap/>
            <w:hideMark/>
          </w:tcPr>
          <w:p w14:paraId="292CF35A" w14:textId="77777777" w:rsidR="00C065E8" w:rsidRPr="00E40BCD" w:rsidRDefault="00C065E8" w:rsidP="00C065E8">
            <w:pPr>
              <w:spacing w:after="0" w:line="240" w:lineRule="auto"/>
              <w:jc w:val="center"/>
              <w:rPr>
                <w:rFonts w:ascii="Times New Roman" w:eastAsia="Times New Roman" w:hAnsi="Times New Roman" w:cs="Times New Roman"/>
                <w:b/>
                <w:bCs/>
                <w:color w:val="000000"/>
                <w:kern w:val="0"/>
                <w:lang w:eastAsia="pt-BR"/>
                <w14:ligatures w14:val="none"/>
              </w:rPr>
            </w:pPr>
            <w:r w:rsidRPr="00E40BCD">
              <w:rPr>
                <w:rFonts w:ascii="Times New Roman" w:eastAsia="Times New Roman" w:hAnsi="Times New Roman" w:cs="Times New Roman"/>
                <w:b/>
                <w:bCs/>
                <w:color w:val="000000"/>
                <w:kern w:val="0"/>
                <w:lang w:eastAsia="pt-BR"/>
                <w14:ligatures w14:val="none"/>
              </w:rPr>
              <w:t>Model 2</w:t>
            </w:r>
          </w:p>
        </w:tc>
        <w:tc>
          <w:tcPr>
            <w:tcW w:w="1862" w:type="dxa"/>
            <w:tcBorders>
              <w:top w:val="single" w:sz="4" w:space="0" w:color="auto"/>
              <w:left w:val="single" w:sz="4" w:space="0" w:color="auto"/>
              <w:bottom w:val="single" w:sz="4" w:space="0" w:color="auto"/>
              <w:right w:val="single" w:sz="4" w:space="0" w:color="auto"/>
            </w:tcBorders>
            <w:noWrap/>
            <w:hideMark/>
          </w:tcPr>
          <w:p w14:paraId="3C8095E4" w14:textId="77777777" w:rsidR="00C065E8" w:rsidRPr="00E40BCD" w:rsidRDefault="00C065E8" w:rsidP="00C065E8">
            <w:pPr>
              <w:spacing w:after="0" w:line="240" w:lineRule="auto"/>
              <w:jc w:val="center"/>
              <w:rPr>
                <w:rFonts w:ascii="Times New Roman" w:eastAsia="Times New Roman" w:hAnsi="Times New Roman" w:cs="Times New Roman"/>
                <w:b/>
                <w:bCs/>
                <w:color w:val="000000"/>
                <w:kern w:val="0"/>
                <w:lang w:eastAsia="pt-BR"/>
                <w14:ligatures w14:val="none"/>
              </w:rPr>
            </w:pPr>
            <w:r w:rsidRPr="00E40BCD">
              <w:rPr>
                <w:rFonts w:ascii="Times New Roman" w:eastAsia="Times New Roman" w:hAnsi="Times New Roman" w:cs="Times New Roman"/>
                <w:b/>
                <w:bCs/>
                <w:color w:val="000000"/>
                <w:kern w:val="0"/>
                <w:lang w:eastAsia="pt-BR"/>
                <w14:ligatures w14:val="none"/>
              </w:rPr>
              <w:t>Model 3</w:t>
            </w:r>
          </w:p>
        </w:tc>
      </w:tr>
      <w:tr w:rsidR="00C065E8" w:rsidRPr="00E40BCD" w14:paraId="0E4D0AD2" w14:textId="77777777" w:rsidTr="00C065E8">
        <w:trPr>
          <w:trHeight w:val="488"/>
        </w:trPr>
        <w:tc>
          <w:tcPr>
            <w:tcW w:w="2753" w:type="dxa"/>
            <w:tcBorders>
              <w:top w:val="nil"/>
              <w:left w:val="nil"/>
              <w:bottom w:val="nil"/>
              <w:right w:val="nil"/>
            </w:tcBorders>
            <w:shd w:val="clear" w:color="D9D9D9" w:fill="D9D9D9"/>
            <w:noWrap/>
            <w:vAlign w:val="center"/>
            <w:hideMark/>
          </w:tcPr>
          <w:p w14:paraId="11473199"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ESG Combined Score</w:t>
            </w:r>
          </w:p>
        </w:tc>
        <w:tc>
          <w:tcPr>
            <w:tcW w:w="2382" w:type="dxa"/>
            <w:tcBorders>
              <w:top w:val="nil"/>
              <w:left w:val="nil"/>
              <w:bottom w:val="nil"/>
              <w:right w:val="nil"/>
            </w:tcBorders>
            <w:shd w:val="clear" w:color="D9D9D9" w:fill="D9D9D9"/>
            <w:vAlign w:val="bottom"/>
            <w:hideMark/>
          </w:tcPr>
          <w:p w14:paraId="73466297"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0143***</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0050)</w:t>
            </w:r>
          </w:p>
        </w:tc>
        <w:tc>
          <w:tcPr>
            <w:tcW w:w="1798" w:type="dxa"/>
            <w:tcBorders>
              <w:top w:val="nil"/>
              <w:left w:val="nil"/>
              <w:bottom w:val="nil"/>
              <w:right w:val="nil"/>
            </w:tcBorders>
            <w:shd w:val="clear" w:color="D9D9D9" w:fill="D9D9D9"/>
            <w:vAlign w:val="bottom"/>
            <w:hideMark/>
          </w:tcPr>
          <w:p w14:paraId="6E413AE8"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0173***</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0044)</w:t>
            </w:r>
          </w:p>
        </w:tc>
        <w:tc>
          <w:tcPr>
            <w:tcW w:w="1862" w:type="dxa"/>
            <w:tcBorders>
              <w:top w:val="nil"/>
              <w:left w:val="nil"/>
              <w:bottom w:val="nil"/>
              <w:right w:val="nil"/>
            </w:tcBorders>
            <w:shd w:val="clear" w:color="D9D9D9" w:fill="D9D9D9"/>
            <w:vAlign w:val="bottom"/>
            <w:hideMark/>
          </w:tcPr>
          <w:p w14:paraId="577DC074"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0056</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0130)</w:t>
            </w:r>
          </w:p>
        </w:tc>
      </w:tr>
      <w:tr w:rsidR="00C065E8" w:rsidRPr="00E40BCD" w14:paraId="225F4FDA" w14:textId="77777777" w:rsidTr="00C065E8">
        <w:trPr>
          <w:trHeight w:val="488"/>
        </w:trPr>
        <w:tc>
          <w:tcPr>
            <w:tcW w:w="2753" w:type="dxa"/>
            <w:tcBorders>
              <w:top w:val="nil"/>
              <w:left w:val="nil"/>
              <w:bottom w:val="nil"/>
              <w:right w:val="nil"/>
            </w:tcBorders>
            <w:noWrap/>
            <w:vAlign w:val="center"/>
            <w:hideMark/>
          </w:tcPr>
          <w:p w14:paraId="3CA4C440"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Shared Value</w:t>
            </w:r>
          </w:p>
        </w:tc>
        <w:tc>
          <w:tcPr>
            <w:tcW w:w="2382" w:type="dxa"/>
            <w:tcBorders>
              <w:top w:val="nil"/>
              <w:left w:val="nil"/>
              <w:bottom w:val="nil"/>
              <w:right w:val="nil"/>
            </w:tcBorders>
            <w:vAlign w:val="bottom"/>
            <w:hideMark/>
          </w:tcPr>
          <w:p w14:paraId="18099A4D"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c>
          <w:tcPr>
            <w:tcW w:w="1798" w:type="dxa"/>
            <w:tcBorders>
              <w:top w:val="nil"/>
              <w:left w:val="nil"/>
              <w:bottom w:val="nil"/>
              <w:right w:val="nil"/>
            </w:tcBorders>
            <w:vAlign w:val="bottom"/>
            <w:hideMark/>
          </w:tcPr>
          <w:p w14:paraId="437147A6"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-7</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3982***</w:t>
            </w:r>
            <w:r w:rsidRPr="00E40BCD">
              <w:rPr>
                <w:rFonts w:ascii="Times New Roman" w:eastAsia="Times New Roman" w:hAnsi="Times New Roman" w:cs="Times New Roman"/>
                <w:color w:val="000000"/>
                <w:kern w:val="0"/>
                <w:lang w:eastAsia="pt-BR"/>
                <w14:ligatures w14:val="none"/>
              </w:rPr>
              <w:br/>
              <w:t>(2</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1397)</w:t>
            </w:r>
          </w:p>
        </w:tc>
        <w:tc>
          <w:tcPr>
            <w:tcW w:w="1862" w:type="dxa"/>
            <w:tcBorders>
              <w:top w:val="nil"/>
              <w:left w:val="nil"/>
              <w:bottom w:val="nil"/>
              <w:right w:val="nil"/>
            </w:tcBorders>
            <w:vAlign w:val="bottom"/>
            <w:hideMark/>
          </w:tcPr>
          <w:p w14:paraId="6BD696AD"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r>
      <w:tr w:rsidR="00C065E8" w:rsidRPr="00E40BCD" w14:paraId="2924BD01" w14:textId="77777777" w:rsidTr="00C065E8">
        <w:trPr>
          <w:trHeight w:val="488"/>
        </w:trPr>
        <w:tc>
          <w:tcPr>
            <w:tcW w:w="2753" w:type="dxa"/>
            <w:tcBorders>
              <w:top w:val="nil"/>
              <w:left w:val="nil"/>
              <w:bottom w:val="nil"/>
              <w:right w:val="nil"/>
            </w:tcBorders>
            <w:shd w:val="clear" w:color="D9D9D9" w:fill="D9D9D9"/>
            <w:noWrap/>
            <w:vAlign w:val="center"/>
            <w:hideMark/>
          </w:tcPr>
          <w:p w14:paraId="3D873257" w14:textId="77777777" w:rsidR="00C065E8" w:rsidRPr="00A36E16" w:rsidRDefault="00C065E8" w:rsidP="00C065E8">
            <w:pPr>
              <w:spacing w:after="0" w:line="240" w:lineRule="auto"/>
              <w:jc w:val="both"/>
              <w:rPr>
                <w:rFonts w:ascii="Times New Roman" w:eastAsia="Times New Roman" w:hAnsi="Times New Roman" w:cs="Times New Roman"/>
                <w:color w:val="000000"/>
                <w:kern w:val="0"/>
                <w:lang w:val="en-US" w:eastAsia="pt-BR"/>
                <w14:ligatures w14:val="none"/>
              </w:rPr>
            </w:pPr>
            <w:r w:rsidRPr="00A36E16">
              <w:rPr>
                <w:rFonts w:ascii="Times New Roman" w:eastAsia="Times New Roman" w:hAnsi="Times New Roman" w:cs="Times New Roman"/>
                <w:color w:val="000000"/>
                <w:kern w:val="0"/>
                <w:lang w:val="en-US" w:eastAsia="pt-BR"/>
                <w14:ligatures w14:val="none"/>
              </w:rPr>
              <w:t xml:space="preserve">ESG Combined Score*Shared </w:t>
            </w:r>
            <w:r>
              <w:rPr>
                <w:rFonts w:ascii="Times New Roman" w:eastAsia="Times New Roman" w:hAnsi="Times New Roman" w:cs="Times New Roman"/>
                <w:color w:val="000000"/>
                <w:kern w:val="0"/>
                <w:lang w:val="en-US" w:eastAsia="pt-BR"/>
                <w14:ligatures w14:val="none"/>
              </w:rPr>
              <w:t>Value</w:t>
            </w:r>
          </w:p>
        </w:tc>
        <w:tc>
          <w:tcPr>
            <w:tcW w:w="2382" w:type="dxa"/>
            <w:tcBorders>
              <w:top w:val="nil"/>
              <w:left w:val="nil"/>
              <w:bottom w:val="nil"/>
              <w:right w:val="nil"/>
            </w:tcBorders>
            <w:shd w:val="clear" w:color="D9D9D9" w:fill="D9D9D9"/>
            <w:vAlign w:val="bottom"/>
            <w:hideMark/>
          </w:tcPr>
          <w:p w14:paraId="06A30CC6"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c>
          <w:tcPr>
            <w:tcW w:w="1798" w:type="dxa"/>
            <w:tcBorders>
              <w:top w:val="nil"/>
              <w:left w:val="nil"/>
              <w:bottom w:val="nil"/>
              <w:right w:val="nil"/>
            </w:tcBorders>
            <w:shd w:val="clear" w:color="D9D9D9" w:fill="D9D9D9"/>
            <w:vAlign w:val="bottom"/>
            <w:hideMark/>
          </w:tcPr>
          <w:p w14:paraId="382DC140"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1265***</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03423)</w:t>
            </w:r>
          </w:p>
        </w:tc>
        <w:tc>
          <w:tcPr>
            <w:tcW w:w="1862" w:type="dxa"/>
            <w:tcBorders>
              <w:top w:val="nil"/>
              <w:left w:val="nil"/>
              <w:bottom w:val="nil"/>
              <w:right w:val="nil"/>
            </w:tcBorders>
            <w:shd w:val="clear" w:color="D9D9D9" w:fill="D9D9D9"/>
            <w:vAlign w:val="bottom"/>
            <w:hideMark/>
          </w:tcPr>
          <w:p w14:paraId="4E5B8C5D"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r>
      <w:tr w:rsidR="00C065E8" w:rsidRPr="00E40BCD" w14:paraId="4F042127" w14:textId="77777777" w:rsidTr="00C065E8">
        <w:trPr>
          <w:trHeight w:val="488"/>
        </w:trPr>
        <w:tc>
          <w:tcPr>
            <w:tcW w:w="2753" w:type="dxa"/>
            <w:tcBorders>
              <w:top w:val="nil"/>
              <w:left w:val="nil"/>
              <w:bottom w:val="nil"/>
              <w:right w:val="nil"/>
            </w:tcBorders>
            <w:noWrap/>
            <w:vAlign w:val="center"/>
            <w:hideMark/>
          </w:tcPr>
          <w:p w14:paraId="01739474"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Innovative Culture</w:t>
            </w:r>
          </w:p>
        </w:tc>
        <w:tc>
          <w:tcPr>
            <w:tcW w:w="2382" w:type="dxa"/>
            <w:tcBorders>
              <w:top w:val="nil"/>
              <w:left w:val="nil"/>
              <w:bottom w:val="nil"/>
              <w:right w:val="nil"/>
            </w:tcBorders>
            <w:vAlign w:val="bottom"/>
            <w:hideMark/>
          </w:tcPr>
          <w:p w14:paraId="4A12C563"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c>
          <w:tcPr>
            <w:tcW w:w="1798" w:type="dxa"/>
            <w:tcBorders>
              <w:top w:val="nil"/>
              <w:left w:val="nil"/>
              <w:bottom w:val="nil"/>
              <w:right w:val="nil"/>
            </w:tcBorders>
            <w:vAlign w:val="bottom"/>
            <w:hideMark/>
          </w:tcPr>
          <w:p w14:paraId="4D2B36FD"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c>
          <w:tcPr>
            <w:tcW w:w="1862" w:type="dxa"/>
            <w:tcBorders>
              <w:top w:val="nil"/>
              <w:left w:val="nil"/>
              <w:bottom w:val="nil"/>
              <w:right w:val="nil"/>
            </w:tcBorders>
            <w:vAlign w:val="bottom"/>
            <w:hideMark/>
          </w:tcPr>
          <w:p w14:paraId="0DE96CEB"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-12</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2198</w:t>
            </w:r>
            <w:r w:rsidRPr="00E40BCD">
              <w:rPr>
                <w:rFonts w:ascii="Times New Roman" w:eastAsia="Times New Roman" w:hAnsi="Times New Roman" w:cs="Times New Roman"/>
                <w:color w:val="000000"/>
                <w:kern w:val="0"/>
                <w:lang w:eastAsia="pt-BR"/>
                <w14:ligatures w14:val="none"/>
              </w:rPr>
              <w:br/>
              <w:t>(9</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5850)</w:t>
            </w:r>
          </w:p>
        </w:tc>
      </w:tr>
      <w:tr w:rsidR="00C065E8" w:rsidRPr="00E40BCD" w14:paraId="0126B4C6" w14:textId="77777777" w:rsidTr="00C065E8">
        <w:trPr>
          <w:trHeight w:val="488"/>
        </w:trPr>
        <w:tc>
          <w:tcPr>
            <w:tcW w:w="2753" w:type="dxa"/>
            <w:tcBorders>
              <w:top w:val="nil"/>
              <w:left w:val="nil"/>
              <w:bottom w:val="nil"/>
              <w:right w:val="nil"/>
            </w:tcBorders>
            <w:shd w:val="clear" w:color="D9D9D9" w:fill="D9D9D9"/>
            <w:noWrap/>
            <w:vAlign w:val="center"/>
            <w:hideMark/>
          </w:tcPr>
          <w:p w14:paraId="6C78AE55" w14:textId="77777777" w:rsidR="00C065E8" w:rsidRPr="00A36E16" w:rsidRDefault="00C065E8" w:rsidP="00C065E8">
            <w:pPr>
              <w:spacing w:after="0" w:line="240" w:lineRule="auto"/>
              <w:jc w:val="both"/>
              <w:rPr>
                <w:rFonts w:ascii="Times New Roman" w:eastAsia="Times New Roman" w:hAnsi="Times New Roman" w:cs="Times New Roman"/>
                <w:color w:val="000000"/>
                <w:kern w:val="0"/>
                <w:lang w:val="en-US" w:eastAsia="pt-BR"/>
                <w14:ligatures w14:val="none"/>
              </w:rPr>
            </w:pPr>
            <w:r w:rsidRPr="00A36E16">
              <w:rPr>
                <w:rFonts w:ascii="Times New Roman" w:eastAsia="Times New Roman" w:hAnsi="Times New Roman" w:cs="Times New Roman"/>
                <w:color w:val="000000"/>
                <w:kern w:val="0"/>
                <w:lang w:val="en-US" w:eastAsia="pt-BR"/>
                <w14:ligatures w14:val="none"/>
              </w:rPr>
              <w:t>ESG Combined Score*Innovative C</w:t>
            </w:r>
            <w:r>
              <w:rPr>
                <w:rFonts w:ascii="Times New Roman" w:eastAsia="Times New Roman" w:hAnsi="Times New Roman" w:cs="Times New Roman"/>
                <w:color w:val="000000"/>
                <w:kern w:val="0"/>
                <w:lang w:val="en-US" w:eastAsia="pt-BR"/>
                <w14:ligatures w14:val="none"/>
              </w:rPr>
              <w:t>ulture</w:t>
            </w:r>
          </w:p>
        </w:tc>
        <w:tc>
          <w:tcPr>
            <w:tcW w:w="2382" w:type="dxa"/>
            <w:tcBorders>
              <w:top w:val="nil"/>
              <w:left w:val="nil"/>
              <w:bottom w:val="nil"/>
              <w:right w:val="nil"/>
            </w:tcBorders>
            <w:shd w:val="clear" w:color="D9D9D9" w:fill="D9D9D9"/>
            <w:vAlign w:val="bottom"/>
            <w:hideMark/>
          </w:tcPr>
          <w:p w14:paraId="6CC4D28F"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c>
          <w:tcPr>
            <w:tcW w:w="1798" w:type="dxa"/>
            <w:tcBorders>
              <w:top w:val="nil"/>
              <w:left w:val="nil"/>
              <w:bottom w:val="nil"/>
              <w:right w:val="nil"/>
            </w:tcBorders>
            <w:shd w:val="clear" w:color="D9D9D9" w:fill="D9D9D9"/>
            <w:vAlign w:val="bottom"/>
            <w:hideMark/>
          </w:tcPr>
          <w:p w14:paraId="55CEB681"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w:t>
            </w:r>
          </w:p>
        </w:tc>
        <w:tc>
          <w:tcPr>
            <w:tcW w:w="1862" w:type="dxa"/>
            <w:tcBorders>
              <w:top w:val="nil"/>
              <w:left w:val="nil"/>
              <w:bottom w:val="nil"/>
              <w:right w:val="nil"/>
            </w:tcBorders>
            <w:shd w:val="clear" w:color="D9D9D9" w:fill="D9D9D9"/>
            <w:vAlign w:val="bottom"/>
            <w:hideMark/>
          </w:tcPr>
          <w:p w14:paraId="763C44C2"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3933**</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1766)</w:t>
            </w:r>
          </w:p>
        </w:tc>
      </w:tr>
      <w:tr w:rsidR="00C065E8" w:rsidRPr="00E40BCD" w14:paraId="710A7ECC" w14:textId="77777777" w:rsidTr="00C065E8">
        <w:trPr>
          <w:trHeight w:val="488"/>
        </w:trPr>
        <w:tc>
          <w:tcPr>
            <w:tcW w:w="2753" w:type="dxa"/>
            <w:tcBorders>
              <w:top w:val="nil"/>
              <w:left w:val="nil"/>
              <w:bottom w:val="nil"/>
              <w:right w:val="nil"/>
            </w:tcBorders>
            <w:noWrap/>
            <w:vAlign w:val="center"/>
            <w:hideMark/>
          </w:tcPr>
          <w:p w14:paraId="44F1D1CB"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Tobin</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s Q L1</w:t>
            </w:r>
          </w:p>
        </w:tc>
        <w:tc>
          <w:tcPr>
            <w:tcW w:w="2382" w:type="dxa"/>
            <w:tcBorders>
              <w:top w:val="nil"/>
              <w:left w:val="nil"/>
              <w:bottom w:val="nil"/>
              <w:right w:val="nil"/>
            </w:tcBorders>
            <w:vAlign w:val="bottom"/>
            <w:hideMark/>
          </w:tcPr>
          <w:p w14:paraId="0C0A25A1"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4231***</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0334)</w:t>
            </w:r>
          </w:p>
        </w:tc>
        <w:tc>
          <w:tcPr>
            <w:tcW w:w="1798" w:type="dxa"/>
            <w:tcBorders>
              <w:top w:val="nil"/>
              <w:left w:val="nil"/>
              <w:bottom w:val="nil"/>
              <w:right w:val="nil"/>
            </w:tcBorders>
            <w:vAlign w:val="bottom"/>
            <w:hideMark/>
          </w:tcPr>
          <w:p w14:paraId="7C523800"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4769***</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0294)</w:t>
            </w:r>
          </w:p>
        </w:tc>
        <w:tc>
          <w:tcPr>
            <w:tcW w:w="1862" w:type="dxa"/>
            <w:tcBorders>
              <w:top w:val="nil"/>
              <w:left w:val="nil"/>
              <w:bottom w:val="nil"/>
              <w:right w:val="nil"/>
            </w:tcBorders>
            <w:vAlign w:val="bottom"/>
            <w:hideMark/>
          </w:tcPr>
          <w:p w14:paraId="793B3FC6"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3842***</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0475)</w:t>
            </w:r>
          </w:p>
        </w:tc>
      </w:tr>
      <w:tr w:rsidR="00C065E8" w:rsidRPr="00E40BCD" w14:paraId="13339D87" w14:textId="77777777" w:rsidTr="00C065E8">
        <w:trPr>
          <w:trHeight w:val="488"/>
        </w:trPr>
        <w:tc>
          <w:tcPr>
            <w:tcW w:w="2753" w:type="dxa"/>
            <w:tcBorders>
              <w:top w:val="nil"/>
              <w:left w:val="nil"/>
              <w:bottom w:val="nil"/>
              <w:right w:val="nil"/>
            </w:tcBorders>
            <w:shd w:val="clear" w:color="D9D9D9" w:fill="D9D9D9"/>
            <w:noWrap/>
            <w:vAlign w:val="center"/>
            <w:hideMark/>
          </w:tcPr>
          <w:p w14:paraId="3AAF394B"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Firm Size</w:t>
            </w:r>
          </w:p>
        </w:tc>
        <w:tc>
          <w:tcPr>
            <w:tcW w:w="2382" w:type="dxa"/>
            <w:tcBorders>
              <w:top w:val="nil"/>
              <w:left w:val="nil"/>
              <w:bottom w:val="nil"/>
              <w:right w:val="nil"/>
            </w:tcBorders>
            <w:shd w:val="clear" w:color="D9D9D9" w:fill="D9D9D9"/>
            <w:vAlign w:val="bottom"/>
            <w:hideMark/>
          </w:tcPr>
          <w:p w14:paraId="6F35BC59"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1824***</w:t>
            </w:r>
            <w:r w:rsidRPr="00E40BCD">
              <w:rPr>
                <w:rFonts w:ascii="Times New Roman" w:eastAsia="Times New Roman" w:hAnsi="Times New Roman" w:cs="Times New Roman"/>
                <w:color w:val="000000"/>
                <w:kern w:val="0"/>
                <w:lang w:eastAsia="pt-BR"/>
                <w14:ligatures w14:val="none"/>
              </w:rPr>
              <w:br/>
              <w:t>(</w:t>
            </w:r>
            <w:r>
              <w:rPr>
                <w:rFonts w:ascii="Times New Roman" w:eastAsia="Times New Roman" w:hAnsi="Times New Roman" w:cs="Times New Roman"/>
                <w:color w:val="000000"/>
                <w:kern w:val="0"/>
                <w:lang w:eastAsia="pt-BR"/>
                <w14:ligatures w14:val="none"/>
              </w:rPr>
              <w:t>0.</w:t>
            </w:r>
            <w:r w:rsidRPr="00E40BCD">
              <w:rPr>
                <w:rFonts w:ascii="Times New Roman" w:eastAsia="Times New Roman" w:hAnsi="Times New Roman" w:cs="Times New Roman"/>
                <w:color w:val="000000"/>
                <w:kern w:val="0"/>
                <w:lang w:eastAsia="pt-BR"/>
                <w14:ligatures w14:val="none"/>
              </w:rPr>
              <w:t>0358)</w:t>
            </w:r>
          </w:p>
        </w:tc>
        <w:tc>
          <w:tcPr>
            <w:tcW w:w="1798" w:type="dxa"/>
            <w:tcBorders>
              <w:top w:val="nil"/>
              <w:left w:val="nil"/>
              <w:bottom w:val="nil"/>
              <w:right w:val="nil"/>
            </w:tcBorders>
            <w:shd w:val="clear" w:color="D9D9D9" w:fill="D9D9D9"/>
            <w:vAlign w:val="bottom"/>
            <w:hideMark/>
          </w:tcPr>
          <w:p w14:paraId="7B8794D2"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1825***</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0351)</w:t>
            </w:r>
          </w:p>
        </w:tc>
        <w:tc>
          <w:tcPr>
            <w:tcW w:w="1862" w:type="dxa"/>
            <w:tcBorders>
              <w:top w:val="nil"/>
              <w:left w:val="nil"/>
              <w:bottom w:val="nil"/>
              <w:right w:val="nil"/>
            </w:tcBorders>
            <w:shd w:val="clear" w:color="D9D9D9" w:fill="D9D9D9"/>
            <w:vAlign w:val="bottom"/>
            <w:hideMark/>
          </w:tcPr>
          <w:p w14:paraId="1B652B1C"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4795***</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1489)</w:t>
            </w:r>
          </w:p>
        </w:tc>
      </w:tr>
      <w:tr w:rsidR="00C065E8" w:rsidRPr="00E40BCD" w14:paraId="2CEA6FA0" w14:textId="77777777" w:rsidTr="00C065E8">
        <w:trPr>
          <w:trHeight w:val="488"/>
        </w:trPr>
        <w:tc>
          <w:tcPr>
            <w:tcW w:w="2753" w:type="dxa"/>
            <w:tcBorders>
              <w:top w:val="nil"/>
              <w:left w:val="nil"/>
              <w:bottom w:val="nil"/>
              <w:right w:val="nil"/>
            </w:tcBorders>
            <w:noWrap/>
            <w:vAlign w:val="center"/>
            <w:hideMark/>
          </w:tcPr>
          <w:p w14:paraId="3E2EFB0A"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Leverage</w:t>
            </w:r>
          </w:p>
        </w:tc>
        <w:tc>
          <w:tcPr>
            <w:tcW w:w="2382" w:type="dxa"/>
            <w:tcBorders>
              <w:top w:val="nil"/>
              <w:left w:val="nil"/>
              <w:bottom w:val="nil"/>
              <w:right w:val="nil"/>
            </w:tcBorders>
            <w:vAlign w:val="bottom"/>
            <w:hideMark/>
          </w:tcPr>
          <w:p w14:paraId="2B6194E9"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2367</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2694)</w:t>
            </w:r>
          </w:p>
        </w:tc>
        <w:tc>
          <w:tcPr>
            <w:tcW w:w="1798" w:type="dxa"/>
            <w:tcBorders>
              <w:top w:val="nil"/>
              <w:left w:val="nil"/>
              <w:bottom w:val="nil"/>
              <w:right w:val="nil"/>
            </w:tcBorders>
            <w:vAlign w:val="bottom"/>
            <w:hideMark/>
          </w:tcPr>
          <w:p w14:paraId="599A8629"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2488</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2629)</w:t>
            </w:r>
          </w:p>
        </w:tc>
        <w:tc>
          <w:tcPr>
            <w:tcW w:w="1862" w:type="dxa"/>
            <w:tcBorders>
              <w:top w:val="nil"/>
              <w:left w:val="nil"/>
              <w:bottom w:val="nil"/>
              <w:right w:val="nil"/>
            </w:tcBorders>
            <w:vAlign w:val="bottom"/>
            <w:hideMark/>
          </w:tcPr>
          <w:p w14:paraId="1819B2BB"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5995***</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1902)</w:t>
            </w:r>
          </w:p>
        </w:tc>
      </w:tr>
      <w:tr w:rsidR="00C065E8" w:rsidRPr="00E40BCD" w14:paraId="66D5B2F6" w14:textId="77777777" w:rsidTr="00C065E8">
        <w:trPr>
          <w:trHeight w:val="488"/>
        </w:trPr>
        <w:tc>
          <w:tcPr>
            <w:tcW w:w="2753" w:type="dxa"/>
            <w:tcBorders>
              <w:top w:val="nil"/>
              <w:left w:val="nil"/>
              <w:bottom w:val="nil"/>
              <w:right w:val="nil"/>
            </w:tcBorders>
            <w:shd w:val="clear" w:color="D9D9D9" w:fill="D9D9D9"/>
            <w:noWrap/>
            <w:vAlign w:val="center"/>
            <w:hideMark/>
          </w:tcPr>
          <w:p w14:paraId="38C90FBD"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ROA</w:t>
            </w:r>
          </w:p>
        </w:tc>
        <w:tc>
          <w:tcPr>
            <w:tcW w:w="2382" w:type="dxa"/>
            <w:tcBorders>
              <w:top w:val="nil"/>
              <w:left w:val="nil"/>
              <w:bottom w:val="nil"/>
              <w:right w:val="nil"/>
            </w:tcBorders>
            <w:shd w:val="clear" w:color="D9D9D9" w:fill="D9D9D9"/>
            <w:vAlign w:val="bottom"/>
            <w:hideMark/>
          </w:tcPr>
          <w:p w14:paraId="146D8B7F"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4339</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4519)</w:t>
            </w:r>
          </w:p>
        </w:tc>
        <w:tc>
          <w:tcPr>
            <w:tcW w:w="1798" w:type="dxa"/>
            <w:tcBorders>
              <w:top w:val="nil"/>
              <w:left w:val="nil"/>
              <w:bottom w:val="nil"/>
              <w:right w:val="nil"/>
            </w:tcBorders>
            <w:shd w:val="clear" w:color="D9D9D9" w:fill="D9D9D9"/>
            <w:vAlign w:val="bottom"/>
            <w:hideMark/>
          </w:tcPr>
          <w:p w14:paraId="498D45B4"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9314**</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4595)</w:t>
            </w:r>
          </w:p>
        </w:tc>
        <w:tc>
          <w:tcPr>
            <w:tcW w:w="1862" w:type="dxa"/>
            <w:tcBorders>
              <w:top w:val="nil"/>
              <w:left w:val="nil"/>
              <w:bottom w:val="nil"/>
              <w:right w:val="nil"/>
            </w:tcBorders>
            <w:shd w:val="clear" w:color="D9D9D9" w:fill="D9D9D9"/>
            <w:vAlign w:val="bottom"/>
            <w:hideMark/>
          </w:tcPr>
          <w:p w14:paraId="4BB7D791"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1</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7674***</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2681)</w:t>
            </w:r>
          </w:p>
        </w:tc>
      </w:tr>
      <w:tr w:rsidR="00C065E8" w:rsidRPr="00E40BCD" w14:paraId="502C67E7" w14:textId="77777777" w:rsidTr="00C065E8">
        <w:trPr>
          <w:trHeight w:val="488"/>
        </w:trPr>
        <w:tc>
          <w:tcPr>
            <w:tcW w:w="2753" w:type="dxa"/>
            <w:tcBorders>
              <w:top w:val="nil"/>
              <w:left w:val="nil"/>
              <w:bottom w:val="nil"/>
              <w:right w:val="nil"/>
            </w:tcBorders>
            <w:noWrap/>
            <w:vAlign w:val="center"/>
            <w:hideMark/>
          </w:tcPr>
          <w:p w14:paraId="2F3F66AD"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Sales Growth</w:t>
            </w:r>
          </w:p>
        </w:tc>
        <w:tc>
          <w:tcPr>
            <w:tcW w:w="2382" w:type="dxa"/>
            <w:tcBorders>
              <w:top w:val="nil"/>
              <w:left w:val="nil"/>
              <w:bottom w:val="nil"/>
              <w:right w:val="nil"/>
            </w:tcBorders>
            <w:vAlign w:val="bottom"/>
            <w:hideMark/>
          </w:tcPr>
          <w:p w14:paraId="2E52D67D"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0785**</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0358)</w:t>
            </w:r>
          </w:p>
        </w:tc>
        <w:tc>
          <w:tcPr>
            <w:tcW w:w="1798" w:type="dxa"/>
            <w:tcBorders>
              <w:top w:val="nil"/>
              <w:left w:val="nil"/>
              <w:bottom w:val="nil"/>
              <w:right w:val="nil"/>
            </w:tcBorders>
            <w:vAlign w:val="bottom"/>
            <w:hideMark/>
          </w:tcPr>
          <w:p w14:paraId="3AFB3282"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0715**</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0356)</w:t>
            </w:r>
          </w:p>
        </w:tc>
        <w:tc>
          <w:tcPr>
            <w:tcW w:w="1862" w:type="dxa"/>
            <w:tcBorders>
              <w:top w:val="nil"/>
              <w:left w:val="nil"/>
              <w:bottom w:val="nil"/>
              <w:right w:val="nil"/>
            </w:tcBorders>
            <w:vAlign w:val="bottom"/>
            <w:hideMark/>
          </w:tcPr>
          <w:p w14:paraId="51CD6870"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0.</w:t>
            </w:r>
            <w:r w:rsidRPr="00E40BCD">
              <w:rPr>
                <w:rFonts w:ascii="Times New Roman" w:eastAsia="Times New Roman" w:hAnsi="Times New Roman" w:cs="Times New Roman"/>
                <w:color w:val="000000"/>
                <w:kern w:val="0"/>
                <w:lang w:eastAsia="pt-BR"/>
                <w14:ligatures w14:val="none"/>
              </w:rPr>
              <w:t>0426</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0300)</w:t>
            </w:r>
          </w:p>
        </w:tc>
      </w:tr>
      <w:tr w:rsidR="00C065E8" w:rsidRPr="00E40BCD" w14:paraId="7D7C9242" w14:textId="77777777" w:rsidTr="00C065E8">
        <w:trPr>
          <w:trHeight w:val="488"/>
        </w:trPr>
        <w:tc>
          <w:tcPr>
            <w:tcW w:w="2753" w:type="dxa"/>
            <w:tcBorders>
              <w:top w:val="nil"/>
              <w:left w:val="nil"/>
              <w:bottom w:val="nil"/>
              <w:right w:val="nil"/>
            </w:tcBorders>
            <w:shd w:val="clear" w:color="D9D9D9" w:fill="D9D9D9"/>
            <w:noWrap/>
            <w:vAlign w:val="center"/>
            <w:hideMark/>
          </w:tcPr>
          <w:p w14:paraId="529AF33E"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_cons</w:t>
            </w:r>
          </w:p>
        </w:tc>
        <w:tc>
          <w:tcPr>
            <w:tcW w:w="2382" w:type="dxa"/>
            <w:tcBorders>
              <w:top w:val="nil"/>
              <w:left w:val="nil"/>
              <w:bottom w:val="nil"/>
              <w:right w:val="nil"/>
            </w:tcBorders>
            <w:shd w:val="clear" w:color="D9D9D9" w:fill="D9D9D9"/>
            <w:vAlign w:val="bottom"/>
            <w:hideMark/>
          </w:tcPr>
          <w:p w14:paraId="1D7261B3"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4</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3016***</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7276)</w:t>
            </w:r>
          </w:p>
        </w:tc>
        <w:tc>
          <w:tcPr>
            <w:tcW w:w="1798" w:type="dxa"/>
            <w:tcBorders>
              <w:top w:val="nil"/>
              <w:left w:val="nil"/>
              <w:bottom w:val="nil"/>
              <w:right w:val="nil"/>
            </w:tcBorders>
            <w:shd w:val="clear" w:color="D9D9D9" w:fill="D9D9D9"/>
            <w:vAlign w:val="bottom"/>
            <w:hideMark/>
          </w:tcPr>
          <w:p w14:paraId="481AD124"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4</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0077***</w:t>
            </w:r>
            <w:r w:rsidRPr="00E40BCD">
              <w:rPr>
                <w:rFonts w:ascii="Times New Roman" w:eastAsia="Times New Roman" w:hAnsi="Times New Roman" w:cs="Times New Roman"/>
                <w:color w:val="000000"/>
                <w:kern w:val="0"/>
                <w:lang w:eastAsia="pt-BR"/>
                <w14:ligatures w14:val="none"/>
              </w:rPr>
              <w:br/>
              <w:t>(0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7167)</w:t>
            </w:r>
          </w:p>
        </w:tc>
        <w:tc>
          <w:tcPr>
            <w:tcW w:w="1862" w:type="dxa"/>
            <w:tcBorders>
              <w:top w:val="nil"/>
              <w:left w:val="nil"/>
              <w:bottom w:val="nil"/>
              <w:right w:val="nil"/>
            </w:tcBorders>
            <w:shd w:val="clear" w:color="D9D9D9" w:fill="D9D9D9"/>
            <w:vAlign w:val="bottom"/>
            <w:hideMark/>
          </w:tcPr>
          <w:p w14:paraId="47D625FF"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11</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2697***</w:t>
            </w:r>
            <w:r w:rsidRPr="00E40BCD">
              <w:rPr>
                <w:rFonts w:ascii="Times New Roman" w:eastAsia="Times New Roman" w:hAnsi="Times New Roman" w:cs="Times New Roman"/>
                <w:color w:val="000000"/>
                <w:kern w:val="0"/>
                <w:lang w:eastAsia="pt-BR"/>
                <w14:ligatures w14:val="none"/>
              </w:rPr>
              <w:br/>
              <w:t>(2</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8548)</w:t>
            </w:r>
          </w:p>
        </w:tc>
      </w:tr>
      <w:tr w:rsidR="00C065E8" w:rsidRPr="00E40BCD" w14:paraId="53B49666" w14:textId="77777777" w:rsidTr="00C065E8">
        <w:trPr>
          <w:trHeight w:val="243"/>
        </w:trPr>
        <w:tc>
          <w:tcPr>
            <w:tcW w:w="2753" w:type="dxa"/>
            <w:tcBorders>
              <w:top w:val="nil"/>
              <w:left w:val="nil"/>
              <w:bottom w:val="nil"/>
              <w:right w:val="nil"/>
            </w:tcBorders>
            <w:noWrap/>
            <w:vAlign w:val="center"/>
            <w:hideMark/>
          </w:tcPr>
          <w:p w14:paraId="2F03DA06"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p>
        </w:tc>
        <w:tc>
          <w:tcPr>
            <w:tcW w:w="2382" w:type="dxa"/>
            <w:tcBorders>
              <w:top w:val="nil"/>
              <w:left w:val="nil"/>
              <w:bottom w:val="nil"/>
              <w:right w:val="nil"/>
            </w:tcBorders>
            <w:noWrap/>
            <w:vAlign w:val="center"/>
          </w:tcPr>
          <w:p w14:paraId="41CFEF52"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p>
        </w:tc>
        <w:tc>
          <w:tcPr>
            <w:tcW w:w="1798" w:type="dxa"/>
            <w:tcBorders>
              <w:top w:val="nil"/>
              <w:left w:val="nil"/>
              <w:bottom w:val="nil"/>
              <w:right w:val="nil"/>
            </w:tcBorders>
            <w:noWrap/>
            <w:vAlign w:val="center"/>
          </w:tcPr>
          <w:p w14:paraId="611D0024"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p>
        </w:tc>
        <w:tc>
          <w:tcPr>
            <w:tcW w:w="1862" w:type="dxa"/>
            <w:tcBorders>
              <w:top w:val="nil"/>
              <w:left w:val="nil"/>
              <w:bottom w:val="nil"/>
              <w:right w:val="nil"/>
            </w:tcBorders>
            <w:noWrap/>
            <w:vAlign w:val="center"/>
          </w:tcPr>
          <w:p w14:paraId="309B5FBD"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p>
        </w:tc>
      </w:tr>
      <w:tr w:rsidR="00C065E8" w:rsidRPr="00E40BCD" w14:paraId="17B2E0DA" w14:textId="77777777" w:rsidTr="00C065E8">
        <w:trPr>
          <w:trHeight w:val="243"/>
        </w:trPr>
        <w:tc>
          <w:tcPr>
            <w:tcW w:w="2753" w:type="dxa"/>
            <w:tcBorders>
              <w:top w:val="nil"/>
              <w:left w:val="nil"/>
              <w:bottom w:val="nil"/>
              <w:right w:val="nil"/>
            </w:tcBorders>
            <w:shd w:val="clear" w:color="D9D9D9" w:fill="D9D9D9"/>
            <w:noWrap/>
            <w:vAlign w:val="center"/>
            <w:hideMark/>
          </w:tcPr>
          <w:p w14:paraId="51FA9E7F"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Sample Size</w:t>
            </w:r>
          </w:p>
        </w:tc>
        <w:tc>
          <w:tcPr>
            <w:tcW w:w="2382" w:type="dxa"/>
            <w:tcBorders>
              <w:top w:val="nil"/>
              <w:left w:val="nil"/>
              <w:bottom w:val="nil"/>
              <w:right w:val="nil"/>
            </w:tcBorders>
            <w:shd w:val="clear" w:color="D9D9D9" w:fill="D9D9D9"/>
            <w:noWrap/>
            <w:vAlign w:val="center"/>
            <w:hideMark/>
          </w:tcPr>
          <w:p w14:paraId="169F4701"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3806</w:t>
            </w:r>
          </w:p>
        </w:tc>
        <w:tc>
          <w:tcPr>
            <w:tcW w:w="1798" w:type="dxa"/>
            <w:tcBorders>
              <w:top w:val="nil"/>
              <w:left w:val="nil"/>
              <w:bottom w:val="nil"/>
              <w:right w:val="nil"/>
            </w:tcBorders>
            <w:shd w:val="clear" w:color="D9D9D9" w:fill="D9D9D9"/>
            <w:noWrap/>
            <w:vAlign w:val="center"/>
            <w:hideMark/>
          </w:tcPr>
          <w:p w14:paraId="7773B52C" w14:textId="77777777" w:rsidR="00C065E8" w:rsidRPr="00E40BCD" w:rsidRDefault="00C065E8" w:rsidP="00C065E8">
            <w:pPr>
              <w:spacing w:after="0" w:line="240" w:lineRule="auto"/>
              <w:jc w:val="center"/>
              <w:rPr>
                <w:rFonts w:ascii="Times New Roman" w:eastAsia="Times New Roman" w:hAnsi="Times New Roman" w:cs="Times New Roman"/>
                <w:kern w:val="0"/>
                <w:lang w:eastAsia="pt-BR"/>
                <w14:ligatures w14:val="none"/>
              </w:rPr>
            </w:pPr>
            <w:r w:rsidRPr="00E40BCD">
              <w:rPr>
                <w:rFonts w:ascii="Times New Roman" w:eastAsia="Times New Roman" w:hAnsi="Times New Roman" w:cs="Times New Roman"/>
                <w:color w:val="000000"/>
                <w:kern w:val="0"/>
                <w:lang w:eastAsia="pt-BR"/>
                <w14:ligatures w14:val="none"/>
              </w:rPr>
              <w:t>3806</w:t>
            </w:r>
          </w:p>
        </w:tc>
        <w:tc>
          <w:tcPr>
            <w:tcW w:w="1862" w:type="dxa"/>
            <w:tcBorders>
              <w:top w:val="nil"/>
              <w:left w:val="nil"/>
              <w:bottom w:val="nil"/>
              <w:right w:val="nil"/>
            </w:tcBorders>
            <w:shd w:val="clear" w:color="D9D9D9" w:fill="D9D9D9"/>
            <w:noWrap/>
            <w:vAlign w:val="center"/>
            <w:hideMark/>
          </w:tcPr>
          <w:p w14:paraId="2CFA4196" w14:textId="77777777" w:rsidR="00C065E8" w:rsidRPr="00E40BCD" w:rsidRDefault="00C065E8" w:rsidP="00C065E8">
            <w:pPr>
              <w:spacing w:after="0" w:line="240" w:lineRule="auto"/>
              <w:jc w:val="center"/>
              <w:rPr>
                <w:rFonts w:ascii="Times New Roman" w:eastAsia="Times New Roman" w:hAnsi="Times New Roman" w:cs="Times New Roman"/>
                <w:kern w:val="0"/>
                <w:lang w:eastAsia="pt-BR"/>
                <w14:ligatures w14:val="none"/>
              </w:rPr>
            </w:pPr>
            <w:r w:rsidRPr="00E40BCD">
              <w:rPr>
                <w:rFonts w:ascii="Times New Roman" w:eastAsia="Times New Roman" w:hAnsi="Times New Roman" w:cs="Times New Roman"/>
                <w:color w:val="000000"/>
                <w:kern w:val="0"/>
                <w:lang w:eastAsia="pt-BR"/>
                <w14:ligatures w14:val="none"/>
              </w:rPr>
              <w:t>3806</w:t>
            </w:r>
          </w:p>
        </w:tc>
      </w:tr>
      <w:tr w:rsidR="00C065E8" w:rsidRPr="00E40BCD" w14:paraId="1C245BAB" w14:textId="77777777" w:rsidTr="00C065E8">
        <w:trPr>
          <w:trHeight w:val="243"/>
        </w:trPr>
        <w:tc>
          <w:tcPr>
            <w:tcW w:w="2753" w:type="dxa"/>
            <w:tcBorders>
              <w:top w:val="nil"/>
              <w:left w:val="nil"/>
              <w:bottom w:val="nil"/>
              <w:right w:val="nil"/>
            </w:tcBorders>
            <w:noWrap/>
            <w:vAlign w:val="center"/>
            <w:hideMark/>
          </w:tcPr>
          <w:p w14:paraId="4468B801" w14:textId="77777777" w:rsidR="00C065E8" w:rsidRPr="00E40BCD" w:rsidRDefault="00C065E8" w:rsidP="00C065E8">
            <w:pPr>
              <w:spacing w:after="0" w:line="240" w:lineRule="auto"/>
              <w:jc w:val="both"/>
              <w:rPr>
                <w:rFonts w:ascii="Times New Roman" w:eastAsia="Times New Roman" w:hAnsi="Times New Roman" w:cs="Times New Roman"/>
                <w:b/>
                <w:bCs/>
                <w:color w:val="000000"/>
                <w:kern w:val="0"/>
                <w:lang w:eastAsia="pt-BR"/>
                <w14:ligatures w14:val="none"/>
              </w:rPr>
            </w:pPr>
            <w:r w:rsidRPr="00E40BCD">
              <w:rPr>
                <w:rFonts w:ascii="Times New Roman" w:eastAsia="Times New Roman" w:hAnsi="Times New Roman" w:cs="Times New Roman"/>
                <w:b/>
                <w:bCs/>
                <w:color w:val="000000"/>
                <w:kern w:val="0"/>
                <w:lang w:eastAsia="pt-BR"/>
                <w14:ligatures w14:val="none"/>
              </w:rPr>
              <w:t>Arellano-Bond Test AR(1):</w:t>
            </w:r>
          </w:p>
        </w:tc>
        <w:tc>
          <w:tcPr>
            <w:tcW w:w="2382" w:type="dxa"/>
            <w:tcBorders>
              <w:top w:val="nil"/>
              <w:left w:val="nil"/>
              <w:bottom w:val="nil"/>
              <w:right w:val="nil"/>
            </w:tcBorders>
            <w:noWrap/>
            <w:vAlign w:val="bottom"/>
            <w:hideMark/>
          </w:tcPr>
          <w:p w14:paraId="0067C9AC"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z = -4</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75***</w:t>
            </w:r>
          </w:p>
        </w:tc>
        <w:tc>
          <w:tcPr>
            <w:tcW w:w="1798" w:type="dxa"/>
            <w:tcBorders>
              <w:top w:val="nil"/>
              <w:left w:val="nil"/>
              <w:bottom w:val="nil"/>
              <w:right w:val="nil"/>
            </w:tcBorders>
            <w:noWrap/>
            <w:vAlign w:val="bottom"/>
            <w:hideMark/>
          </w:tcPr>
          <w:p w14:paraId="28B06DA7"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z = -5</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11***</w:t>
            </w:r>
          </w:p>
        </w:tc>
        <w:tc>
          <w:tcPr>
            <w:tcW w:w="1862" w:type="dxa"/>
            <w:tcBorders>
              <w:top w:val="nil"/>
              <w:left w:val="nil"/>
              <w:bottom w:val="nil"/>
              <w:right w:val="nil"/>
            </w:tcBorders>
            <w:noWrap/>
            <w:vAlign w:val="bottom"/>
            <w:hideMark/>
          </w:tcPr>
          <w:p w14:paraId="136B72EB"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z = -4</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88***</w:t>
            </w:r>
          </w:p>
        </w:tc>
      </w:tr>
      <w:tr w:rsidR="00C065E8" w:rsidRPr="00E40BCD" w14:paraId="1A288642" w14:textId="77777777" w:rsidTr="00C065E8">
        <w:trPr>
          <w:trHeight w:val="243"/>
        </w:trPr>
        <w:tc>
          <w:tcPr>
            <w:tcW w:w="2753" w:type="dxa"/>
            <w:tcBorders>
              <w:top w:val="nil"/>
              <w:left w:val="nil"/>
              <w:bottom w:val="nil"/>
              <w:right w:val="nil"/>
            </w:tcBorders>
            <w:shd w:val="clear" w:color="D9D9D9" w:fill="D9D9D9"/>
            <w:noWrap/>
            <w:vAlign w:val="center"/>
            <w:hideMark/>
          </w:tcPr>
          <w:p w14:paraId="39DD6EBC" w14:textId="77777777" w:rsidR="00C065E8" w:rsidRPr="00E40BCD" w:rsidRDefault="00C065E8" w:rsidP="00C065E8">
            <w:pPr>
              <w:spacing w:after="0" w:line="240" w:lineRule="auto"/>
              <w:jc w:val="both"/>
              <w:rPr>
                <w:rFonts w:ascii="Times New Roman" w:eastAsia="Times New Roman" w:hAnsi="Times New Roman" w:cs="Times New Roman"/>
                <w:b/>
                <w:bCs/>
                <w:color w:val="000000"/>
                <w:kern w:val="0"/>
                <w:lang w:eastAsia="pt-BR"/>
                <w14:ligatures w14:val="none"/>
              </w:rPr>
            </w:pPr>
            <w:r w:rsidRPr="00E40BCD">
              <w:rPr>
                <w:rFonts w:ascii="Times New Roman" w:eastAsia="Times New Roman" w:hAnsi="Times New Roman" w:cs="Times New Roman"/>
                <w:b/>
                <w:bCs/>
                <w:color w:val="000000"/>
                <w:kern w:val="0"/>
                <w:lang w:eastAsia="pt-BR"/>
                <w14:ligatures w14:val="none"/>
              </w:rPr>
              <w:t>Arellano-Bond Test AR(2)</w:t>
            </w:r>
          </w:p>
        </w:tc>
        <w:tc>
          <w:tcPr>
            <w:tcW w:w="2382" w:type="dxa"/>
            <w:tcBorders>
              <w:top w:val="nil"/>
              <w:left w:val="nil"/>
              <w:bottom w:val="nil"/>
              <w:right w:val="nil"/>
            </w:tcBorders>
            <w:shd w:val="clear" w:color="D9D9D9" w:fill="D9D9D9"/>
            <w:noWrap/>
            <w:vAlign w:val="bottom"/>
            <w:hideMark/>
          </w:tcPr>
          <w:p w14:paraId="7EEE044D"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z = -1</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81</w:t>
            </w:r>
          </w:p>
        </w:tc>
        <w:tc>
          <w:tcPr>
            <w:tcW w:w="1798" w:type="dxa"/>
            <w:tcBorders>
              <w:top w:val="nil"/>
              <w:left w:val="nil"/>
              <w:bottom w:val="nil"/>
              <w:right w:val="nil"/>
            </w:tcBorders>
            <w:shd w:val="clear" w:color="D9D9D9" w:fill="D9D9D9"/>
            <w:noWrap/>
            <w:vAlign w:val="bottom"/>
            <w:hideMark/>
          </w:tcPr>
          <w:p w14:paraId="0C27EE4B"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z = -1</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66</w:t>
            </w:r>
          </w:p>
        </w:tc>
        <w:tc>
          <w:tcPr>
            <w:tcW w:w="1862" w:type="dxa"/>
            <w:tcBorders>
              <w:top w:val="nil"/>
              <w:left w:val="nil"/>
              <w:bottom w:val="nil"/>
              <w:right w:val="nil"/>
            </w:tcBorders>
            <w:shd w:val="clear" w:color="D9D9D9" w:fill="D9D9D9"/>
            <w:noWrap/>
            <w:vAlign w:val="bottom"/>
            <w:hideMark/>
          </w:tcPr>
          <w:p w14:paraId="72ED7182" w14:textId="77777777" w:rsidR="00C065E8" w:rsidRPr="00E40BCD" w:rsidRDefault="00C065E8" w:rsidP="00C065E8">
            <w:pPr>
              <w:spacing w:after="0" w:line="240" w:lineRule="auto"/>
              <w:jc w:val="center"/>
              <w:rPr>
                <w:rFonts w:ascii="Times New Roman" w:eastAsia="Times New Roman" w:hAnsi="Times New Roman" w:cs="Times New Roman"/>
                <w:color w:val="000000"/>
                <w:kern w:val="0"/>
                <w:lang w:eastAsia="pt-BR"/>
                <w14:ligatures w14:val="none"/>
              </w:rPr>
            </w:pPr>
            <w:r w:rsidRPr="00E40BCD">
              <w:rPr>
                <w:rFonts w:ascii="Times New Roman" w:eastAsia="Times New Roman" w:hAnsi="Times New Roman" w:cs="Times New Roman"/>
                <w:color w:val="000000"/>
                <w:kern w:val="0"/>
                <w:lang w:eastAsia="pt-BR"/>
                <w14:ligatures w14:val="none"/>
              </w:rPr>
              <w:t>z = 0</w:t>
            </w:r>
            <w:r>
              <w:rPr>
                <w:rFonts w:ascii="Times New Roman" w:eastAsia="Times New Roman" w:hAnsi="Times New Roman" w:cs="Times New Roman"/>
                <w:color w:val="000000"/>
                <w:kern w:val="0"/>
                <w:lang w:eastAsia="pt-BR"/>
                <w14:ligatures w14:val="none"/>
              </w:rPr>
              <w:t>.</w:t>
            </w:r>
            <w:r w:rsidRPr="00E40BCD">
              <w:rPr>
                <w:rFonts w:ascii="Times New Roman" w:eastAsia="Times New Roman" w:hAnsi="Times New Roman" w:cs="Times New Roman"/>
                <w:color w:val="000000"/>
                <w:kern w:val="0"/>
                <w:lang w:eastAsia="pt-BR"/>
                <w14:ligatures w14:val="none"/>
              </w:rPr>
              <w:t>45</w:t>
            </w:r>
          </w:p>
        </w:tc>
      </w:tr>
      <w:tr w:rsidR="00C065E8" w:rsidRPr="00E40BCD" w14:paraId="5B83254A" w14:textId="77777777" w:rsidTr="00C065E8">
        <w:trPr>
          <w:trHeight w:val="243"/>
        </w:trPr>
        <w:tc>
          <w:tcPr>
            <w:tcW w:w="2753" w:type="dxa"/>
            <w:tcBorders>
              <w:top w:val="nil"/>
              <w:left w:val="nil"/>
              <w:bottom w:val="nil"/>
              <w:right w:val="nil"/>
            </w:tcBorders>
            <w:noWrap/>
            <w:vAlign w:val="center"/>
            <w:hideMark/>
          </w:tcPr>
          <w:p w14:paraId="1FB35989" w14:textId="77777777" w:rsidR="00C065E8" w:rsidRPr="00E40BCD" w:rsidRDefault="00C065E8" w:rsidP="00C065E8">
            <w:pPr>
              <w:spacing w:after="0" w:line="240" w:lineRule="auto"/>
              <w:jc w:val="both"/>
              <w:rPr>
                <w:rFonts w:ascii="Times New Roman" w:eastAsia="Times New Roman" w:hAnsi="Times New Roman" w:cs="Times New Roman"/>
                <w:color w:val="000000"/>
                <w:kern w:val="0"/>
                <w:lang w:eastAsia="pt-BR"/>
                <w14:ligatures w14:val="none"/>
              </w:rPr>
            </w:pPr>
          </w:p>
        </w:tc>
        <w:tc>
          <w:tcPr>
            <w:tcW w:w="2382" w:type="dxa"/>
            <w:tcBorders>
              <w:top w:val="nil"/>
              <w:left w:val="nil"/>
              <w:bottom w:val="nil"/>
              <w:right w:val="nil"/>
            </w:tcBorders>
            <w:noWrap/>
            <w:vAlign w:val="bottom"/>
            <w:hideMark/>
          </w:tcPr>
          <w:p w14:paraId="3E7EA227" w14:textId="77777777" w:rsidR="00C065E8" w:rsidRPr="00E40BCD" w:rsidRDefault="00C065E8" w:rsidP="00C065E8">
            <w:pPr>
              <w:spacing w:after="0" w:line="240" w:lineRule="auto"/>
              <w:jc w:val="both"/>
              <w:rPr>
                <w:rFonts w:ascii="Times New Roman" w:eastAsia="Times New Roman" w:hAnsi="Times New Roman" w:cs="Times New Roman"/>
                <w:kern w:val="0"/>
                <w:lang w:eastAsia="pt-BR"/>
                <w14:ligatures w14:val="none"/>
              </w:rPr>
            </w:pPr>
          </w:p>
        </w:tc>
        <w:tc>
          <w:tcPr>
            <w:tcW w:w="1798" w:type="dxa"/>
            <w:tcBorders>
              <w:top w:val="nil"/>
              <w:left w:val="nil"/>
              <w:bottom w:val="nil"/>
              <w:right w:val="nil"/>
            </w:tcBorders>
            <w:noWrap/>
            <w:vAlign w:val="bottom"/>
            <w:hideMark/>
          </w:tcPr>
          <w:p w14:paraId="1B1F93A7" w14:textId="77777777" w:rsidR="00C065E8" w:rsidRPr="00E40BCD" w:rsidRDefault="00C065E8" w:rsidP="00C065E8">
            <w:pPr>
              <w:spacing w:after="0" w:line="240" w:lineRule="auto"/>
              <w:jc w:val="both"/>
              <w:rPr>
                <w:rFonts w:ascii="Times New Roman" w:eastAsia="Times New Roman" w:hAnsi="Times New Roman" w:cs="Times New Roman"/>
                <w:kern w:val="0"/>
                <w:lang w:eastAsia="pt-BR"/>
                <w14:ligatures w14:val="none"/>
              </w:rPr>
            </w:pPr>
          </w:p>
        </w:tc>
        <w:tc>
          <w:tcPr>
            <w:tcW w:w="1862" w:type="dxa"/>
            <w:tcBorders>
              <w:top w:val="nil"/>
              <w:left w:val="nil"/>
              <w:bottom w:val="nil"/>
              <w:right w:val="nil"/>
            </w:tcBorders>
            <w:noWrap/>
            <w:vAlign w:val="bottom"/>
            <w:hideMark/>
          </w:tcPr>
          <w:p w14:paraId="25702D36" w14:textId="77777777" w:rsidR="00C065E8" w:rsidRPr="00E40BCD" w:rsidRDefault="00C065E8" w:rsidP="00C065E8">
            <w:pPr>
              <w:spacing w:after="0" w:line="240" w:lineRule="auto"/>
              <w:jc w:val="both"/>
              <w:rPr>
                <w:rFonts w:ascii="Times New Roman" w:eastAsia="Times New Roman" w:hAnsi="Times New Roman" w:cs="Times New Roman"/>
                <w:kern w:val="0"/>
                <w:lang w:eastAsia="pt-BR"/>
                <w14:ligatures w14:val="none"/>
              </w:rPr>
            </w:pPr>
          </w:p>
        </w:tc>
      </w:tr>
      <w:tr w:rsidR="00C065E8" w:rsidRPr="007162FA" w14:paraId="287CB351" w14:textId="77777777" w:rsidTr="00C065E8">
        <w:trPr>
          <w:trHeight w:val="243"/>
        </w:trPr>
        <w:tc>
          <w:tcPr>
            <w:tcW w:w="8795" w:type="dxa"/>
            <w:gridSpan w:val="4"/>
            <w:tcBorders>
              <w:top w:val="nil"/>
              <w:left w:val="nil"/>
              <w:bottom w:val="single" w:sz="4" w:space="0" w:color="000000"/>
            </w:tcBorders>
            <w:shd w:val="clear" w:color="D9D9D9" w:fill="D9D9D9"/>
            <w:noWrap/>
            <w:vAlign w:val="center"/>
            <w:hideMark/>
          </w:tcPr>
          <w:p w14:paraId="513A7C52" w14:textId="77777777" w:rsidR="00C065E8" w:rsidRPr="00A36E16" w:rsidRDefault="00C065E8" w:rsidP="00C065E8">
            <w:pPr>
              <w:spacing w:after="0" w:line="240" w:lineRule="auto"/>
              <w:jc w:val="both"/>
              <w:rPr>
                <w:rFonts w:ascii="Times New Roman" w:eastAsia="Times New Roman" w:hAnsi="Times New Roman" w:cs="Times New Roman"/>
                <w:color w:val="000000"/>
                <w:kern w:val="0"/>
                <w:lang w:val="en-US" w:eastAsia="pt-BR"/>
                <w14:ligatures w14:val="none"/>
              </w:rPr>
            </w:pPr>
            <w:r w:rsidRPr="00A36E16">
              <w:rPr>
                <w:rFonts w:ascii="Times New Roman" w:eastAsia="Times New Roman" w:hAnsi="Times New Roman" w:cs="Times New Roman"/>
                <w:color w:val="000000"/>
                <w:kern w:val="0"/>
                <w:lang w:val="en-US" w:eastAsia="pt-BR"/>
                <w14:ligatures w14:val="none"/>
              </w:rPr>
              <w:t>*p-value &lt; 0,1; **p-value &lt; 0,05; ***p-value &lt; 0,01</w:t>
            </w:r>
          </w:p>
          <w:p w14:paraId="4BC039F8" w14:textId="77777777" w:rsidR="00C065E8" w:rsidRPr="00A36E16" w:rsidRDefault="00C065E8" w:rsidP="00C065E8">
            <w:pPr>
              <w:spacing w:after="0" w:line="240" w:lineRule="auto"/>
              <w:jc w:val="both"/>
              <w:rPr>
                <w:rFonts w:ascii="Times New Roman" w:eastAsia="Times New Roman" w:hAnsi="Times New Roman" w:cs="Times New Roman"/>
                <w:kern w:val="0"/>
                <w:lang w:val="en-US" w:eastAsia="pt-BR"/>
                <w14:ligatures w14:val="none"/>
              </w:rPr>
            </w:pPr>
          </w:p>
        </w:tc>
      </w:tr>
    </w:tbl>
    <w:p w14:paraId="32C7EB63" w14:textId="62A80558" w:rsidR="00A36E16" w:rsidRDefault="00A36E16" w:rsidP="00A36E16">
      <w:pPr>
        <w:spacing w:line="360" w:lineRule="auto"/>
        <w:jc w:val="both"/>
        <w:rPr>
          <w:rFonts w:ascii="Times New Roman" w:hAnsi="Times New Roman" w:cs="Times New Roman"/>
          <w:sz w:val="24"/>
          <w:szCs w:val="24"/>
          <w:lang w:val="en-US"/>
        </w:rPr>
      </w:pPr>
      <w:r w:rsidRPr="00A36E16">
        <w:rPr>
          <w:rFonts w:ascii="Times New Roman" w:hAnsi="Times New Roman" w:cs="Times New Roman"/>
          <w:sz w:val="24"/>
          <w:szCs w:val="24"/>
          <w:lang w:val="en-US"/>
        </w:rPr>
        <w:t>Table 2 - Dynamic Panel Regression Results</w:t>
      </w:r>
    </w:p>
    <w:p w14:paraId="10B324EC" w14:textId="6304274B" w:rsidR="00A36E16" w:rsidRDefault="00A36E16" w:rsidP="00A36E16">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Source: Prepared by </w:t>
      </w:r>
      <w:r w:rsidR="001F1E9E">
        <w:rPr>
          <w:rFonts w:ascii="Times New Roman" w:hAnsi="Times New Roman" w:cs="Times New Roman"/>
          <w:sz w:val="20"/>
          <w:szCs w:val="20"/>
          <w:lang w:val="en-US"/>
        </w:rPr>
        <w:t xml:space="preserve">the </w:t>
      </w:r>
      <w:r>
        <w:rPr>
          <w:rFonts w:ascii="Times New Roman" w:hAnsi="Times New Roman" w:cs="Times New Roman"/>
          <w:sz w:val="20"/>
          <w:szCs w:val="20"/>
          <w:lang w:val="en-US"/>
        </w:rPr>
        <w:t>authors</w:t>
      </w:r>
    </w:p>
    <w:p w14:paraId="6D23365C" w14:textId="580C16B8" w:rsidR="008B788C" w:rsidRDefault="00A36E16" w:rsidP="007409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36E16">
        <w:rPr>
          <w:rFonts w:ascii="Times New Roman" w:hAnsi="Times New Roman" w:cs="Times New Roman"/>
          <w:sz w:val="24"/>
          <w:szCs w:val="24"/>
          <w:lang w:val="en-US"/>
        </w:rPr>
        <w:t xml:space="preserve">When we analyze the second model, we observe that the second hypothesis is also </w:t>
      </w:r>
      <w:r w:rsidR="001F1E9E">
        <w:rPr>
          <w:rFonts w:ascii="Times New Roman" w:hAnsi="Times New Roman" w:cs="Times New Roman"/>
          <w:sz w:val="24"/>
          <w:szCs w:val="24"/>
          <w:lang w:val="en-US"/>
        </w:rPr>
        <w:t>suppor</w:t>
      </w:r>
      <w:r w:rsidRPr="00A36E16">
        <w:rPr>
          <w:rFonts w:ascii="Times New Roman" w:hAnsi="Times New Roman" w:cs="Times New Roman"/>
          <w:sz w:val="24"/>
          <w:szCs w:val="24"/>
          <w:lang w:val="en-US"/>
        </w:rPr>
        <w:t xml:space="preserve">ted. The moderating variable, Shared Value (SV), </w:t>
      </w:r>
      <w:r w:rsidR="001F1E9E">
        <w:rPr>
          <w:rFonts w:ascii="Times New Roman" w:hAnsi="Times New Roman" w:cs="Times New Roman"/>
          <w:sz w:val="24"/>
          <w:szCs w:val="24"/>
          <w:lang w:val="en-US"/>
        </w:rPr>
        <w:t>strengthens</w:t>
      </w:r>
      <w:r w:rsidRPr="00A36E16">
        <w:rPr>
          <w:rFonts w:ascii="Times New Roman" w:hAnsi="Times New Roman" w:cs="Times New Roman"/>
          <w:sz w:val="24"/>
          <w:szCs w:val="24"/>
          <w:lang w:val="en-US"/>
        </w:rPr>
        <w:t xml:space="preserve"> the positive relationship between ESG and firm value. The coefficient of the moderating variable</w:t>
      </w:r>
      <w:r w:rsidR="001F1E9E">
        <w:rPr>
          <w:rFonts w:ascii="Times New Roman" w:hAnsi="Times New Roman" w:cs="Times New Roman"/>
          <w:sz w:val="24"/>
          <w:szCs w:val="24"/>
          <w:lang w:val="en-US"/>
        </w:rPr>
        <w:t xml:space="preserve"> – </w:t>
      </w:r>
      <w:r w:rsidRPr="00A36E16">
        <w:rPr>
          <w:rFonts w:ascii="Times New Roman" w:hAnsi="Times New Roman" w:cs="Times New Roman"/>
          <w:sz w:val="24"/>
          <w:szCs w:val="24"/>
          <w:lang w:val="en-US"/>
        </w:rPr>
        <w:t xml:space="preserve">specifically the interaction between ESG Combined Score and Shared Value (third row of Table 2), is 0.126, positive, and statistically significant. This indicates that a company adopting Shared Value </w:t>
      </w:r>
      <w:r w:rsidR="001F1E9E">
        <w:rPr>
          <w:rFonts w:ascii="Times New Roman" w:hAnsi="Times New Roman" w:cs="Times New Roman"/>
          <w:sz w:val="24"/>
          <w:szCs w:val="24"/>
          <w:lang w:val="en-US"/>
        </w:rPr>
        <w:t xml:space="preserve">experiences a </w:t>
      </w:r>
      <w:r w:rsidRPr="00A36E16">
        <w:rPr>
          <w:rFonts w:ascii="Times New Roman" w:hAnsi="Times New Roman" w:cs="Times New Roman"/>
          <w:sz w:val="24"/>
          <w:szCs w:val="24"/>
          <w:lang w:val="en-US"/>
        </w:rPr>
        <w:t>0.126</w:t>
      </w:r>
      <w:r w:rsidR="001F1E9E">
        <w:rPr>
          <w:rFonts w:ascii="Times New Roman" w:hAnsi="Times New Roman" w:cs="Times New Roman"/>
          <w:sz w:val="24"/>
          <w:szCs w:val="24"/>
          <w:lang w:val="en-US"/>
        </w:rPr>
        <w:t>-point increase in market value</w:t>
      </w:r>
      <w:r w:rsidRPr="00A36E16">
        <w:rPr>
          <w:rFonts w:ascii="Times New Roman" w:hAnsi="Times New Roman" w:cs="Times New Roman"/>
          <w:sz w:val="24"/>
          <w:szCs w:val="24"/>
          <w:lang w:val="en-US"/>
        </w:rPr>
        <w:t xml:space="preserve"> for each additional point in the ESG Combined Score, </w:t>
      </w:r>
      <w:r w:rsidR="001F1E9E">
        <w:rPr>
          <w:rFonts w:ascii="Times New Roman" w:hAnsi="Times New Roman" w:cs="Times New Roman"/>
          <w:sz w:val="24"/>
          <w:szCs w:val="24"/>
          <w:lang w:val="en-US"/>
        </w:rPr>
        <w:t xml:space="preserve">holding </w:t>
      </w:r>
      <w:r w:rsidRPr="00A36E16">
        <w:rPr>
          <w:rFonts w:ascii="Times New Roman" w:hAnsi="Times New Roman" w:cs="Times New Roman"/>
          <w:sz w:val="24"/>
          <w:szCs w:val="24"/>
          <w:lang w:val="en-US"/>
        </w:rPr>
        <w:t xml:space="preserve">all else </w:t>
      </w:r>
      <w:r w:rsidR="001F1E9E">
        <w:rPr>
          <w:rFonts w:ascii="Times New Roman" w:hAnsi="Times New Roman" w:cs="Times New Roman"/>
          <w:sz w:val="24"/>
          <w:szCs w:val="24"/>
          <w:lang w:val="en-US"/>
        </w:rPr>
        <w:t>constant</w:t>
      </w:r>
      <w:r w:rsidRPr="00A36E16">
        <w:rPr>
          <w:rFonts w:ascii="Times New Roman" w:hAnsi="Times New Roman" w:cs="Times New Roman"/>
          <w:sz w:val="24"/>
          <w:szCs w:val="24"/>
          <w:lang w:val="en-US"/>
        </w:rPr>
        <w:t xml:space="preserve">, compared to a company that does not adopt this </w:t>
      </w:r>
      <w:r w:rsidR="001F1E9E">
        <w:rPr>
          <w:rFonts w:ascii="Times New Roman" w:hAnsi="Times New Roman" w:cs="Times New Roman"/>
          <w:sz w:val="24"/>
          <w:szCs w:val="24"/>
          <w:lang w:val="en-US"/>
        </w:rPr>
        <w:t>approach</w:t>
      </w:r>
      <w:r w:rsidRPr="00A36E16">
        <w:rPr>
          <w:rFonts w:ascii="Times New Roman" w:hAnsi="Times New Roman" w:cs="Times New Roman"/>
          <w:sz w:val="24"/>
          <w:szCs w:val="24"/>
          <w:lang w:val="en-US"/>
        </w:rPr>
        <w:t>.</w:t>
      </w:r>
      <w:r w:rsidR="00740912" w:rsidRPr="00740912">
        <w:rPr>
          <w:lang w:val="en-US"/>
        </w:rPr>
        <w:t xml:space="preserve"> </w:t>
      </w:r>
    </w:p>
    <w:p w14:paraId="49EFBCC9" w14:textId="63653A93" w:rsidR="00A36E16" w:rsidRPr="00A36E16" w:rsidRDefault="008B788C" w:rsidP="00A36E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36E16" w:rsidRPr="00A36E16">
        <w:rPr>
          <w:rFonts w:ascii="Times New Roman" w:hAnsi="Times New Roman" w:cs="Times New Roman"/>
          <w:sz w:val="24"/>
          <w:szCs w:val="24"/>
          <w:lang w:val="en-US"/>
        </w:rPr>
        <w:t xml:space="preserve">To better illustrate the effects of this moderator, Figure </w:t>
      </w:r>
      <w:r w:rsidR="00441605">
        <w:rPr>
          <w:rFonts w:ascii="Times New Roman" w:hAnsi="Times New Roman" w:cs="Times New Roman"/>
          <w:sz w:val="24"/>
          <w:szCs w:val="24"/>
          <w:lang w:val="en-US"/>
        </w:rPr>
        <w:t>4</w:t>
      </w:r>
      <w:r w:rsidR="00A36E16" w:rsidRPr="00A36E16">
        <w:rPr>
          <w:rFonts w:ascii="Times New Roman" w:hAnsi="Times New Roman" w:cs="Times New Roman"/>
          <w:sz w:val="24"/>
          <w:szCs w:val="24"/>
          <w:lang w:val="en-US"/>
        </w:rPr>
        <w:t xml:space="preserve"> </w:t>
      </w:r>
      <w:r w:rsidR="001F1E9E">
        <w:rPr>
          <w:rFonts w:ascii="Times New Roman" w:hAnsi="Times New Roman" w:cs="Times New Roman"/>
          <w:sz w:val="24"/>
          <w:szCs w:val="24"/>
          <w:lang w:val="en-US"/>
        </w:rPr>
        <w:t>present</w:t>
      </w:r>
      <w:r w:rsidR="00A36E16" w:rsidRPr="00A36E16">
        <w:rPr>
          <w:rFonts w:ascii="Times New Roman" w:hAnsi="Times New Roman" w:cs="Times New Roman"/>
          <w:sz w:val="24"/>
          <w:szCs w:val="24"/>
          <w:lang w:val="en-US"/>
        </w:rPr>
        <w:t xml:space="preserve">s the difference between the two contexts (with and without Shared Value), based on the coefficients </w:t>
      </w:r>
      <w:r w:rsidR="001F1E9E">
        <w:rPr>
          <w:rFonts w:ascii="Times New Roman" w:hAnsi="Times New Roman" w:cs="Times New Roman"/>
          <w:sz w:val="24"/>
          <w:szCs w:val="24"/>
          <w:lang w:val="en-US"/>
        </w:rPr>
        <w:t>obtained</w:t>
      </w:r>
      <w:r w:rsidR="00A36E16" w:rsidRPr="00A36E16">
        <w:rPr>
          <w:rFonts w:ascii="Times New Roman" w:hAnsi="Times New Roman" w:cs="Times New Roman"/>
          <w:sz w:val="24"/>
          <w:szCs w:val="24"/>
          <w:lang w:val="en-US"/>
        </w:rPr>
        <w:t xml:space="preserve"> from the regression equation. The graph was </w:t>
      </w:r>
      <w:r w:rsidR="001F1E9E">
        <w:rPr>
          <w:rFonts w:ascii="Times New Roman" w:hAnsi="Times New Roman" w:cs="Times New Roman"/>
          <w:sz w:val="24"/>
          <w:szCs w:val="24"/>
          <w:lang w:val="en-US"/>
        </w:rPr>
        <w:t>creat</w:t>
      </w:r>
      <w:r w:rsidR="00A36E16" w:rsidRPr="00A36E16">
        <w:rPr>
          <w:rFonts w:ascii="Times New Roman" w:hAnsi="Times New Roman" w:cs="Times New Roman"/>
          <w:sz w:val="24"/>
          <w:szCs w:val="24"/>
          <w:lang w:val="en-US"/>
        </w:rPr>
        <w:t xml:space="preserve">ed using the average values of the control variables in each scenario (SV = 1 and SV = 0), while ESG values were defined </w:t>
      </w:r>
      <w:r w:rsidR="001F1E9E">
        <w:rPr>
          <w:rFonts w:ascii="Times New Roman" w:hAnsi="Times New Roman" w:cs="Times New Roman"/>
          <w:sz w:val="24"/>
          <w:szCs w:val="24"/>
          <w:lang w:val="en-US"/>
        </w:rPr>
        <w:t xml:space="preserve">across a </w:t>
      </w:r>
      <w:r w:rsidR="00A36E16" w:rsidRPr="00A36E16">
        <w:rPr>
          <w:rFonts w:ascii="Times New Roman" w:hAnsi="Times New Roman" w:cs="Times New Roman"/>
          <w:sz w:val="24"/>
          <w:szCs w:val="24"/>
          <w:lang w:val="en-US"/>
        </w:rPr>
        <w:t>range between high and low value</w:t>
      </w:r>
      <w:r w:rsidR="001F1E9E">
        <w:rPr>
          <w:rFonts w:ascii="Times New Roman" w:hAnsi="Times New Roman" w:cs="Times New Roman"/>
          <w:sz w:val="24"/>
          <w:szCs w:val="24"/>
          <w:lang w:val="en-US"/>
        </w:rPr>
        <w:t>s</w:t>
      </w:r>
      <w:r w:rsidR="00A36E16" w:rsidRPr="00A36E16">
        <w:rPr>
          <w:rFonts w:ascii="Times New Roman" w:hAnsi="Times New Roman" w:cs="Times New Roman"/>
          <w:sz w:val="24"/>
          <w:szCs w:val="24"/>
          <w:lang w:val="en-US"/>
        </w:rPr>
        <w:t>.</w:t>
      </w:r>
    </w:p>
    <w:p w14:paraId="0D2A4E14" w14:textId="13E0F661" w:rsidR="00A36E16" w:rsidRPr="00A36E16" w:rsidRDefault="00A36E16" w:rsidP="00A36E16">
      <w:pPr>
        <w:spacing w:line="360" w:lineRule="auto"/>
        <w:jc w:val="both"/>
        <w:rPr>
          <w:rFonts w:ascii="Times New Roman" w:hAnsi="Times New Roman" w:cs="Times New Roman"/>
          <w:sz w:val="24"/>
          <w:szCs w:val="24"/>
          <w:lang w:val="en-US"/>
        </w:rPr>
      </w:pPr>
      <w:r w:rsidRPr="00A36E16">
        <w:rPr>
          <w:rFonts w:ascii="Times New Roman" w:hAnsi="Times New Roman" w:cs="Times New Roman"/>
          <w:sz w:val="24"/>
          <w:szCs w:val="24"/>
          <w:lang w:val="en-US"/>
        </w:rPr>
        <w:t xml:space="preserve">Figure </w:t>
      </w:r>
      <w:r w:rsidR="00E60193">
        <w:rPr>
          <w:rFonts w:ascii="Times New Roman" w:hAnsi="Times New Roman" w:cs="Times New Roman"/>
          <w:sz w:val="24"/>
          <w:szCs w:val="24"/>
          <w:lang w:val="en-US"/>
        </w:rPr>
        <w:t>4</w:t>
      </w:r>
      <w:r w:rsidRPr="00A36E16">
        <w:rPr>
          <w:rFonts w:ascii="Times New Roman" w:hAnsi="Times New Roman" w:cs="Times New Roman"/>
          <w:sz w:val="24"/>
          <w:szCs w:val="24"/>
          <w:lang w:val="en-US"/>
        </w:rPr>
        <w:t xml:space="preserve"> - Effect of Shared Value Moderation on the Relationship Between Tobin</w:t>
      </w:r>
      <w:r w:rsidR="008B788C">
        <w:rPr>
          <w:rFonts w:ascii="Times New Roman" w:hAnsi="Times New Roman" w:cs="Times New Roman"/>
          <w:sz w:val="24"/>
          <w:szCs w:val="24"/>
          <w:lang w:val="en-US"/>
        </w:rPr>
        <w:t>’</w:t>
      </w:r>
      <w:r w:rsidRPr="00A36E16">
        <w:rPr>
          <w:rFonts w:ascii="Times New Roman" w:hAnsi="Times New Roman" w:cs="Times New Roman"/>
          <w:sz w:val="24"/>
          <w:szCs w:val="24"/>
          <w:lang w:val="en-US"/>
        </w:rPr>
        <w:t>s Q and ESG Score</w:t>
      </w:r>
    </w:p>
    <w:p w14:paraId="2EABC9E0" w14:textId="3F799FC8" w:rsidR="00A36E16" w:rsidRDefault="008B788C" w:rsidP="008B788C">
      <w:pPr>
        <w:spacing w:line="360" w:lineRule="auto"/>
        <w:jc w:val="center"/>
        <w:rPr>
          <w:rFonts w:ascii="Times New Roman" w:hAnsi="Times New Roman" w:cs="Times New Roman"/>
          <w:sz w:val="24"/>
          <w:szCs w:val="24"/>
          <w:lang w:val="en-US"/>
        </w:rPr>
      </w:pPr>
      <w:r w:rsidRPr="00CD65FF">
        <w:rPr>
          <w:rFonts w:ascii="Times New Roman" w:hAnsi="Times New Roman" w:cs="Times New Roman"/>
          <w:noProof/>
          <w:sz w:val="24"/>
          <w:szCs w:val="24"/>
        </w:rPr>
        <w:drawing>
          <wp:inline distT="0" distB="0" distL="0" distR="0" wp14:anchorId="37F3A023" wp14:editId="30F1B427">
            <wp:extent cx="4566138" cy="2197979"/>
            <wp:effectExtent l="0" t="0" r="6350" b="12065"/>
            <wp:docPr id="2015335469" name="Gráfico 1">
              <a:extLst xmlns:a="http://schemas.openxmlformats.org/drawingml/2006/main">
                <a:ext uri="{FF2B5EF4-FFF2-40B4-BE49-F238E27FC236}">
                  <a16:creationId xmlns:a16="http://schemas.microsoft.com/office/drawing/2014/main" id="{F2B315E3-CBC8-4B18-A008-2A93C0867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C8F93A" w14:textId="74916565" w:rsidR="008B788C" w:rsidRDefault="008B788C" w:rsidP="008B788C">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Source: Prepared by </w:t>
      </w:r>
      <w:r w:rsidR="001F1E9E">
        <w:rPr>
          <w:rFonts w:ascii="Times New Roman" w:hAnsi="Times New Roman" w:cs="Times New Roman"/>
          <w:sz w:val="20"/>
          <w:szCs w:val="20"/>
          <w:lang w:val="en-US"/>
        </w:rPr>
        <w:t xml:space="preserve">the </w:t>
      </w:r>
      <w:r>
        <w:rPr>
          <w:rFonts w:ascii="Times New Roman" w:hAnsi="Times New Roman" w:cs="Times New Roman"/>
          <w:sz w:val="20"/>
          <w:szCs w:val="20"/>
          <w:lang w:val="en-US"/>
        </w:rPr>
        <w:t>authors</w:t>
      </w:r>
    </w:p>
    <w:p w14:paraId="39B7688A" w14:textId="3421227C"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Figure </w:t>
      </w:r>
      <w:r w:rsidR="00441605">
        <w:rPr>
          <w:rFonts w:ascii="Times New Roman" w:hAnsi="Times New Roman" w:cs="Times New Roman"/>
          <w:sz w:val="24"/>
          <w:szCs w:val="24"/>
          <w:lang w:val="en-US"/>
        </w:rPr>
        <w:t>4</w:t>
      </w:r>
      <w:r w:rsidRPr="008B788C">
        <w:rPr>
          <w:rFonts w:ascii="Times New Roman" w:hAnsi="Times New Roman" w:cs="Times New Roman"/>
          <w:sz w:val="24"/>
          <w:szCs w:val="24"/>
          <w:lang w:val="en-US"/>
        </w:rPr>
        <w:t xml:space="preserve"> illustrates that, without the adoption of a Shared Value strategy, </w:t>
      </w:r>
      <w:r w:rsidR="00E60193" w:rsidRPr="008B788C">
        <w:rPr>
          <w:rFonts w:ascii="Times New Roman" w:hAnsi="Times New Roman" w:cs="Times New Roman"/>
          <w:sz w:val="24"/>
          <w:szCs w:val="24"/>
          <w:lang w:val="en-US"/>
        </w:rPr>
        <w:t>there is</w:t>
      </w:r>
      <w:r w:rsidRPr="008B788C">
        <w:rPr>
          <w:rFonts w:ascii="Times New Roman" w:hAnsi="Times New Roman" w:cs="Times New Roman"/>
          <w:sz w:val="24"/>
          <w:szCs w:val="24"/>
          <w:lang w:val="en-US"/>
        </w:rPr>
        <w:t xml:space="preserve"> a subtle positive effect between the ESG Combined Score and firm market value, as observed in Model 1. This aligns with the literature</w:t>
      </w:r>
      <w:r w:rsidR="001F1E9E">
        <w:rPr>
          <w:rFonts w:ascii="Times New Roman" w:hAnsi="Times New Roman" w:cs="Times New Roman"/>
          <w:sz w:val="24"/>
          <w:szCs w:val="24"/>
          <w:lang w:val="en-US"/>
        </w:rPr>
        <w:t>, which</w:t>
      </w:r>
      <w:r w:rsidRPr="008B788C">
        <w:rPr>
          <w:rFonts w:ascii="Times New Roman" w:hAnsi="Times New Roman" w:cs="Times New Roman"/>
          <w:sz w:val="24"/>
          <w:szCs w:val="24"/>
          <w:lang w:val="en-US"/>
        </w:rPr>
        <w:t xml:space="preserve"> indicat</w:t>
      </w:r>
      <w:r w:rsidR="001F1E9E">
        <w:rPr>
          <w:rFonts w:ascii="Times New Roman" w:hAnsi="Times New Roman" w:cs="Times New Roman"/>
          <w:sz w:val="24"/>
          <w:szCs w:val="24"/>
          <w:lang w:val="en-US"/>
        </w:rPr>
        <w:t>es</w:t>
      </w:r>
      <w:r w:rsidRPr="008B788C">
        <w:rPr>
          <w:rFonts w:ascii="Times New Roman" w:hAnsi="Times New Roman" w:cs="Times New Roman"/>
          <w:sz w:val="24"/>
          <w:szCs w:val="24"/>
          <w:lang w:val="en-US"/>
        </w:rPr>
        <w:t xml:space="preserve"> that companies with high ESG scores tend to show superior financial performance (Margolis et al., 2009; Friede et al., 2015; Zhao et al., 2018), </w:t>
      </w:r>
      <w:r w:rsidR="001F1E9E">
        <w:rPr>
          <w:rFonts w:ascii="Times New Roman" w:hAnsi="Times New Roman" w:cs="Times New Roman"/>
          <w:sz w:val="24"/>
          <w:szCs w:val="24"/>
          <w:lang w:val="en-US"/>
        </w:rPr>
        <w:t>as well as</w:t>
      </w:r>
      <w:r w:rsidRPr="008B788C">
        <w:rPr>
          <w:rFonts w:ascii="Times New Roman" w:hAnsi="Times New Roman" w:cs="Times New Roman"/>
          <w:sz w:val="24"/>
          <w:szCs w:val="24"/>
          <w:lang w:val="en-US"/>
        </w:rPr>
        <w:t xml:space="preserve"> a potential reduction in risk and cost of capital (Bénabou &amp; Tirole, 2010; Albuquerque et al., 2019; Gillan et al., 2021). These are factors that can lead to an increase in firm value, regardless of how environmental actions are applied.</w:t>
      </w:r>
    </w:p>
    <w:p w14:paraId="4C324B7A" w14:textId="29A4C1A3"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However, when the model </w:t>
      </w:r>
      <w:r w:rsidR="001F1E9E">
        <w:rPr>
          <w:rFonts w:ascii="Times New Roman" w:hAnsi="Times New Roman" w:cs="Times New Roman"/>
          <w:sz w:val="24"/>
          <w:szCs w:val="24"/>
          <w:lang w:val="en-US"/>
        </w:rPr>
        <w:t>incorporates</w:t>
      </w:r>
      <w:r w:rsidRPr="008B788C">
        <w:rPr>
          <w:rFonts w:ascii="Times New Roman" w:hAnsi="Times New Roman" w:cs="Times New Roman"/>
          <w:sz w:val="24"/>
          <w:szCs w:val="24"/>
          <w:lang w:val="en-US"/>
        </w:rPr>
        <w:t xml:space="preserve"> the presence of Shared Value, it indicates that the impact on market value is intensified, but only for companies with ESG Combined Scores above 58.59. This suggests that adopting this strategy generates a positive effect on market value only when companies demonstrate high ESG scores. Companies with low ESG scores generally face limitations in their environmental, social, and governance practices,</w:t>
      </w:r>
      <w:r w:rsidR="001F1E9E">
        <w:rPr>
          <w:rFonts w:ascii="Times New Roman" w:hAnsi="Times New Roman" w:cs="Times New Roman"/>
          <w:sz w:val="24"/>
          <w:szCs w:val="24"/>
          <w:lang w:val="en-US"/>
        </w:rPr>
        <w:t xml:space="preserve"> indicat</w:t>
      </w:r>
      <w:r w:rsidRPr="008B788C">
        <w:rPr>
          <w:rFonts w:ascii="Times New Roman" w:hAnsi="Times New Roman" w:cs="Times New Roman"/>
          <w:sz w:val="24"/>
          <w:szCs w:val="24"/>
          <w:lang w:val="en-US"/>
        </w:rPr>
        <w:t>ing they are not implementing or managing these practices effectively or strategically.</w:t>
      </w:r>
    </w:p>
    <w:p w14:paraId="40865CE4" w14:textId="729A9C51"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The adoption of Shared Value implies the deep integration of sustainable practices, requiring companies</w:t>
      </w:r>
      <w:r>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 </w:t>
      </w:r>
      <w:r w:rsidR="001F1E9E">
        <w:rPr>
          <w:rFonts w:ascii="Times New Roman" w:hAnsi="Times New Roman" w:cs="Times New Roman"/>
          <w:sz w:val="24"/>
          <w:szCs w:val="24"/>
          <w:lang w:val="en-US"/>
        </w:rPr>
        <w:t>full</w:t>
      </w:r>
      <w:r w:rsidRPr="008B788C">
        <w:rPr>
          <w:rFonts w:ascii="Times New Roman" w:hAnsi="Times New Roman" w:cs="Times New Roman"/>
          <w:sz w:val="24"/>
          <w:szCs w:val="24"/>
          <w:lang w:val="en-US"/>
        </w:rPr>
        <w:t xml:space="preserve"> commitment to these actions (Porter &amp; Kramer, 2018). Thus, a company with a low ESG score </w:t>
      </w:r>
      <w:r w:rsidR="001F1E9E">
        <w:rPr>
          <w:rFonts w:ascii="Times New Roman" w:hAnsi="Times New Roman" w:cs="Times New Roman"/>
          <w:sz w:val="24"/>
          <w:szCs w:val="24"/>
          <w:lang w:val="en-US"/>
        </w:rPr>
        <w:t>sugges</w:t>
      </w:r>
      <w:r w:rsidRPr="008B788C">
        <w:rPr>
          <w:rFonts w:ascii="Times New Roman" w:hAnsi="Times New Roman" w:cs="Times New Roman"/>
          <w:sz w:val="24"/>
          <w:szCs w:val="24"/>
          <w:lang w:val="en-US"/>
        </w:rPr>
        <w:t xml:space="preserve">ts that it is doing only the bare minimum or not managing </w:t>
      </w:r>
      <w:r w:rsidR="001F1E9E">
        <w:rPr>
          <w:rFonts w:ascii="Times New Roman" w:hAnsi="Times New Roman" w:cs="Times New Roman"/>
          <w:sz w:val="24"/>
          <w:szCs w:val="24"/>
          <w:lang w:val="en-US"/>
        </w:rPr>
        <w:t xml:space="preserve">these </w:t>
      </w:r>
      <w:r w:rsidRPr="008B788C">
        <w:rPr>
          <w:rFonts w:ascii="Times New Roman" w:hAnsi="Times New Roman" w:cs="Times New Roman"/>
          <w:sz w:val="24"/>
          <w:szCs w:val="24"/>
          <w:lang w:val="en-US"/>
        </w:rPr>
        <w:t xml:space="preserve">practices in a materially relevant way, hindering value creation. In this case, there is evidence that adopting the Shared Value model does not create a harmonious combination and could even lead to value destruction, given that, to be effective, the company must be fully committed to this </w:t>
      </w:r>
      <w:r w:rsidR="001F1E9E">
        <w:rPr>
          <w:rFonts w:ascii="Times New Roman" w:hAnsi="Times New Roman" w:cs="Times New Roman"/>
          <w:sz w:val="24"/>
          <w:szCs w:val="24"/>
          <w:lang w:val="en-US"/>
        </w:rPr>
        <w:t>issue</w:t>
      </w:r>
      <w:r w:rsidRPr="008B788C">
        <w:rPr>
          <w:rFonts w:ascii="Times New Roman" w:hAnsi="Times New Roman" w:cs="Times New Roman"/>
          <w:sz w:val="24"/>
          <w:szCs w:val="24"/>
          <w:lang w:val="en-US"/>
        </w:rPr>
        <w:t xml:space="preserve"> (Porter &amp; Kramer, 2018).</w:t>
      </w:r>
    </w:p>
    <w:p w14:paraId="7DA65AEF" w14:textId="6695AF73"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The model results suggest that the market recognizes the value of socio-environmental initiatives provided they are supported by </w:t>
      </w:r>
      <w:r w:rsidR="001F1E9E">
        <w:rPr>
          <w:rFonts w:ascii="Times New Roman" w:hAnsi="Times New Roman" w:cs="Times New Roman"/>
          <w:sz w:val="24"/>
          <w:szCs w:val="24"/>
          <w:lang w:val="en-US"/>
        </w:rPr>
        <w:t>genuine</w:t>
      </w:r>
      <w:r w:rsidRPr="008B788C">
        <w:rPr>
          <w:rFonts w:ascii="Times New Roman" w:hAnsi="Times New Roman" w:cs="Times New Roman"/>
          <w:sz w:val="24"/>
          <w:szCs w:val="24"/>
          <w:lang w:val="en-US"/>
        </w:rPr>
        <w:t xml:space="preserve"> execution capacity and strategic alignment, penalizing approaches limited to mere discourse. This investor response align</w:t>
      </w:r>
      <w:r w:rsidR="001F1E9E">
        <w:rPr>
          <w:rFonts w:ascii="Times New Roman" w:hAnsi="Times New Roman" w:cs="Times New Roman"/>
          <w:sz w:val="24"/>
          <w:szCs w:val="24"/>
          <w:lang w:val="en-US"/>
        </w:rPr>
        <w:t>s</w:t>
      </w:r>
      <w:r w:rsidRPr="008B788C">
        <w:rPr>
          <w:rFonts w:ascii="Times New Roman" w:hAnsi="Times New Roman" w:cs="Times New Roman"/>
          <w:sz w:val="24"/>
          <w:szCs w:val="24"/>
          <w:lang w:val="en-US"/>
        </w:rPr>
        <w:t xml:space="preserve"> with the fact that shareholders do not solely seek financial returns but make decisions based on their total well-being, which </w:t>
      </w:r>
      <w:r w:rsidR="001F1E9E">
        <w:rPr>
          <w:rFonts w:ascii="Times New Roman" w:hAnsi="Times New Roman" w:cs="Times New Roman"/>
          <w:sz w:val="24"/>
          <w:szCs w:val="24"/>
          <w:lang w:val="en-US"/>
        </w:rPr>
        <w:t>encompasses</w:t>
      </w:r>
      <w:r w:rsidRPr="008B788C">
        <w:rPr>
          <w:rFonts w:ascii="Times New Roman" w:hAnsi="Times New Roman" w:cs="Times New Roman"/>
          <w:sz w:val="24"/>
          <w:szCs w:val="24"/>
          <w:lang w:val="en-US"/>
        </w:rPr>
        <w:t xml:space="preserve"> social and environmental preferences (Hart &amp; Zingales, 2017). It is thus observed that investors tend to penalize companies whose discourse on social responsibility does not translate into concrete and observable actions. These analyses demonstrate that the results of Model 2 align with the literature on the topic.</w:t>
      </w:r>
    </w:p>
    <w:p w14:paraId="59824DD8" w14:textId="65371342" w:rsidR="008B788C" w:rsidRPr="00895311"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Model 3 </w:t>
      </w:r>
      <w:r w:rsidR="001F1E9E">
        <w:rPr>
          <w:rFonts w:ascii="Times New Roman" w:hAnsi="Times New Roman" w:cs="Times New Roman"/>
          <w:sz w:val="24"/>
          <w:szCs w:val="24"/>
          <w:lang w:val="en-US"/>
        </w:rPr>
        <w:t>requires a more careful analysis</w:t>
      </w:r>
      <w:r w:rsidRPr="008B788C">
        <w:rPr>
          <w:rFonts w:ascii="Times New Roman" w:hAnsi="Times New Roman" w:cs="Times New Roman"/>
          <w:sz w:val="24"/>
          <w:szCs w:val="24"/>
          <w:lang w:val="en-US"/>
        </w:rPr>
        <w:t>. Initially, when observing the result</w:t>
      </w:r>
      <w:r w:rsidR="001F1E9E">
        <w:rPr>
          <w:rFonts w:ascii="Times New Roman" w:hAnsi="Times New Roman" w:cs="Times New Roman"/>
          <w:sz w:val="24"/>
          <w:szCs w:val="24"/>
          <w:lang w:val="en-US"/>
        </w:rPr>
        <w:t>s</w:t>
      </w:r>
      <w:r w:rsidRPr="008B788C">
        <w:rPr>
          <w:rFonts w:ascii="Times New Roman" w:hAnsi="Times New Roman" w:cs="Times New Roman"/>
          <w:sz w:val="24"/>
          <w:szCs w:val="24"/>
          <w:lang w:val="en-US"/>
        </w:rPr>
        <w:t xml:space="preserve"> of the panel regression with innovative culture (IC) as the moderator, the interaction variable (innovative culture </w:t>
      </w:r>
      <m:oMath>
        <m:r>
          <w:rPr>
            <w:rFonts w:ascii="Cambria Math" w:hAnsi="Cambria Math" w:cs="Times New Roman"/>
            <w:sz w:val="24"/>
            <w:szCs w:val="24"/>
            <w:lang w:val="en-US"/>
          </w:rPr>
          <m:t>×</m:t>
        </m:r>
      </m:oMath>
      <w:r w:rsidRPr="008B788C">
        <w:rPr>
          <w:rFonts w:ascii="Times New Roman" w:hAnsi="Times New Roman" w:cs="Times New Roman"/>
          <w:sz w:val="24"/>
          <w:szCs w:val="24"/>
          <w:lang w:val="en-US"/>
        </w:rPr>
        <w:t xml:space="preserve"> ESG Combined Score) appears statistically significant and positive. This indicates that when a company adopts ESG practices in an innovative environment, the effects of these practices on market value are intensified by 0.39 for each additional point in the ESG score. However, the ESG Combined Score variable</w:t>
      </w:r>
      <w:r w:rsidR="001F1E9E">
        <w:rPr>
          <w:rFonts w:ascii="Times New Roman" w:hAnsi="Times New Roman" w:cs="Times New Roman"/>
          <w:sz w:val="24"/>
          <w:szCs w:val="24"/>
          <w:lang w:val="en-US"/>
        </w:rPr>
        <w:t>, considered</w:t>
      </w:r>
      <w:r w:rsidRPr="008B788C">
        <w:rPr>
          <w:rFonts w:ascii="Times New Roman" w:hAnsi="Times New Roman" w:cs="Times New Roman"/>
          <w:sz w:val="24"/>
          <w:szCs w:val="24"/>
          <w:lang w:val="en-US"/>
        </w:rPr>
        <w:t xml:space="preserve"> individually</w:t>
      </w:r>
      <w:r w:rsidR="001F1E9E">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 ceases to be statistically significant for the model, which may suggest that the adoption of ESG practices is only relevant for companies that </w:t>
      </w:r>
      <w:r w:rsidR="001F1E9E">
        <w:rPr>
          <w:rFonts w:ascii="Times New Roman" w:hAnsi="Times New Roman" w:cs="Times New Roman"/>
          <w:sz w:val="24"/>
          <w:szCs w:val="24"/>
          <w:lang w:val="en-US"/>
        </w:rPr>
        <w:t>embrace</w:t>
      </w:r>
      <w:r w:rsidRPr="008B788C">
        <w:rPr>
          <w:rFonts w:ascii="Times New Roman" w:hAnsi="Times New Roman" w:cs="Times New Roman"/>
          <w:sz w:val="24"/>
          <w:szCs w:val="24"/>
          <w:lang w:val="en-US"/>
        </w:rPr>
        <w:t xml:space="preserve"> an innovative culture. To analyze the results more closely, a graph illustrating the moderating effect of the innovative culture dummy was</w:t>
      </w:r>
      <w:r w:rsidR="001F1E9E">
        <w:rPr>
          <w:rFonts w:ascii="Times New Roman" w:hAnsi="Times New Roman" w:cs="Times New Roman"/>
          <w:sz w:val="24"/>
          <w:szCs w:val="24"/>
          <w:lang w:val="en-US"/>
        </w:rPr>
        <w:t xml:space="preserve"> created</w:t>
      </w:r>
      <w:r w:rsidRPr="008B788C">
        <w:rPr>
          <w:rFonts w:ascii="Times New Roman" w:hAnsi="Times New Roman" w:cs="Times New Roman"/>
          <w:sz w:val="24"/>
          <w:szCs w:val="24"/>
          <w:lang w:val="en-US"/>
        </w:rPr>
        <w:t xml:space="preserve">, using the coefficients resulting from the regression equation of Model 3. The graph was developed using the average values of the control variables in each scenario (IC = 1 and IC = 0), while ESG values were defined </w:t>
      </w:r>
      <w:r w:rsidR="001F1E9E">
        <w:rPr>
          <w:rFonts w:ascii="Times New Roman" w:hAnsi="Times New Roman" w:cs="Times New Roman"/>
          <w:sz w:val="24"/>
          <w:szCs w:val="24"/>
          <w:lang w:val="en-US"/>
        </w:rPr>
        <w:t xml:space="preserve">across a </w:t>
      </w:r>
      <w:r w:rsidRPr="008B788C">
        <w:rPr>
          <w:rFonts w:ascii="Times New Roman" w:hAnsi="Times New Roman" w:cs="Times New Roman"/>
          <w:sz w:val="24"/>
          <w:szCs w:val="24"/>
          <w:lang w:val="en-US"/>
        </w:rPr>
        <w:t>range</w:t>
      </w:r>
      <w:r w:rsidR="001F1E9E">
        <w:rPr>
          <w:rFonts w:ascii="Times New Roman" w:hAnsi="Times New Roman" w:cs="Times New Roman"/>
          <w:sz w:val="24"/>
          <w:szCs w:val="24"/>
          <w:lang w:val="en-US"/>
        </w:rPr>
        <w:t xml:space="preserve"> from low to high</w:t>
      </w:r>
      <w:r w:rsidRPr="008B788C">
        <w:rPr>
          <w:rFonts w:ascii="Times New Roman" w:hAnsi="Times New Roman" w:cs="Times New Roman"/>
          <w:sz w:val="24"/>
          <w:szCs w:val="24"/>
          <w:lang w:val="en-US"/>
        </w:rPr>
        <w:t xml:space="preserve">. </w:t>
      </w:r>
      <w:r w:rsidRPr="00895311">
        <w:rPr>
          <w:rFonts w:ascii="Times New Roman" w:hAnsi="Times New Roman" w:cs="Times New Roman"/>
          <w:sz w:val="24"/>
          <w:szCs w:val="24"/>
          <w:lang w:val="en-US"/>
        </w:rPr>
        <w:t xml:space="preserve">The results are presented in Figure </w:t>
      </w:r>
      <w:r w:rsidR="00E60193" w:rsidRPr="00895311">
        <w:rPr>
          <w:rFonts w:ascii="Times New Roman" w:hAnsi="Times New Roman" w:cs="Times New Roman"/>
          <w:sz w:val="24"/>
          <w:szCs w:val="24"/>
          <w:lang w:val="en-US"/>
        </w:rPr>
        <w:t>5</w:t>
      </w:r>
      <w:r w:rsidRPr="00895311">
        <w:rPr>
          <w:rFonts w:ascii="Times New Roman" w:hAnsi="Times New Roman" w:cs="Times New Roman"/>
          <w:sz w:val="24"/>
          <w:szCs w:val="24"/>
          <w:lang w:val="en-US"/>
        </w:rPr>
        <w:t>.</w:t>
      </w:r>
    </w:p>
    <w:p w14:paraId="76F12C36" w14:textId="3A343027" w:rsidR="008B788C" w:rsidRPr="008B788C" w:rsidRDefault="008B788C" w:rsidP="008B788C">
      <w:pPr>
        <w:spacing w:line="360" w:lineRule="auto"/>
        <w:jc w:val="both"/>
        <w:rPr>
          <w:rFonts w:ascii="Times New Roman" w:hAnsi="Times New Roman" w:cs="Times New Roman"/>
          <w:sz w:val="24"/>
          <w:szCs w:val="24"/>
          <w:lang w:val="en-US"/>
        </w:rPr>
      </w:pPr>
      <w:r w:rsidRPr="008B788C">
        <w:rPr>
          <w:rFonts w:ascii="Times New Roman" w:hAnsi="Times New Roman" w:cs="Times New Roman"/>
          <w:sz w:val="24"/>
          <w:szCs w:val="24"/>
          <w:lang w:val="en-US"/>
        </w:rPr>
        <w:t xml:space="preserve">Figure </w:t>
      </w:r>
      <w:r w:rsidR="00E60193">
        <w:rPr>
          <w:rFonts w:ascii="Times New Roman" w:hAnsi="Times New Roman" w:cs="Times New Roman"/>
          <w:sz w:val="24"/>
          <w:szCs w:val="24"/>
          <w:lang w:val="en-US"/>
        </w:rPr>
        <w:t>5</w:t>
      </w:r>
      <w:r w:rsidRPr="008B788C">
        <w:rPr>
          <w:rFonts w:ascii="Times New Roman" w:hAnsi="Times New Roman" w:cs="Times New Roman"/>
          <w:sz w:val="24"/>
          <w:szCs w:val="24"/>
          <w:lang w:val="en-US"/>
        </w:rPr>
        <w:t xml:space="preserve"> - Effect of Innovative Culture Moderation on the Relationship between Tobin</w:t>
      </w:r>
      <w:r>
        <w:rPr>
          <w:rFonts w:ascii="Times New Roman" w:hAnsi="Times New Roman" w:cs="Times New Roman"/>
          <w:sz w:val="24"/>
          <w:szCs w:val="24"/>
          <w:lang w:val="en-US"/>
        </w:rPr>
        <w:t>’</w:t>
      </w:r>
      <w:r w:rsidRPr="008B788C">
        <w:rPr>
          <w:rFonts w:ascii="Times New Roman" w:hAnsi="Times New Roman" w:cs="Times New Roman"/>
          <w:sz w:val="24"/>
          <w:szCs w:val="24"/>
          <w:lang w:val="en-US"/>
        </w:rPr>
        <w:t>s Q and ESG Score</w:t>
      </w:r>
    </w:p>
    <w:p w14:paraId="2A2527E8" w14:textId="0AF48A69" w:rsidR="008B788C" w:rsidRDefault="008B788C" w:rsidP="008B788C">
      <w:pPr>
        <w:spacing w:line="360" w:lineRule="auto"/>
        <w:jc w:val="center"/>
        <w:rPr>
          <w:rFonts w:ascii="Times New Roman" w:hAnsi="Times New Roman" w:cs="Times New Roman"/>
          <w:sz w:val="24"/>
          <w:szCs w:val="24"/>
          <w:lang w:val="en-US"/>
        </w:rPr>
      </w:pPr>
      <w:r w:rsidRPr="00CD65FF">
        <w:rPr>
          <w:rFonts w:ascii="Times New Roman" w:hAnsi="Times New Roman" w:cs="Times New Roman"/>
          <w:noProof/>
          <w:sz w:val="24"/>
          <w:szCs w:val="24"/>
        </w:rPr>
        <w:drawing>
          <wp:inline distT="0" distB="0" distL="0" distR="0" wp14:anchorId="626E93F1" wp14:editId="122CD56A">
            <wp:extent cx="4120662" cy="1989406"/>
            <wp:effectExtent l="0" t="0" r="13335" b="11430"/>
            <wp:docPr id="1852458650" name="Gráfico 1">
              <a:extLst xmlns:a="http://schemas.openxmlformats.org/drawingml/2006/main">
                <a:ext uri="{FF2B5EF4-FFF2-40B4-BE49-F238E27FC236}">
                  <a16:creationId xmlns:a16="http://schemas.microsoft.com/office/drawing/2014/main" id="{91CC0532-EEE4-45E0-9785-039E893A3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05D4DE" w14:textId="79DF8230" w:rsidR="008B788C" w:rsidRDefault="008B788C" w:rsidP="008B788C">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Source: Prepared by </w:t>
      </w:r>
      <w:r w:rsidR="001F1E9E">
        <w:rPr>
          <w:rFonts w:ascii="Times New Roman" w:hAnsi="Times New Roman" w:cs="Times New Roman"/>
          <w:sz w:val="20"/>
          <w:szCs w:val="20"/>
          <w:lang w:val="en-US"/>
        </w:rPr>
        <w:t xml:space="preserve">the </w:t>
      </w:r>
      <w:r>
        <w:rPr>
          <w:rFonts w:ascii="Times New Roman" w:hAnsi="Times New Roman" w:cs="Times New Roman"/>
          <w:sz w:val="20"/>
          <w:szCs w:val="20"/>
          <w:lang w:val="en-US"/>
        </w:rPr>
        <w:t>authors</w:t>
      </w:r>
    </w:p>
    <w:p w14:paraId="3542BC93" w14:textId="1CB1D285"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Figure </w:t>
      </w:r>
      <w:r w:rsidR="00E60193">
        <w:rPr>
          <w:rFonts w:ascii="Times New Roman" w:hAnsi="Times New Roman" w:cs="Times New Roman"/>
          <w:sz w:val="24"/>
          <w:szCs w:val="24"/>
          <w:lang w:val="en-US"/>
        </w:rPr>
        <w:t>5</w:t>
      </w:r>
      <w:r w:rsidRPr="008B788C">
        <w:rPr>
          <w:rFonts w:ascii="Times New Roman" w:hAnsi="Times New Roman" w:cs="Times New Roman"/>
          <w:sz w:val="24"/>
          <w:szCs w:val="24"/>
          <w:lang w:val="en-US"/>
        </w:rPr>
        <w:t xml:space="preserve"> indicates that there is no positive effect between the ESG score and firm market value when the company lacks an innovative organizational culture. The literature suggests that the adoption of ESG practices requires companies to undergo </w:t>
      </w:r>
      <w:r w:rsidR="001F1E9E">
        <w:rPr>
          <w:rFonts w:ascii="Times New Roman" w:hAnsi="Times New Roman" w:cs="Times New Roman"/>
          <w:sz w:val="24"/>
          <w:szCs w:val="24"/>
          <w:lang w:val="en-US"/>
        </w:rPr>
        <w:t>transformation</w:t>
      </w:r>
      <w:r w:rsidRPr="008B788C">
        <w:rPr>
          <w:rFonts w:ascii="Times New Roman" w:hAnsi="Times New Roman" w:cs="Times New Roman"/>
          <w:sz w:val="24"/>
          <w:szCs w:val="24"/>
          <w:lang w:val="en-US"/>
        </w:rPr>
        <w:t xml:space="preserve"> processes, demanding a re-evaluation and renewal of their operations and strategies</w:t>
      </w:r>
      <w:r w:rsidR="001F1E9E">
        <w:rPr>
          <w:rFonts w:ascii="Times New Roman" w:hAnsi="Times New Roman" w:cs="Times New Roman"/>
          <w:sz w:val="24"/>
          <w:szCs w:val="24"/>
          <w:lang w:val="en-US"/>
        </w:rPr>
        <w:t xml:space="preserve"> –</w:t>
      </w:r>
      <w:r w:rsidRPr="008B788C">
        <w:rPr>
          <w:rFonts w:ascii="Times New Roman" w:hAnsi="Times New Roman" w:cs="Times New Roman"/>
          <w:sz w:val="24"/>
          <w:szCs w:val="24"/>
          <w:lang w:val="en-US"/>
        </w:rPr>
        <w:t xml:space="preserve"> i.e., innovation (Hart, 1995; Matos &amp; Clegg, 2013; Schumpeter, 1942). The results </w:t>
      </w:r>
      <w:r w:rsidR="001F1E9E">
        <w:rPr>
          <w:rFonts w:ascii="Times New Roman" w:hAnsi="Times New Roman" w:cs="Times New Roman"/>
          <w:sz w:val="24"/>
          <w:szCs w:val="24"/>
          <w:lang w:val="en-US"/>
        </w:rPr>
        <w:t>imply</w:t>
      </w:r>
      <w:r w:rsidRPr="008B788C">
        <w:rPr>
          <w:rFonts w:ascii="Times New Roman" w:hAnsi="Times New Roman" w:cs="Times New Roman"/>
          <w:sz w:val="24"/>
          <w:szCs w:val="24"/>
          <w:lang w:val="en-US"/>
        </w:rPr>
        <w:t xml:space="preserve"> that, without an environment conducive to innovation, ESG practices may not be sufficiently integrated or effective in generating </w:t>
      </w:r>
      <w:r w:rsidR="001F1E9E">
        <w:rPr>
          <w:rFonts w:ascii="Times New Roman" w:hAnsi="Times New Roman" w:cs="Times New Roman"/>
          <w:sz w:val="24"/>
          <w:szCs w:val="24"/>
          <w:lang w:val="en-US"/>
        </w:rPr>
        <w:t>meaningful</w:t>
      </w:r>
      <w:r w:rsidRPr="008B788C">
        <w:rPr>
          <w:rFonts w:ascii="Times New Roman" w:hAnsi="Times New Roman" w:cs="Times New Roman"/>
          <w:sz w:val="24"/>
          <w:szCs w:val="24"/>
          <w:lang w:val="en-US"/>
        </w:rPr>
        <w:t xml:space="preserve"> financial impacts. Thus, Hypothesis 3 is partially validated, </w:t>
      </w:r>
      <w:r w:rsidR="001F1E9E">
        <w:rPr>
          <w:rFonts w:ascii="Times New Roman" w:hAnsi="Times New Roman" w:cs="Times New Roman"/>
          <w:sz w:val="24"/>
          <w:szCs w:val="24"/>
          <w:lang w:val="en-US"/>
        </w:rPr>
        <w:t>as</w:t>
      </w:r>
      <w:r w:rsidRPr="008B788C">
        <w:rPr>
          <w:rFonts w:ascii="Times New Roman" w:hAnsi="Times New Roman" w:cs="Times New Roman"/>
          <w:sz w:val="24"/>
          <w:szCs w:val="24"/>
          <w:lang w:val="en-US"/>
        </w:rPr>
        <w:t xml:space="preserve"> this model shows statistical insignificance for the individual ESG score variable. This highlights the essential </w:t>
      </w:r>
      <w:r w:rsidR="001F1E9E">
        <w:rPr>
          <w:rFonts w:ascii="Times New Roman" w:hAnsi="Times New Roman" w:cs="Times New Roman"/>
          <w:sz w:val="24"/>
          <w:szCs w:val="24"/>
          <w:lang w:val="en-US"/>
        </w:rPr>
        <w:t>role</w:t>
      </w:r>
      <w:r w:rsidRPr="008B788C">
        <w:rPr>
          <w:rFonts w:ascii="Times New Roman" w:hAnsi="Times New Roman" w:cs="Times New Roman"/>
          <w:sz w:val="24"/>
          <w:szCs w:val="24"/>
          <w:lang w:val="en-US"/>
        </w:rPr>
        <w:t xml:space="preserve"> of </w:t>
      </w:r>
      <w:r w:rsidR="001F1E9E">
        <w:rPr>
          <w:rFonts w:ascii="Times New Roman" w:hAnsi="Times New Roman" w:cs="Times New Roman"/>
          <w:sz w:val="24"/>
          <w:szCs w:val="24"/>
          <w:lang w:val="en-US"/>
        </w:rPr>
        <w:t xml:space="preserve">an </w:t>
      </w:r>
      <w:r w:rsidRPr="008B788C">
        <w:rPr>
          <w:rFonts w:ascii="Times New Roman" w:hAnsi="Times New Roman" w:cs="Times New Roman"/>
          <w:sz w:val="24"/>
          <w:szCs w:val="24"/>
          <w:lang w:val="en-US"/>
        </w:rPr>
        <w:t xml:space="preserve">innovative culture </w:t>
      </w:r>
      <w:r w:rsidR="001F1E9E">
        <w:rPr>
          <w:rFonts w:ascii="Times New Roman" w:hAnsi="Times New Roman" w:cs="Times New Roman"/>
          <w:sz w:val="24"/>
          <w:szCs w:val="24"/>
          <w:lang w:val="en-US"/>
        </w:rPr>
        <w:t xml:space="preserve">in the successful implementation of </w:t>
      </w:r>
      <w:r w:rsidRPr="008B788C">
        <w:rPr>
          <w:rFonts w:ascii="Times New Roman" w:hAnsi="Times New Roman" w:cs="Times New Roman"/>
          <w:sz w:val="24"/>
          <w:szCs w:val="24"/>
          <w:lang w:val="en-US"/>
        </w:rPr>
        <w:t>sustainable actions.</w:t>
      </w:r>
    </w:p>
    <w:p w14:paraId="11CA4ABA" w14:textId="0459CAB2" w:rsid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8B788C">
        <w:rPr>
          <w:rFonts w:ascii="Times New Roman" w:hAnsi="Times New Roman" w:cs="Times New Roman"/>
          <w:sz w:val="24"/>
          <w:szCs w:val="24"/>
          <w:lang w:val="en-US"/>
        </w:rPr>
        <w:t xml:space="preserve">Concluding the interpretation of </w:t>
      </w:r>
      <w:r w:rsidR="001F1E9E">
        <w:rPr>
          <w:rFonts w:ascii="Times New Roman" w:hAnsi="Times New Roman" w:cs="Times New Roman"/>
          <w:sz w:val="24"/>
          <w:szCs w:val="24"/>
          <w:lang w:val="en-US"/>
        </w:rPr>
        <w:t xml:space="preserve">the </w:t>
      </w:r>
      <w:r w:rsidRPr="008B788C">
        <w:rPr>
          <w:rFonts w:ascii="Times New Roman" w:hAnsi="Times New Roman" w:cs="Times New Roman"/>
          <w:sz w:val="24"/>
          <w:szCs w:val="24"/>
          <w:lang w:val="en-US"/>
        </w:rPr>
        <w:t>results: Model 1 validates the first hypothesis, showing that the ESG Combined Score is statistically significant and positively related to</w:t>
      </w:r>
      <w:r w:rsidR="001F1E9E">
        <w:rPr>
          <w:rFonts w:ascii="Times New Roman" w:hAnsi="Times New Roman" w:cs="Times New Roman"/>
          <w:sz w:val="24"/>
          <w:szCs w:val="24"/>
          <w:lang w:val="en-US"/>
        </w:rPr>
        <w:t xml:space="preserve"> a</w:t>
      </w:r>
      <w:r w:rsidRPr="008B788C">
        <w:rPr>
          <w:rFonts w:ascii="Times New Roman" w:hAnsi="Times New Roman" w:cs="Times New Roman"/>
          <w:sz w:val="24"/>
          <w:szCs w:val="24"/>
          <w:lang w:val="en-US"/>
        </w:rPr>
        <w:t xml:space="preserve"> firm</w:t>
      </w:r>
      <w:r w:rsidR="001F1E9E">
        <w:rPr>
          <w:rFonts w:ascii="Times New Roman" w:hAnsi="Times New Roman" w:cs="Times New Roman"/>
          <w:sz w:val="24"/>
          <w:szCs w:val="24"/>
          <w:lang w:val="en-US"/>
        </w:rPr>
        <w:t>’s</w:t>
      </w:r>
      <w:r w:rsidRPr="008B788C">
        <w:rPr>
          <w:rFonts w:ascii="Times New Roman" w:hAnsi="Times New Roman" w:cs="Times New Roman"/>
          <w:sz w:val="24"/>
          <w:szCs w:val="24"/>
          <w:lang w:val="en-US"/>
        </w:rPr>
        <w:t xml:space="preserve"> market value, though its effect is subtle, with a 0.014 increase in firm value for each additional point in ESG. In Model 2, the second hypothesis is confirmed, indicating that the Shared Value strategy intensifies this positive relationship, but only for companies with ESG Combined Scores above 58.59. Adopting Shared Value requires total engagement </w:t>
      </w:r>
      <w:r w:rsidR="001F1E9E">
        <w:rPr>
          <w:rFonts w:ascii="Times New Roman" w:hAnsi="Times New Roman" w:cs="Times New Roman"/>
          <w:sz w:val="24"/>
          <w:szCs w:val="24"/>
          <w:lang w:val="en-US"/>
        </w:rPr>
        <w:t>with</w:t>
      </w:r>
      <w:r w:rsidRPr="008B788C">
        <w:rPr>
          <w:rFonts w:ascii="Times New Roman" w:hAnsi="Times New Roman" w:cs="Times New Roman"/>
          <w:sz w:val="24"/>
          <w:szCs w:val="24"/>
          <w:lang w:val="en-US"/>
        </w:rPr>
        <w:t xml:space="preserve"> ESG practices, which </w:t>
      </w:r>
      <w:r w:rsidR="00E60193" w:rsidRPr="008B788C">
        <w:rPr>
          <w:rFonts w:ascii="Times New Roman" w:hAnsi="Times New Roman" w:cs="Times New Roman"/>
          <w:sz w:val="24"/>
          <w:szCs w:val="24"/>
          <w:lang w:val="en-US"/>
        </w:rPr>
        <w:t>is not</w:t>
      </w:r>
      <w:r w:rsidRPr="008B788C">
        <w:rPr>
          <w:rFonts w:ascii="Times New Roman" w:hAnsi="Times New Roman" w:cs="Times New Roman"/>
          <w:sz w:val="24"/>
          <w:szCs w:val="24"/>
          <w:lang w:val="en-US"/>
        </w:rPr>
        <w:t xml:space="preserve"> present in companies with low ESG scores. Model 3 reveals that, when </w:t>
      </w:r>
      <w:r w:rsidR="001F1E9E">
        <w:rPr>
          <w:rFonts w:ascii="Times New Roman" w:hAnsi="Times New Roman" w:cs="Times New Roman"/>
          <w:sz w:val="24"/>
          <w:szCs w:val="24"/>
          <w:lang w:val="en-US"/>
        </w:rPr>
        <w:t xml:space="preserve">an </w:t>
      </w:r>
      <w:r w:rsidRPr="008B788C">
        <w:rPr>
          <w:rFonts w:ascii="Times New Roman" w:hAnsi="Times New Roman" w:cs="Times New Roman"/>
          <w:sz w:val="24"/>
          <w:szCs w:val="24"/>
          <w:lang w:val="en-US"/>
        </w:rPr>
        <w:t xml:space="preserve">innovative culture is considered as a moderator, the relationship between ESG and market value is positive, but only </w:t>
      </w:r>
      <w:r w:rsidR="001F1E9E">
        <w:rPr>
          <w:rFonts w:ascii="Times New Roman" w:hAnsi="Times New Roman" w:cs="Times New Roman"/>
          <w:sz w:val="24"/>
          <w:szCs w:val="24"/>
          <w:lang w:val="en-US"/>
        </w:rPr>
        <w:t>for</w:t>
      </w:r>
      <w:r w:rsidRPr="008B788C">
        <w:rPr>
          <w:rFonts w:ascii="Times New Roman" w:hAnsi="Times New Roman" w:cs="Times New Roman"/>
          <w:sz w:val="24"/>
          <w:szCs w:val="24"/>
          <w:lang w:val="en-US"/>
        </w:rPr>
        <w:t xml:space="preserve"> companies that adopt an innovative culture, as the ESG variable itself loses significance. This underscores the importance of innovation for the success of ESG practices and</w:t>
      </w:r>
      <w:r w:rsidR="001F1E9E">
        <w:rPr>
          <w:rFonts w:ascii="Times New Roman" w:hAnsi="Times New Roman" w:cs="Times New Roman"/>
          <w:sz w:val="24"/>
          <w:szCs w:val="24"/>
          <w:lang w:val="en-US"/>
        </w:rPr>
        <w:t xml:space="preserve"> highlights</w:t>
      </w:r>
      <w:r w:rsidRPr="008B788C">
        <w:rPr>
          <w:rFonts w:ascii="Times New Roman" w:hAnsi="Times New Roman" w:cs="Times New Roman"/>
          <w:sz w:val="24"/>
          <w:szCs w:val="24"/>
          <w:lang w:val="en-US"/>
        </w:rPr>
        <w:t xml:space="preserve"> how crucial an innovative culture is for these practices to be effectively applied and to yield significant financial impacts, partially confirming the third hypothesis.</w:t>
      </w:r>
    </w:p>
    <w:p w14:paraId="02EE35B0" w14:textId="49D07549"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As analyzed in the descriptive statistics, one of the main limitations of this study is the lack of empirical data for the proxies of Shared Value and innovative culture. These </w:t>
      </w:r>
      <w:r w:rsidR="001F1E9E">
        <w:rPr>
          <w:rFonts w:ascii="Times New Roman" w:hAnsi="Times New Roman" w:cs="Times New Roman"/>
          <w:sz w:val="24"/>
          <w:szCs w:val="24"/>
          <w:lang w:val="en-US"/>
        </w:rPr>
        <w:t xml:space="preserve">proxies </w:t>
      </w:r>
      <w:r w:rsidRPr="008B788C">
        <w:rPr>
          <w:rFonts w:ascii="Times New Roman" w:hAnsi="Times New Roman" w:cs="Times New Roman"/>
          <w:sz w:val="24"/>
          <w:szCs w:val="24"/>
          <w:lang w:val="en-US"/>
        </w:rPr>
        <w:t xml:space="preserve">are not </w:t>
      </w:r>
      <w:r w:rsidR="001F1E9E">
        <w:rPr>
          <w:rFonts w:ascii="Times New Roman" w:hAnsi="Times New Roman" w:cs="Times New Roman"/>
          <w:sz w:val="24"/>
          <w:szCs w:val="24"/>
          <w:lang w:val="en-US"/>
        </w:rPr>
        <w:t xml:space="preserve">well </w:t>
      </w:r>
      <w:r w:rsidRPr="008B788C">
        <w:rPr>
          <w:rFonts w:ascii="Times New Roman" w:hAnsi="Times New Roman" w:cs="Times New Roman"/>
          <w:sz w:val="24"/>
          <w:szCs w:val="24"/>
          <w:lang w:val="en-US"/>
        </w:rPr>
        <w:t>represent</w:t>
      </w:r>
      <w:r w:rsidR="001F1E9E">
        <w:rPr>
          <w:rFonts w:ascii="Times New Roman" w:hAnsi="Times New Roman" w:cs="Times New Roman"/>
          <w:sz w:val="24"/>
          <w:szCs w:val="24"/>
          <w:lang w:val="en-US"/>
        </w:rPr>
        <w:t>ed</w:t>
      </w:r>
      <w:r w:rsidRPr="008B788C">
        <w:rPr>
          <w:rFonts w:ascii="Times New Roman" w:hAnsi="Times New Roman" w:cs="Times New Roman"/>
          <w:sz w:val="24"/>
          <w:szCs w:val="24"/>
          <w:lang w:val="en-US"/>
        </w:rPr>
        <w:t xml:space="preserve"> within the complete database, which compromises the statistical analysis of the moderations. For the same reason, the lack of proxies for other subjective variables that impact firm value, but for which readily available data </w:t>
      </w:r>
      <w:r w:rsidR="001F1E9E">
        <w:rPr>
          <w:rFonts w:ascii="Times New Roman" w:hAnsi="Times New Roman" w:cs="Times New Roman"/>
          <w:sz w:val="24"/>
          <w:szCs w:val="24"/>
          <w:lang w:val="en-US"/>
        </w:rPr>
        <w:t>are lacking</w:t>
      </w:r>
      <w:r w:rsidRPr="008B788C">
        <w:rPr>
          <w:rFonts w:ascii="Times New Roman" w:hAnsi="Times New Roman" w:cs="Times New Roman"/>
          <w:sz w:val="24"/>
          <w:szCs w:val="24"/>
          <w:lang w:val="en-US"/>
        </w:rPr>
        <w:t>, is also a limitation. Examples include a company</w:t>
      </w:r>
      <w:r w:rsidR="00E60193">
        <w:rPr>
          <w:rFonts w:ascii="Times New Roman" w:hAnsi="Times New Roman" w:cs="Times New Roman"/>
          <w:sz w:val="24"/>
          <w:szCs w:val="24"/>
          <w:lang w:val="en-US"/>
        </w:rPr>
        <w:t>’</w:t>
      </w:r>
      <w:r w:rsidRPr="008B788C">
        <w:rPr>
          <w:rFonts w:ascii="Times New Roman" w:hAnsi="Times New Roman" w:cs="Times New Roman"/>
          <w:sz w:val="24"/>
          <w:szCs w:val="24"/>
          <w:lang w:val="en-US"/>
        </w:rPr>
        <w:t>s brand value and patents. The difficulty in finding a proxy for the ideal culture type for adopting sustainable practices, specifically a combination of adhocracy and clan cultures</w:t>
      </w:r>
      <w:r w:rsidR="00C065E8">
        <w:rPr>
          <w:rFonts w:ascii="Times New Roman" w:hAnsi="Times New Roman" w:cs="Times New Roman"/>
          <w:sz w:val="24"/>
          <w:szCs w:val="24"/>
          <w:lang w:val="en-US"/>
        </w:rPr>
        <w:t xml:space="preserve"> – represents</w:t>
      </w:r>
      <w:r w:rsidRPr="008B788C">
        <w:rPr>
          <w:rFonts w:ascii="Times New Roman" w:hAnsi="Times New Roman" w:cs="Times New Roman"/>
          <w:sz w:val="24"/>
          <w:szCs w:val="24"/>
          <w:lang w:val="en-US"/>
        </w:rPr>
        <w:t xml:space="preserve"> another limitation</w:t>
      </w:r>
      <w:r w:rsidR="00C065E8">
        <w:rPr>
          <w:rFonts w:ascii="Times New Roman" w:hAnsi="Times New Roman" w:cs="Times New Roman"/>
          <w:sz w:val="24"/>
          <w:szCs w:val="24"/>
          <w:lang w:val="en-US"/>
        </w:rPr>
        <w:t xml:space="preserve"> of the study</w:t>
      </w:r>
      <w:r w:rsidRPr="008B788C">
        <w:rPr>
          <w:rFonts w:ascii="Times New Roman" w:hAnsi="Times New Roman" w:cs="Times New Roman"/>
          <w:sz w:val="24"/>
          <w:szCs w:val="24"/>
          <w:lang w:val="en-US"/>
        </w:rPr>
        <w:t>.</w:t>
      </w:r>
    </w:p>
    <w:p w14:paraId="7BC1C73D" w14:textId="2B11FBD6" w:rsid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Furthermore, the database</w:t>
      </w:r>
      <w:r w:rsidR="00C065E8">
        <w:rPr>
          <w:rFonts w:ascii="Times New Roman" w:hAnsi="Times New Roman" w:cs="Times New Roman"/>
          <w:sz w:val="24"/>
          <w:szCs w:val="24"/>
          <w:lang w:val="en-US"/>
        </w:rPr>
        <w:t xml:space="preserve"> </w:t>
      </w:r>
      <w:r w:rsidRPr="008B788C">
        <w:rPr>
          <w:rFonts w:ascii="Times New Roman" w:hAnsi="Times New Roman" w:cs="Times New Roman"/>
          <w:sz w:val="24"/>
          <w:szCs w:val="24"/>
          <w:lang w:val="en-US"/>
        </w:rPr>
        <w:t xml:space="preserve">exclusively covers publicly traded companies in the United States, </w:t>
      </w:r>
      <w:r w:rsidR="00C065E8">
        <w:rPr>
          <w:rFonts w:ascii="Times New Roman" w:hAnsi="Times New Roman" w:cs="Times New Roman"/>
          <w:sz w:val="24"/>
          <w:szCs w:val="24"/>
          <w:lang w:val="en-US"/>
        </w:rPr>
        <w:t xml:space="preserve">which are </w:t>
      </w:r>
      <w:r w:rsidRPr="008B788C">
        <w:rPr>
          <w:rFonts w:ascii="Times New Roman" w:hAnsi="Times New Roman" w:cs="Times New Roman"/>
          <w:sz w:val="24"/>
          <w:szCs w:val="24"/>
          <w:lang w:val="en-US"/>
        </w:rPr>
        <w:t>predominantly large firms, as evidenced in the descriptive analysis. This sample characteristic may introduce bias into the analysis, limiting the applicability of the results to small and medium-sized enterprises</w:t>
      </w:r>
      <w:r w:rsidR="00C065E8">
        <w:rPr>
          <w:rFonts w:ascii="Times New Roman" w:hAnsi="Times New Roman" w:cs="Times New Roman"/>
          <w:sz w:val="24"/>
          <w:szCs w:val="24"/>
          <w:lang w:val="en-US"/>
        </w:rPr>
        <w:t xml:space="preserve"> (SMEs)</w:t>
      </w:r>
      <w:r w:rsidRPr="008B788C">
        <w:rPr>
          <w:rFonts w:ascii="Times New Roman" w:hAnsi="Times New Roman" w:cs="Times New Roman"/>
          <w:sz w:val="24"/>
          <w:szCs w:val="24"/>
          <w:lang w:val="en-US"/>
        </w:rPr>
        <w:t xml:space="preserve"> or to contexts in developing countries, where the effects of adopting ESG practices may differ significantly. Another relevant limitation is that the study covers a nine-year period (2016-2024), with the first and last years having l</w:t>
      </w:r>
      <w:r w:rsidR="00C065E8">
        <w:rPr>
          <w:rFonts w:ascii="Times New Roman" w:hAnsi="Times New Roman" w:cs="Times New Roman"/>
          <w:sz w:val="24"/>
          <w:szCs w:val="24"/>
          <w:lang w:val="en-US"/>
        </w:rPr>
        <w:t>ess</w:t>
      </w:r>
      <w:r w:rsidRPr="008B788C">
        <w:rPr>
          <w:rFonts w:ascii="Times New Roman" w:hAnsi="Times New Roman" w:cs="Times New Roman"/>
          <w:sz w:val="24"/>
          <w:szCs w:val="24"/>
          <w:lang w:val="en-US"/>
        </w:rPr>
        <w:t xml:space="preserve"> representation in the database. Considering the existing literature, the impacts of ESG practices tend to manifest </w:t>
      </w:r>
      <w:r w:rsidR="00C065E8">
        <w:rPr>
          <w:rFonts w:ascii="Times New Roman" w:hAnsi="Times New Roman" w:cs="Times New Roman"/>
          <w:sz w:val="24"/>
          <w:szCs w:val="24"/>
          <w:lang w:val="en-US"/>
        </w:rPr>
        <w:t>over</w:t>
      </w:r>
      <w:r w:rsidRPr="008B788C">
        <w:rPr>
          <w:rFonts w:ascii="Times New Roman" w:hAnsi="Times New Roman" w:cs="Times New Roman"/>
          <w:sz w:val="24"/>
          <w:szCs w:val="24"/>
          <w:lang w:val="en-US"/>
        </w:rPr>
        <w:t xml:space="preserve"> the long term, potentially extending beyond the analyzed time horizon. Thus, the </w:t>
      </w:r>
      <w:r w:rsidR="00C065E8">
        <w:rPr>
          <w:rFonts w:ascii="Times New Roman" w:hAnsi="Times New Roman" w:cs="Times New Roman"/>
          <w:sz w:val="24"/>
          <w:szCs w:val="24"/>
          <w:lang w:val="en-US"/>
        </w:rPr>
        <w:t xml:space="preserve">results </w:t>
      </w:r>
      <w:r w:rsidRPr="008B788C">
        <w:rPr>
          <w:rFonts w:ascii="Times New Roman" w:hAnsi="Times New Roman" w:cs="Times New Roman"/>
          <w:sz w:val="24"/>
          <w:szCs w:val="24"/>
          <w:lang w:val="en-US"/>
        </w:rPr>
        <w:t>obtained may not fully capture the lasting effects of ESG adoption on firm value.</w:t>
      </w:r>
    </w:p>
    <w:p w14:paraId="06CB4EEC" w14:textId="77777777" w:rsidR="008B788C" w:rsidRPr="008B788C" w:rsidRDefault="008B788C" w:rsidP="008B788C">
      <w:pPr>
        <w:spacing w:line="360" w:lineRule="auto"/>
        <w:jc w:val="both"/>
        <w:rPr>
          <w:rFonts w:ascii="Times New Roman" w:hAnsi="Times New Roman" w:cs="Times New Roman"/>
          <w:sz w:val="24"/>
          <w:szCs w:val="24"/>
          <w:lang w:val="en-US"/>
        </w:rPr>
      </w:pPr>
    </w:p>
    <w:p w14:paraId="54055CC5" w14:textId="6EDB44DE" w:rsidR="008B788C" w:rsidRPr="008B788C" w:rsidRDefault="008B788C" w:rsidP="008B788C">
      <w:pPr>
        <w:pStyle w:val="PargrafodaLista"/>
        <w:numPr>
          <w:ilvl w:val="0"/>
          <w:numId w:val="1"/>
        </w:numPr>
        <w:spacing w:line="360" w:lineRule="auto"/>
        <w:jc w:val="both"/>
        <w:rPr>
          <w:rFonts w:ascii="Times New Roman" w:hAnsi="Times New Roman" w:cs="Times New Roman"/>
          <w:b/>
          <w:bCs/>
          <w:sz w:val="24"/>
          <w:szCs w:val="24"/>
          <w:lang w:val="en-US"/>
        </w:rPr>
      </w:pPr>
      <w:r w:rsidRPr="008B788C">
        <w:rPr>
          <w:rFonts w:ascii="Times New Roman" w:hAnsi="Times New Roman" w:cs="Times New Roman"/>
          <w:b/>
          <w:bCs/>
          <w:sz w:val="24"/>
          <w:szCs w:val="24"/>
          <w:lang w:val="en-US"/>
        </w:rPr>
        <w:t>Final Considerations</w:t>
      </w:r>
    </w:p>
    <w:p w14:paraId="6CC4D897" w14:textId="79BA17ED"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This study empirically analyzed the relationship between the adoption of ESG practices and firm value, considering both how these actions are implemented and the environment in which they are embedded. The research suggests that</w:t>
      </w:r>
      <w:r w:rsidR="0038377B">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 when applied within a Shared Value strategy, the impacts of ESG practices on firm value can be more significant. Furthermore, it highlights that an innovative organizational culture is essential for the effective application of these practices a</w:t>
      </w:r>
      <w:r w:rsidR="00C065E8">
        <w:rPr>
          <w:rFonts w:ascii="Times New Roman" w:hAnsi="Times New Roman" w:cs="Times New Roman"/>
          <w:sz w:val="24"/>
          <w:szCs w:val="24"/>
          <w:lang w:val="en-US"/>
        </w:rPr>
        <w:t>s well as</w:t>
      </w:r>
      <w:r w:rsidRPr="008B788C">
        <w:rPr>
          <w:rFonts w:ascii="Times New Roman" w:hAnsi="Times New Roman" w:cs="Times New Roman"/>
          <w:sz w:val="24"/>
          <w:szCs w:val="24"/>
          <w:lang w:val="en-US"/>
        </w:rPr>
        <w:t xml:space="preserve"> for generating positive financial effects for organizations. In other words, these factors are crucial </w:t>
      </w:r>
      <w:r w:rsidR="00C065E8">
        <w:rPr>
          <w:rFonts w:ascii="Times New Roman" w:hAnsi="Times New Roman" w:cs="Times New Roman"/>
          <w:sz w:val="24"/>
          <w:szCs w:val="24"/>
          <w:lang w:val="en-US"/>
        </w:rPr>
        <w:t>in</w:t>
      </w:r>
      <w:r w:rsidRPr="008B788C">
        <w:rPr>
          <w:rFonts w:ascii="Times New Roman" w:hAnsi="Times New Roman" w:cs="Times New Roman"/>
          <w:sz w:val="24"/>
          <w:szCs w:val="24"/>
          <w:lang w:val="en-US"/>
        </w:rPr>
        <w:t xml:space="preserve"> ensuring the effectiveness of sustainable practices.</w:t>
      </w:r>
    </w:p>
    <w:p w14:paraId="56B60FB1" w14:textId="48F9D7BF"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Using a dynamic panel regression model with data from 1,963 publicly traded U.S. companies </w:t>
      </w:r>
      <w:r w:rsidR="00C065E8">
        <w:rPr>
          <w:rFonts w:ascii="Times New Roman" w:hAnsi="Times New Roman" w:cs="Times New Roman"/>
          <w:sz w:val="24"/>
          <w:szCs w:val="24"/>
          <w:lang w:val="en-US"/>
        </w:rPr>
        <w:t xml:space="preserve">from </w:t>
      </w:r>
      <w:r w:rsidRPr="008B788C">
        <w:rPr>
          <w:rFonts w:ascii="Times New Roman" w:hAnsi="Times New Roman" w:cs="Times New Roman"/>
          <w:sz w:val="24"/>
          <w:szCs w:val="24"/>
          <w:lang w:val="en-US"/>
        </w:rPr>
        <w:t>2016 to 2024, the results from Models 1 and 2 confirm that, in isolation, the adoption of ESG practices has a positive, albeit relatively small, impact on firms</w:t>
      </w:r>
      <w:r>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 market value. However, this effect is significantly amplified when ESG practices are implemented by organizations that adopt a Shared Value strategy (companies listed on Fortune</w:t>
      </w:r>
      <w:r>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s </w:t>
      </w:r>
      <w:r>
        <w:rPr>
          <w:rFonts w:ascii="Times New Roman" w:hAnsi="Times New Roman" w:cs="Times New Roman"/>
          <w:sz w:val="24"/>
          <w:szCs w:val="24"/>
          <w:lang w:val="en-US"/>
        </w:rPr>
        <w:t>“</w:t>
      </w:r>
      <w:r w:rsidRPr="008B788C">
        <w:rPr>
          <w:rFonts w:ascii="Times New Roman" w:hAnsi="Times New Roman" w:cs="Times New Roman"/>
          <w:sz w:val="24"/>
          <w:szCs w:val="24"/>
          <w:lang w:val="en-US"/>
        </w:rPr>
        <w:t>Change the World</w:t>
      </w:r>
      <w:r>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 list). Moreover, the results indicate that the market tends to penalize companies that merely adopt socio-environmental responsibility discourses without demonstrating concrete and observable actions to support th</w:t>
      </w:r>
      <w:r w:rsidR="00C065E8">
        <w:rPr>
          <w:rFonts w:ascii="Times New Roman" w:hAnsi="Times New Roman" w:cs="Times New Roman"/>
          <w:sz w:val="24"/>
          <w:szCs w:val="24"/>
          <w:lang w:val="en-US"/>
        </w:rPr>
        <w:t>e</w:t>
      </w:r>
      <w:r w:rsidRPr="008B788C">
        <w:rPr>
          <w:rFonts w:ascii="Times New Roman" w:hAnsi="Times New Roman" w:cs="Times New Roman"/>
          <w:sz w:val="24"/>
          <w:szCs w:val="24"/>
          <w:lang w:val="en-US"/>
        </w:rPr>
        <w:t>i</w:t>
      </w:r>
      <w:r w:rsidR="00C065E8">
        <w:rPr>
          <w:rFonts w:ascii="Times New Roman" w:hAnsi="Times New Roman" w:cs="Times New Roman"/>
          <w:sz w:val="24"/>
          <w:szCs w:val="24"/>
          <w:lang w:val="en-US"/>
        </w:rPr>
        <w:t>r claims</w:t>
      </w:r>
      <w:r w:rsidRPr="008B788C">
        <w:rPr>
          <w:rFonts w:ascii="Times New Roman" w:hAnsi="Times New Roman" w:cs="Times New Roman"/>
          <w:sz w:val="24"/>
          <w:szCs w:val="24"/>
          <w:lang w:val="en-US"/>
        </w:rPr>
        <w:t>. This suggests that investors evaluate not only financial indicators but also the coherence and effectiveness of the sustainable practices adopted by organizations.</w:t>
      </w:r>
    </w:p>
    <w:p w14:paraId="2184D670" w14:textId="67538FB5"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When analyzing Model 3, we </w:t>
      </w:r>
      <w:r w:rsidR="00C065E8">
        <w:rPr>
          <w:rFonts w:ascii="Times New Roman" w:hAnsi="Times New Roman" w:cs="Times New Roman"/>
          <w:sz w:val="24"/>
          <w:szCs w:val="24"/>
          <w:lang w:val="en-US"/>
        </w:rPr>
        <w:t>find</w:t>
      </w:r>
      <w:r w:rsidRPr="008B788C">
        <w:rPr>
          <w:rFonts w:ascii="Times New Roman" w:hAnsi="Times New Roman" w:cs="Times New Roman"/>
          <w:sz w:val="24"/>
          <w:szCs w:val="24"/>
          <w:lang w:val="en-US"/>
        </w:rPr>
        <w:t xml:space="preserve"> that an innovative organizational culture (companies </w:t>
      </w:r>
      <w:r w:rsidR="00C065E8">
        <w:rPr>
          <w:rFonts w:ascii="Times New Roman" w:hAnsi="Times New Roman" w:cs="Times New Roman"/>
          <w:sz w:val="24"/>
          <w:szCs w:val="24"/>
          <w:lang w:val="en-US"/>
        </w:rPr>
        <w:t>lis</w:t>
      </w:r>
      <w:r w:rsidRPr="008B788C">
        <w:rPr>
          <w:rFonts w:ascii="Times New Roman" w:hAnsi="Times New Roman" w:cs="Times New Roman"/>
          <w:sz w:val="24"/>
          <w:szCs w:val="24"/>
          <w:lang w:val="en-US"/>
        </w:rPr>
        <w:t>t</w:t>
      </w:r>
      <w:r w:rsidR="00C065E8">
        <w:rPr>
          <w:rFonts w:ascii="Times New Roman" w:hAnsi="Times New Roman" w:cs="Times New Roman"/>
          <w:sz w:val="24"/>
          <w:szCs w:val="24"/>
          <w:lang w:val="en-US"/>
        </w:rPr>
        <w:t>ed</w:t>
      </w:r>
      <w:r w:rsidRPr="008B788C">
        <w:rPr>
          <w:rFonts w:ascii="Times New Roman" w:hAnsi="Times New Roman" w:cs="Times New Roman"/>
          <w:sz w:val="24"/>
          <w:szCs w:val="24"/>
          <w:lang w:val="en-US"/>
        </w:rPr>
        <w:t xml:space="preserve"> on BCG</w:t>
      </w:r>
      <w:r>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s </w:t>
      </w:r>
      <w:r>
        <w:rPr>
          <w:rFonts w:ascii="Times New Roman" w:hAnsi="Times New Roman" w:cs="Times New Roman"/>
          <w:sz w:val="24"/>
          <w:szCs w:val="24"/>
          <w:lang w:val="en-US"/>
        </w:rPr>
        <w:t>“</w:t>
      </w:r>
      <w:r w:rsidRPr="008B788C">
        <w:rPr>
          <w:rFonts w:ascii="Times New Roman" w:hAnsi="Times New Roman" w:cs="Times New Roman"/>
          <w:sz w:val="24"/>
          <w:szCs w:val="24"/>
          <w:lang w:val="en-US"/>
        </w:rPr>
        <w:t>Most Innovative Companies</w:t>
      </w:r>
      <w:r>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 list) is crucial for companies to achieve positive financial effects from </w:t>
      </w:r>
      <w:r w:rsidR="00C065E8">
        <w:rPr>
          <w:rFonts w:ascii="Times New Roman" w:hAnsi="Times New Roman" w:cs="Times New Roman"/>
          <w:sz w:val="24"/>
          <w:szCs w:val="24"/>
          <w:lang w:val="en-US"/>
        </w:rPr>
        <w:t xml:space="preserve">the </w:t>
      </w:r>
      <w:r w:rsidRPr="008B788C">
        <w:rPr>
          <w:rFonts w:ascii="Times New Roman" w:hAnsi="Times New Roman" w:cs="Times New Roman"/>
          <w:sz w:val="24"/>
          <w:szCs w:val="24"/>
          <w:lang w:val="en-US"/>
        </w:rPr>
        <w:t>appl</w:t>
      </w:r>
      <w:r w:rsidR="00C065E8">
        <w:rPr>
          <w:rFonts w:ascii="Times New Roman" w:hAnsi="Times New Roman" w:cs="Times New Roman"/>
          <w:sz w:val="24"/>
          <w:szCs w:val="24"/>
          <w:lang w:val="en-US"/>
        </w:rPr>
        <w:t>ication of</w:t>
      </w:r>
      <w:r w:rsidRPr="008B788C">
        <w:rPr>
          <w:rFonts w:ascii="Times New Roman" w:hAnsi="Times New Roman" w:cs="Times New Roman"/>
          <w:sz w:val="24"/>
          <w:szCs w:val="24"/>
          <w:lang w:val="en-US"/>
        </w:rPr>
        <w:t xml:space="preserve"> ESG practices. Additionally, we observed that, in isolation, sustainable actions may not generate a significant financial impact.</w:t>
      </w:r>
    </w:p>
    <w:p w14:paraId="00235810" w14:textId="054E646E"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The findings reinforce the literature </w:t>
      </w:r>
      <w:r w:rsidR="00C065E8">
        <w:rPr>
          <w:rFonts w:ascii="Times New Roman" w:hAnsi="Times New Roman" w:cs="Times New Roman"/>
          <w:sz w:val="24"/>
          <w:szCs w:val="24"/>
          <w:lang w:val="en-US"/>
        </w:rPr>
        <w:t xml:space="preserve">that </w:t>
      </w:r>
      <w:r w:rsidRPr="008B788C">
        <w:rPr>
          <w:rFonts w:ascii="Times New Roman" w:hAnsi="Times New Roman" w:cs="Times New Roman"/>
          <w:sz w:val="24"/>
          <w:szCs w:val="24"/>
          <w:lang w:val="en-US"/>
        </w:rPr>
        <w:t>argu</w:t>
      </w:r>
      <w:r w:rsidR="00C065E8">
        <w:rPr>
          <w:rFonts w:ascii="Times New Roman" w:hAnsi="Times New Roman" w:cs="Times New Roman"/>
          <w:sz w:val="24"/>
          <w:szCs w:val="24"/>
          <w:lang w:val="en-US"/>
        </w:rPr>
        <w:t>es</w:t>
      </w:r>
      <w:r w:rsidRPr="008B788C">
        <w:rPr>
          <w:rFonts w:ascii="Times New Roman" w:hAnsi="Times New Roman" w:cs="Times New Roman"/>
          <w:sz w:val="24"/>
          <w:szCs w:val="24"/>
          <w:lang w:val="en-US"/>
        </w:rPr>
        <w:t xml:space="preserve"> that ESG practices, when well-aligned with business strategies</w:t>
      </w:r>
      <w:r>
        <w:rPr>
          <w:rFonts w:ascii="Times New Roman" w:hAnsi="Times New Roman" w:cs="Times New Roman"/>
          <w:sz w:val="24"/>
          <w:szCs w:val="24"/>
          <w:lang w:val="en-US"/>
        </w:rPr>
        <w:t xml:space="preserve"> – i</w:t>
      </w:r>
      <w:r w:rsidRPr="008B788C">
        <w:rPr>
          <w:rFonts w:ascii="Times New Roman" w:hAnsi="Times New Roman" w:cs="Times New Roman"/>
          <w:sz w:val="24"/>
          <w:szCs w:val="24"/>
          <w:lang w:val="en-US"/>
        </w:rPr>
        <w:t xml:space="preserve">.e., applied </w:t>
      </w:r>
      <w:r w:rsidR="00C065E8">
        <w:rPr>
          <w:rFonts w:ascii="Times New Roman" w:hAnsi="Times New Roman" w:cs="Times New Roman"/>
          <w:sz w:val="24"/>
          <w:szCs w:val="24"/>
          <w:lang w:val="en-US"/>
        </w:rPr>
        <w:t>while</w:t>
      </w:r>
      <w:r w:rsidRPr="008B788C">
        <w:rPr>
          <w:rFonts w:ascii="Times New Roman" w:hAnsi="Times New Roman" w:cs="Times New Roman"/>
          <w:sz w:val="24"/>
          <w:szCs w:val="24"/>
          <w:lang w:val="en-US"/>
        </w:rPr>
        <w:t xml:space="preserve"> observing business materiality</w:t>
      </w:r>
      <w:r>
        <w:rPr>
          <w:rFonts w:ascii="Times New Roman" w:hAnsi="Times New Roman" w:cs="Times New Roman"/>
          <w:sz w:val="24"/>
          <w:szCs w:val="24"/>
          <w:lang w:val="en-US"/>
        </w:rPr>
        <w:t xml:space="preserve"> – </w:t>
      </w:r>
      <w:r w:rsidRPr="008B788C">
        <w:rPr>
          <w:rFonts w:ascii="Times New Roman" w:hAnsi="Times New Roman" w:cs="Times New Roman"/>
          <w:sz w:val="24"/>
          <w:szCs w:val="24"/>
          <w:lang w:val="en-US"/>
        </w:rPr>
        <w:t xml:space="preserve">can result in increased financial performance, risk reduction, </w:t>
      </w:r>
      <w:r w:rsidR="00C065E8">
        <w:rPr>
          <w:rFonts w:ascii="Times New Roman" w:hAnsi="Times New Roman" w:cs="Times New Roman"/>
          <w:sz w:val="24"/>
          <w:szCs w:val="24"/>
          <w:lang w:val="en-US"/>
        </w:rPr>
        <w:t xml:space="preserve">a </w:t>
      </w:r>
      <w:r w:rsidRPr="008B788C">
        <w:rPr>
          <w:rFonts w:ascii="Times New Roman" w:hAnsi="Times New Roman" w:cs="Times New Roman"/>
          <w:sz w:val="24"/>
          <w:szCs w:val="24"/>
          <w:lang w:val="en-US"/>
        </w:rPr>
        <w:t xml:space="preserve">consequent reduction in the cost of capital, and </w:t>
      </w:r>
      <w:r w:rsidR="00C065E8">
        <w:rPr>
          <w:rFonts w:ascii="Times New Roman" w:hAnsi="Times New Roman" w:cs="Times New Roman"/>
          <w:sz w:val="24"/>
          <w:szCs w:val="24"/>
          <w:lang w:val="en-US"/>
        </w:rPr>
        <w:t xml:space="preserve">the </w:t>
      </w:r>
      <w:r w:rsidRPr="008B788C">
        <w:rPr>
          <w:rFonts w:ascii="Times New Roman" w:hAnsi="Times New Roman" w:cs="Times New Roman"/>
          <w:sz w:val="24"/>
          <w:szCs w:val="24"/>
          <w:lang w:val="en-US"/>
        </w:rPr>
        <w:t>appreciation of companies</w:t>
      </w:r>
      <w:r>
        <w:rPr>
          <w:rFonts w:ascii="Times New Roman" w:hAnsi="Times New Roman" w:cs="Times New Roman"/>
          <w:sz w:val="24"/>
          <w:szCs w:val="24"/>
          <w:lang w:val="en-US"/>
        </w:rPr>
        <w:t>’</w:t>
      </w:r>
      <w:r w:rsidRPr="008B788C">
        <w:rPr>
          <w:rFonts w:ascii="Times New Roman" w:hAnsi="Times New Roman" w:cs="Times New Roman"/>
          <w:sz w:val="24"/>
          <w:szCs w:val="24"/>
          <w:lang w:val="en-US"/>
        </w:rPr>
        <w:t xml:space="preserve"> intangible assets, leading to organizational valuation. The study contributes to this literature by deepening the understanding of the factors that intensify this relationship, suggesting that the value generated by ESG practices depends not only on their adoption but also on the strategic and cultural context in which they are applied. It adds to the empirical analysis of the effect of Shared Value on sustainable practices and the role of innovative organizational culture within ESG. Thus, this study offers a relevant theoretical contribution by integrating the literature o</w:t>
      </w:r>
      <w:r w:rsidR="00C065E8">
        <w:rPr>
          <w:rFonts w:ascii="Times New Roman" w:hAnsi="Times New Roman" w:cs="Times New Roman"/>
          <w:sz w:val="24"/>
          <w:szCs w:val="24"/>
          <w:lang w:val="en-US"/>
        </w:rPr>
        <w:t>n</w:t>
      </w:r>
      <w:r w:rsidRPr="008B788C">
        <w:rPr>
          <w:rFonts w:ascii="Times New Roman" w:hAnsi="Times New Roman" w:cs="Times New Roman"/>
          <w:sz w:val="24"/>
          <w:szCs w:val="24"/>
          <w:lang w:val="en-US"/>
        </w:rPr>
        <w:t xml:space="preserve"> strategic and sustainable vision.</w:t>
      </w:r>
    </w:p>
    <w:p w14:paraId="3CA873DE" w14:textId="6E16348D" w:rsid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From a practical perspective, this study contributes by providing clear strategic direction through empirical evidence for companies seeking to maximize the benefits of adopting ESG practices. The results indicate that a generic implementation of these practices does not generate </w:t>
      </w:r>
      <w:r w:rsidR="00C065E8">
        <w:rPr>
          <w:rFonts w:ascii="Times New Roman" w:hAnsi="Times New Roman" w:cs="Times New Roman"/>
          <w:sz w:val="24"/>
          <w:szCs w:val="24"/>
          <w:lang w:val="en-US"/>
        </w:rPr>
        <w:t xml:space="preserve">a </w:t>
      </w:r>
      <w:r w:rsidRPr="008B788C">
        <w:rPr>
          <w:rFonts w:ascii="Times New Roman" w:hAnsi="Times New Roman" w:cs="Times New Roman"/>
          <w:sz w:val="24"/>
          <w:szCs w:val="24"/>
          <w:lang w:val="en-US"/>
        </w:rPr>
        <w:t xml:space="preserve">significant impact, but when integrated into the Shared Value model and an innovative organizational culture, the returns can be more </w:t>
      </w:r>
      <w:r w:rsidR="00C065E8">
        <w:rPr>
          <w:rFonts w:ascii="Times New Roman" w:hAnsi="Times New Roman" w:cs="Times New Roman"/>
          <w:sz w:val="24"/>
          <w:szCs w:val="24"/>
          <w:lang w:val="en-US"/>
        </w:rPr>
        <w:t>substantial</w:t>
      </w:r>
      <w:r w:rsidRPr="008B788C">
        <w:rPr>
          <w:rFonts w:ascii="Times New Roman" w:hAnsi="Times New Roman" w:cs="Times New Roman"/>
          <w:sz w:val="24"/>
          <w:szCs w:val="24"/>
          <w:lang w:val="en-US"/>
        </w:rPr>
        <w:t>. Furthermore, it offers important insights for financial market investors, indicating that companies with high ESG scores that follow the context suggested by this study tend to show greater market appreciation, which can be useful for investors and funds seeking additional criteria to evaluate sustainable companies. Finally, the findings also have relevant implications for the formulation of public policies and corporate strategies. The results can guide internal policies within companies and offer a benchmark for public policymakers, allowing for more effective guidance in encouraging the adoption of ESG practices.</w:t>
      </w:r>
    </w:p>
    <w:p w14:paraId="560BD05A" w14:textId="4E40C4DE" w:rsidR="008B788C" w:rsidRP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788C">
        <w:rPr>
          <w:rFonts w:ascii="Times New Roman" w:hAnsi="Times New Roman" w:cs="Times New Roman"/>
          <w:sz w:val="24"/>
          <w:szCs w:val="24"/>
          <w:lang w:val="en-US"/>
        </w:rPr>
        <w:t xml:space="preserve">A suggestion for future studies is a more detailed qualitative </w:t>
      </w:r>
      <w:r w:rsidR="00C065E8">
        <w:rPr>
          <w:rFonts w:ascii="Times New Roman" w:hAnsi="Times New Roman" w:cs="Times New Roman"/>
          <w:sz w:val="24"/>
          <w:szCs w:val="24"/>
          <w:lang w:val="en-US"/>
        </w:rPr>
        <w:t>exploration</w:t>
      </w:r>
      <w:r w:rsidRPr="008B788C">
        <w:rPr>
          <w:rFonts w:ascii="Times New Roman" w:hAnsi="Times New Roman" w:cs="Times New Roman"/>
          <w:sz w:val="24"/>
          <w:szCs w:val="24"/>
          <w:lang w:val="en-US"/>
        </w:rPr>
        <w:t xml:space="preserve"> of the Shared Value and innovative organizational culture moderators, enabling a more comprehensive and quantitative classification of companies </w:t>
      </w:r>
      <w:r w:rsidR="00C065E8">
        <w:rPr>
          <w:rFonts w:ascii="Times New Roman" w:hAnsi="Times New Roman" w:cs="Times New Roman"/>
          <w:sz w:val="24"/>
          <w:szCs w:val="24"/>
          <w:lang w:val="en-US"/>
        </w:rPr>
        <w:t>with respect</w:t>
      </w:r>
      <w:r w:rsidRPr="008B788C">
        <w:rPr>
          <w:rFonts w:ascii="Times New Roman" w:hAnsi="Times New Roman" w:cs="Times New Roman"/>
          <w:sz w:val="24"/>
          <w:szCs w:val="24"/>
          <w:lang w:val="en-US"/>
        </w:rPr>
        <w:t xml:space="preserve"> to these variables. This would refin</w:t>
      </w:r>
      <w:r w:rsidR="00C065E8">
        <w:rPr>
          <w:rFonts w:ascii="Times New Roman" w:hAnsi="Times New Roman" w:cs="Times New Roman"/>
          <w:sz w:val="24"/>
          <w:szCs w:val="24"/>
          <w:lang w:val="en-US"/>
        </w:rPr>
        <w:t>e</w:t>
      </w:r>
      <w:r w:rsidRPr="008B788C">
        <w:rPr>
          <w:rFonts w:ascii="Times New Roman" w:hAnsi="Times New Roman" w:cs="Times New Roman"/>
          <w:sz w:val="24"/>
          <w:szCs w:val="24"/>
          <w:lang w:val="en-US"/>
        </w:rPr>
        <w:t xml:space="preserve"> the analysis of the interaction between variables, enhancing the precision of the results. This approach would help mitigate the main limitation of this study, which is the absence of </w:t>
      </w:r>
      <w:r w:rsidR="00C065E8">
        <w:rPr>
          <w:rFonts w:ascii="Times New Roman" w:hAnsi="Times New Roman" w:cs="Times New Roman"/>
          <w:sz w:val="24"/>
          <w:szCs w:val="24"/>
          <w:lang w:val="en-US"/>
        </w:rPr>
        <w:t>robust</w:t>
      </w:r>
      <w:r w:rsidRPr="008B788C">
        <w:rPr>
          <w:rFonts w:ascii="Times New Roman" w:hAnsi="Times New Roman" w:cs="Times New Roman"/>
          <w:sz w:val="24"/>
          <w:szCs w:val="24"/>
          <w:lang w:val="en-US"/>
        </w:rPr>
        <w:t xml:space="preserve"> proxies for the moderating variables. Additionally, a more detailed investigation into which sectors benefit more or less from this relationship represents a relevant aspect not yet explored in this research. An analysis using a database from developing countries, such as Brazil, where there is significant growth in the adoption of ESG practices, could be a valuable extension of this study. This would allow for </w:t>
      </w:r>
      <w:r w:rsidR="00C065E8">
        <w:rPr>
          <w:rFonts w:ascii="Times New Roman" w:hAnsi="Times New Roman" w:cs="Times New Roman"/>
          <w:sz w:val="24"/>
          <w:szCs w:val="24"/>
          <w:lang w:val="en-US"/>
        </w:rPr>
        <w:t xml:space="preserve">an </w:t>
      </w:r>
      <w:r w:rsidRPr="008B788C">
        <w:rPr>
          <w:rFonts w:ascii="Times New Roman" w:hAnsi="Times New Roman" w:cs="Times New Roman"/>
          <w:sz w:val="24"/>
          <w:szCs w:val="24"/>
          <w:lang w:val="en-US"/>
        </w:rPr>
        <w:t>evaluati</w:t>
      </w:r>
      <w:r w:rsidR="00C065E8">
        <w:rPr>
          <w:rFonts w:ascii="Times New Roman" w:hAnsi="Times New Roman" w:cs="Times New Roman"/>
          <w:sz w:val="24"/>
          <w:szCs w:val="24"/>
          <w:lang w:val="en-US"/>
        </w:rPr>
        <w:t>o</w:t>
      </w:r>
      <w:r w:rsidRPr="008B788C">
        <w:rPr>
          <w:rFonts w:ascii="Times New Roman" w:hAnsi="Times New Roman" w:cs="Times New Roman"/>
          <w:sz w:val="24"/>
          <w:szCs w:val="24"/>
          <w:lang w:val="en-US"/>
        </w:rPr>
        <w:t>n</w:t>
      </w:r>
      <w:r w:rsidR="00C065E8">
        <w:rPr>
          <w:rFonts w:ascii="Times New Roman" w:hAnsi="Times New Roman" w:cs="Times New Roman"/>
          <w:sz w:val="24"/>
          <w:szCs w:val="24"/>
          <w:lang w:val="en-US"/>
        </w:rPr>
        <w:t xml:space="preserve"> of</w:t>
      </w:r>
      <w:r w:rsidRPr="008B788C">
        <w:rPr>
          <w:rFonts w:ascii="Times New Roman" w:hAnsi="Times New Roman" w:cs="Times New Roman"/>
          <w:sz w:val="24"/>
          <w:szCs w:val="24"/>
          <w:lang w:val="en-US"/>
        </w:rPr>
        <w:t xml:space="preserve"> whether the findings are consistent across different economic and regulatory contexts or if they </w:t>
      </w:r>
      <w:r w:rsidR="00C065E8">
        <w:rPr>
          <w:rFonts w:ascii="Times New Roman" w:hAnsi="Times New Roman" w:cs="Times New Roman"/>
          <w:sz w:val="24"/>
          <w:szCs w:val="24"/>
          <w:lang w:val="en-US"/>
        </w:rPr>
        <w:t>show</w:t>
      </w:r>
      <w:r w:rsidRPr="008B788C">
        <w:rPr>
          <w:rFonts w:ascii="Times New Roman" w:hAnsi="Times New Roman" w:cs="Times New Roman"/>
          <w:sz w:val="24"/>
          <w:szCs w:val="24"/>
          <w:lang w:val="en-US"/>
        </w:rPr>
        <w:t xml:space="preserve"> significant variations.</w:t>
      </w:r>
    </w:p>
    <w:p w14:paraId="0A954464" w14:textId="77777777" w:rsidR="008B788C" w:rsidRPr="008B788C" w:rsidRDefault="008B788C" w:rsidP="008B788C">
      <w:pPr>
        <w:spacing w:line="360" w:lineRule="auto"/>
        <w:jc w:val="both"/>
        <w:rPr>
          <w:rFonts w:ascii="Times New Roman" w:hAnsi="Times New Roman" w:cs="Times New Roman"/>
          <w:b/>
          <w:bCs/>
          <w:sz w:val="24"/>
          <w:szCs w:val="24"/>
          <w:lang w:val="en-US"/>
        </w:rPr>
      </w:pPr>
      <w:r w:rsidRPr="008B788C">
        <w:rPr>
          <w:rFonts w:ascii="Times New Roman" w:hAnsi="Times New Roman" w:cs="Times New Roman"/>
          <w:b/>
          <w:bCs/>
          <w:sz w:val="24"/>
          <w:szCs w:val="24"/>
          <w:lang w:val="en-US"/>
        </w:rPr>
        <w:t>References</w:t>
      </w:r>
    </w:p>
    <w:p w14:paraId="5F79E7D2" w14:textId="77777777" w:rsidR="008B788C" w:rsidRPr="00E8509B" w:rsidRDefault="008B788C" w:rsidP="008B788C">
      <w:pPr>
        <w:spacing w:line="36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Aboramadan, M., Albashiti, B., Alharazin, H., &amp; Zaidoune, S. (2020), “Organizational culture, innovation and performance: a study from a non-western context”. </w:t>
      </w:r>
      <w:r w:rsidRPr="00E8509B">
        <w:rPr>
          <w:rFonts w:ascii="Times New Roman" w:hAnsi="Times New Roman" w:cs="Times New Roman"/>
          <w:i/>
          <w:iCs/>
          <w:sz w:val="24"/>
          <w:szCs w:val="24"/>
          <w:lang w:val="en-US"/>
        </w:rPr>
        <w:t>Journal of Management Development</w:t>
      </w:r>
      <w:r w:rsidRPr="00E8509B">
        <w:rPr>
          <w:rFonts w:ascii="Times New Roman" w:hAnsi="Times New Roman" w:cs="Times New Roman"/>
          <w:sz w:val="24"/>
          <w:szCs w:val="24"/>
          <w:lang w:val="en-US"/>
        </w:rPr>
        <w:t>, 39(4), 437-451. </w:t>
      </w:r>
      <w:hyperlink r:id="rId12" w:tooltip="DOI: https://doi.org/10.1108/JMD-06-2019-0253" w:history="1">
        <w:r w:rsidRPr="00E8509B">
          <w:rPr>
            <w:rStyle w:val="Hyperlink"/>
            <w:rFonts w:ascii="Times New Roman" w:hAnsi="Times New Roman" w:cs="Times New Roman"/>
            <w:sz w:val="24"/>
            <w:szCs w:val="24"/>
            <w:lang w:val="en-US"/>
          </w:rPr>
          <w:t>https://doi.org/10.1108/JMD-06-2019-0253</w:t>
        </w:r>
      </w:hyperlink>
    </w:p>
    <w:p w14:paraId="62BF52DB" w14:textId="77777777" w:rsidR="008B788C" w:rsidRPr="00E8509B" w:rsidRDefault="008B788C" w:rsidP="008B788C">
      <w:pPr>
        <w:spacing w:line="360" w:lineRule="auto"/>
        <w:jc w:val="both"/>
        <w:rPr>
          <w:lang w:val="en-US"/>
        </w:rPr>
      </w:pPr>
      <w:r w:rsidRPr="00E8509B">
        <w:rPr>
          <w:rFonts w:ascii="Times New Roman" w:hAnsi="Times New Roman" w:cs="Times New Roman"/>
          <w:sz w:val="24"/>
          <w:szCs w:val="24"/>
          <w:lang w:val="en-US"/>
        </w:rPr>
        <w:t xml:space="preserve">Adams, C. A., Alhamood, A., He, X., Tian, J., Wang, L., Wang, Y. (2021). </w:t>
      </w:r>
      <w:r w:rsidRPr="00E8509B">
        <w:rPr>
          <w:rFonts w:ascii="Times New Roman" w:hAnsi="Times New Roman" w:cs="Times New Roman"/>
          <w:i/>
          <w:iCs/>
          <w:sz w:val="24"/>
          <w:szCs w:val="24"/>
          <w:lang w:val="en-US"/>
        </w:rPr>
        <w:t>The double-materiality concept. Application and issues.</w:t>
      </w:r>
    </w:p>
    <w:p w14:paraId="60DA8727"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Albuquerque, R., Koskinen, Y., &amp; Zhang, C. (2019). Corporate social responsibility and firm risk: Theory and empirical evidence. </w:t>
      </w:r>
      <w:r w:rsidRPr="00E8509B">
        <w:rPr>
          <w:rFonts w:ascii="Times New Roman" w:hAnsi="Times New Roman" w:cs="Times New Roman"/>
          <w:i/>
          <w:iCs/>
          <w:sz w:val="24"/>
          <w:szCs w:val="24"/>
          <w:lang w:val="en-US"/>
        </w:rPr>
        <w:t xml:space="preserve">Management Science, </w:t>
      </w:r>
      <w:r w:rsidRPr="00E8509B">
        <w:rPr>
          <w:rFonts w:ascii="Times New Roman" w:hAnsi="Times New Roman" w:cs="Times New Roman"/>
          <w:sz w:val="24"/>
          <w:szCs w:val="24"/>
          <w:lang w:val="en-US"/>
        </w:rPr>
        <w:t>65(10), 4451–4469.</w:t>
      </w:r>
    </w:p>
    <w:p w14:paraId="3A7FDD14"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Arellano, M., &amp; Bond, S. (1991). Some tests of specification for panel data: Monte Carlo evidence and an application to employment equations. </w:t>
      </w:r>
      <w:r w:rsidRPr="00E8509B">
        <w:rPr>
          <w:rFonts w:ascii="Times New Roman" w:hAnsi="Times New Roman" w:cs="Times New Roman"/>
          <w:i/>
          <w:iCs/>
          <w:sz w:val="24"/>
          <w:szCs w:val="24"/>
          <w:lang w:val="en-US"/>
        </w:rPr>
        <w:t xml:space="preserve">The Review of Economic Studies, </w:t>
      </w:r>
      <w:r w:rsidRPr="00E8509B">
        <w:rPr>
          <w:rFonts w:ascii="Times New Roman" w:hAnsi="Times New Roman" w:cs="Times New Roman"/>
          <w:sz w:val="24"/>
          <w:szCs w:val="24"/>
          <w:lang w:val="en-US"/>
        </w:rPr>
        <w:t>58(2), 277–297.</w:t>
      </w:r>
    </w:p>
    <w:p w14:paraId="5651100C" w14:textId="77777777" w:rsidR="008B788C" w:rsidRPr="00E8509B" w:rsidRDefault="008B788C" w:rsidP="008B788C">
      <w:pPr>
        <w:spacing w:line="360" w:lineRule="auto"/>
        <w:jc w:val="both"/>
        <w:rPr>
          <w:lang w:val="en-US"/>
        </w:rPr>
      </w:pPr>
      <w:r w:rsidRPr="00E8509B">
        <w:rPr>
          <w:rFonts w:ascii="Times New Roman" w:hAnsi="Times New Roman" w:cs="Times New Roman"/>
          <w:sz w:val="24"/>
          <w:szCs w:val="24"/>
          <w:lang w:val="en-US"/>
        </w:rPr>
        <w:t>Bai, F., Shang, M., &amp; Huang, Y. (2024). Corporate culture and ESG performance: Empirical evidence from China. </w:t>
      </w:r>
      <w:r w:rsidRPr="00E8509B">
        <w:rPr>
          <w:rFonts w:ascii="Times New Roman" w:hAnsi="Times New Roman" w:cs="Times New Roman"/>
          <w:i/>
          <w:iCs/>
          <w:sz w:val="24"/>
          <w:szCs w:val="24"/>
          <w:lang w:val="en-US"/>
        </w:rPr>
        <w:t>Journal of Cleaner Production</w:t>
      </w:r>
      <w:r w:rsidRPr="00E8509B">
        <w:rPr>
          <w:rFonts w:ascii="Times New Roman" w:hAnsi="Times New Roman" w:cs="Times New Roman"/>
          <w:sz w:val="24"/>
          <w:szCs w:val="24"/>
          <w:lang w:val="en-US"/>
        </w:rPr>
        <w:t>, 437, 140732.</w:t>
      </w:r>
    </w:p>
    <w:p w14:paraId="7EE176A5" w14:textId="77777777" w:rsidR="008B788C" w:rsidRPr="00E8509B" w:rsidRDefault="008B788C" w:rsidP="008B788C">
      <w:pPr>
        <w:spacing w:line="36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Barnea, A., &amp; Rubin, Amir. (2010). Corporate social responsibility as a conflict between shareholders. </w:t>
      </w:r>
      <w:r w:rsidRPr="00E8509B">
        <w:rPr>
          <w:rFonts w:ascii="Times New Roman" w:hAnsi="Times New Roman" w:cs="Times New Roman"/>
          <w:i/>
          <w:iCs/>
          <w:sz w:val="24"/>
          <w:szCs w:val="24"/>
          <w:lang w:val="en-US"/>
        </w:rPr>
        <w:t>Journal of business ethics</w:t>
      </w:r>
      <w:r w:rsidRPr="00E8509B">
        <w:rPr>
          <w:rFonts w:ascii="Times New Roman" w:hAnsi="Times New Roman" w:cs="Times New Roman"/>
          <w:sz w:val="24"/>
          <w:szCs w:val="24"/>
          <w:lang w:val="en-US"/>
        </w:rPr>
        <w:t>, 97, 71-86.</w:t>
      </w:r>
    </w:p>
    <w:p w14:paraId="2A91936D" w14:textId="77777777" w:rsidR="008B788C" w:rsidRPr="00A820E3" w:rsidRDefault="008B788C" w:rsidP="008B788C">
      <w:pPr>
        <w:spacing w:line="360" w:lineRule="auto"/>
        <w:jc w:val="both"/>
        <w:rPr>
          <w:rFonts w:ascii="Times New Roman" w:hAnsi="Times New Roman" w:cs="Times New Roman"/>
          <w:sz w:val="24"/>
          <w:szCs w:val="24"/>
          <w:lang w:val="fi-FI"/>
        </w:rPr>
      </w:pPr>
      <w:r w:rsidRPr="00E8509B">
        <w:rPr>
          <w:rFonts w:ascii="Times New Roman" w:hAnsi="Times New Roman" w:cs="Times New Roman"/>
          <w:sz w:val="24"/>
          <w:szCs w:val="24"/>
          <w:lang w:val="en-US"/>
        </w:rPr>
        <w:t xml:space="preserve">Bénabou, R., &amp; Tirole, J. (2010). Individual and corporate social responsibility. </w:t>
      </w:r>
      <w:r w:rsidRPr="00A820E3">
        <w:rPr>
          <w:rFonts w:ascii="Times New Roman" w:hAnsi="Times New Roman" w:cs="Times New Roman"/>
          <w:i/>
          <w:iCs/>
          <w:sz w:val="24"/>
          <w:szCs w:val="24"/>
          <w:lang w:val="it-IT"/>
        </w:rPr>
        <w:t xml:space="preserve">Economica, </w:t>
      </w:r>
      <w:r w:rsidRPr="00A820E3">
        <w:rPr>
          <w:rFonts w:ascii="Times New Roman" w:hAnsi="Times New Roman" w:cs="Times New Roman"/>
          <w:sz w:val="24"/>
          <w:szCs w:val="24"/>
          <w:lang w:val="it-IT"/>
        </w:rPr>
        <w:t xml:space="preserve">77(305), 1–19. </w:t>
      </w:r>
      <w:hyperlink r:id="rId13" w:history="1">
        <w:r w:rsidRPr="00A820E3">
          <w:rPr>
            <w:rStyle w:val="Hyperlink"/>
            <w:rFonts w:ascii="Times New Roman" w:hAnsi="Times New Roman" w:cs="Times New Roman"/>
            <w:sz w:val="24"/>
            <w:szCs w:val="24"/>
            <w:lang w:val="fi-FI"/>
          </w:rPr>
          <w:t>https://doi.org/10.1111/j.1468-0335.2009.00843.x</w:t>
        </w:r>
      </w:hyperlink>
    </w:p>
    <w:p w14:paraId="2DD17D43" w14:textId="77777777" w:rsidR="008B788C" w:rsidRPr="00E8509B" w:rsidRDefault="008B788C" w:rsidP="008B788C">
      <w:pPr>
        <w:spacing w:line="240" w:lineRule="auto"/>
        <w:jc w:val="both"/>
        <w:rPr>
          <w:rFonts w:ascii="Times New Roman" w:hAnsi="Times New Roman" w:cs="Times New Roman"/>
          <w:sz w:val="24"/>
          <w:szCs w:val="24"/>
          <w:lang w:val="en-US"/>
        </w:rPr>
      </w:pPr>
      <w:r w:rsidRPr="00A820E3">
        <w:rPr>
          <w:rFonts w:ascii="Times New Roman" w:hAnsi="Times New Roman" w:cs="Times New Roman"/>
          <w:sz w:val="24"/>
          <w:szCs w:val="24"/>
          <w:lang w:val="fi-FI"/>
        </w:rPr>
        <w:t xml:space="preserve">Borghesi, R., Houston, J. F., &amp; Naranjo, A. (2014). </w:t>
      </w:r>
      <w:r w:rsidRPr="00E8509B">
        <w:rPr>
          <w:rFonts w:ascii="Times New Roman" w:hAnsi="Times New Roman" w:cs="Times New Roman"/>
          <w:sz w:val="24"/>
          <w:szCs w:val="24"/>
          <w:lang w:val="en-US"/>
        </w:rPr>
        <w:t xml:space="preserve">Corporate socially responsible investments: CEO altruism, reputation, and shareholder interests. </w:t>
      </w:r>
      <w:r w:rsidRPr="00E8509B">
        <w:rPr>
          <w:rFonts w:ascii="Times New Roman" w:hAnsi="Times New Roman" w:cs="Times New Roman"/>
          <w:i/>
          <w:iCs/>
          <w:sz w:val="24"/>
          <w:szCs w:val="24"/>
          <w:lang w:val="en-US"/>
        </w:rPr>
        <w:t xml:space="preserve">Journal of Corporate Finance, </w:t>
      </w:r>
      <w:r w:rsidRPr="00E8509B">
        <w:rPr>
          <w:rFonts w:ascii="Times New Roman" w:hAnsi="Times New Roman" w:cs="Times New Roman"/>
          <w:sz w:val="24"/>
          <w:szCs w:val="24"/>
          <w:lang w:val="en-US"/>
        </w:rPr>
        <w:t>26, 164–181.</w:t>
      </w:r>
    </w:p>
    <w:p w14:paraId="58BF43D0"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Boston Consulting Group. (2016–2024). </w:t>
      </w:r>
      <w:r w:rsidRPr="00E8509B">
        <w:rPr>
          <w:rFonts w:ascii="Times New Roman" w:hAnsi="Times New Roman" w:cs="Times New Roman"/>
          <w:i/>
          <w:iCs/>
          <w:sz w:val="24"/>
          <w:szCs w:val="24"/>
          <w:lang w:val="en-US"/>
        </w:rPr>
        <w:t>Most innovative companies</w:t>
      </w:r>
      <w:r w:rsidRPr="00E8509B">
        <w:rPr>
          <w:rFonts w:ascii="Times New Roman" w:hAnsi="Times New Roman" w:cs="Times New Roman"/>
          <w:sz w:val="24"/>
          <w:szCs w:val="24"/>
          <w:lang w:val="en-US"/>
        </w:rPr>
        <w:t>.</w:t>
      </w:r>
    </w:p>
    <w:p w14:paraId="3C995F8D" w14:textId="77777777" w:rsidR="008B788C" w:rsidRPr="00E8509B" w:rsidRDefault="008B788C" w:rsidP="008B788C">
      <w:pPr>
        <w:spacing w:line="36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Brealey, R., Myers, S., &amp; Allen, F. (2020). </w:t>
      </w:r>
      <w:r w:rsidRPr="00E8509B">
        <w:rPr>
          <w:rFonts w:ascii="Times New Roman" w:hAnsi="Times New Roman" w:cs="Times New Roman"/>
          <w:i/>
          <w:iCs/>
          <w:sz w:val="24"/>
          <w:szCs w:val="24"/>
          <w:lang w:val="en-US"/>
        </w:rPr>
        <w:t>Principles of Corporate Finance</w:t>
      </w:r>
      <w:r w:rsidRPr="00E8509B">
        <w:rPr>
          <w:rFonts w:ascii="Times New Roman" w:hAnsi="Times New Roman" w:cs="Times New Roman"/>
          <w:sz w:val="24"/>
          <w:szCs w:val="24"/>
          <w:lang w:val="en-US"/>
        </w:rPr>
        <w:t>. McGraw-Hill Education.</w:t>
      </w:r>
    </w:p>
    <w:p w14:paraId="62F367A8"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Büschgens, T., Bausch, A., &amp; Balkin, D. B. (2013). Organizational culture and innovation: A meta‐analytic review. </w:t>
      </w:r>
      <w:r w:rsidRPr="00E8509B">
        <w:rPr>
          <w:rFonts w:ascii="Times New Roman" w:hAnsi="Times New Roman" w:cs="Times New Roman"/>
          <w:i/>
          <w:iCs/>
          <w:sz w:val="24"/>
          <w:szCs w:val="24"/>
          <w:lang w:val="en-US"/>
        </w:rPr>
        <w:t xml:space="preserve">Journal of Product Innovation Management, </w:t>
      </w:r>
      <w:r w:rsidRPr="00E8509B">
        <w:rPr>
          <w:rFonts w:ascii="Times New Roman" w:hAnsi="Times New Roman" w:cs="Times New Roman"/>
          <w:sz w:val="24"/>
          <w:szCs w:val="24"/>
          <w:lang w:val="en-US"/>
        </w:rPr>
        <w:t>30(4), 763–781.</w:t>
      </w:r>
    </w:p>
    <w:p w14:paraId="2EDC8427"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Cameron, K. S., &amp; Quinn, R. E. (2011). </w:t>
      </w:r>
      <w:r w:rsidRPr="00E8509B">
        <w:rPr>
          <w:rFonts w:ascii="Times New Roman" w:hAnsi="Times New Roman" w:cs="Times New Roman"/>
          <w:i/>
          <w:iCs/>
          <w:sz w:val="24"/>
          <w:szCs w:val="24"/>
          <w:lang w:val="en-US"/>
        </w:rPr>
        <w:t>Diagnosing and changing organizational culture: Based on the competing values framework</w:t>
      </w:r>
      <w:r w:rsidRPr="00E8509B">
        <w:rPr>
          <w:rFonts w:ascii="Times New Roman" w:hAnsi="Times New Roman" w:cs="Times New Roman"/>
          <w:sz w:val="24"/>
          <w:szCs w:val="24"/>
          <w:lang w:val="en-US"/>
        </w:rPr>
        <w:t xml:space="preserve"> (3rd ed.). Jossey-Bass.</w:t>
      </w:r>
    </w:p>
    <w:p w14:paraId="5CC6AA20"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Cheng, B., Ioannou, I., &amp; Serafeim, G. (2014). Corporate social responsibility and access to finance. </w:t>
      </w:r>
      <w:r w:rsidRPr="00E8509B">
        <w:rPr>
          <w:rFonts w:ascii="Times New Roman" w:hAnsi="Times New Roman" w:cs="Times New Roman"/>
          <w:i/>
          <w:iCs/>
          <w:sz w:val="24"/>
          <w:szCs w:val="24"/>
          <w:lang w:val="en-US"/>
        </w:rPr>
        <w:t xml:space="preserve">Strategic Management Journal, </w:t>
      </w:r>
      <w:r w:rsidRPr="00E8509B">
        <w:rPr>
          <w:rFonts w:ascii="Times New Roman" w:hAnsi="Times New Roman" w:cs="Times New Roman"/>
          <w:sz w:val="24"/>
          <w:szCs w:val="24"/>
          <w:lang w:val="en-US"/>
        </w:rPr>
        <w:t>35(1), 1–23.</w:t>
      </w:r>
    </w:p>
    <w:p w14:paraId="4C798549"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Coase, R. H. (2013). The problem of social cost. </w:t>
      </w:r>
      <w:r w:rsidRPr="00E8509B">
        <w:rPr>
          <w:rFonts w:ascii="Times New Roman" w:hAnsi="Times New Roman" w:cs="Times New Roman"/>
          <w:i/>
          <w:iCs/>
          <w:sz w:val="24"/>
          <w:szCs w:val="24"/>
          <w:lang w:val="en-US"/>
        </w:rPr>
        <w:t xml:space="preserve">The Journal of Law and Economics, </w:t>
      </w:r>
      <w:r w:rsidRPr="00E8509B">
        <w:rPr>
          <w:rFonts w:ascii="Times New Roman" w:hAnsi="Times New Roman" w:cs="Times New Roman"/>
          <w:sz w:val="24"/>
          <w:szCs w:val="24"/>
          <w:lang w:val="en-US"/>
        </w:rPr>
        <w:t>56(4), 837–877.</w:t>
      </w:r>
    </w:p>
    <w:p w14:paraId="6CFB1E6E"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Damodaran, A. (2007). </w:t>
      </w:r>
      <w:r w:rsidRPr="00E8509B">
        <w:rPr>
          <w:rFonts w:ascii="Times New Roman" w:hAnsi="Times New Roman" w:cs="Times New Roman"/>
          <w:i/>
          <w:iCs/>
          <w:sz w:val="24"/>
          <w:szCs w:val="24"/>
          <w:lang w:val="en-US"/>
        </w:rPr>
        <w:t>Corporate finance: Theory and practice</w:t>
      </w:r>
      <w:r w:rsidRPr="00E8509B">
        <w:rPr>
          <w:rFonts w:ascii="Times New Roman" w:hAnsi="Times New Roman" w:cs="Times New Roman"/>
          <w:sz w:val="24"/>
          <w:szCs w:val="24"/>
          <w:lang w:val="en-US"/>
        </w:rPr>
        <w:t>. John Wiley &amp; Sons.</w:t>
      </w:r>
    </w:p>
    <w:p w14:paraId="78CB44CA"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Damodaran, A. (2012). </w:t>
      </w:r>
      <w:r w:rsidRPr="00E8509B">
        <w:rPr>
          <w:rFonts w:ascii="Times New Roman" w:hAnsi="Times New Roman" w:cs="Times New Roman"/>
          <w:i/>
          <w:iCs/>
          <w:sz w:val="24"/>
          <w:szCs w:val="24"/>
          <w:lang w:val="en-US"/>
        </w:rPr>
        <w:t>Investment valuation: Tools and techniques for determining the value of any asset</w:t>
      </w:r>
      <w:r w:rsidRPr="00E8509B">
        <w:rPr>
          <w:rFonts w:ascii="Times New Roman" w:hAnsi="Times New Roman" w:cs="Times New Roman"/>
          <w:sz w:val="24"/>
          <w:szCs w:val="24"/>
          <w:lang w:val="en-US"/>
        </w:rPr>
        <w:t>. John Wiley &amp; Sons.</w:t>
      </w:r>
    </w:p>
    <w:p w14:paraId="291AE9B4" w14:textId="77777777" w:rsidR="008B788C" w:rsidRPr="00E8509B" w:rsidRDefault="008B788C" w:rsidP="008B788C">
      <w:pPr>
        <w:spacing w:line="36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Dicuonzo, G., Donofrio, F., Ranaldo, S., &amp; Dell’Atti, V. (2022), “The effect of innovation on environmental, social and governance (ESG) practices”. </w:t>
      </w:r>
      <w:r w:rsidRPr="00E8509B">
        <w:rPr>
          <w:rFonts w:ascii="Times New Roman" w:hAnsi="Times New Roman" w:cs="Times New Roman"/>
          <w:i/>
          <w:iCs/>
          <w:sz w:val="24"/>
          <w:szCs w:val="24"/>
          <w:lang w:val="en-US"/>
        </w:rPr>
        <w:t>Meditari Accountancy Research</w:t>
      </w:r>
      <w:r w:rsidRPr="00E8509B">
        <w:rPr>
          <w:rFonts w:ascii="Times New Roman" w:hAnsi="Times New Roman" w:cs="Times New Roman"/>
          <w:sz w:val="24"/>
          <w:szCs w:val="24"/>
          <w:lang w:val="en-US"/>
        </w:rPr>
        <w:t>, 30(4), 1191-1209. </w:t>
      </w:r>
      <w:hyperlink r:id="rId14" w:tooltip="DOI: https://doi.org/10.1108/MEDAR-12-2020-1120" w:history="1">
        <w:r w:rsidRPr="00E8509B">
          <w:rPr>
            <w:rStyle w:val="Hyperlink"/>
            <w:rFonts w:ascii="Times New Roman" w:hAnsi="Times New Roman" w:cs="Times New Roman"/>
            <w:sz w:val="24"/>
            <w:szCs w:val="24"/>
            <w:lang w:val="en-US"/>
          </w:rPr>
          <w:t>https://doi.org/10.1108/MEDAR-12-2020-1120</w:t>
        </w:r>
      </w:hyperlink>
    </w:p>
    <w:p w14:paraId="08845CA9"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Drucker, P. (2002). </w:t>
      </w:r>
      <w:r w:rsidRPr="00E8509B">
        <w:rPr>
          <w:rFonts w:ascii="Times New Roman" w:hAnsi="Times New Roman" w:cs="Times New Roman"/>
          <w:i/>
          <w:iCs/>
          <w:sz w:val="24"/>
          <w:szCs w:val="24"/>
          <w:lang w:val="en-US"/>
        </w:rPr>
        <w:t>Managing in the next society</w:t>
      </w:r>
      <w:r w:rsidRPr="00E8509B">
        <w:rPr>
          <w:rFonts w:ascii="Times New Roman" w:hAnsi="Times New Roman" w:cs="Times New Roman"/>
          <w:sz w:val="24"/>
          <w:szCs w:val="24"/>
          <w:lang w:val="en-US"/>
        </w:rPr>
        <w:t>. Routledge.</w:t>
      </w:r>
    </w:p>
    <w:p w14:paraId="58E370B2" w14:textId="77777777" w:rsidR="008B788C" w:rsidRPr="00E8509B" w:rsidRDefault="008B788C" w:rsidP="008B788C">
      <w:pPr>
        <w:spacing w:line="24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Eccles, R. G., Ioannou, I., &amp; Serafeim, G. (2014). The impact of corporate sustainability on organizational processes and performance. </w:t>
      </w:r>
      <w:r w:rsidRPr="00E8509B">
        <w:rPr>
          <w:rFonts w:ascii="Times New Roman" w:hAnsi="Times New Roman" w:cs="Times New Roman"/>
          <w:i/>
          <w:iCs/>
          <w:sz w:val="24"/>
          <w:szCs w:val="24"/>
          <w:lang w:val="en-US"/>
        </w:rPr>
        <w:t xml:space="preserve">Management Science, </w:t>
      </w:r>
      <w:r w:rsidRPr="00E8509B">
        <w:rPr>
          <w:rFonts w:ascii="Times New Roman" w:hAnsi="Times New Roman" w:cs="Times New Roman"/>
          <w:sz w:val="24"/>
          <w:szCs w:val="24"/>
          <w:lang w:val="en-US"/>
        </w:rPr>
        <w:t>60(11), 2835–2857.</w:t>
      </w:r>
    </w:p>
    <w:p w14:paraId="28674A70" w14:textId="77777777" w:rsidR="008B788C" w:rsidRPr="00605A3B" w:rsidRDefault="008B788C" w:rsidP="008B788C">
      <w:pPr>
        <w:spacing w:line="240" w:lineRule="auto"/>
        <w:jc w:val="both"/>
        <w:rPr>
          <w:rFonts w:ascii="Times New Roman" w:hAnsi="Times New Roman" w:cs="Times New Roman"/>
          <w:sz w:val="24"/>
          <w:szCs w:val="24"/>
          <w:lang w:val="en-US"/>
        </w:rPr>
      </w:pPr>
      <w:r w:rsidRPr="009F2AE8">
        <w:rPr>
          <w:rFonts w:ascii="Times New Roman" w:hAnsi="Times New Roman" w:cs="Times New Roman"/>
          <w:sz w:val="24"/>
          <w:szCs w:val="24"/>
          <w:lang w:val="en-US"/>
        </w:rPr>
        <w:t xml:space="preserve">Eccles, R. G., &amp; Serafeim, G. (2013). </w:t>
      </w:r>
      <w:r w:rsidRPr="00E8509B">
        <w:rPr>
          <w:rFonts w:ascii="Times New Roman" w:hAnsi="Times New Roman" w:cs="Times New Roman"/>
          <w:sz w:val="24"/>
          <w:szCs w:val="24"/>
          <w:lang w:val="en-US"/>
        </w:rPr>
        <w:t xml:space="preserve">The performance frontier: Innovating for a sustainable strategy. </w:t>
      </w:r>
      <w:r w:rsidRPr="00E8509B">
        <w:rPr>
          <w:rFonts w:ascii="Times New Roman" w:hAnsi="Times New Roman" w:cs="Times New Roman"/>
          <w:i/>
          <w:iCs/>
          <w:sz w:val="24"/>
          <w:szCs w:val="24"/>
          <w:lang w:val="en-US"/>
        </w:rPr>
        <w:t xml:space="preserve">Harvard Business Review, </w:t>
      </w:r>
      <w:r w:rsidRPr="00E8509B">
        <w:rPr>
          <w:rFonts w:ascii="Times New Roman" w:hAnsi="Times New Roman" w:cs="Times New Roman"/>
          <w:sz w:val="24"/>
          <w:szCs w:val="24"/>
          <w:lang w:val="en-US"/>
        </w:rPr>
        <w:t>91(5), 50–60.</w:t>
      </w:r>
    </w:p>
    <w:p w14:paraId="1D9F6223"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Edmans, A. (2023a). How great companies deliver both purpose and profit. </w:t>
      </w:r>
      <w:r w:rsidRPr="00605A3B">
        <w:rPr>
          <w:rFonts w:ascii="Times New Roman" w:hAnsi="Times New Roman" w:cs="Times New Roman"/>
          <w:i/>
          <w:iCs/>
          <w:sz w:val="24"/>
          <w:szCs w:val="24"/>
          <w:lang w:val="en-US"/>
        </w:rPr>
        <w:t xml:space="preserve">Journal of Chinese Economic and Business Studies, </w:t>
      </w:r>
      <w:r w:rsidRPr="00605A3B">
        <w:rPr>
          <w:rFonts w:ascii="Times New Roman" w:hAnsi="Times New Roman" w:cs="Times New Roman"/>
          <w:sz w:val="24"/>
          <w:szCs w:val="24"/>
          <w:lang w:val="en-US"/>
        </w:rPr>
        <w:t>21(3), 465–469.</w:t>
      </w:r>
    </w:p>
    <w:p w14:paraId="06849C14"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Edmans, A. (2023b). The end of ESG. </w:t>
      </w:r>
      <w:r w:rsidRPr="00605A3B">
        <w:rPr>
          <w:rFonts w:ascii="Times New Roman" w:hAnsi="Times New Roman" w:cs="Times New Roman"/>
          <w:i/>
          <w:iCs/>
          <w:sz w:val="24"/>
          <w:szCs w:val="24"/>
          <w:lang w:val="en-US"/>
        </w:rPr>
        <w:t xml:space="preserve">Financial Management, </w:t>
      </w:r>
      <w:r w:rsidRPr="00605A3B">
        <w:rPr>
          <w:rFonts w:ascii="Times New Roman" w:hAnsi="Times New Roman" w:cs="Times New Roman"/>
          <w:sz w:val="24"/>
          <w:szCs w:val="24"/>
          <w:lang w:val="en-US"/>
        </w:rPr>
        <w:t>52(1), 3–17.</w:t>
      </w:r>
    </w:p>
    <w:p w14:paraId="28646A0F" w14:textId="77777777" w:rsidR="008B788C" w:rsidRDefault="008B788C" w:rsidP="008B788C">
      <w:pPr>
        <w:spacing w:line="360" w:lineRule="auto"/>
        <w:jc w:val="both"/>
        <w:rPr>
          <w:rFonts w:ascii="Times New Roman" w:hAnsi="Times New Roman" w:cs="Times New Roman"/>
          <w:sz w:val="24"/>
          <w:szCs w:val="24"/>
          <w:lang w:val="en-US"/>
        </w:rPr>
      </w:pPr>
      <w:r w:rsidRPr="00A87C7F">
        <w:rPr>
          <w:rFonts w:ascii="Times New Roman" w:hAnsi="Times New Roman" w:cs="Times New Roman"/>
          <w:sz w:val="24"/>
          <w:szCs w:val="24"/>
          <w:lang w:val="en-US"/>
        </w:rPr>
        <w:t>Eidelwein, F., Collatto, D., Rodrigues, L., Lacerda, D., &amp; Piran, F.</w:t>
      </w:r>
      <w:r>
        <w:rPr>
          <w:rFonts w:ascii="Times New Roman" w:hAnsi="Times New Roman" w:cs="Times New Roman"/>
          <w:sz w:val="24"/>
          <w:szCs w:val="24"/>
          <w:lang w:val="en-US"/>
        </w:rPr>
        <w:t xml:space="preserve"> (2017).</w:t>
      </w:r>
      <w:r w:rsidRPr="00A87C7F">
        <w:rPr>
          <w:rFonts w:ascii="Times New Roman" w:hAnsi="Times New Roman" w:cs="Times New Roman"/>
          <w:sz w:val="24"/>
          <w:szCs w:val="24"/>
          <w:lang w:val="en-US"/>
        </w:rPr>
        <w:t xml:space="preserve"> Internalization of environmental externalities: Development of a method for elaborating the statement of economic and environmental results. </w:t>
      </w:r>
      <w:r w:rsidRPr="00A87C7F">
        <w:rPr>
          <w:rFonts w:ascii="Times New Roman" w:hAnsi="Times New Roman" w:cs="Times New Roman"/>
          <w:i/>
          <w:iCs/>
          <w:sz w:val="24"/>
          <w:szCs w:val="24"/>
          <w:lang w:val="en-US"/>
        </w:rPr>
        <w:t>Journal of Cleaner Production</w:t>
      </w:r>
      <w:r w:rsidRPr="00A87C7F">
        <w:rPr>
          <w:rFonts w:ascii="Times New Roman" w:hAnsi="Times New Roman" w:cs="Times New Roman"/>
          <w:sz w:val="24"/>
          <w:szCs w:val="24"/>
          <w:lang w:val="en-US"/>
        </w:rPr>
        <w:t>, 170,</w:t>
      </w:r>
      <w:r>
        <w:rPr>
          <w:rFonts w:ascii="Times New Roman" w:hAnsi="Times New Roman" w:cs="Times New Roman"/>
          <w:sz w:val="24"/>
          <w:szCs w:val="24"/>
          <w:lang w:val="en-US"/>
        </w:rPr>
        <w:t xml:space="preserve"> </w:t>
      </w:r>
      <w:r w:rsidRPr="00A87C7F">
        <w:rPr>
          <w:rFonts w:ascii="Times New Roman" w:hAnsi="Times New Roman" w:cs="Times New Roman"/>
          <w:sz w:val="24"/>
          <w:szCs w:val="24"/>
          <w:lang w:val="en-US"/>
        </w:rPr>
        <w:t>1316-1327</w:t>
      </w:r>
      <w:r>
        <w:rPr>
          <w:rFonts w:ascii="Times New Roman" w:hAnsi="Times New Roman" w:cs="Times New Roman"/>
          <w:sz w:val="24"/>
          <w:szCs w:val="24"/>
          <w:lang w:val="en-US"/>
        </w:rPr>
        <w:t>.</w:t>
      </w:r>
    </w:p>
    <w:p w14:paraId="2F457D2B" w14:textId="77777777" w:rsidR="008B788C" w:rsidRDefault="008B788C" w:rsidP="008B788C">
      <w:pPr>
        <w:spacing w:line="240" w:lineRule="auto"/>
        <w:jc w:val="both"/>
        <w:rPr>
          <w:rFonts w:ascii="Times New Roman" w:hAnsi="Times New Roman" w:cs="Times New Roman"/>
          <w:sz w:val="24"/>
          <w:szCs w:val="24"/>
          <w:lang w:val="en-US"/>
        </w:rPr>
      </w:pPr>
      <w:r w:rsidRPr="009F2AE8">
        <w:rPr>
          <w:rFonts w:ascii="Times New Roman" w:hAnsi="Times New Roman" w:cs="Times New Roman"/>
          <w:sz w:val="24"/>
          <w:szCs w:val="24"/>
          <w:lang w:val="en-US"/>
        </w:rPr>
        <w:t xml:space="preserve">Feroz, A. K., Zo, H., &amp; Chiravuri, A. (2021). </w:t>
      </w:r>
      <w:r w:rsidRPr="00605A3B">
        <w:rPr>
          <w:rFonts w:ascii="Times New Roman" w:hAnsi="Times New Roman" w:cs="Times New Roman"/>
          <w:sz w:val="24"/>
          <w:szCs w:val="24"/>
          <w:lang w:val="en-US"/>
        </w:rPr>
        <w:t xml:space="preserve">Digital transformation and environmental sustainability: A review and research agenda. </w:t>
      </w:r>
      <w:r w:rsidRPr="00605A3B">
        <w:rPr>
          <w:rFonts w:ascii="Times New Roman" w:hAnsi="Times New Roman" w:cs="Times New Roman"/>
          <w:i/>
          <w:iCs/>
          <w:sz w:val="24"/>
          <w:szCs w:val="24"/>
          <w:lang w:val="en-US"/>
        </w:rPr>
        <w:t xml:space="preserve">Sustainability, </w:t>
      </w:r>
      <w:r w:rsidRPr="00605A3B">
        <w:rPr>
          <w:rFonts w:ascii="Times New Roman" w:hAnsi="Times New Roman" w:cs="Times New Roman"/>
          <w:sz w:val="24"/>
          <w:szCs w:val="24"/>
          <w:lang w:val="en-US"/>
        </w:rPr>
        <w:t>13(3), 1530.</w:t>
      </w:r>
    </w:p>
    <w:p w14:paraId="17DFAB8C"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Ferrell, A., Liang, H., &amp; Renneboog, L. (2016). Socially responsible firms. </w:t>
      </w:r>
      <w:r w:rsidRPr="00605A3B">
        <w:rPr>
          <w:rFonts w:ascii="Times New Roman" w:hAnsi="Times New Roman" w:cs="Times New Roman"/>
          <w:i/>
          <w:iCs/>
          <w:sz w:val="24"/>
          <w:szCs w:val="24"/>
          <w:lang w:val="en-US"/>
        </w:rPr>
        <w:t xml:space="preserve">Journal of Financial Economics, </w:t>
      </w:r>
      <w:r w:rsidRPr="00605A3B">
        <w:rPr>
          <w:rFonts w:ascii="Times New Roman" w:hAnsi="Times New Roman" w:cs="Times New Roman"/>
          <w:sz w:val="24"/>
          <w:szCs w:val="24"/>
          <w:lang w:val="en-US"/>
        </w:rPr>
        <w:t>122(3), 585–606.</w:t>
      </w:r>
    </w:p>
    <w:p w14:paraId="7AC4D3ED"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Fisher, I. (1930). </w:t>
      </w:r>
      <w:r w:rsidRPr="00605A3B">
        <w:rPr>
          <w:rFonts w:ascii="Times New Roman" w:hAnsi="Times New Roman" w:cs="Times New Roman"/>
          <w:i/>
          <w:iCs/>
          <w:sz w:val="24"/>
          <w:szCs w:val="24"/>
          <w:lang w:val="en-US"/>
        </w:rPr>
        <w:t>The theory of interest as determined by impatience to spend income and opportunity to spend it</w:t>
      </w:r>
      <w:r w:rsidRPr="00605A3B">
        <w:rPr>
          <w:rFonts w:ascii="Times New Roman" w:hAnsi="Times New Roman" w:cs="Times New Roman"/>
          <w:sz w:val="24"/>
          <w:szCs w:val="24"/>
          <w:lang w:val="en-US"/>
        </w:rPr>
        <w:t>.</w:t>
      </w:r>
    </w:p>
    <w:p w14:paraId="6C032288"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Fortune. (2016–2024). </w:t>
      </w:r>
      <w:r w:rsidRPr="00605A3B">
        <w:rPr>
          <w:rFonts w:ascii="Times New Roman" w:hAnsi="Times New Roman" w:cs="Times New Roman"/>
          <w:i/>
          <w:iCs/>
          <w:sz w:val="24"/>
          <w:szCs w:val="24"/>
          <w:lang w:val="en-US"/>
        </w:rPr>
        <w:t>Change the World List</w:t>
      </w:r>
      <w:r w:rsidRPr="00605A3B">
        <w:rPr>
          <w:rFonts w:ascii="Times New Roman" w:hAnsi="Times New Roman" w:cs="Times New Roman"/>
          <w:sz w:val="24"/>
          <w:szCs w:val="24"/>
          <w:lang w:val="en-US"/>
        </w:rPr>
        <w:t>.</w:t>
      </w:r>
    </w:p>
    <w:p w14:paraId="4F50A9ED"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Freeman, R. E. (2010). </w:t>
      </w:r>
      <w:r w:rsidRPr="00605A3B">
        <w:rPr>
          <w:rFonts w:ascii="Times New Roman" w:hAnsi="Times New Roman" w:cs="Times New Roman"/>
          <w:i/>
          <w:iCs/>
          <w:sz w:val="24"/>
          <w:szCs w:val="24"/>
          <w:lang w:val="en-US"/>
        </w:rPr>
        <w:t>Strategic management: A stakeholder approach</w:t>
      </w:r>
      <w:r w:rsidRPr="00605A3B">
        <w:rPr>
          <w:rFonts w:ascii="Times New Roman" w:hAnsi="Times New Roman" w:cs="Times New Roman"/>
          <w:sz w:val="24"/>
          <w:szCs w:val="24"/>
          <w:lang w:val="en-US"/>
        </w:rPr>
        <w:t>. Cambridge University Press.</w:t>
      </w:r>
    </w:p>
    <w:p w14:paraId="6493BFF0" w14:textId="77777777" w:rsidR="008B788C"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Friede, G., Busch, T., &amp; Bassen, A. (2015). ESG and financial performance: Aggregated evidence from more than 2000 empirical studies. </w:t>
      </w:r>
      <w:r w:rsidRPr="00605A3B">
        <w:rPr>
          <w:rFonts w:ascii="Times New Roman" w:hAnsi="Times New Roman" w:cs="Times New Roman"/>
          <w:i/>
          <w:iCs/>
          <w:sz w:val="24"/>
          <w:szCs w:val="24"/>
          <w:lang w:val="en-US"/>
        </w:rPr>
        <w:t xml:space="preserve">Journal of Sustainable Finance &amp; Investment, </w:t>
      </w:r>
      <w:r w:rsidRPr="00605A3B">
        <w:rPr>
          <w:rFonts w:ascii="Times New Roman" w:hAnsi="Times New Roman" w:cs="Times New Roman"/>
          <w:sz w:val="24"/>
          <w:szCs w:val="24"/>
          <w:lang w:val="en-US"/>
        </w:rPr>
        <w:t>5(4), 210–233.</w:t>
      </w:r>
    </w:p>
    <w:p w14:paraId="13374809" w14:textId="77777777" w:rsidR="008B788C"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Friedman, M. (2007). The social responsibility of business is to increase its profits. In </w:t>
      </w:r>
      <w:r w:rsidRPr="00605A3B">
        <w:rPr>
          <w:rFonts w:ascii="Times New Roman" w:hAnsi="Times New Roman" w:cs="Times New Roman"/>
          <w:i/>
          <w:iCs/>
          <w:sz w:val="24"/>
          <w:szCs w:val="24"/>
          <w:lang w:val="en-US"/>
        </w:rPr>
        <w:t>Corporate ethics and corporate governance</w:t>
      </w:r>
      <w:r w:rsidRPr="00605A3B">
        <w:rPr>
          <w:rFonts w:ascii="Times New Roman" w:hAnsi="Times New Roman" w:cs="Times New Roman"/>
          <w:sz w:val="24"/>
          <w:szCs w:val="24"/>
          <w:lang w:val="en-US"/>
        </w:rPr>
        <w:t xml:space="preserve"> (pp. 173–178). Springer.</w:t>
      </w:r>
    </w:p>
    <w:p w14:paraId="4AD33FAF" w14:textId="77777777" w:rsidR="008B788C" w:rsidRPr="000D2775" w:rsidRDefault="008B788C" w:rsidP="008B788C">
      <w:pPr>
        <w:spacing w:line="240" w:lineRule="auto"/>
        <w:jc w:val="both"/>
        <w:rPr>
          <w:rFonts w:ascii="Times New Roman" w:hAnsi="Times New Roman" w:cs="Times New Roman"/>
          <w:sz w:val="24"/>
          <w:szCs w:val="24"/>
          <w:lang w:val="en-US"/>
        </w:rPr>
      </w:pPr>
      <w:r w:rsidRPr="006541A8">
        <w:rPr>
          <w:rFonts w:ascii="Times New Roman" w:hAnsi="Times New Roman" w:cs="Times New Roman"/>
          <w:sz w:val="24"/>
          <w:szCs w:val="24"/>
          <w:lang w:val="en-US"/>
        </w:rPr>
        <w:t xml:space="preserve">Fuente, G., Ortiz, M., &amp; Velasco, P. (2022). </w:t>
      </w:r>
      <w:r w:rsidRPr="00605A3B">
        <w:rPr>
          <w:rFonts w:ascii="Times New Roman" w:hAnsi="Times New Roman" w:cs="Times New Roman"/>
          <w:sz w:val="24"/>
          <w:szCs w:val="24"/>
          <w:lang w:val="en-US"/>
        </w:rPr>
        <w:t xml:space="preserve">The value of a firm’s engagement in ESG practices: Are we looking at the right side? </w:t>
      </w:r>
      <w:r w:rsidRPr="00605A3B">
        <w:rPr>
          <w:rFonts w:ascii="Times New Roman" w:hAnsi="Times New Roman" w:cs="Times New Roman"/>
          <w:i/>
          <w:iCs/>
          <w:sz w:val="24"/>
          <w:szCs w:val="24"/>
          <w:lang w:val="en-US"/>
        </w:rPr>
        <w:t xml:space="preserve">Long Range Planning, </w:t>
      </w:r>
      <w:r w:rsidRPr="00605A3B">
        <w:rPr>
          <w:rFonts w:ascii="Times New Roman" w:hAnsi="Times New Roman" w:cs="Times New Roman"/>
          <w:sz w:val="24"/>
          <w:szCs w:val="24"/>
          <w:lang w:val="en-US"/>
        </w:rPr>
        <w:t>55(4), 102143.</w:t>
      </w:r>
    </w:p>
    <w:p w14:paraId="253F022E" w14:textId="5C765972" w:rsidR="008B788C" w:rsidRDefault="008B788C" w:rsidP="008B788C">
      <w:pPr>
        <w:spacing w:line="360" w:lineRule="auto"/>
        <w:jc w:val="both"/>
        <w:rPr>
          <w:rFonts w:ascii="Times New Roman" w:hAnsi="Times New Roman" w:cs="Times New Roman"/>
          <w:sz w:val="24"/>
          <w:szCs w:val="24"/>
          <w:lang w:val="en-US"/>
        </w:rPr>
      </w:pPr>
      <w:r w:rsidRPr="006541A8">
        <w:rPr>
          <w:rFonts w:ascii="Times New Roman" w:hAnsi="Times New Roman" w:cs="Times New Roman"/>
          <w:sz w:val="24"/>
          <w:szCs w:val="24"/>
          <w:lang w:val="en-US"/>
        </w:rPr>
        <w:t>G</w:t>
      </w:r>
      <w:r>
        <w:rPr>
          <w:rFonts w:ascii="Times New Roman" w:hAnsi="Times New Roman" w:cs="Times New Roman"/>
          <w:sz w:val="24"/>
          <w:szCs w:val="24"/>
          <w:lang w:val="en-US"/>
        </w:rPr>
        <w:t>ambi</w:t>
      </w:r>
      <w:r w:rsidRPr="006541A8">
        <w:rPr>
          <w:rFonts w:ascii="Times New Roman" w:hAnsi="Times New Roman" w:cs="Times New Roman"/>
          <w:sz w:val="24"/>
          <w:szCs w:val="24"/>
          <w:lang w:val="en-US"/>
        </w:rPr>
        <w:t>, L</w:t>
      </w:r>
      <w:r>
        <w:rPr>
          <w:rFonts w:ascii="Times New Roman" w:hAnsi="Times New Roman" w:cs="Times New Roman"/>
          <w:sz w:val="24"/>
          <w:szCs w:val="24"/>
          <w:lang w:val="en-US"/>
        </w:rPr>
        <w:t>. N., &amp;</w:t>
      </w:r>
      <w:r w:rsidRPr="006541A8">
        <w:rPr>
          <w:rFonts w:ascii="Times New Roman" w:hAnsi="Times New Roman" w:cs="Times New Roman"/>
          <w:sz w:val="24"/>
          <w:szCs w:val="24"/>
          <w:lang w:val="en-US"/>
        </w:rPr>
        <w:t xml:space="preserve"> B</w:t>
      </w:r>
      <w:r>
        <w:rPr>
          <w:rFonts w:ascii="Times New Roman" w:hAnsi="Times New Roman" w:cs="Times New Roman"/>
          <w:sz w:val="24"/>
          <w:szCs w:val="24"/>
          <w:lang w:val="en-US"/>
        </w:rPr>
        <w:t>oer</w:t>
      </w:r>
      <w:r w:rsidRPr="006541A8">
        <w:rPr>
          <w:rFonts w:ascii="Times New Roman" w:hAnsi="Times New Roman" w:cs="Times New Roman"/>
          <w:sz w:val="24"/>
          <w:szCs w:val="24"/>
          <w:lang w:val="en-US"/>
        </w:rPr>
        <w:t>, H.</w:t>
      </w:r>
      <w:r>
        <w:rPr>
          <w:rFonts w:ascii="Times New Roman" w:hAnsi="Times New Roman" w:cs="Times New Roman"/>
          <w:sz w:val="24"/>
          <w:szCs w:val="24"/>
          <w:lang w:val="en-US"/>
        </w:rPr>
        <w:t xml:space="preserve"> (2020).</w:t>
      </w:r>
      <w:r w:rsidRPr="006541A8">
        <w:rPr>
          <w:rFonts w:ascii="Times New Roman" w:hAnsi="Times New Roman" w:cs="Times New Roman"/>
          <w:sz w:val="24"/>
          <w:szCs w:val="24"/>
          <w:lang w:val="en-US"/>
        </w:rPr>
        <w:t xml:space="preserve"> A comparative study of the influence of organizational culture on performance. In</w:t>
      </w:r>
      <w:r>
        <w:rPr>
          <w:rFonts w:ascii="Times New Roman" w:hAnsi="Times New Roman" w:cs="Times New Roman"/>
          <w:sz w:val="24"/>
          <w:szCs w:val="24"/>
          <w:lang w:val="en-US"/>
        </w:rPr>
        <w:t xml:space="preserve"> Thomé, A. M. T., Barbastefano, R. G., Scarvada, L. F., Reias, J. C. G., &amp; Amorim, M. P. C. (Eds.), </w:t>
      </w:r>
      <w:r w:rsidR="00AE44FE" w:rsidRPr="00AE44FE">
        <w:rPr>
          <w:rFonts w:ascii="Times New Roman" w:hAnsi="Times New Roman" w:cs="Times New Roman"/>
          <w:i/>
          <w:iCs/>
          <w:sz w:val="24"/>
          <w:szCs w:val="24"/>
          <w:lang w:val="en-US"/>
        </w:rPr>
        <w:t>I</w:t>
      </w:r>
      <w:r w:rsidRPr="00E17147">
        <w:rPr>
          <w:rFonts w:ascii="Times New Roman" w:hAnsi="Times New Roman" w:cs="Times New Roman"/>
          <w:i/>
          <w:iCs/>
          <w:sz w:val="24"/>
          <w:szCs w:val="24"/>
          <w:lang w:val="en-US"/>
        </w:rPr>
        <w:t>ndustrial Engineering and Operations Management: XXVI IJCIEOM</w:t>
      </w:r>
      <w:r w:rsidRPr="006541A8">
        <w:rPr>
          <w:rFonts w:ascii="Times New Roman" w:hAnsi="Times New Roman" w:cs="Times New Roman"/>
          <w:sz w:val="24"/>
          <w:szCs w:val="24"/>
          <w:lang w:val="en-US"/>
        </w:rPr>
        <w:t>,</w:t>
      </w:r>
      <w:r>
        <w:rPr>
          <w:rFonts w:ascii="Times New Roman" w:hAnsi="Times New Roman" w:cs="Times New Roman"/>
          <w:sz w:val="24"/>
          <w:szCs w:val="24"/>
          <w:lang w:val="en-US"/>
        </w:rPr>
        <w:t xml:space="preserve"> (pp. 429-438)</w:t>
      </w:r>
      <w:r w:rsidRPr="006541A8">
        <w:rPr>
          <w:rFonts w:ascii="Times New Roman" w:hAnsi="Times New Roman" w:cs="Times New Roman"/>
          <w:sz w:val="24"/>
          <w:szCs w:val="24"/>
          <w:lang w:val="en-US"/>
        </w:rPr>
        <w:t>. Springer.</w:t>
      </w:r>
    </w:p>
    <w:p w14:paraId="7D435DDF"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Gillan, S. L., Koch, A., &amp; Starks, L. T. (2021). Firms and social responsibility: A review of ESG and CSR research in corporate finance. </w:t>
      </w:r>
      <w:r w:rsidRPr="00605A3B">
        <w:rPr>
          <w:rFonts w:ascii="Times New Roman" w:hAnsi="Times New Roman" w:cs="Times New Roman"/>
          <w:i/>
          <w:iCs/>
          <w:sz w:val="24"/>
          <w:szCs w:val="24"/>
          <w:lang w:val="en-US"/>
        </w:rPr>
        <w:t xml:space="preserve">Journal of Corporate Finance, </w:t>
      </w:r>
      <w:r w:rsidRPr="00605A3B">
        <w:rPr>
          <w:rFonts w:ascii="Times New Roman" w:hAnsi="Times New Roman" w:cs="Times New Roman"/>
          <w:sz w:val="24"/>
          <w:szCs w:val="24"/>
          <w:lang w:val="en-US"/>
        </w:rPr>
        <w:t>66, 101889.</w:t>
      </w:r>
    </w:p>
    <w:p w14:paraId="1C7538F0"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Global Reporting Initiative. (2021). </w:t>
      </w:r>
      <w:r w:rsidRPr="00605A3B">
        <w:rPr>
          <w:rFonts w:ascii="Times New Roman" w:hAnsi="Times New Roman" w:cs="Times New Roman"/>
          <w:i/>
          <w:iCs/>
          <w:sz w:val="24"/>
          <w:szCs w:val="24"/>
          <w:lang w:val="en-US"/>
        </w:rPr>
        <w:t>GRI 3: Temas materiais</w:t>
      </w:r>
      <w:r w:rsidRPr="00605A3B">
        <w:rPr>
          <w:rFonts w:ascii="Times New Roman" w:hAnsi="Times New Roman" w:cs="Times New Roman"/>
          <w:sz w:val="24"/>
          <w:szCs w:val="24"/>
          <w:lang w:val="en-US"/>
        </w:rPr>
        <w:t>.</w:t>
      </w:r>
    </w:p>
    <w:p w14:paraId="58160BA7" w14:textId="77777777" w:rsidR="008B788C" w:rsidRPr="00E17147" w:rsidRDefault="008B788C" w:rsidP="008B788C">
      <w:pPr>
        <w:spacing w:line="360" w:lineRule="auto"/>
        <w:jc w:val="both"/>
        <w:rPr>
          <w:rFonts w:ascii="Times New Roman" w:hAnsi="Times New Roman" w:cs="Times New Roman"/>
          <w:sz w:val="24"/>
          <w:szCs w:val="24"/>
          <w:lang w:val="en-US"/>
        </w:rPr>
      </w:pPr>
      <w:r w:rsidRPr="00E17147">
        <w:rPr>
          <w:rFonts w:ascii="Times New Roman" w:hAnsi="Times New Roman" w:cs="Times New Roman"/>
          <w:sz w:val="24"/>
          <w:szCs w:val="24"/>
          <w:lang w:val="en-US"/>
        </w:rPr>
        <w:t>G</w:t>
      </w:r>
      <w:r>
        <w:rPr>
          <w:rFonts w:ascii="Times New Roman" w:hAnsi="Times New Roman" w:cs="Times New Roman"/>
          <w:sz w:val="24"/>
          <w:szCs w:val="24"/>
          <w:lang w:val="en-US"/>
        </w:rPr>
        <w:t>regory</w:t>
      </w:r>
      <w:r w:rsidRPr="00E17147">
        <w:rPr>
          <w:rFonts w:ascii="Times New Roman" w:hAnsi="Times New Roman" w:cs="Times New Roman"/>
          <w:sz w:val="24"/>
          <w:szCs w:val="24"/>
          <w:lang w:val="en-US"/>
        </w:rPr>
        <w:t>, R</w:t>
      </w:r>
      <w:r>
        <w:rPr>
          <w:rFonts w:ascii="Times New Roman" w:hAnsi="Times New Roman" w:cs="Times New Roman"/>
          <w:sz w:val="24"/>
          <w:szCs w:val="24"/>
          <w:lang w:val="en-US"/>
        </w:rPr>
        <w:t>.</w:t>
      </w:r>
      <w:r w:rsidRPr="00E17147">
        <w:rPr>
          <w:rFonts w:ascii="Times New Roman" w:hAnsi="Times New Roman" w:cs="Times New Roman"/>
          <w:sz w:val="24"/>
          <w:szCs w:val="24"/>
          <w:lang w:val="en-US"/>
        </w:rPr>
        <w:t xml:space="preserve"> P.</w:t>
      </w:r>
      <w:r>
        <w:rPr>
          <w:rFonts w:ascii="Times New Roman" w:hAnsi="Times New Roman" w:cs="Times New Roman"/>
          <w:sz w:val="24"/>
          <w:szCs w:val="24"/>
          <w:lang w:val="en-US"/>
        </w:rPr>
        <w:t>,</w:t>
      </w:r>
      <w:r w:rsidRPr="00E17147">
        <w:rPr>
          <w:rFonts w:ascii="Times New Roman" w:hAnsi="Times New Roman" w:cs="Times New Roman"/>
          <w:sz w:val="24"/>
          <w:szCs w:val="24"/>
          <w:lang w:val="en-US"/>
        </w:rPr>
        <w:t xml:space="preserve"> S</w:t>
      </w:r>
      <w:r>
        <w:rPr>
          <w:rFonts w:ascii="Times New Roman" w:hAnsi="Times New Roman" w:cs="Times New Roman"/>
          <w:sz w:val="24"/>
          <w:szCs w:val="24"/>
          <w:lang w:val="en-US"/>
        </w:rPr>
        <w:t>tead</w:t>
      </w:r>
      <w:r w:rsidRPr="00E17147">
        <w:rPr>
          <w:rFonts w:ascii="Times New Roman" w:hAnsi="Times New Roman" w:cs="Times New Roman"/>
          <w:sz w:val="24"/>
          <w:szCs w:val="24"/>
          <w:lang w:val="en-US"/>
        </w:rPr>
        <w:t>, J</w:t>
      </w:r>
      <w:r>
        <w:rPr>
          <w:rFonts w:ascii="Times New Roman" w:hAnsi="Times New Roman" w:cs="Times New Roman"/>
          <w:sz w:val="24"/>
          <w:szCs w:val="24"/>
          <w:lang w:val="en-US"/>
        </w:rPr>
        <w:t>.</w:t>
      </w:r>
      <w:r w:rsidRPr="00E17147">
        <w:rPr>
          <w:rFonts w:ascii="Times New Roman" w:hAnsi="Times New Roman" w:cs="Times New Roman"/>
          <w:sz w:val="24"/>
          <w:szCs w:val="24"/>
          <w:lang w:val="en-US"/>
        </w:rPr>
        <w:t xml:space="preserve"> G</w:t>
      </w:r>
      <w:r>
        <w:rPr>
          <w:rFonts w:ascii="Times New Roman" w:hAnsi="Times New Roman" w:cs="Times New Roman"/>
          <w:sz w:val="24"/>
          <w:szCs w:val="24"/>
          <w:lang w:val="en-US"/>
        </w:rPr>
        <w:t>., &amp;</w:t>
      </w:r>
      <w:r w:rsidRPr="00E17147">
        <w:rPr>
          <w:rFonts w:ascii="Times New Roman" w:hAnsi="Times New Roman" w:cs="Times New Roman"/>
          <w:sz w:val="24"/>
          <w:szCs w:val="24"/>
          <w:lang w:val="en-US"/>
        </w:rPr>
        <w:t xml:space="preserve"> S</w:t>
      </w:r>
      <w:r>
        <w:rPr>
          <w:rFonts w:ascii="Times New Roman" w:hAnsi="Times New Roman" w:cs="Times New Roman"/>
          <w:sz w:val="24"/>
          <w:szCs w:val="24"/>
          <w:lang w:val="en-US"/>
        </w:rPr>
        <w:t>tead</w:t>
      </w:r>
      <w:r w:rsidRPr="00E17147">
        <w:rPr>
          <w:rFonts w:ascii="Times New Roman" w:hAnsi="Times New Roman" w:cs="Times New Roman"/>
          <w:sz w:val="24"/>
          <w:szCs w:val="24"/>
          <w:lang w:val="en-US"/>
        </w:rPr>
        <w:t xml:space="preserve">, E. </w:t>
      </w:r>
      <w:r>
        <w:rPr>
          <w:rFonts w:ascii="Times New Roman" w:hAnsi="Times New Roman" w:cs="Times New Roman"/>
          <w:sz w:val="24"/>
          <w:szCs w:val="24"/>
          <w:lang w:val="en-US"/>
        </w:rPr>
        <w:t xml:space="preserve">(2021). </w:t>
      </w:r>
      <w:r w:rsidRPr="00E17147">
        <w:rPr>
          <w:rFonts w:ascii="Times New Roman" w:hAnsi="Times New Roman" w:cs="Times New Roman"/>
          <w:sz w:val="24"/>
          <w:szCs w:val="24"/>
          <w:lang w:val="en-US"/>
        </w:rPr>
        <w:t>The global pricing of environmental, social, and governance (ESG) criteria. </w:t>
      </w:r>
      <w:r w:rsidRPr="00E17147">
        <w:rPr>
          <w:rFonts w:ascii="Times New Roman" w:hAnsi="Times New Roman" w:cs="Times New Roman"/>
          <w:i/>
          <w:iCs/>
          <w:sz w:val="24"/>
          <w:szCs w:val="24"/>
          <w:lang w:val="en-US"/>
        </w:rPr>
        <w:t xml:space="preserve">Journal of </w:t>
      </w:r>
      <w:r>
        <w:rPr>
          <w:rFonts w:ascii="Times New Roman" w:hAnsi="Times New Roman" w:cs="Times New Roman"/>
          <w:i/>
          <w:iCs/>
          <w:sz w:val="24"/>
          <w:szCs w:val="24"/>
          <w:lang w:val="en-US"/>
        </w:rPr>
        <w:t>S</w:t>
      </w:r>
      <w:r w:rsidRPr="00E17147">
        <w:rPr>
          <w:rFonts w:ascii="Times New Roman" w:hAnsi="Times New Roman" w:cs="Times New Roman"/>
          <w:i/>
          <w:iCs/>
          <w:sz w:val="24"/>
          <w:szCs w:val="24"/>
          <w:lang w:val="en-US"/>
        </w:rPr>
        <w:t xml:space="preserve">ustainable </w:t>
      </w:r>
      <w:r>
        <w:rPr>
          <w:rFonts w:ascii="Times New Roman" w:hAnsi="Times New Roman" w:cs="Times New Roman"/>
          <w:i/>
          <w:iCs/>
          <w:sz w:val="24"/>
          <w:szCs w:val="24"/>
          <w:lang w:val="en-US"/>
        </w:rPr>
        <w:t>F</w:t>
      </w:r>
      <w:r w:rsidRPr="00E17147">
        <w:rPr>
          <w:rFonts w:ascii="Times New Roman" w:hAnsi="Times New Roman" w:cs="Times New Roman"/>
          <w:i/>
          <w:iCs/>
          <w:sz w:val="24"/>
          <w:szCs w:val="24"/>
          <w:lang w:val="en-US"/>
        </w:rPr>
        <w:t xml:space="preserve">inance &amp; </w:t>
      </w:r>
      <w:r>
        <w:rPr>
          <w:rFonts w:ascii="Times New Roman" w:hAnsi="Times New Roman" w:cs="Times New Roman"/>
          <w:i/>
          <w:iCs/>
          <w:sz w:val="24"/>
          <w:szCs w:val="24"/>
          <w:lang w:val="en-US"/>
        </w:rPr>
        <w:t>I</w:t>
      </w:r>
      <w:r w:rsidRPr="00E17147">
        <w:rPr>
          <w:rFonts w:ascii="Times New Roman" w:hAnsi="Times New Roman" w:cs="Times New Roman"/>
          <w:i/>
          <w:iCs/>
          <w:sz w:val="24"/>
          <w:szCs w:val="24"/>
          <w:lang w:val="en-US"/>
        </w:rPr>
        <w:t>nvestment</w:t>
      </w:r>
      <w:r w:rsidRPr="00E17147">
        <w:rPr>
          <w:rFonts w:ascii="Times New Roman" w:hAnsi="Times New Roman" w:cs="Times New Roman"/>
          <w:sz w:val="24"/>
          <w:szCs w:val="24"/>
          <w:lang w:val="en-US"/>
        </w:rPr>
        <w:t>, 11</w:t>
      </w:r>
      <w:r>
        <w:rPr>
          <w:rFonts w:ascii="Times New Roman" w:hAnsi="Times New Roman" w:cs="Times New Roman"/>
          <w:sz w:val="24"/>
          <w:szCs w:val="24"/>
          <w:lang w:val="en-US"/>
        </w:rPr>
        <w:t>(</w:t>
      </w:r>
      <w:r w:rsidRPr="00E17147">
        <w:rPr>
          <w:rFonts w:ascii="Times New Roman" w:hAnsi="Times New Roman" w:cs="Times New Roman"/>
          <w:sz w:val="24"/>
          <w:szCs w:val="24"/>
          <w:lang w:val="en-US"/>
        </w:rPr>
        <w:t>4</w:t>
      </w:r>
      <w:r>
        <w:rPr>
          <w:rFonts w:ascii="Times New Roman" w:hAnsi="Times New Roman" w:cs="Times New Roman"/>
          <w:sz w:val="24"/>
          <w:szCs w:val="24"/>
          <w:lang w:val="en-US"/>
        </w:rPr>
        <w:t>)</w:t>
      </w:r>
      <w:r w:rsidRPr="00E17147">
        <w:rPr>
          <w:rFonts w:ascii="Times New Roman" w:hAnsi="Times New Roman" w:cs="Times New Roman"/>
          <w:sz w:val="24"/>
          <w:szCs w:val="24"/>
          <w:lang w:val="en-US"/>
        </w:rPr>
        <w:t>, 310-329.</w:t>
      </w:r>
    </w:p>
    <w:p w14:paraId="60C9F5E9" w14:textId="77777777" w:rsidR="008B788C" w:rsidRPr="00E17147" w:rsidRDefault="008B788C" w:rsidP="008B788C">
      <w:pPr>
        <w:spacing w:line="360" w:lineRule="auto"/>
        <w:jc w:val="both"/>
        <w:rPr>
          <w:rFonts w:ascii="Times New Roman" w:hAnsi="Times New Roman" w:cs="Times New Roman"/>
          <w:sz w:val="24"/>
          <w:szCs w:val="24"/>
          <w:lang w:val="en-US"/>
        </w:rPr>
      </w:pPr>
      <w:r w:rsidRPr="00E8509B">
        <w:rPr>
          <w:rFonts w:ascii="Times New Roman" w:hAnsi="Times New Roman" w:cs="Times New Roman"/>
          <w:sz w:val="24"/>
          <w:szCs w:val="24"/>
          <w:lang w:val="en-US"/>
        </w:rPr>
        <w:t xml:space="preserve">Hart, O., &amp; Zingales, L. (2017). Companies Should Maximize Shareholder Welfare Not Market Value. </w:t>
      </w:r>
      <w:r w:rsidRPr="00E8509B">
        <w:rPr>
          <w:rFonts w:ascii="Times New Roman" w:hAnsi="Times New Roman" w:cs="Times New Roman"/>
          <w:i/>
          <w:iCs/>
          <w:sz w:val="24"/>
          <w:szCs w:val="24"/>
          <w:lang w:val="en-US"/>
        </w:rPr>
        <w:t>SSRN Electronic Journal</w:t>
      </w:r>
      <w:r w:rsidRPr="00E8509B">
        <w:rPr>
          <w:rFonts w:ascii="Times New Roman" w:hAnsi="Times New Roman" w:cs="Times New Roman"/>
          <w:sz w:val="24"/>
          <w:szCs w:val="24"/>
          <w:lang w:val="en-US"/>
        </w:rPr>
        <w:t>.</w:t>
      </w:r>
    </w:p>
    <w:p w14:paraId="3EEBC93B"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Hart, S. L. (1995). A natural-resource-based view of the firm. </w:t>
      </w:r>
      <w:r w:rsidRPr="00605A3B">
        <w:rPr>
          <w:rFonts w:ascii="Times New Roman" w:hAnsi="Times New Roman" w:cs="Times New Roman"/>
          <w:i/>
          <w:iCs/>
          <w:sz w:val="24"/>
          <w:szCs w:val="24"/>
          <w:lang w:val="en-US"/>
        </w:rPr>
        <w:t xml:space="preserve">Academy of Management Review, </w:t>
      </w:r>
      <w:r w:rsidRPr="00605A3B">
        <w:rPr>
          <w:rFonts w:ascii="Times New Roman" w:hAnsi="Times New Roman" w:cs="Times New Roman"/>
          <w:sz w:val="24"/>
          <w:szCs w:val="24"/>
          <w:lang w:val="en-US"/>
        </w:rPr>
        <w:t>20(4), 986–1014.</w:t>
      </w:r>
    </w:p>
    <w:p w14:paraId="7693B140"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Hillman, A. J., &amp; Keim, G. D. (2001). Shareholder value, stakeholder management, and social issues: What</w:t>
      </w:r>
      <w:r>
        <w:rPr>
          <w:rFonts w:ascii="Times New Roman" w:hAnsi="Times New Roman" w:cs="Times New Roman"/>
          <w:sz w:val="24"/>
          <w:szCs w:val="24"/>
          <w:lang w:val="en-US"/>
        </w:rPr>
        <w:t>’</w:t>
      </w:r>
      <w:r w:rsidRPr="00605A3B">
        <w:rPr>
          <w:rFonts w:ascii="Times New Roman" w:hAnsi="Times New Roman" w:cs="Times New Roman"/>
          <w:sz w:val="24"/>
          <w:szCs w:val="24"/>
          <w:lang w:val="en-US"/>
        </w:rPr>
        <w:t xml:space="preserve">s the bottom line? </w:t>
      </w:r>
      <w:r w:rsidRPr="00605A3B">
        <w:rPr>
          <w:rFonts w:ascii="Times New Roman" w:hAnsi="Times New Roman" w:cs="Times New Roman"/>
          <w:i/>
          <w:iCs/>
          <w:sz w:val="24"/>
          <w:szCs w:val="24"/>
          <w:lang w:val="en-US"/>
        </w:rPr>
        <w:t xml:space="preserve">Strategic Management Journal, </w:t>
      </w:r>
      <w:r w:rsidRPr="00605A3B">
        <w:rPr>
          <w:rFonts w:ascii="Times New Roman" w:hAnsi="Times New Roman" w:cs="Times New Roman"/>
          <w:sz w:val="24"/>
          <w:szCs w:val="24"/>
          <w:lang w:val="en-US"/>
        </w:rPr>
        <w:t>22(2), 125–139.</w:t>
      </w:r>
    </w:p>
    <w:p w14:paraId="1B03D5C5" w14:textId="77777777" w:rsidR="008B788C" w:rsidRPr="00E17147" w:rsidRDefault="008B788C" w:rsidP="008B788C">
      <w:pPr>
        <w:spacing w:line="360" w:lineRule="auto"/>
        <w:jc w:val="both"/>
        <w:rPr>
          <w:rFonts w:ascii="Times New Roman" w:hAnsi="Times New Roman" w:cs="Times New Roman"/>
          <w:sz w:val="24"/>
          <w:szCs w:val="24"/>
          <w:lang w:val="en-US"/>
        </w:rPr>
      </w:pPr>
      <w:r w:rsidRPr="00E17147">
        <w:rPr>
          <w:rFonts w:ascii="Times New Roman" w:hAnsi="Times New Roman" w:cs="Times New Roman"/>
          <w:sz w:val="24"/>
          <w:szCs w:val="24"/>
          <w:lang w:val="en-US"/>
        </w:rPr>
        <w:t>I</w:t>
      </w:r>
      <w:r>
        <w:rPr>
          <w:rFonts w:ascii="Times New Roman" w:hAnsi="Times New Roman" w:cs="Times New Roman"/>
          <w:sz w:val="24"/>
          <w:szCs w:val="24"/>
          <w:lang w:val="en-US"/>
        </w:rPr>
        <w:t>nternational Finance Corporation</w:t>
      </w:r>
      <w:r w:rsidRPr="00E171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(2004). </w:t>
      </w:r>
      <w:r w:rsidRPr="00E17147">
        <w:rPr>
          <w:rFonts w:ascii="Times New Roman" w:hAnsi="Times New Roman" w:cs="Times New Roman"/>
          <w:i/>
          <w:iCs/>
          <w:sz w:val="24"/>
          <w:szCs w:val="24"/>
          <w:lang w:val="en-US"/>
        </w:rPr>
        <w:t>Who Cares Wins: Connecting Financial Markets to a Changing World</w:t>
      </w:r>
      <w:r w:rsidRPr="00E17147">
        <w:rPr>
          <w:rFonts w:ascii="Times New Roman" w:hAnsi="Times New Roman" w:cs="Times New Roman"/>
          <w:sz w:val="24"/>
          <w:szCs w:val="24"/>
          <w:lang w:val="en-US"/>
        </w:rPr>
        <w:t>.</w:t>
      </w:r>
    </w:p>
    <w:p w14:paraId="7D2CA13B"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Khan, M., Serafeim, G., &amp; Yoon, A. (2016). Corporate sustainability: First evidence on materiality. </w:t>
      </w:r>
      <w:r w:rsidRPr="00605A3B">
        <w:rPr>
          <w:rFonts w:ascii="Times New Roman" w:hAnsi="Times New Roman" w:cs="Times New Roman"/>
          <w:i/>
          <w:iCs/>
          <w:sz w:val="24"/>
          <w:szCs w:val="24"/>
          <w:lang w:val="en-US"/>
        </w:rPr>
        <w:t xml:space="preserve">The Accounting Review, </w:t>
      </w:r>
      <w:r w:rsidRPr="00605A3B">
        <w:rPr>
          <w:rFonts w:ascii="Times New Roman" w:hAnsi="Times New Roman" w:cs="Times New Roman"/>
          <w:sz w:val="24"/>
          <w:szCs w:val="24"/>
          <w:lang w:val="en-US"/>
        </w:rPr>
        <w:t>91(6), 1697–1724.</w:t>
      </w:r>
    </w:p>
    <w:p w14:paraId="34325D41"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London Stock Exchange Group (LSEG). (2021). </w:t>
      </w:r>
      <w:r w:rsidRPr="00605A3B">
        <w:rPr>
          <w:rFonts w:ascii="Times New Roman" w:hAnsi="Times New Roman" w:cs="Times New Roman"/>
          <w:i/>
          <w:iCs/>
          <w:sz w:val="24"/>
          <w:szCs w:val="24"/>
          <w:lang w:val="en-US"/>
        </w:rPr>
        <w:t>ESG scores methodology</w:t>
      </w:r>
      <w:r w:rsidRPr="00605A3B">
        <w:rPr>
          <w:rFonts w:ascii="Times New Roman" w:hAnsi="Times New Roman" w:cs="Times New Roman"/>
          <w:sz w:val="24"/>
          <w:szCs w:val="24"/>
          <w:lang w:val="en-US"/>
        </w:rPr>
        <w:t>.</w:t>
      </w:r>
    </w:p>
    <w:p w14:paraId="0B30542B" w14:textId="7479584B" w:rsidR="008B788C" w:rsidRDefault="008B788C" w:rsidP="008B788C">
      <w:pPr>
        <w:spacing w:line="360" w:lineRule="auto"/>
        <w:jc w:val="both"/>
        <w:rPr>
          <w:rFonts w:ascii="Times New Roman" w:hAnsi="Times New Roman" w:cs="Times New Roman"/>
          <w:sz w:val="24"/>
          <w:szCs w:val="24"/>
          <w:lang w:val="en-US"/>
        </w:rPr>
      </w:pPr>
      <w:r w:rsidRPr="00127014">
        <w:rPr>
          <w:rFonts w:ascii="Times New Roman" w:hAnsi="Times New Roman" w:cs="Times New Roman"/>
          <w:sz w:val="24"/>
          <w:szCs w:val="24"/>
        </w:rPr>
        <w:t xml:space="preserve">Manta, A. G., Doran, N. M., Badircea, R., Badareu, G., &amp; Târan, A. (2023). </w:t>
      </w:r>
      <w:r w:rsidRPr="00E17147">
        <w:rPr>
          <w:rFonts w:ascii="Times New Roman" w:hAnsi="Times New Roman" w:cs="Times New Roman"/>
          <w:sz w:val="24"/>
          <w:szCs w:val="24"/>
          <w:lang w:val="en-US"/>
        </w:rPr>
        <w:t xml:space="preserve">Does the implementation of a Pigouvian tax be considered an effective approach to address climate change </w:t>
      </w:r>
      <w:r w:rsidR="00C065E8" w:rsidRPr="00E17147">
        <w:rPr>
          <w:rFonts w:ascii="Times New Roman" w:hAnsi="Times New Roman" w:cs="Times New Roman"/>
          <w:sz w:val="24"/>
          <w:szCs w:val="24"/>
          <w:lang w:val="en-US"/>
        </w:rPr>
        <w:t>mitigation?</w:t>
      </w:r>
      <w:r w:rsidRPr="00E17147">
        <w:rPr>
          <w:rFonts w:ascii="Times New Roman" w:hAnsi="Times New Roman" w:cs="Times New Roman"/>
          <w:sz w:val="24"/>
          <w:szCs w:val="24"/>
          <w:lang w:val="en-US"/>
        </w:rPr>
        <w:t> </w:t>
      </w:r>
      <w:r w:rsidRPr="00923B1B">
        <w:rPr>
          <w:rFonts w:ascii="Times New Roman" w:hAnsi="Times New Roman" w:cs="Times New Roman"/>
          <w:i/>
          <w:iCs/>
          <w:sz w:val="24"/>
          <w:szCs w:val="24"/>
          <w:lang w:val="en-US"/>
        </w:rPr>
        <w:t>Economic Analysis and Policy</w:t>
      </w:r>
      <w:r w:rsidRPr="00E17147">
        <w:rPr>
          <w:rFonts w:ascii="Times New Roman" w:hAnsi="Times New Roman" w:cs="Times New Roman"/>
          <w:sz w:val="24"/>
          <w:szCs w:val="24"/>
          <w:lang w:val="en-US"/>
        </w:rPr>
        <w:t>, v. 80, 1719-1731.</w:t>
      </w:r>
    </w:p>
    <w:p w14:paraId="5819A905"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Margolis, J. D., Elfenbein, H. A., &amp; Walsh, J. P. (2009). Does it pay to be good... and does it matter? A meta-analysis of the relationship between corporate social and financial performance. </w:t>
      </w:r>
      <w:r w:rsidRPr="00605A3B">
        <w:rPr>
          <w:rFonts w:ascii="Times New Roman" w:hAnsi="Times New Roman" w:cs="Times New Roman"/>
          <w:i/>
          <w:iCs/>
          <w:sz w:val="24"/>
          <w:szCs w:val="24"/>
          <w:lang w:val="en-US"/>
        </w:rPr>
        <w:t>SSRN Electronic Journal</w:t>
      </w:r>
      <w:r w:rsidRPr="00605A3B">
        <w:rPr>
          <w:rFonts w:ascii="Times New Roman" w:hAnsi="Times New Roman" w:cs="Times New Roman"/>
          <w:sz w:val="24"/>
          <w:szCs w:val="24"/>
          <w:lang w:val="en-US"/>
        </w:rPr>
        <w:t>.</w:t>
      </w:r>
    </w:p>
    <w:p w14:paraId="6B7615E2" w14:textId="77777777" w:rsidR="008B788C" w:rsidRPr="001A7167"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Martins, E.-C., &amp; Terblanche, F. (2003). Building organisational culture that stimulates creativity and innovation. </w:t>
      </w:r>
      <w:r w:rsidRPr="00605A3B">
        <w:rPr>
          <w:rFonts w:ascii="Times New Roman" w:hAnsi="Times New Roman" w:cs="Times New Roman"/>
          <w:i/>
          <w:iCs/>
          <w:sz w:val="24"/>
          <w:szCs w:val="24"/>
          <w:lang w:val="en-US"/>
        </w:rPr>
        <w:t xml:space="preserve">European Journal of Innovation Management, </w:t>
      </w:r>
      <w:r w:rsidRPr="00605A3B">
        <w:rPr>
          <w:rFonts w:ascii="Times New Roman" w:hAnsi="Times New Roman" w:cs="Times New Roman"/>
          <w:sz w:val="24"/>
          <w:szCs w:val="24"/>
          <w:lang w:val="en-US"/>
        </w:rPr>
        <w:t>6(1), 64–74.</w:t>
      </w:r>
    </w:p>
    <w:p w14:paraId="2C325C9D"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Matos, J. A., &amp; Clegg, S. R. (2013). Sustainability and organizational change. </w:t>
      </w:r>
      <w:r w:rsidRPr="00605A3B">
        <w:rPr>
          <w:rFonts w:ascii="Times New Roman" w:hAnsi="Times New Roman" w:cs="Times New Roman"/>
          <w:i/>
          <w:iCs/>
          <w:sz w:val="24"/>
          <w:szCs w:val="24"/>
          <w:lang w:val="en-US"/>
        </w:rPr>
        <w:t xml:space="preserve">Journal of Change Management, </w:t>
      </w:r>
      <w:r w:rsidRPr="00605A3B">
        <w:rPr>
          <w:rFonts w:ascii="Times New Roman" w:hAnsi="Times New Roman" w:cs="Times New Roman"/>
          <w:sz w:val="24"/>
          <w:szCs w:val="24"/>
          <w:lang w:val="en-US"/>
        </w:rPr>
        <w:t>13(4), 382–386.</w:t>
      </w:r>
    </w:p>
    <w:p w14:paraId="2317C0E3" w14:textId="77777777" w:rsidR="008B788C" w:rsidRPr="001A7167"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Matt, C., Hess, T., &amp; Benlian, A. (2015). Digital transformation strategies. </w:t>
      </w:r>
      <w:r w:rsidRPr="00605A3B">
        <w:rPr>
          <w:rFonts w:ascii="Times New Roman" w:hAnsi="Times New Roman" w:cs="Times New Roman"/>
          <w:i/>
          <w:iCs/>
          <w:sz w:val="24"/>
          <w:szCs w:val="24"/>
          <w:lang w:val="en-US"/>
        </w:rPr>
        <w:t xml:space="preserve">Business &amp; Information Systems Engineering, </w:t>
      </w:r>
      <w:r w:rsidRPr="00605A3B">
        <w:rPr>
          <w:rFonts w:ascii="Times New Roman" w:hAnsi="Times New Roman" w:cs="Times New Roman"/>
          <w:sz w:val="24"/>
          <w:szCs w:val="24"/>
          <w:lang w:val="en-US"/>
        </w:rPr>
        <w:t>57, 339–343.</w:t>
      </w:r>
    </w:p>
    <w:p w14:paraId="614F93BD" w14:textId="77777777" w:rsidR="008B788C" w:rsidRPr="00605A3B" w:rsidRDefault="008B788C" w:rsidP="008B788C">
      <w:pPr>
        <w:spacing w:line="240" w:lineRule="auto"/>
        <w:jc w:val="both"/>
        <w:rPr>
          <w:rFonts w:ascii="Times New Roman" w:hAnsi="Times New Roman" w:cs="Times New Roman"/>
          <w:sz w:val="24"/>
          <w:szCs w:val="24"/>
          <w:lang w:val="en-US"/>
        </w:rPr>
      </w:pPr>
      <w:bookmarkStart w:id="1" w:name="_Hlk201018580"/>
      <w:r w:rsidRPr="00127014">
        <w:rPr>
          <w:rFonts w:ascii="Times New Roman" w:hAnsi="Times New Roman" w:cs="Times New Roman"/>
          <w:sz w:val="24"/>
          <w:szCs w:val="24"/>
        </w:rPr>
        <w:t xml:space="preserve">Netto, S. V. F., Sobral, M. F. F, Ribeiro, A. R. B., &amp; Soares, G. R. L. (2020). </w:t>
      </w:r>
      <w:r w:rsidRPr="00605A3B">
        <w:rPr>
          <w:rFonts w:ascii="Times New Roman" w:hAnsi="Times New Roman" w:cs="Times New Roman"/>
          <w:sz w:val="24"/>
          <w:szCs w:val="24"/>
          <w:lang w:val="en-US"/>
        </w:rPr>
        <w:t xml:space="preserve">Concepts and forms of greenwashing: A systematic review. </w:t>
      </w:r>
      <w:r w:rsidRPr="00605A3B">
        <w:rPr>
          <w:rFonts w:ascii="Times New Roman" w:hAnsi="Times New Roman" w:cs="Times New Roman"/>
          <w:i/>
          <w:iCs/>
          <w:sz w:val="24"/>
          <w:szCs w:val="24"/>
          <w:lang w:val="en-US"/>
        </w:rPr>
        <w:t xml:space="preserve">Environmental Sciences Europe, </w:t>
      </w:r>
      <w:r w:rsidRPr="00605A3B">
        <w:rPr>
          <w:rFonts w:ascii="Times New Roman" w:hAnsi="Times New Roman" w:cs="Times New Roman"/>
          <w:sz w:val="24"/>
          <w:szCs w:val="24"/>
          <w:lang w:val="en-US"/>
        </w:rPr>
        <w:t>32, 1–12.</w:t>
      </w:r>
    </w:p>
    <w:bookmarkEnd w:id="1"/>
    <w:p w14:paraId="44E39A3E"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Pacto Global da ONU. (2004). </w:t>
      </w:r>
      <w:r w:rsidRPr="00605A3B">
        <w:rPr>
          <w:rFonts w:ascii="Times New Roman" w:hAnsi="Times New Roman" w:cs="Times New Roman"/>
          <w:i/>
          <w:iCs/>
          <w:sz w:val="24"/>
          <w:szCs w:val="24"/>
          <w:lang w:val="en-US"/>
        </w:rPr>
        <w:t>Who cares wins: Connecting financial markets to a changing world</w:t>
      </w:r>
      <w:r w:rsidRPr="00605A3B">
        <w:rPr>
          <w:rFonts w:ascii="Times New Roman" w:hAnsi="Times New Roman" w:cs="Times New Roman"/>
          <w:sz w:val="24"/>
          <w:szCs w:val="24"/>
          <w:lang w:val="en-US"/>
        </w:rPr>
        <w:t>. United Nations.</w:t>
      </w:r>
    </w:p>
    <w:p w14:paraId="6AA11B88"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Pigou, A. (2017). </w:t>
      </w:r>
      <w:r w:rsidRPr="00605A3B">
        <w:rPr>
          <w:rFonts w:ascii="Times New Roman" w:hAnsi="Times New Roman" w:cs="Times New Roman"/>
          <w:i/>
          <w:iCs/>
          <w:sz w:val="24"/>
          <w:szCs w:val="24"/>
          <w:lang w:val="en-US"/>
        </w:rPr>
        <w:t>The economics of welfare</w:t>
      </w:r>
      <w:r w:rsidRPr="00605A3B">
        <w:rPr>
          <w:rFonts w:ascii="Times New Roman" w:hAnsi="Times New Roman" w:cs="Times New Roman"/>
          <w:sz w:val="24"/>
          <w:szCs w:val="24"/>
          <w:lang w:val="en-US"/>
        </w:rPr>
        <w:t>. Routledge.</w:t>
      </w:r>
    </w:p>
    <w:p w14:paraId="41AA1689"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Porter, M. E., &amp; Kramer, M. R. (2006). The link between competitive advantage and corporate social responsibility. </w:t>
      </w:r>
      <w:r w:rsidRPr="00605A3B">
        <w:rPr>
          <w:rFonts w:ascii="Times New Roman" w:hAnsi="Times New Roman" w:cs="Times New Roman"/>
          <w:i/>
          <w:iCs/>
          <w:sz w:val="24"/>
          <w:szCs w:val="24"/>
          <w:lang w:val="en-US"/>
        </w:rPr>
        <w:t xml:space="preserve">Harvard Business Review, </w:t>
      </w:r>
      <w:r w:rsidRPr="00605A3B">
        <w:rPr>
          <w:rFonts w:ascii="Times New Roman" w:hAnsi="Times New Roman" w:cs="Times New Roman"/>
          <w:sz w:val="24"/>
          <w:szCs w:val="24"/>
          <w:lang w:val="en-US"/>
        </w:rPr>
        <w:t>84(12), 78–92.</w:t>
      </w:r>
    </w:p>
    <w:p w14:paraId="352F4F5A"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Porter, M. E., &amp; Kramer, M. R. (2018). Creating shared value: How to reinvent capitalism</w:t>
      </w:r>
      <w:r>
        <w:rPr>
          <w:rFonts w:ascii="Times New Roman" w:hAnsi="Times New Roman" w:cs="Times New Roman"/>
          <w:sz w:val="24"/>
          <w:szCs w:val="24"/>
          <w:lang w:val="en-US"/>
        </w:rPr>
        <w:t xml:space="preserve"> – </w:t>
      </w:r>
      <w:r w:rsidRPr="00605A3B">
        <w:rPr>
          <w:rFonts w:ascii="Times New Roman" w:hAnsi="Times New Roman" w:cs="Times New Roman"/>
          <w:sz w:val="24"/>
          <w:szCs w:val="24"/>
          <w:lang w:val="en-US"/>
        </w:rPr>
        <w:t xml:space="preserve">and unleash a wave of innovation and growth. In </w:t>
      </w:r>
      <w:r w:rsidRPr="00605A3B">
        <w:rPr>
          <w:rFonts w:ascii="Times New Roman" w:hAnsi="Times New Roman" w:cs="Times New Roman"/>
          <w:i/>
          <w:iCs/>
          <w:sz w:val="24"/>
          <w:szCs w:val="24"/>
          <w:lang w:val="en-US"/>
        </w:rPr>
        <w:t>Managing sustainable business: An executive education case and textbook</w:t>
      </w:r>
      <w:r w:rsidRPr="00605A3B">
        <w:rPr>
          <w:rFonts w:ascii="Times New Roman" w:hAnsi="Times New Roman" w:cs="Times New Roman"/>
          <w:sz w:val="24"/>
          <w:szCs w:val="24"/>
          <w:lang w:val="en-US"/>
        </w:rPr>
        <w:t xml:space="preserve"> (pp. 323–346). Springer.</w:t>
      </w:r>
    </w:p>
    <w:p w14:paraId="7303F168"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Porter, M. E., Kramer, M. R., &amp; Serafeim, G. (2019). Where ESG fails. </w:t>
      </w:r>
      <w:r w:rsidRPr="00605A3B">
        <w:rPr>
          <w:rFonts w:ascii="Times New Roman" w:hAnsi="Times New Roman" w:cs="Times New Roman"/>
          <w:i/>
          <w:iCs/>
          <w:sz w:val="24"/>
          <w:szCs w:val="24"/>
          <w:lang w:val="en-US"/>
        </w:rPr>
        <w:t xml:space="preserve">Harvard Business Review, </w:t>
      </w:r>
      <w:r w:rsidRPr="00605A3B">
        <w:rPr>
          <w:rFonts w:ascii="Times New Roman" w:hAnsi="Times New Roman" w:cs="Times New Roman"/>
          <w:sz w:val="24"/>
          <w:szCs w:val="24"/>
          <w:lang w:val="en-US"/>
        </w:rPr>
        <w:t>97(6), 52–60.</w:t>
      </w:r>
    </w:p>
    <w:p w14:paraId="79510815" w14:textId="77777777" w:rsidR="008B788C" w:rsidRPr="00605A3B" w:rsidRDefault="008B788C" w:rsidP="008B788C">
      <w:pPr>
        <w:spacing w:line="240" w:lineRule="auto"/>
        <w:jc w:val="both"/>
        <w:rPr>
          <w:rFonts w:ascii="Times New Roman" w:hAnsi="Times New Roman" w:cs="Times New Roman"/>
          <w:sz w:val="24"/>
          <w:szCs w:val="24"/>
          <w:lang w:val="en-US"/>
        </w:rPr>
      </w:pPr>
      <w:r w:rsidRPr="008B788C">
        <w:rPr>
          <w:rFonts w:ascii="Times New Roman" w:hAnsi="Times New Roman" w:cs="Times New Roman"/>
          <w:sz w:val="24"/>
          <w:szCs w:val="24"/>
          <w:lang w:val="en-US"/>
        </w:rPr>
        <w:t xml:space="preserve">Porter, M. E., &amp; Linde, C. V. (1995). </w:t>
      </w:r>
      <w:r w:rsidRPr="00605A3B">
        <w:rPr>
          <w:rFonts w:ascii="Times New Roman" w:hAnsi="Times New Roman" w:cs="Times New Roman"/>
          <w:sz w:val="24"/>
          <w:szCs w:val="24"/>
          <w:lang w:val="en-US"/>
        </w:rPr>
        <w:t xml:space="preserve">Toward a new conception of the environment-competitiveness relationship. </w:t>
      </w:r>
      <w:r w:rsidRPr="00605A3B">
        <w:rPr>
          <w:rFonts w:ascii="Times New Roman" w:hAnsi="Times New Roman" w:cs="Times New Roman"/>
          <w:i/>
          <w:iCs/>
          <w:sz w:val="24"/>
          <w:szCs w:val="24"/>
          <w:lang w:val="en-US"/>
        </w:rPr>
        <w:t xml:space="preserve">Journal of Economic Perspectives, </w:t>
      </w:r>
      <w:r w:rsidRPr="00605A3B">
        <w:rPr>
          <w:rFonts w:ascii="Times New Roman" w:hAnsi="Times New Roman" w:cs="Times New Roman"/>
          <w:sz w:val="24"/>
          <w:szCs w:val="24"/>
          <w:lang w:val="en-US"/>
        </w:rPr>
        <w:t>9(4), 97–118.</w:t>
      </w:r>
    </w:p>
    <w:p w14:paraId="34AFFDA6" w14:textId="77777777" w:rsidR="008B788C"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Raworth, K. (2018). </w:t>
      </w:r>
      <w:r w:rsidRPr="00605A3B">
        <w:rPr>
          <w:rFonts w:ascii="Times New Roman" w:hAnsi="Times New Roman" w:cs="Times New Roman"/>
          <w:i/>
          <w:iCs/>
          <w:sz w:val="24"/>
          <w:szCs w:val="24"/>
          <w:lang w:val="en-US"/>
        </w:rPr>
        <w:t>Doughnut economics: Seven ways to think like a 21st century economist</w:t>
      </w:r>
      <w:r w:rsidRPr="00605A3B">
        <w:rPr>
          <w:rFonts w:ascii="Times New Roman" w:hAnsi="Times New Roman" w:cs="Times New Roman"/>
          <w:sz w:val="24"/>
          <w:szCs w:val="24"/>
          <w:lang w:val="en-US"/>
        </w:rPr>
        <w:t>. Chelsea Green Publishing.</w:t>
      </w:r>
    </w:p>
    <w:p w14:paraId="5EA2920F"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Refinitiv. </w:t>
      </w:r>
      <w:r w:rsidRPr="00605A3B">
        <w:rPr>
          <w:rFonts w:ascii="Times New Roman" w:hAnsi="Times New Roman" w:cs="Times New Roman"/>
          <w:i/>
          <w:iCs/>
          <w:sz w:val="24"/>
          <w:szCs w:val="24"/>
          <w:lang w:val="en-US"/>
        </w:rPr>
        <w:t>Refinitiv Workspace/Eikon</w:t>
      </w:r>
      <w:r w:rsidRPr="00605A3B">
        <w:rPr>
          <w:rFonts w:ascii="Times New Roman" w:hAnsi="Times New Roman" w:cs="Times New Roman"/>
          <w:sz w:val="24"/>
          <w:szCs w:val="24"/>
          <w:lang w:val="en-US"/>
        </w:rPr>
        <w:t>.</w:t>
      </w:r>
    </w:p>
    <w:p w14:paraId="1DCA319A" w14:textId="77777777" w:rsidR="008B788C" w:rsidRPr="00923B1B" w:rsidRDefault="008B788C" w:rsidP="008B788C">
      <w:pPr>
        <w:spacing w:line="360" w:lineRule="auto"/>
        <w:jc w:val="both"/>
        <w:rPr>
          <w:rFonts w:ascii="Times New Roman" w:hAnsi="Times New Roman" w:cs="Times New Roman"/>
          <w:sz w:val="24"/>
          <w:szCs w:val="24"/>
          <w:lang w:val="en-US"/>
        </w:rPr>
      </w:pPr>
      <w:r w:rsidRPr="00923B1B">
        <w:rPr>
          <w:rFonts w:ascii="Times New Roman" w:hAnsi="Times New Roman" w:cs="Times New Roman"/>
          <w:sz w:val="24"/>
          <w:szCs w:val="24"/>
          <w:lang w:val="en-US"/>
        </w:rPr>
        <w:t>S</w:t>
      </w:r>
      <w:r>
        <w:rPr>
          <w:rFonts w:ascii="Times New Roman" w:hAnsi="Times New Roman" w:cs="Times New Roman"/>
          <w:sz w:val="24"/>
          <w:szCs w:val="24"/>
          <w:lang w:val="en-US"/>
        </w:rPr>
        <w:t>ancak</w:t>
      </w:r>
      <w:r w:rsidRPr="00923B1B">
        <w:rPr>
          <w:rFonts w:ascii="Times New Roman" w:hAnsi="Times New Roman" w:cs="Times New Roman"/>
          <w:sz w:val="24"/>
          <w:szCs w:val="24"/>
          <w:lang w:val="en-US"/>
        </w:rPr>
        <w:t>, I</w:t>
      </w:r>
      <w:r>
        <w:rPr>
          <w:rFonts w:ascii="Times New Roman" w:hAnsi="Times New Roman" w:cs="Times New Roman"/>
          <w:sz w:val="24"/>
          <w:szCs w:val="24"/>
          <w:lang w:val="en-US"/>
        </w:rPr>
        <w:t>.</w:t>
      </w:r>
      <w:r w:rsidRPr="00923B1B">
        <w:rPr>
          <w:rFonts w:ascii="Times New Roman" w:hAnsi="Times New Roman" w:cs="Times New Roman"/>
          <w:sz w:val="24"/>
          <w:szCs w:val="24"/>
          <w:lang w:val="en-US"/>
        </w:rPr>
        <w:t xml:space="preserve"> E. </w:t>
      </w:r>
      <w:r>
        <w:rPr>
          <w:rFonts w:ascii="Times New Roman" w:hAnsi="Times New Roman" w:cs="Times New Roman"/>
          <w:sz w:val="24"/>
          <w:szCs w:val="24"/>
          <w:lang w:val="en-US"/>
        </w:rPr>
        <w:t xml:space="preserve">(2023). </w:t>
      </w:r>
      <w:r w:rsidRPr="00923B1B">
        <w:rPr>
          <w:rFonts w:ascii="Times New Roman" w:hAnsi="Times New Roman" w:cs="Times New Roman"/>
          <w:sz w:val="24"/>
          <w:szCs w:val="24"/>
          <w:lang w:val="en-US"/>
        </w:rPr>
        <w:t>Change management in sustainability transformation: A model for business organizations. </w:t>
      </w:r>
      <w:r w:rsidRPr="00923B1B">
        <w:rPr>
          <w:rFonts w:ascii="Times New Roman" w:hAnsi="Times New Roman" w:cs="Times New Roman"/>
          <w:i/>
          <w:iCs/>
          <w:sz w:val="24"/>
          <w:szCs w:val="24"/>
          <w:lang w:val="en-US"/>
        </w:rPr>
        <w:t>Journal of Environmental Management</w:t>
      </w:r>
      <w:r w:rsidRPr="00923B1B">
        <w:rPr>
          <w:rFonts w:ascii="Times New Roman" w:hAnsi="Times New Roman" w:cs="Times New Roman"/>
          <w:sz w:val="24"/>
          <w:szCs w:val="24"/>
          <w:lang w:val="en-US"/>
        </w:rPr>
        <w:t>, 330,</w:t>
      </w:r>
      <w:r>
        <w:rPr>
          <w:rFonts w:ascii="Times New Roman" w:hAnsi="Times New Roman" w:cs="Times New Roman"/>
          <w:sz w:val="24"/>
          <w:szCs w:val="24"/>
          <w:lang w:val="en-US"/>
        </w:rPr>
        <w:t xml:space="preserve"> </w:t>
      </w:r>
      <w:r w:rsidRPr="00923B1B">
        <w:rPr>
          <w:rFonts w:ascii="Times New Roman" w:hAnsi="Times New Roman" w:cs="Times New Roman"/>
          <w:sz w:val="24"/>
          <w:szCs w:val="24"/>
          <w:lang w:val="en-US"/>
        </w:rPr>
        <w:t>117165.</w:t>
      </w:r>
    </w:p>
    <w:p w14:paraId="70DDA6DA"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Sassen, R., Hinze, A.-K., &amp; Hardeck, I. (2016). Impact of ESG factors on firm risk in Europe. </w:t>
      </w:r>
      <w:r w:rsidRPr="00605A3B">
        <w:rPr>
          <w:rFonts w:ascii="Times New Roman" w:hAnsi="Times New Roman" w:cs="Times New Roman"/>
          <w:i/>
          <w:iCs/>
          <w:sz w:val="24"/>
          <w:szCs w:val="24"/>
          <w:lang w:val="en-US"/>
        </w:rPr>
        <w:t xml:space="preserve">Journal of Business Economics, </w:t>
      </w:r>
      <w:r w:rsidRPr="00605A3B">
        <w:rPr>
          <w:rFonts w:ascii="Times New Roman" w:hAnsi="Times New Roman" w:cs="Times New Roman"/>
          <w:sz w:val="24"/>
          <w:szCs w:val="24"/>
          <w:lang w:val="en-US"/>
        </w:rPr>
        <w:t>86, 867–904.</w:t>
      </w:r>
    </w:p>
    <w:p w14:paraId="0256E519"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Schumpeter, J. A. (1942). </w:t>
      </w:r>
      <w:r w:rsidRPr="00605A3B">
        <w:rPr>
          <w:rFonts w:ascii="Times New Roman" w:hAnsi="Times New Roman" w:cs="Times New Roman"/>
          <w:i/>
          <w:iCs/>
          <w:sz w:val="24"/>
          <w:szCs w:val="24"/>
          <w:lang w:val="en-US"/>
        </w:rPr>
        <w:t>Capitalism, socialism, and democracy</w:t>
      </w:r>
      <w:r w:rsidRPr="00605A3B">
        <w:rPr>
          <w:rFonts w:ascii="Times New Roman" w:hAnsi="Times New Roman" w:cs="Times New Roman"/>
          <w:sz w:val="24"/>
          <w:szCs w:val="24"/>
          <w:lang w:val="en-US"/>
        </w:rPr>
        <w:t>. Harper &amp; Brothers.</w:t>
      </w:r>
    </w:p>
    <w:p w14:paraId="5A9F92C6" w14:textId="38DA20E8" w:rsidR="008B788C" w:rsidRPr="009F2AE8" w:rsidRDefault="008B788C" w:rsidP="008B788C">
      <w:pPr>
        <w:spacing w:line="360" w:lineRule="auto"/>
        <w:jc w:val="both"/>
        <w:rPr>
          <w:rFonts w:ascii="Times New Roman" w:hAnsi="Times New Roman" w:cs="Times New Roman"/>
          <w:sz w:val="24"/>
          <w:szCs w:val="24"/>
          <w:lang w:val="en-US"/>
        </w:rPr>
      </w:pPr>
      <w:r w:rsidRPr="0098178A">
        <w:rPr>
          <w:rFonts w:ascii="Times New Roman" w:hAnsi="Times New Roman" w:cs="Times New Roman"/>
          <w:sz w:val="24"/>
          <w:szCs w:val="24"/>
          <w:lang w:val="en-US"/>
        </w:rPr>
        <w:t>S</w:t>
      </w:r>
      <w:r>
        <w:rPr>
          <w:rFonts w:ascii="Times New Roman" w:hAnsi="Times New Roman" w:cs="Times New Roman"/>
          <w:sz w:val="24"/>
          <w:szCs w:val="24"/>
          <w:lang w:val="en-US"/>
        </w:rPr>
        <w:t>erafeim</w:t>
      </w:r>
      <w:r w:rsidRPr="0098178A">
        <w:rPr>
          <w:rFonts w:ascii="Times New Roman" w:hAnsi="Times New Roman" w:cs="Times New Roman"/>
          <w:sz w:val="24"/>
          <w:szCs w:val="24"/>
          <w:lang w:val="en-US"/>
        </w:rPr>
        <w:t>, G</w:t>
      </w:r>
      <w:r>
        <w:rPr>
          <w:rFonts w:ascii="Times New Roman" w:hAnsi="Times New Roman" w:cs="Times New Roman"/>
          <w:sz w:val="24"/>
          <w:szCs w:val="24"/>
          <w:lang w:val="en-US"/>
        </w:rPr>
        <w:t>., &amp;</w:t>
      </w:r>
      <w:r w:rsidRPr="0098178A">
        <w:rPr>
          <w:rFonts w:ascii="Times New Roman" w:hAnsi="Times New Roman" w:cs="Times New Roman"/>
          <w:sz w:val="24"/>
          <w:szCs w:val="24"/>
          <w:lang w:val="en-US"/>
        </w:rPr>
        <w:t xml:space="preserve"> Y</w:t>
      </w:r>
      <w:r>
        <w:rPr>
          <w:rFonts w:ascii="Times New Roman" w:hAnsi="Times New Roman" w:cs="Times New Roman"/>
          <w:sz w:val="24"/>
          <w:szCs w:val="24"/>
          <w:lang w:val="en-US"/>
        </w:rPr>
        <w:t>oon,</w:t>
      </w:r>
      <w:r w:rsidRPr="0098178A">
        <w:rPr>
          <w:rFonts w:ascii="Times New Roman" w:hAnsi="Times New Roman" w:cs="Times New Roman"/>
          <w:sz w:val="24"/>
          <w:szCs w:val="24"/>
          <w:lang w:val="en-US"/>
        </w:rPr>
        <w:t xml:space="preserve"> A</w:t>
      </w:r>
      <w:r>
        <w:rPr>
          <w:rFonts w:ascii="Times New Roman" w:hAnsi="Times New Roman" w:cs="Times New Roman"/>
          <w:sz w:val="24"/>
          <w:szCs w:val="24"/>
          <w:lang w:val="en-US"/>
        </w:rPr>
        <w:t>. (2022)</w:t>
      </w:r>
      <w:r w:rsidRPr="0098178A">
        <w:rPr>
          <w:rFonts w:ascii="Times New Roman" w:hAnsi="Times New Roman" w:cs="Times New Roman"/>
          <w:sz w:val="24"/>
          <w:szCs w:val="24"/>
          <w:lang w:val="en-US"/>
        </w:rPr>
        <w:t xml:space="preserve">. Which corporate ESG news does the market react </w:t>
      </w:r>
      <w:r w:rsidR="00C065E8" w:rsidRPr="0098178A">
        <w:rPr>
          <w:rFonts w:ascii="Times New Roman" w:hAnsi="Times New Roman" w:cs="Times New Roman"/>
          <w:sz w:val="24"/>
          <w:szCs w:val="24"/>
          <w:lang w:val="en-US"/>
        </w:rPr>
        <w:t>to?</w:t>
      </w:r>
      <w:r w:rsidRPr="0098178A">
        <w:rPr>
          <w:rFonts w:ascii="Times New Roman" w:hAnsi="Times New Roman" w:cs="Times New Roman"/>
          <w:sz w:val="24"/>
          <w:szCs w:val="24"/>
          <w:lang w:val="en-US"/>
        </w:rPr>
        <w:t> </w:t>
      </w:r>
      <w:r w:rsidRPr="009F2AE8">
        <w:rPr>
          <w:rFonts w:ascii="Times New Roman" w:hAnsi="Times New Roman" w:cs="Times New Roman"/>
          <w:i/>
          <w:iCs/>
          <w:sz w:val="24"/>
          <w:szCs w:val="24"/>
          <w:lang w:val="en-US"/>
        </w:rPr>
        <w:t>Financial Analysts Journal</w:t>
      </w:r>
      <w:r w:rsidRPr="009F2AE8">
        <w:rPr>
          <w:rFonts w:ascii="Times New Roman" w:hAnsi="Times New Roman" w:cs="Times New Roman"/>
          <w:sz w:val="24"/>
          <w:szCs w:val="24"/>
          <w:lang w:val="en-US"/>
        </w:rPr>
        <w:t>, 78(1), 59-78</w:t>
      </w:r>
    </w:p>
    <w:p w14:paraId="36CE9398" w14:textId="77777777" w:rsidR="008B788C" w:rsidRPr="0098178A" w:rsidRDefault="008B788C" w:rsidP="008B788C">
      <w:pPr>
        <w:spacing w:line="360" w:lineRule="auto"/>
        <w:jc w:val="both"/>
        <w:rPr>
          <w:rFonts w:ascii="Times New Roman" w:hAnsi="Times New Roman" w:cs="Times New Roman"/>
          <w:sz w:val="24"/>
          <w:szCs w:val="24"/>
          <w:lang w:val="en-US"/>
        </w:rPr>
      </w:pPr>
      <w:r w:rsidRPr="0098178A">
        <w:rPr>
          <w:rFonts w:ascii="Times New Roman" w:hAnsi="Times New Roman" w:cs="Times New Roman"/>
          <w:sz w:val="24"/>
          <w:szCs w:val="24"/>
          <w:lang w:val="en-US"/>
        </w:rPr>
        <w:t>S</w:t>
      </w:r>
      <w:r>
        <w:rPr>
          <w:rFonts w:ascii="Times New Roman" w:hAnsi="Times New Roman" w:cs="Times New Roman"/>
          <w:sz w:val="24"/>
          <w:szCs w:val="24"/>
          <w:lang w:val="en-US"/>
        </w:rPr>
        <w:t>erafeim</w:t>
      </w:r>
      <w:r w:rsidRPr="0098178A">
        <w:rPr>
          <w:rFonts w:ascii="Times New Roman" w:hAnsi="Times New Roman" w:cs="Times New Roman"/>
          <w:sz w:val="24"/>
          <w:szCs w:val="24"/>
          <w:lang w:val="en-US"/>
        </w:rPr>
        <w:t>, G</w:t>
      </w:r>
      <w:r>
        <w:rPr>
          <w:rFonts w:ascii="Times New Roman" w:hAnsi="Times New Roman" w:cs="Times New Roman"/>
          <w:sz w:val="24"/>
          <w:szCs w:val="24"/>
          <w:lang w:val="en-US"/>
        </w:rPr>
        <w:t>., &amp;</w:t>
      </w:r>
      <w:r w:rsidRPr="0098178A">
        <w:rPr>
          <w:rFonts w:ascii="Times New Roman" w:hAnsi="Times New Roman" w:cs="Times New Roman"/>
          <w:sz w:val="24"/>
          <w:szCs w:val="24"/>
          <w:lang w:val="en-US"/>
        </w:rPr>
        <w:t xml:space="preserve"> Y</w:t>
      </w:r>
      <w:r>
        <w:rPr>
          <w:rFonts w:ascii="Times New Roman" w:hAnsi="Times New Roman" w:cs="Times New Roman"/>
          <w:sz w:val="24"/>
          <w:szCs w:val="24"/>
          <w:lang w:val="en-US"/>
        </w:rPr>
        <w:t>oon</w:t>
      </w:r>
      <w:r w:rsidRPr="0098178A">
        <w:rPr>
          <w:rFonts w:ascii="Times New Roman" w:hAnsi="Times New Roman" w:cs="Times New Roman"/>
          <w:sz w:val="24"/>
          <w:szCs w:val="24"/>
          <w:lang w:val="en-US"/>
        </w:rPr>
        <w:t>, A</w:t>
      </w:r>
      <w:r>
        <w:rPr>
          <w:rFonts w:ascii="Times New Roman" w:hAnsi="Times New Roman" w:cs="Times New Roman"/>
          <w:sz w:val="24"/>
          <w:szCs w:val="24"/>
          <w:lang w:val="en-US"/>
        </w:rPr>
        <w:t>. (2023).</w:t>
      </w:r>
      <w:r w:rsidRPr="0098178A">
        <w:rPr>
          <w:rFonts w:ascii="Times New Roman" w:hAnsi="Times New Roman" w:cs="Times New Roman"/>
          <w:sz w:val="24"/>
          <w:szCs w:val="24"/>
          <w:lang w:val="en-US"/>
        </w:rPr>
        <w:t xml:space="preserve"> Stock price reactions to ESG news: The role of ESG ratings and disagreement. </w:t>
      </w:r>
      <w:r w:rsidRPr="0098178A">
        <w:rPr>
          <w:rFonts w:ascii="Times New Roman" w:hAnsi="Times New Roman" w:cs="Times New Roman"/>
          <w:i/>
          <w:iCs/>
          <w:sz w:val="24"/>
          <w:szCs w:val="24"/>
          <w:lang w:val="en-US"/>
        </w:rPr>
        <w:t xml:space="preserve">Review of </w:t>
      </w:r>
      <w:r>
        <w:rPr>
          <w:rFonts w:ascii="Times New Roman" w:hAnsi="Times New Roman" w:cs="Times New Roman"/>
          <w:i/>
          <w:iCs/>
          <w:sz w:val="24"/>
          <w:szCs w:val="24"/>
          <w:lang w:val="en-US"/>
        </w:rPr>
        <w:t>A</w:t>
      </w:r>
      <w:r w:rsidRPr="0098178A">
        <w:rPr>
          <w:rFonts w:ascii="Times New Roman" w:hAnsi="Times New Roman" w:cs="Times New Roman"/>
          <w:i/>
          <w:iCs/>
          <w:sz w:val="24"/>
          <w:szCs w:val="24"/>
          <w:lang w:val="en-US"/>
        </w:rPr>
        <w:t xml:space="preserve">ccounting </w:t>
      </w:r>
      <w:r>
        <w:rPr>
          <w:rFonts w:ascii="Times New Roman" w:hAnsi="Times New Roman" w:cs="Times New Roman"/>
          <w:i/>
          <w:iCs/>
          <w:sz w:val="24"/>
          <w:szCs w:val="24"/>
          <w:lang w:val="en-US"/>
        </w:rPr>
        <w:t>S</w:t>
      </w:r>
      <w:r w:rsidRPr="0098178A">
        <w:rPr>
          <w:rFonts w:ascii="Times New Roman" w:hAnsi="Times New Roman" w:cs="Times New Roman"/>
          <w:i/>
          <w:iCs/>
          <w:sz w:val="24"/>
          <w:szCs w:val="24"/>
          <w:lang w:val="en-US"/>
        </w:rPr>
        <w:t>tudies</w:t>
      </w:r>
      <w:r w:rsidRPr="0098178A">
        <w:rPr>
          <w:rFonts w:ascii="Times New Roman" w:hAnsi="Times New Roman" w:cs="Times New Roman"/>
          <w:sz w:val="24"/>
          <w:szCs w:val="24"/>
          <w:lang w:val="en-US"/>
        </w:rPr>
        <w:t>, 28</w:t>
      </w:r>
      <w:r>
        <w:rPr>
          <w:rFonts w:ascii="Times New Roman" w:hAnsi="Times New Roman" w:cs="Times New Roman"/>
          <w:sz w:val="24"/>
          <w:szCs w:val="24"/>
          <w:lang w:val="en-US"/>
        </w:rPr>
        <w:t>(3)</w:t>
      </w:r>
      <w:r w:rsidRPr="0098178A">
        <w:rPr>
          <w:rFonts w:ascii="Times New Roman" w:hAnsi="Times New Roman" w:cs="Times New Roman"/>
          <w:sz w:val="24"/>
          <w:szCs w:val="24"/>
          <w:lang w:val="en-US"/>
        </w:rPr>
        <w:t>, 1500-153</w:t>
      </w:r>
      <w:r>
        <w:rPr>
          <w:rFonts w:ascii="Times New Roman" w:hAnsi="Times New Roman" w:cs="Times New Roman"/>
          <w:sz w:val="24"/>
          <w:szCs w:val="24"/>
          <w:lang w:val="en-US"/>
        </w:rPr>
        <w:t>0</w:t>
      </w:r>
      <w:r w:rsidRPr="0098178A">
        <w:rPr>
          <w:rFonts w:ascii="Times New Roman" w:hAnsi="Times New Roman" w:cs="Times New Roman"/>
          <w:sz w:val="24"/>
          <w:szCs w:val="24"/>
          <w:lang w:val="en-US"/>
        </w:rPr>
        <w:t>.</w:t>
      </w:r>
    </w:p>
    <w:p w14:paraId="2E00FAA6" w14:textId="77777777" w:rsidR="008B788C" w:rsidRPr="009F2AE8" w:rsidRDefault="008B788C" w:rsidP="008B788C">
      <w:pPr>
        <w:spacing w:line="360" w:lineRule="auto"/>
        <w:jc w:val="both"/>
        <w:rPr>
          <w:rFonts w:ascii="Times New Roman" w:hAnsi="Times New Roman" w:cs="Times New Roman"/>
          <w:sz w:val="24"/>
          <w:szCs w:val="24"/>
          <w:lang w:val="en-US"/>
        </w:rPr>
      </w:pPr>
      <w:r w:rsidRPr="009F2AE8">
        <w:rPr>
          <w:rFonts w:ascii="Times New Roman" w:hAnsi="Times New Roman" w:cs="Times New Roman"/>
          <w:sz w:val="24"/>
          <w:szCs w:val="24"/>
          <w:lang w:val="en-US"/>
        </w:rPr>
        <w:t>Sverner, C., Minardi, A. M. A. F., &amp; Moraes, F. T. (2023). The impact of ESG momentum in stock prices. </w:t>
      </w:r>
      <w:r w:rsidRPr="009F2AE8">
        <w:rPr>
          <w:rFonts w:ascii="Times New Roman" w:hAnsi="Times New Roman" w:cs="Times New Roman"/>
          <w:i/>
          <w:iCs/>
          <w:sz w:val="24"/>
          <w:szCs w:val="24"/>
          <w:lang w:val="en-US"/>
        </w:rPr>
        <w:t xml:space="preserve">Revista Brasileira de </w:t>
      </w:r>
      <w:proofErr w:type="spellStart"/>
      <w:r w:rsidRPr="009F2AE8">
        <w:rPr>
          <w:rFonts w:ascii="Times New Roman" w:hAnsi="Times New Roman" w:cs="Times New Roman"/>
          <w:i/>
          <w:iCs/>
          <w:sz w:val="24"/>
          <w:szCs w:val="24"/>
          <w:lang w:val="en-US"/>
        </w:rPr>
        <w:t>Finanças</w:t>
      </w:r>
      <w:proofErr w:type="spellEnd"/>
      <w:r w:rsidRPr="009F2AE8">
        <w:rPr>
          <w:rFonts w:ascii="Times New Roman" w:hAnsi="Times New Roman" w:cs="Times New Roman"/>
          <w:sz w:val="24"/>
          <w:szCs w:val="24"/>
          <w:lang w:val="en-US"/>
        </w:rPr>
        <w:t>, 21(1), 77-105.</w:t>
      </w:r>
    </w:p>
    <w:p w14:paraId="769C7044" w14:textId="77777777" w:rsidR="008B788C" w:rsidRPr="00605A3B"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Williams, J. B. (1938). </w:t>
      </w:r>
      <w:r w:rsidRPr="00605A3B">
        <w:rPr>
          <w:rFonts w:ascii="Times New Roman" w:hAnsi="Times New Roman" w:cs="Times New Roman"/>
          <w:i/>
          <w:iCs/>
          <w:sz w:val="24"/>
          <w:szCs w:val="24"/>
          <w:lang w:val="en-US"/>
        </w:rPr>
        <w:t>The theory of investment value</w:t>
      </w:r>
      <w:r w:rsidRPr="00605A3B">
        <w:rPr>
          <w:rFonts w:ascii="Times New Roman" w:hAnsi="Times New Roman" w:cs="Times New Roman"/>
          <w:sz w:val="24"/>
          <w:szCs w:val="24"/>
          <w:lang w:val="en-US"/>
        </w:rPr>
        <w:t>. Harvard University Press.</w:t>
      </w:r>
    </w:p>
    <w:p w14:paraId="6A8BE938" w14:textId="77777777" w:rsidR="008B788C" w:rsidRPr="00605A3B" w:rsidRDefault="008B788C" w:rsidP="008B788C">
      <w:pPr>
        <w:spacing w:line="240" w:lineRule="auto"/>
        <w:jc w:val="both"/>
        <w:rPr>
          <w:rFonts w:ascii="Times New Roman" w:hAnsi="Times New Roman" w:cs="Times New Roman"/>
          <w:sz w:val="24"/>
          <w:szCs w:val="24"/>
          <w:lang w:val="en-US"/>
        </w:rPr>
      </w:pPr>
      <w:bookmarkStart w:id="2" w:name="_Hlk201020398"/>
      <w:r w:rsidRPr="00605A3B">
        <w:rPr>
          <w:rFonts w:ascii="Times New Roman" w:hAnsi="Times New Roman" w:cs="Times New Roman"/>
          <w:sz w:val="24"/>
          <w:szCs w:val="24"/>
          <w:lang w:val="en-US"/>
        </w:rPr>
        <w:t xml:space="preserve">Zhao, C., Guo, Y., Yuan, J., Wu, M., Li, D., &amp; Zhou, Y. (2018). ESG and corporate financial performance: Empirical evidence from China’s listed power generation companies. </w:t>
      </w:r>
      <w:r w:rsidRPr="00605A3B">
        <w:rPr>
          <w:rFonts w:ascii="Times New Roman" w:hAnsi="Times New Roman" w:cs="Times New Roman"/>
          <w:i/>
          <w:iCs/>
          <w:sz w:val="24"/>
          <w:szCs w:val="24"/>
          <w:lang w:val="en-US"/>
        </w:rPr>
        <w:t xml:space="preserve">Sustainability, </w:t>
      </w:r>
      <w:r w:rsidRPr="00605A3B">
        <w:rPr>
          <w:rFonts w:ascii="Times New Roman" w:hAnsi="Times New Roman" w:cs="Times New Roman"/>
          <w:sz w:val="24"/>
          <w:szCs w:val="24"/>
          <w:lang w:val="en-US"/>
        </w:rPr>
        <w:t>10(8), 2607.</w:t>
      </w:r>
    </w:p>
    <w:bookmarkEnd w:id="2"/>
    <w:p w14:paraId="147F07C0" w14:textId="77777777" w:rsidR="008B788C" w:rsidRDefault="008B788C" w:rsidP="008B788C">
      <w:pPr>
        <w:spacing w:line="240" w:lineRule="auto"/>
        <w:jc w:val="both"/>
        <w:rPr>
          <w:rFonts w:ascii="Times New Roman" w:hAnsi="Times New Roman" w:cs="Times New Roman"/>
          <w:sz w:val="24"/>
          <w:szCs w:val="24"/>
          <w:lang w:val="en-US"/>
        </w:rPr>
      </w:pPr>
      <w:r w:rsidRPr="00605A3B">
        <w:rPr>
          <w:rFonts w:ascii="Times New Roman" w:hAnsi="Times New Roman" w:cs="Times New Roman"/>
          <w:sz w:val="24"/>
          <w:szCs w:val="24"/>
          <w:lang w:val="en-US"/>
        </w:rPr>
        <w:t xml:space="preserve">Zumente, I., &amp; Bistrova, J. (2021). ESG importance for long-term shareholder value creation: Literature vs. practice. </w:t>
      </w:r>
      <w:r w:rsidRPr="0057283B">
        <w:rPr>
          <w:rFonts w:ascii="Times New Roman" w:hAnsi="Times New Roman" w:cs="Times New Roman"/>
          <w:i/>
          <w:iCs/>
          <w:sz w:val="24"/>
          <w:szCs w:val="24"/>
          <w:lang w:val="en-US"/>
        </w:rPr>
        <w:t xml:space="preserve">Journal of Open Innovation: Technology, Market, and Complexity, </w:t>
      </w:r>
      <w:r w:rsidRPr="0057283B">
        <w:rPr>
          <w:rFonts w:ascii="Times New Roman" w:hAnsi="Times New Roman" w:cs="Times New Roman"/>
          <w:sz w:val="24"/>
          <w:szCs w:val="24"/>
          <w:lang w:val="en-US"/>
        </w:rPr>
        <w:t>7(2), 127.</w:t>
      </w:r>
    </w:p>
    <w:p w14:paraId="5E58A9B3" w14:textId="77777777" w:rsidR="008B788C" w:rsidRDefault="008B788C" w:rsidP="008B788C">
      <w:pPr>
        <w:spacing w:line="360" w:lineRule="auto"/>
        <w:jc w:val="both"/>
        <w:rPr>
          <w:rFonts w:ascii="Times New Roman" w:hAnsi="Times New Roman" w:cs="Times New Roman"/>
          <w:sz w:val="24"/>
          <w:szCs w:val="24"/>
          <w:lang w:val="en-US"/>
        </w:rPr>
      </w:pPr>
    </w:p>
    <w:p w14:paraId="0AFA2DBB" w14:textId="77777777" w:rsidR="00C065E8" w:rsidRDefault="00C065E8" w:rsidP="008B788C">
      <w:pPr>
        <w:spacing w:line="360" w:lineRule="auto"/>
        <w:jc w:val="both"/>
        <w:rPr>
          <w:rFonts w:ascii="Times New Roman" w:hAnsi="Times New Roman" w:cs="Times New Roman"/>
          <w:sz w:val="24"/>
          <w:szCs w:val="24"/>
          <w:lang w:val="en-US"/>
        </w:rPr>
      </w:pPr>
    </w:p>
    <w:p w14:paraId="68D05A24" w14:textId="77777777" w:rsidR="00C065E8" w:rsidRDefault="00C065E8" w:rsidP="008B788C">
      <w:pPr>
        <w:spacing w:line="360" w:lineRule="auto"/>
        <w:jc w:val="both"/>
        <w:rPr>
          <w:rFonts w:ascii="Times New Roman" w:hAnsi="Times New Roman" w:cs="Times New Roman"/>
          <w:sz w:val="24"/>
          <w:szCs w:val="24"/>
          <w:lang w:val="en-US"/>
        </w:rPr>
      </w:pPr>
    </w:p>
    <w:p w14:paraId="6F59FC00" w14:textId="77777777" w:rsidR="00C065E8" w:rsidRDefault="00C065E8" w:rsidP="008B788C">
      <w:pPr>
        <w:spacing w:line="360" w:lineRule="auto"/>
        <w:jc w:val="both"/>
        <w:rPr>
          <w:rFonts w:ascii="Times New Roman" w:hAnsi="Times New Roman" w:cs="Times New Roman"/>
          <w:sz w:val="24"/>
          <w:szCs w:val="24"/>
          <w:lang w:val="en-US"/>
        </w:rPr>
      </w:pPr>
    </w:p>
    <w:p w14:paraId="396467F9" w14:textId="77777777" w:rsidR="00C065E8" w:rsidRDefault="00C065E8" w:rsidP="008B788C">
      <w:pPr>
        <w:spacing w:line="360" w:lineRule="auto"/>
        <w:jc w:val="both"/>
        <w:rPr>
          <w:rFonts w:ascii="Times New Roman" w:hAnsi="Times New Roman" w:cs="Times New Roman"/>
          <w:sz w:val="24"/>
          <w:szCs w:val="24"/>
          <w:lang w:val="en-US"/>
        </w:rPr>
      </w:pPr>
    </w:p>
    <w:p w14:paraId="07AD8E37" w14:textId="2666FE87" w:rsidR="008B788C" w:rsidRDefault="008B788C" w:rsidP="008B788C">
      <w:pPr>
        <w:spacing w:line="360" w:lineRule="auto"/>
        <w:jc w:val="both"/>
        <w:rPr>
          <w:rFonts w:ascii="Times New Roman" w:hAnsi="Times New Roman" w:cs="Times New Roman"/>
          <w:b/>
          <w:bCs/>
          <w:sz w:val="24"/>
          <w:szCs w:val="24"/>
          <w:lang w:val="en-US"/>
        </w:rPr>
      </w:pPr>
      <w:r w:rsidRPr="008B788C">
        <w:rPr>
          <w:rFonts w:ascii="Times New Roman" w:hAnsi="Times New Roman" w:cs="Times New Roman"/>
          <w:b/>
          <w:bCs/>
          <w:sz w:val="24"/>
          <w:szCs w:val="24"/>
          <w:lang w:val="en-US"/>
        </w:rPr>
        <w:t>Annex</w:t>
      </w:r>
    </w:p>
    <w:p w14:paraId="1B2D63A0" w14:textId="1C7B61DA" w:rsidR="008B788C" w:rsidRDefault="008B788C" w:rsidP="008B788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B788C">
        <w:rPr>
          <w:rFonts w:ascii="Times New Roman" w:hAnsi="Times New Roman" w:cs="Times New Roman"/>
          <w:sz w:val="24"/>
          <w:szCs w:val="24"/>
          <w:lang w:val="en-US"/>
        </w:rPr>
        <w:t xml:space="preserve">able </w:t>
      </w:r>
      <w:r>
        <w:rPr>
          <w:rFonts w:ascii="Times New Roman" w:hAnsi="Times New Roman" w:cs="Times New Roman"/>
          <w:sz w:val="24"/>
          <w:szCs w:val="24"/>
          <w:lang w:val="en-US"/>
        </w:rPr>
        <w:t>3</w:t>
      </w:r>
      <w:r w:rsidRPr="008B788C">
        <w:rPr>
          <w:rFonts w:ascii="Times New Roman" w:hAnsi="Times New Roman" w:cs="Times New Roman"/>
          <w:sz w:val="24"/>
          <w:szCs w:val="24"/>
          <w:lang w:val="en-US"/>
        </w:rPr>
        <w:t xml:space="preserve"> - Sector Overview</w:t>
      </w:r>
    </w:p>
    <w:tbl>
      <w:tblPr>
        <w:tblpPr w:leftFromText="141" w:rightFromText="141" w:vertAnchor="text" w:horzAnchor="margin" w:tblpY="406"/>
        <w:tblW w:w="9628" w:type="dxa"/>
        <w:tblCellMar>
          <w:left w:w="70" w:type="dxa"/>
          <w:right w:w="70" w:type="dxa"/>
        </w:tblCellMar>
        <w:tblLook w:val="04A0" w:firstRow="1" w:lastRow="0" w:firstColumn="1" w:lastColumn="0" w:noHBand="0" w:noVBand="1"/>
      </w:tblPr>
      <w:tblGrid>
        <w:gridCol w:w="3946"/>
        <w:gridCol w:w="2176"/>
        <w:gridCol w:w="1388"/>
        <w:gridCol w:w="2118"/>
      </w:tblGrid>
      <w:tr w:rsidR="008B788C" w:rsidRPr="00CD65FF" w14:paraId="326D5871"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hideMark/>
          </w:tcPr>
          <w:p w14:paraId="54A1B7DD" w14:textId="4465A32A" w:rsidR="008B788C" w:rsidRPr="00CD65FF" w:rsidRDefault="008B788C" w:rsidP="00804A34">
            <w:pPr>
              <w:spacing w:after="0" w:line="240" w:lineRule="auto"/>
              <w:jc w:val="both"/>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Se</w:t>
            </w:r>
            <w:r>
              <w:rPr>
                <w:rFonts w:ascii="Times New Roman" w:eastAsia="Times New Roman" w:hAnsi="Times New Roman" w:cs="Times New Roman"/>
                <w:b/>
                <w:bCs/>
                <w:color w:val="000000"/>
                <w:kern w:val="0"/>
                <w:sz w:val="24"/>
                <w:szCs w:val="24"/>
                <w:lang w:eastAsia="pt-BR"/>
                <w14:ligatures w14:val="none"/>
              </w:rPr>
              <w:t>c</w:t>
            </w:r>
            <w:r w:rsidRPr="00CD65FF">
              <w:rPr>
                <w:rFonts w:ascii="Times New Roman" w:eastAsia="Times New Roman" w:hAnsi="Times New Roman" w:cs="Times New Roman"/>
                <w:b/>
                <w:bCs/>
                <w:color w:val="000000"/>
                <w:kern w:val="0"/>
                <w:sz w:val="24"/>
                <w:szCs w:val="24"/>
                <w:lang w:eastAsia="pt-BR"/>
                <w14:ligatures w14:val="none"/>
              </w:rPr>
              <w:t>tor</w:t>
            </w:r>
          </w:p>
        </w:tc>
        <w:tc>
          <w:tcPr>
            <w:tcW w:w="2176" w:type="dxa"/>
            <w:tcBorders>
              <w:top w:val="single" w:sz="4" w:space="0" w:color="auto"/>
              <w:left w:val="single" w:sz="4" w:space="0" w:color="auto"/>
              <w:bottom w:val="single" w:sz="4" w:space="0" w:color="auto"/>
              <w:right w:val="single" w:sz="4" w:space="0" w:color="auto"/>
            </w:tcBorders>
            <w:noWrap/>
            <w:hideMark/>
          </w:tcPr>
          <w:p w14:paraId="5B1783D5" w14:textId="79452B9E" w:rsidR="008B788C" w:rsidRPr="00CD65FF" w:rsidRDefault="008B788C"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N</w:t>
            </w:r>
            <w:r>
              <w:rPr>
                <w:rFonts w:ascii="Times New Roman" w:eastAsia="Times New Roman" w:hAnsi="Times New Roman" w:cs="Times New Roman"/>
                <w:b/>
                <w:bCs/>
                <w:color w:val="000000"/>
                <w:kern w:val="0"/>
                <w:sz w:val="24"/>
                <w:szCs w:val="24"/>
                <w:lang w:eastAsia="pt-BR"/>
                <w14:ligatures w14:val="none"/>
              </w:rPr>
              <w:t>umber of Firms</w:t>
            </w:r>
          </w:p>
        </w:tc>
        <w:tc>
          <w:tcPr>
            <w:tcW w:w="1388" w:type="dxa"/>
            <w:tcBorders>
              <w:top w:val="single" w:sz="4" w:space="0" w:color="auto"/>
              <w:left w:val="single" w:sz="4" w:space="0" w:color="auto"/>
              <w:bottom w:val="single" w:sz="4" w:space="0" w:color="auto"/>
              <w:right w:val="single" w:sz="4" w:space="0" w:color="auto"/>
            </w:tcBorders>
            <w:noWrap/>
            <w:hideMark/>
          </w:tcPr>
          <w:p w14:paraId="30296775" w14:textId="76F9D545" w:rsidR="008B788C" w:rsidRPr="00CD65FF" w:rsidRDefault="008B788C"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Frequ</w:t>
            </w:r>
            <w:r>
              <w:rPr>
                <w:rFonts w:ascii="Times New Roman" w:eastAsia="Times New Roman" w:hAnsi="Times New Roman" w:cs="Times New Roman"/>
                <w:b/>
                <w:bCs/>
                <w:color w:val="000000"/>
                <w:kern w:val="0"/>
                <w:sz w:val="24"/>
                <w:szCs w:val="24"/>
                <w:lang w:eastAsia="pt-BR"/>
                <w14:ligatures w14:val="none"/>
              </w:rPr>
              <w:t>ency</w:t>
            </w:r>
          </w:p>
        </w:tc>
        <w:tc>
          <w:tcPr>
            <w:tcW w:w="2118" w:type="dxa"/>
            <w:tcBorders>
              <w:top w:val="single" w:sz="4" w:space="0" w:color="auto"/>
              <w:left w:val="single" w:sz="4" w:space="0" w:color="auto"/>
              <w:bottom w:val="single" w:sz="4" w:space="0" w:color="auto"/>
              <w:right w:val="single" w:sz="4" w:space="0" w:color="auto"/>
            </w:tcBorders>
            <w:noWrap/>
            <w:hideMark/>
          </w:tcPr>
          <w:p w14:paraId="3F72CE9E" w14:textId="6D890F78" w:rsidR="008B788C" w:rsidRPr="00CD65FF" w:rsidRDefault="0084294B"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R</w:t>
            </w:r>
            <w:r w:rsidRPr="0084294B">
              <w:rPr>
                <w:rFonts w:ascii="Times New Roman" w:eastAsia="Times New Roman" w:hAnsi="Times New Roman" w:cs="Times New Roman"/>
                <w:b/>
                <w:bCs/>
                <w:color w:val="000000"/>
                <w:kern w:val="0"/>
                <w:sz w:val="24"/>
                <w:szCs w:val="24"/>
                <w:lang w:eastAsia="pt-BR"/>
                <w14:ligatures w14:val="none"/>
              </w:rPr>
              <w:t>epresentativeness</w:t>
            </w:r>
          </w:p>
        </w:tc>
      </w:tr>
      <w:tr w:rsidR="008B788C" w:rsidRPr="00CD65FF" w14:paraId="1FF95878"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E6C71C"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Accommodation and Food Services</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7151C4"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45</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5AA8D1"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209</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0B20E3" w14:textId="1E33E7D8"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89</w:t>
            </w:r>
          </w:p>
        </w:tc>
      </w:tr>
      <w:tr w:rsidR="008B788C" w:rsidRPr="00CD65FF" w14:paraId="05612F78"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3BC3A951"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val="en-US" w:eastAsia="pt-BR"/>
                <w14:ligatures w14:val="none"/>
              </w:rPr>
            </w:pPr>
            <w:r w:rsidRPr="00CD65FF">
              <w:rPr>
                <w:rFonts w:ascii="Times New Roman" w:eastAsia="Times New Roman" w:hAnsi="Times New Roman" w:cs="Times New Roman"/>
                <w:color w:val="000000"/>
                <w:kern w:val="0"/>
                <w:sz w:val="24"/>
                <w:szCs w:val="24"/>
                <w:lang w:val="en-US" w:eastAsia="pt-BR"/>
                <w14:ligatures w14:val="none"/>
              </w:rPr>
              <w:t>Administrative and Support and Waste Management and Remediation Services</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5C436B54"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24</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21796CBB"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105</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4A4CF509" w14:textId="0E24ED49"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45</w:t>
            </w:r>
          </w:p>
        </w:tc>
      </w:tr>
      <w:tr w:rsidR="008B788C" w:rsidRPr="00CD65FF" w14:paraId="2727F89F"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66AFDC"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Arts, Entertainment, and Recreation</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757DA4"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17</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61B3A6"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57</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35D48D" w14:textId="26A76C2A"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79</w:t>
            </w:r>
          </w:p>
        </w:tc>
      </w:tr>
      <w:tr w:rsidR="008B788C" w:rsidRPr="00CD65FF" w14:paraId="17385CDE"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4379A59B"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Construction</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2CD30DD7"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26</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37C6C57A"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117</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5F92A106" w14:textId="4C37E15B"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62</w:t>
            </w:r>
          </w:p>
        </w:tc>
      </w:tr>
      <w:tr w:rsidR="008B788C" w:rsidRPr="00CD65FF" w14:paraId="196731E0"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4F6386"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Educational Services</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A9F255"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10</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C27AE0"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29</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F0AE9A" w14:textId="0DFC9132" w:rsidR="008B788C"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0.</w:t>
            </w:r>
            <w:r w:rsidR="008B788C" w:rsidRPr="00CD65FF">
              <w:rPr>
                <w:rFonts w:ascii="Times New Roman" w:eastAsia="Times New Roman" w:hAnsi="Times New Roman" w:cs="Times New Roman"/>
                <w:color w:val="000000"/>
                <w:kern w:val="0"/>
                <w:sz w:val="24"/>
                <w:szCs w:val="24"/>
                <w:lang w:eastAsia="pt-BR"/>
                <w14:ligatures w14:val="none"/>
              </w:rPr>
              <w:t>4</w:t>
            </w:r>
          </w:p>
        </w:tc>
      </w:tr>
      <w:tr w:rsidR="008B788C" w:rsidRPr="00CD65FF" w14:paraId="26D6D480"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26F10F61"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Finance and Insurance</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08E7CE23"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99</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3FDBDCA5"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269</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70AC8E2A" w14:textId="131EBF9D"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72</w:t>
            </w:r>
          </w:p>
        </w:tc>
      </w:tr>
      <w:tr w:rsidR="008B788C" w:rsidRPr="00CD65FF" w14:paraId="743AAF1D"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A2F411"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val="en-US" w:eastAsia="pt-BR"/>
                <w14:ligatures w14:val="none"/>
              </w:rPr>
            </w:pPr>
            <w:r w:rsidRPr="00CD65FF">
              <w:rPr>
                <w:rFonts w:ascii="Times New Roman" w:eastAsia="Times New Roman" w:hAnsi="Times New Roman" w:cs="Times New Roman"/>
                <w:color w:val="000000"/>
                <w:kern w:val="0"/>
                <w:sz w:val="24"/>
                <w:szCs w:val="24"/>
                <w:lang w:val="en-US" w:eastAsia="pt-BR"/>
                <w14:ligatures w14:val="none"/>
              </w:rPr>
              <w:t>Health Care and Social Assistance</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79E12D"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47</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C0739B"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163</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1FEFAD" w14:textId="10E3E70E"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25</w:t>
            </w:r>
          </w:p>
        </w:tc>
      </w:tr>
      <w:tr w:rsidR="008B788C" w:rsidRPr="00CD65FF" w14:paraId="08583C43"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0A5CE1A0"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Information</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284874CB"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246</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7EB55606"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807</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0DB232EC" w14:textId="0168086B"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11</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15</w:t>
            </w:r>
          </w:p>
        </w:tc>
      </w:tr>
      <w:tr w:rsidR="008B788C" w:rsidRPr="00CD65FF" w14:paraId="4CD216C3"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0C967B"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Manufacturing</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F5B2BE"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673</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D6F67E"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2626</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BB26F3" w14:textId="169BD7F1"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36</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28</w:t>
            </w:r>
          </w:p>
        </w:tc>
      </w:tr>
      <w:tr w:rsidR="008B788C" w:rsidRPr="00CD65FF" w14:paraId="384CF6FA"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32C0128E"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val="en-US" w:eastAsia="pt-BR"/>
                <w14:ligatures w14:val="none"/>
              </w:rPr>
            </w:pPr>
            <w:r w:rsidRPr="00CD65FF">
              <w:rPr>
                <w:rFonts w:ascii="Times New Roman" w:eastAsia="Times New Roman" w:hAnsi="Times New Roman" w:cs="Times New Roman"/>
                <w:color w:val="000000"/>
                <w:kern w:val="0"/>
                <w:sz w:val="24"/>
                <w:szCs w:val="24"/>
                <w:lang w:val="en-US" w:eastAsia="pt-BR"/>
                <w14:ligatures w14:val="none"/>
              </w:rPr>
              <w:t>Mining, Quarrying, and Oil and Gas Extr</w:t>
            </w:r>
            <w:r>
              <w:rPr>
                <w:rFonts w:ascii="Times New Roman" w:eastAsia="Times New Roman" w:hAnsi="Times New Roman" w:cs="Times New Roman"/>
                <w:color w:val="000000"/>
                <w:kern w:val="0"/>
                <w:sz w:val="24"/>
                <w:szCs w:val="24"/>
                <w:lang w:val="en-US" w:eastAsia="pt-BR"/>
                <w14:ligatures w14:val="none"/>
              </w:rPr>
              <w:t>action</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0D9491A7"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85</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17A472C3"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302</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1AD35412" w14:textId="74B989B0"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4</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17</w:t>
            </w:r>
          </w:p>
        </w:tc>
      </w:tr>
      <w:tr w:rsidR="008B788C" w:rsidRPr="00CD65FF" w14:paraId="54CB954D"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ABB6C0"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val="en-US" w:eastAsia="pt-BR"/>
                <w14:ligatures w14:val="none"/>
              </w:rPr>
            </w:pPr>
            <w:r w:rsidRPr="00CD65FF">
              <w:rPr>
                <w:rFonts w:ascii="Times New Roman" w:eastAsia="Times New Roman" w:hAnsi="Times New Roman" w:cs="Times New Roman"/>
                <w:color w:val="000000"/>
                <w:kern w:val="0"/>
                <w:sz w:val="24"/>
                <w:szCs w:val="24"/>
                <w:lang w:val="en-US" w:eastAsia="pt-BR"/>
                <w14:ligatures w14:val="none"/>
              </w:rPr>
              <w:t>Other Services (except Public Administr</w:t>
            </w:r>
            <w:r>
              <w:rPr>
                <w:rFonts w:ascii="Times New Roman" w:eastAsia="Times New Roman" w:hAnsi="Times New Roman" w:cs="Times New Roman"/>
                <w:color w:val="000000"/>
                <w:kern w:val="0"/>
                <w:sz w:val="24"/>
                <w:szCs w:val="24"/>
                <w:lang w:val="en-US" w:eastAsia="pt-BR"/>
                <w14:ligatures w14:val="none"/>
              </w:rPr>
              <w:t>ation</w:t>
            </w:r>
            <w:r w:rsidRPr="00CD65FF">
              <w:rPr>
                <w:rFonts w:ascii="Times New Roman" w:eastAsia="Times New Roman" w:hAnsi="Times New Roman" w:cs="Times New Roman"/>
                <w:color w:val="000000"/>
                <w:kern w:val="0"/>
                <w:sz w:val="24"/>
                <w:szCs w:val="24"/>
                <w:lang w:val="en-US" w:eastAsia="pt-BR"/>
                <w14:ligatures w14:val="none"/>
              </w:rPr>
              <w:t>)</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8ECD1A"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11</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5F20E8"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39</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7E428B" w14:textId="24698ABF"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54</w:t>
            </w:r>
          </w:p>
        </w:tc>
      </w:tr>
      <w:tr w:rsidR="008B788C" w:rsidRPr="00CD65FF" w14:paraId="58839262"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212B9DC4"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Professional, Scientific, and Technical</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2150262C"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269</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1AD521C8"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791</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7D7DA72E" w14:textId="22C8A9A9"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w:t>
            </w:r>
            <w:r w:rsidR="0084294B">
              <w:rPr>
                <w:rFonts w:ascii="Times New Roman" w:eastAsia="Times New Roman" w:hAnsi="Times New Roman" w:cs="Times New Roman"/>
                <w:color w:val="000000"/>
                <w:kern w:val="0"/>
                <w:sz w:val="24"/>
                <w:szCs w:val="24"/>
                <w:lang w:eastAsia="pt-BR"/>
                <w14:ligatures w14:val="none"/>
              </w:rPr>
              <w:t>0.</w:t>
            </w:r>
            <w:r w:rsidRPr="00CD65FF">
              <w:rPr>
                <w:rFonts w:ascii="Times New Roman" w:eastAsia="Times New Roman" w:hAnsi="Times New Roman" w:cs="Times New Roman"/>
                <w:color w:val="000000"/>
                <w:kern w:val="0"/>
                <w:sz w:val="24"/>
                <w:szCs w:val="24"/>
                <w:lang w:eastAsia="pt-BR"/>
                <w14:ligatures w14:val="none"/>
              </w:rPr>
              <w:t>93</w:t>
            </w:r>
          </w:p>
        </w:tc>
      </w:tr>
      <w:tr w:rsidR="008B788C" w:rsidRPr="00CD65FF" w14:paraId="7D12A88C"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93B169"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val="en-US" w:eastAsia="pt-BR"/>
                <w14:ligatures w14:val="none"/>
              </w:rPr>
            </w:pPr>
            <w:r w:rsidRPr="00CD65FF">
              <w:rPr>
                <w:rFonts w:ascii="Times New Roman" w:eastAsia="Times New Roman" w:hAnsi="Times New Roman" w:cs="Times New Roman"/>
                <w:color w:val="000000"/>
                <w:kern w:val="0"/>
                <w:sz w:val="24"/>
                <w:szCs w:val="24"/>
                <w:lang w:val="en-US" w:eastAsia="pt-BR"/>
                <w14:ligatures w14:val="none"/>
              </w:rPr>
              <w:t>Real Estate and Rental and Leasing</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09F3FF"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130</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E231DC"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568</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9FB5EB" w14:textId="29173178"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85</w:t>
            </w:r>
          </w:p>
        </w:tc>
      </w:tr>
      <w:tr w:rsidR="008B788C" w:rsidRPr="00CD65FF" w14:paraId="595B896C"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4FD8FB32"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Retail Trade</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52297C36"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106</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1C8F15A9"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433</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383EB967" w14:textId="77744EF9"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5</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98</w:t>
            </w:r>
          </w:p>
        </w:tc>
      </w:tr>
      <w:tr w:rsidR="008B788C" w:rsidRPr="00CD65FF" w14:paraId="7E29412A"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B3C861"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Transportation and Warehousing</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1B0A67"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61</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6AF11A"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273</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B04A8F" w14:textId="4AA81C02"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77</w:t>
            </w:r>
          </w:p>
        </w:tc>
      </w:tr>
      <w:tr w:rsidR="008B788C" w:rsidRPr="00CD65FF" w14:paraId="58AE283A"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noWrap/>
            <w:vAlign w:val="bottom"/>
            <w:hideMark/>
          </w:tcPr>
          <w:p w14:paraId="0FB5D3B5"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Utilities</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4D878C83"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59</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64265B8C"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255</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2E930185" w14:textId="01E0EEB9"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52</w:t>
            </w:r>
          </w:p>
        </w:tc>
      </w:tr>
      <w:tr w:rsidR="008B788C" w:rsidRPr="00CD65FF" w14:paraId="5B6E7233" w14:textId="77777777" w:rsidTr="00804A34">
        <w:trPr>
          <w:trHeight w:val="274"/>
        </w:trPr>
        <w:tc>
          <w:tcPr>
            <w:tcW w:w="394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4A1BE7" w14:textId="77777777" w:rsidR="008B788C" w:rsidRPr="00CD65FF" w:rsidRDefault="008B788C"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Wholesale Trade</w:t>
            </w:r>
          </w:p>
        </w:tc>
        <w:tc>
          <w:tcPr>
            <w:tcW w:w="21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1D36CC"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55</w:t>
            </w:r>
          </w:p>
        </w:tc>
        <w:tc>
          <w:tcPr>
            <w:tcW w:w="138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CC0DB2" w14:textId="77777777" w:rsidR="008B788C" w:rsidRPr="00CD65FF" w:rsidRDefault="008B788C"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196</w:t>
            </w:r>
          </w:p>
        </w:tc>
        <w:tc>
          <w:tcPr>
            <w:tcW w:w="211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363A7C" w14:textId="122C9C67" w:rsidR="008B788C" w:rsidRPr="00CD65FF" w:rsidRDefault="008B788C" w:rsidP="00804A34">
            <w:pPr>
              <w:keepNext/>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2</w:t>
            </w:r>
            <w:r w:rsidR="0084294B">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71</w:t>
            </w:r>
          </w:p>
        </w:tc>
      </w:tr>
    </w:tbl>
    <w:p w14:paraId="4ECE1FAB" w14:textId="77777777" w:rsidR="008B788C" w:rsidRDefault="008B788C" w:rsidP="008B788C">
      <w:pPr>
        <w:spacing w:line="360" w:lineRule="auto"/>
        <w:jc w:val="both"/>
        <w:rPr>
          <w:rFonts w:ascii="Times New Roman" w:hAnsi="Times New Roman" w:cs="Times New Roman"/>
          <w:sz w:val="24"/>
          <w:szCs w:val="24"/>
          <w:lang w:val="en-US"/>
        </w:rPr>
      </w:pPr>
    </w:p>
    <w:p w14:paraId="6EEE6A68" w14:textId="2EF56555" w:rsidR="0084294B" w:rsidRDefault="0084294B" w:rsidP="008B788C">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Source: Prepared by </w:t>
      </w:r>
      <w:r w:rsidR="00C065E8">
        <w:rPr>
          <w:rFonts w:ascii="Times New Roman" w:hAnsi="Times New Roman" w:cs="Times New Roman"/>
          <w:sz w:val="20"/>
          <w:szCs w:val="20"/>
          <w:lang w:val="en-US"/>
        </w:rPr>
        <w:t xml:space="preserve">the </w:t>
      </w:r>
      <w:r>
        <w:rPr>
          <w:rFonts w:ascii="Times New Roman" w:hAnsi="Times New Roman" w:cs="Times New Roman"/>
          <w:sz w:val="20"/>
          <w:szCs w:val="20"/>
          <w:lang w:val="en-US"/>
        </w:rPr>
        <w:t>authors</w:t>
      </w:r>
    </w:p>
    <w:p w14:paraId="782016C5" w14:textId="77777777" w:rsidR="00AD0D8F" w:rsidRDefault="00AD0D8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4D86232" w14:textId="3E23A28F" w:rsidR="0084294B" w:rsidRDefault="0084294B" w:rsidP="008B788C">
      <w:pPr>
        <w:spacing w:line="360" w:lineRule="auto"/>
        <w:jc w:val="both"/>
        <w:rPr>
          <w:rFonts w:ascii="Times New Roman" w:hAnsi="Times New Roman" w:cs="Times New Roman"/>
          <w:sz w:val="24"/>
          <w:szCs w:val="24"/>
          <w:lang w:val="en-US"/>
        </w:rPr>
      </w:pPr>
      <w:r w:rsidRPr="0084294B">
        <w:rPr>
          <w:rFonts w:ascii="Times New Roman" w:hAnsi="Times New Roman" w:cs="Times New Roman"/>
          <w:sz w:val="24"/>
          <w:szCs w:val="24"/>
          <w:lang w:val="en-US"/>
        </w:rPr>
        <w:t>Table 4 - Dynamic Panel Regression with Winsorization</w:t>
      </w:r>
    </w:p>
    <w:tbl>
      <w:tblPr>
        <w:tblpPr w:leftFromText="141" w:rightFromText="141" w:vertAnchor="text" w:horzAnchor="margin" w:tblpY="124"/>
        <w:tblW w:w="9209" w:type="dxa"/>
        <w:tblCellMar>
          <w:left w:w="70" w:type="dxa"/>
          <w:right w:w="70" w:type="dxa"/>
        </w:tblCellMar>
        <w:tblLook w:val="04A0" w:firstRow="1" w:lastRow="0" w:firstColumn="1" w:lastColumn="0" w:noHBand="0" w:noVBand="1"/>
      </w:tblPr>
      <w:tblGrid>
        <w:gridCol w:w="3397"/>
        <w:gridCol w:w="1701"/>
        <w:gridCol w:w="2223"/>
        <w:gridCol w:w="1888"/>
      </w:tblGrid>
      <w:tr w:rsidR="0084294B" w:rsidRPr="00CD65FF" w14:paraId="1E71A51C" w14:textId="77777777" w:rsidTr="00804A34">
        <w:trPr>
          <w:trHeight w:val="36"/>
        </w:trPr>
        <w:tc>
          <w:tcPr>
            <w:tcW w:w="3397" w:type="dxa"/>
            <w:tcBorders>
              <w:top w:val="single" w:sz="4" w:space="0" w:color="auto"/>
              <w:left w:val="single" w:sz="4" w:space="0" w:color="auto"/>
              <w:bottom w:val="single" w:sz="4" w:space="0" w:color="000000"/>
              <w:right w:val="single" w:sz="4" w:space="0" w:color="auto"/>
            </w:tcBorders>
            <w:hideMark/>
          </w:tcPr>
          <w:p w14:paraId="762F5A2A" w14:textId="643AAF09" w:rsidR="0084294B" w:rsidRPr="00CD65FF" w:rsidRDefault="0084294B" w:rsidP="00804A34">
            <w:pPr>
              <w:spacing w:after="0" w:line="240" w:lineRule="auto"/>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Dynamic Panel Regression</w:t>
            </w:r>
          </w:p>
        </w:tc>
        <w:tc>
          <w:tcPr>
            <w:tcW w:w="1701" w:type="dxa"/>
            <w:tcBorders>
              <w:top w:val="single" w:sz="4" w:space="0" w:color="auto"/>
              <w:left w:val="single" w:sz="4" w:space="0" w:color="auto"/>
              <w:bottom w:val="single" w:sz="4" w:space="0" w:color="000000"/>
              <w:right w:val="single" w:sz="4" w:space="0" w:color="auto"/>
            </w:tcBorders>
            <w:noWrap/>
            <w:hideMark/>
          </w:tcPr>
          <w:p w14:paraId="11A2F047" w14:textId="3A59EB20" w:rsidR="0084294B" w:rsidRPr="00CD65FF" w:rsidRDefault="0084294B"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Model 1</w:t>
            </w:r>
          </w:p>
        </w:tc>
        <w:tc>
          <w:tcPr>
            <w:tcW w:w="2223" w:type="dxa"/>
            <w:tcBorders>
              <w:top w:val="single" w:sz="4" w:space="0" w:color="auto"/>
              <w:left w:val="single" w:sz="4" w:space="0" w:color="auto"/>
              <w:bottom w:val="single" w:sz="4" w:space="0" w:color="000000"/>
              <w:right w:val="single" w:sz="4" w:space="0" w:color="auto"/>
            </w:tcBorders>
            <w:noWrap/>
            <w:hideMark/>
          </w:tcPr>
          <w:p w14:paraId="32E88060" w14:textId="269DF1F5" w:rsidR="0084294B" w:rsidRPr="00CD65FF" w:rsidRDefault="0084294B"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Model 2</w:t>
            </w:r>
          </w:p>
        </w:tc>
        <w:tc>
          <w:tcPr>
            <w:tcW w:w="1888" w:type="dxa"/>
            <w:tcBorders>
              <w:top w:val="single" w:sz="4" w:space="0" w:color="auto"/>
              <w:left w:val="single" w:sz="4" w:space="0" w:color="auto"/>
              <w:bottom w:val="single" w:sz="4" w:space="0" w:color="auto"/>
              <w:right w:val="single" w:sz="4" w:space="0" w:color="auto"/>
            </w:tcBorders>
            <w:noWrap/>
            <w:hideMark/>
          </w:tcPr>
          <w:p w14:paraId="1C91BFA4" w14:textId="14581AD9" w:rsidR="0084294B" w:rsidRPr="00CD65FF" w:rsidRDefault="0084294B" w:rsidP="00804A34">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Model 3</w:t>
            </w:r>
          </w:p>
        </w:tc>
      </w:tr>
      <w:tr w:rsidR="0084294B" w:rsidRPr="00CD65FF" w14:paraId="7E9F6C23" w14:textId="77777777" w:rsidTr="00804A34">
        <w:trPr>
          <w:trHeight w:val="74"/>
        </w:trPr>
        <w:tc>
          <w:tcPr>
            <w:tcW w:w="3397" w:type="dxa"/>
            <w:tcBorders>
              <w:top w:val="nil"/>
              <w:left w:val="nil"/>
              <w:bottom w:val="nil"/>
              <w:right w:val="nil"/>
            </w:tcBorders>
            <w:shd w:val="clear" w:color="D9D9D9" w:fill="D9D9D9"/>
            <w:noWrap/>
            <w:vAlign w:val="center"/>
            <w:hideMark/>
          </w:tcPr>
          <w:p w14:paraId="08D7F54C" w14:textId="77777777"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ESG Combined Score</w:t>
            </w:r>
          </w:p>
        </w:tc>
        <w:tc>
          <w:tcPr>
            <w:tcW w:w="1701" w:type="dxa"/>
            <w:tcBorders>
              <w:top w:val="nil"/>
              <w:left w:val="nil"/>
              <w:bottom w:val="nil"/>
              <w:right w:val="nil"/>
            </w:tcBorders>
            <w:shd w:val="clear" w:color="D9D9D9" w:fill="D9D9D9"/>
            <w:vAlign w:val="bottom"/>
            <w:hideMark/>
          </w:tcPr>
          <w:p w14:paraId="5FEA1B15" w14:textId="6AE5BB03"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0152*** </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0045)</w:t>
            </w:r>
          </w:p>
        </w:tc>
        <w:tc>
          <w:tcPr>
            <w:tcW w:w="2223" w:type="dxa"/>
            <w:tcBorders>
              <w:top w:val="nil"/>
              <w:left w:val="nil"/>
              <w:bottom w:val="nil"/>
              <w:right w:val="nil"/>
            </w:tcBorders>
            <w:shd w:val="clear" w:color="D9D9D9" w:fill="D9D9D9"/>
            <w:vAlign w:val="bottom"/>
            <w:hideMark/>
          </w:tcPr>
          <w:p w14:paraId="331DD07E" w14:textId="0DB6BC50"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0168*** </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0041)</w:t>
            </w:r>
          </w:p>
        </w:tc>
        <w:tc>
          <w:tcPr>
            <w:tcW w:w="1888" w:type="dxa"/>
            <w:tcBorders>
              <w:top w:val="nil"/>
              <w:left w:val="nil"/>
              <w:bottom w:val="nil"/>
              <w:right w:val="nil"/>
            </w:tcBorders>
            <w:shd w:val="clear" w:color="D9D9D9" w:fill="D9D9D9"/>
            <w:vAlign w:val="bottom"/>
            <w:hideMark/>
          </w:tcPr>
          <w:p w14:paraId="19D43FC7" w14:textId="1628D564"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0.</w:t>
            </w:r>
            <w:r w:rsidRPr="00CD65FF">
              <w:rPr>
                <w:rFonts w:ascii="Times New Roman" w:eastAsia="Times New Roman" w:hAnsi="Times New Roman" w:cs="Times New Roman"/>
                <w:color w:val="000000"/>
                <w:kern w:val="0"/>
                <w:sz w:val="24"/>
                <w:szCs w:val="24"/>
                <w:lang w:eastAsia="pt-BR"/>
                <w14:ligatures w14:val="none"/>
              </w:rPr>
              <w:t>0118</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0094)</w:t>
            </w:r>
          </w:p>
        </w:tc>
      </w:tr>
      <w:tr w:rsidR="0084294B" w:rsidRPr="00CD65FF" w14:paraId="200CB261" w14:textId="77777777" w:rsidTr="00804A34">
        <w:trPr>
          <w:trHeight w:val="74"/>
        </w:trPr>
        <w:tc>
          <w:tcPr>
            <w:tcW w:w="3397" w:type="dxa"/>
            <w:tcBorders>
              <w:top w:val="nil"/>
              <w:left w:val="nil"/>
              <w:bottom w:val="nil"/>
              <w:right w:val="nil"/>
            </w:tcBorders>
            <w:noWrap/>
            <w:vAlign w:val="center"/>
            <w:hideMark/>
          </w:tcPr>
          <w:p w14:paraId="4504796B" w14:textId="7C91CE4D"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Shared Value</w:t>
            </w:r>
          </w:p>
        </w:tc>
        <w:tc>
          <w:tcPr>
            <w:tcW w:w="1701" w:type="dxa"/>
            <w:tcBorders>
              <w:top w:val="nil"/>
              <w:left w:val="nil"/>
              <w:bottom w:val="nil"/>
              <w:right w:val="nil"/>
            </w:tcBorders>
            <w:vAlign w:val="bottom"/>
            <w:hideMark/>
          </w:tcPr>
          <w:p w14:paraId="57B2DDB4"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c>
          <w:tcPr>
            <w:tcW w:w="2223" w:type="dxa"/>
            <w:tcBorders>
              <w:top w:val="nil"/>
              <w:left w:val="nil"/>
              <w:bottom w:val="nil"/>
              <w:right w:val="nil"/>
            </w:tcBorders>
            <w:vAlign w:val="bottom"/>
            <w:hideMark/>
          </w:tcPr>
          <w:p w14:paraId="03F02872" w14:textId="6D90673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6235*** </w:t>
            </w:r>
            <w:r w:rsidRPr="00CD65FF">
              <w:rPr>
                <w:rFonts w:ascii="Times New Roman" w:eastAsia="Times New Roman" w:hAnsi="Times New Roman" w:cs="Times New Roman"/>
                <w:color w:val="000000"/>
                <w:kern w:val="0"/>
                <w:sz w:val="24"/>
                <w:szCs w:val="24"/>
                <w:lang w:eastAsia="pt-BR"/>
                <w14:ligatures w14:val="none"/>
              </w:rPr>
              <w:br/>
              <w:t>(1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6961)</w:t>
            </w:r>
          </w:p>
        </w:tc>
        <w:tc>
          <w:tcPr>
            <w:tcW w:w="1888" w:type="dxa"/>
            <w:tcBorders>
              <w:top w:val="nil"/>
              <w:left w:val="nil"/>
              <w:bottom w:val="nil"/>
              <w:right w:val="nil"/>
            </w:tcBorders>
            <w:vAlign w:val="bottom"/>
            <w:hideMark/>
          </w:tcPr>
          <w:p w14:paraId="2F4C6007"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r>
      <w:tr w:rsidR="0084294B" w:rsidRPr="00CD65FF" w14:paraId="20D3CDB7" w14:textId="77777777" w:rsidTr="00804A34">
        <w:trPr>
          <w:trHeight w:val="74"/>
        </w:trPr>
        <w:tc>
          <w:tcPr>
            <w:tcW w:w="3397" w:type="dxa"/>
            <w:tcBorders>
              <w:top w:val="nil"/>
              <w:left w:val="nil"/>
              <w:bottom w:val="nil"/>
              <w:right w:val="nil"/>
            </w:tcBorders>
            <w:shd w:val="clear" w:color="D9D9D9" w:fill="D9D9D9"/>
            <w:noWrap/>
            <w:vAlign w:val="center"/>
            <w:hideMark/>
          </w:tcPr>
          <w:p w14:paraId="2223F1CE" w14:textId="1A8BF338" w:rsidR="0084294B" w:rsidRPr="0084294B" w:rsidRDefault="0084294B" w:rsidP="00804A34">
            <w:pPr>
              <w:spacing w:after="0" w:line="240" w:lineRule="auto"/>
              <w:jc w:val="both"/>
              <w:rPr>
                <w:rFonts w:ascii="Times New Roman" w:eastAsia="Times New Roman" w:hAnsi="Times New Roman" w:cs="Times New Roman"/>
                <w:color w:val="000000"/>
                <w:kern w:val="0"/>
                <w:sz w:val="24"/>
                <w:szCs w:val="24"/>
                <w:lang w:val="en-US" w:eastAsia="pt-BR"/>
                <w14:ligatures w14:val="none"/>
              </w:rPr>
            </w:pPr>
            <w:r w:rsidRPr="0084294B">
              <w:rPr>
                <w:rFonts w:ascii="Times New Roman" w:eastAsia="Times New Roman" w:hAnsi="Times New Roman" w:cs="Times New Roman"/>
                <w:color w:val="000000"/>
                <w:kern w:val="0"/>
                <w:sz w:val="24"/>
                <w:szCs w:val="24"/>
                <w:lang w:val="en-US" w:eastAsia="pt-BR"/>
                <w14:ligatures w14:val="none"/>
              </w:rPr>
              <w:t>ESG Combined Score*Shared V</w:t>
            </w:r>
            <w:r>
              <w:rPr>
                <w:rFonts w:ascii="Times New Roman" w:eastAsia="Times New Roman" w:hAnsi="Times New Roman" w:cs="Times New Roman"/>
                <w:color w:val="000000"/>
                <w:kern w:val="0"/>
                <w:sz w:val="24"/>
                <w:szCs w:val="24"/>
                <w:lang w:val="en-US" w:eastAsia="pt-BR"/>
                <w14:ligatures w14:val="none"/>
              </w:rPr>
              <w:t>alue</w:t>
            </w:r>
          </w:p>
        </w:tc>
        <w:tc>
          <w:tcPr>
            <w:tcW w:w="1701" w:type="dxa"/>
            <w:tcBorders>
              <w:top w:val="nil"/>
              <w:left w:val="nil"/>
              <w:bottom w:val="nil"/>
              <w:right w:val="nil"/>
            </w:tcBorders>
            <w:shd w:val="clear" w:color="D9D9D9" w:fill="D9D9D9"/>
            <w:vAlign w:val="bottom"/>
            <w:hideMark/>
          </w:tcPr>
          <w:p w14:paraId="58003903"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c>
          <w:tcPr>
            <w:tcW w:w="2223" w:type="dxa"/>
            <w:tcBorders>
              <w:top w:val="nil"/>
              <w:left w:val="nil"/>
              <w:bottom w:val="nil"/>
              <w:right w:val="nil"/>
            </w:tcBorders>
            <w:shd w:val="clear" w:color="D9D9D9" w:fill="D9D9D9"/>
            <w:vAlign w:val="bottom"/>
            <w:hideMark/>
          </w:tcPr>
          <w:p w14:paraId="1B980561" w14:textId="0BB3CBC5"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1286***</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0273)</w:t>
            </w:r>
          </w:p>
        </w:tc>
        <w:tc>
          <w:tcPr>
            <w:tcW w:w="1888" w:type="dxa"/>
            <w:tcBorders>
              <w:top w:val="nil"/>
              <w:left w:val="nil"/>
              <w:bottom w:val="nil"/>
              <w:right w:val="nil"/>
            </w:tcBorders>
            <w:shd w:val="clear" w:color="D9D9D9" w:fill="D9D9D9"/>
            <w:vAlign w:val="bottom"/>
            <w:hideMark/>
          </w:tcPr>
          <w:p w14:paraId="3213132F"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r>
      <w:tr w:rsidR="0084294B" w:rsidRPr="00CD65FF" w14:paraId="06184449" w14:textId="77777777" w:rsidTr="00804A34">
        <w:trPr>
          <w:trHeight w:val="74"/>
        </w:trPr>
        <w:tc>
          <w:tcPr>
            <w:tcW w:w="3397" w:type="dxa"/>
            <w:tcBorders>
              <w:top w:val="nil"/>
              <w:left w:val="nil"/>
              <w:bottom w:val="nil"/>
              <w:right w:val="nil"/>
            </w:tcBorders>
            <w:noWrap/>
            <w:vAlign w:val="center"/>
            <w:hideMark/>
          </w:tcPr>
          <w:p w14:paraId="78879E93" w14:textId="0598E3F7"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Innovative Culture</w:t>
            </w:r>
          </w:p>
        </w:tc>
        <w:tc>
          <w:tcPr>
            <w:tcW w:w="1701" w:type="dxa"/>
            <w:tcBorders>
              <w:top w:val="nil"/>
              <w:left w:val="nil"/>
              <w:bottom w:val="nil"/>
              <w:right w:val="nil"/>
            </w:tcBorders>
            <w:vAlign w:val="bottom"/>
            <w:hideMark/>
          </w:tcPr>
          <w:p w14:paraId="05DB56FB"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c>
          <w:tcPr>
            <w:tcW w:w="2223" w:type="dxa"/>
            <w:tcBorders>
              <w:top w:val="nil"/>
              <w:left w:val="nil"/>
              <w:bottom w:val="nil"/>
              <w:right w:val="nil"/>
            </w:tcBorders>
            <w:vAlign w:val="bottom"/>
            <w:hideMark/>
          </w:tcPr>
          <w:p w14:paraId="4AA48C1D"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c>
          <w:tcPr>
            <w:tcW w:w="1888" w:type="dxa"/>
            <w:tcBorders>
              <w:top w:val="nil"/>
              <w:left w:val="nil"/>
              <w:bottom w:val="nil"/>
              <w:right w:val="nil"/>
            </w:tcBorders>
            <w:vAlign w:val="bottom"/>
            <w:hideMark/>
          </w:tcPr>
          <w:p w14:paraId="259FFF77" w14:textId="6D9F8EB5"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-6</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3842</w:t>
            </w:r>
            <w:r w:rsidRPr="00CD65FF">
              <w:rPr>
                <w:rFonts w:ascii="Times New Roman" w:eastAsia="Times New Roman" w:hAnsi="Times New Roman" w:cs="Times New Roman"/>
                <w:color w:val="000000"/>
                <w:kern w:val="0"/>
                <w:sz w:val="24"/>
                <w:szCs w:val="24"/>
                <w:lang w:eastAsia="pt-BR"/>
                <w14:ligatures w14:val="none"/>
              </w:rPr>
              <w:br/>
              <w:t>(6</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6704)</w:t>
            </w:r>
          </w:p>
        </w:tc>
      </w:tr>
      <w:tr w:rsidR="0084294B" w:rsidRPr="00CD65FF" w14:paraId="1D277AC7" w14:textId="77777777" w:rsidTr="00804A34">
        <w:trPr>
          <w:trHeight w:val="74"/>
        </w:trPr>
        <w:tc>
          <w:tcPr>
            <w:tcW w:w="3397" w:type="dxa"/>
            <w:tcBorders>
              <w:top w:val="nil"/>
              <w:left w:val="nil"/>
              <w:bottom w:val="nil"/>
              <w:right w:val="nil"/>
            </w:tcBorders>
            <w:shd w:val="clear" w:color="D9D9D9" w:fill="D9D9D9"/>
            <w:noWrap/>
            <w:vAlign w:val="center"/>
            <w:hideMark/>
          </w:tcPr>
          <w:p w14:paraId="6C006601" w14:textId="597637D7" w:rsidR="0084294B" w:rsidRPr="0084294B" w:rsidRDefault="0084294B" w:rsidP="00804A34">
            <w:pPr>
              <w:spacing w:after="0" w:line="240" w:lineRule="auto"/>
              <w:jc w:val="both"/>
              <w:rPr>
                <w:rFonts w:ascii="Times New Roman" w:eastAsia="Times New Roman" w:hAnsi="Times New Roman" w:cs="Times New Roman"/>
                <w:color w:val="000000"/>
                <w:kern w:val="0"/>
                <w:sz w:val="24"/>
                <w:szCs w:val="24"/>
                <w:lang w:val="en-US" w:eastAsia="pt-BR"/>
                <w14:ligatures w14:val="none"/>
              </w:rPr>
            </w:pPr>
            <w:r w:rsidRPr="0084294B">
              <w:rPr>
                <w:rFonts w:ascii="Times New Roman" w:eastAsia="Times New Roman" w:hAnsi="Times New Roman" w:cs="Times New Roman"/>
                <w:color w:val="000000"/>
                <w:kern w:val="0"/>
                <w:sz w:val="24"/>
                <w:szCs w:val="24"/>
                <w:lang w:val="en-US" w:eastAsia="pt-BR"/>
                <w14:ligatures w14:val="none"/>
              </w:rPr>
              <w:t>ESG Combined Score*Innovative C</w:t>
            </w:r>
            <w:r>
              <w:rPr>
                <w:rFonts w:ascii="Times New Roman" w:eastAsia="Times New Roman" w:hAnsi="Times New Roman" w:cs="Times New Roman"/>
                <w:color w:val="000000"/>
                <w:kern w:val="0"/>
                <w:sz w:val="24"/>
                <w:szCs w:val="24"/>
                <w:lang w:val="en-US" w:eastAsia="pt-BR"/>
                <w14:ligatures w14:val="none"/>
              </w:rPr>
              <w:t>ulture</w:t>
            </w:r>
          </w:p>
        </w:tc>
        <w:tc>
          <w:tcPr>
            <w:tcW w:w="1701" w:type="dxa"/>
            <w:tcBorders>
              <w:top w:val="nil"/>
              <w:left w:val="nil"/>
              <w:bottom w:val="nil"/>
              <w:right w:val="nil"/>
            </w:tcBorders>
            <w:shd w:val="clear" w:color="D9D9D9" w:fill="D9D9D9"/>
            <w:vAlign w:val="bottom"/>
            <w:hideMark/>
          </w:tcPr>
          <w:p w14:paraId="66562B1F"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c>
          <w:tcPr>
            <w:tcW w:w="2223" w:type="dxa"/>
            <w:tcBorders>
              <w:top w:val="nil"/>
              <w:left w:val="nil"/>
              <w:bottom w:val="nil"/>
              <w:right w:val="nil"/>
            </w:tcBorders>
            <w:shd w:val="clear" w:color="D9D9D9" w:fill="D9D9D9"/>
            <w:vAlign w:val="bottom"/>
            <w:hideMark/>
          </w:tcPr>
          <w:p w14:paraId="12C140B8"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p>
        </w:tc>
        <w:tc>
          <w:tcPr>
            <w:tcW w:w="1888" w:type="dxa"/>
            <w:tcBorders>
              <w:top w:val="nil"/>
              <w:left w:val="nil"/>
              <w:bottom w:val="nil"/>
              <w:right w:val="nil"/>
            </w:tcBorders>
            <w:shd w:val="clear" w:color="D9D9D9" w:fill="D9D9D9"/>
            <w:vAlign w:val="bottom"/>
            <w:hideMark/>
          </w:tcPr>
          <w:p w14:paraId="1ADCA15F" w14:textId="3E4B6E73"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2046*</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1237)</w:t>
            </w:r>
          </w:p>
        </w:tc>
      </w:tr>
      <w:tr w:rsidR="0084294B" w:rsidRPr="00CD65FF" w14:paraId="295BBE04" w14:textId="77777777" w:rsidTr="00804A34">
        <w:trPr>
          <w:trHeight w:val="74"/>
        </w:trPr>
        <w:tc>
          <w:tcPr>
            <w:tcW w:w="3397" w:type="dxa"/>
            <w:tcBorders>
              <w:top w:val="nil"/>
              <w:left w:val="nil"/>
              <w:bottom w:val="nil"/>
              <w:right w:val="nil"/>
            </w:tcBorders>
            <w:noWrap/>
            <w:vAlign w:val="center"/>
            <w:hideMark/>
          </w:tcPr>
          <w:p w14:paraId="0E9DDFCA" w14:textId="0994EA4E"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Tobin</w:t>
            </w:r>
            <w:r w:rsidR="00E60193">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s Q L1</w:t>
            </w:r>
          </w:p>
        </w:tc>
        <w:tc>
          <w:tcPr>
            <w:tcW w:w="1701" w:type="dxa"/>
            <w:tcBorders>
              <w:top w:val="nil"/>
              <w:left w:val="nil"/>
              <w:bottom w:val="nil"/>
              <w:right w:val="nil"/>
            </w:tcBorders>
            <w:vAlign w:val="bottom"/>
            <w:hideMark/>
          </w:tcPr>
          <w:p w14:paraId="599F0466" w14:textId="3C4FF101"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5131*** </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0386)</w:t>
            </w:r>
          </w:p>
        </w:tc>
        <w:tc>
          <w:tcPr>
            <w:tcW w:w="2223" w:type="dxa"/>
            <w:tcBorders>
              <w:top w:val="nil"/>
              <w:left w:val="nil"/>
              <w:bottom w:val="nil"/>
              <w:right w:val="nil"/>
            </w:tcBorders>
            <w:vAlign w:val="bottom"/>
            <w:hideMark/>
          </w:tcPr>
          <w:p w14:paraId="4478A9DA" w14:textId="5881DE25"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0.</w:t>
            </w:r>
            <w:r w:rsidRPr="00CD65FF">
              <w:rPr>
                <w:rFonts w:ascii="Times New Roman" w:eastAsia="Times New Roman" w:hAnsi="Times New Roman" w:cs="Times New Roman"/>
                <w:color w:val="000000"/>
                <w:kern w:val="0"/>
                <w:sz w:val="24"/>
                <w:szCs w:val="24"/>
                <w:lang w:eastAsia="pt-BR"/>
                <w14:ligatures w14:val="none"/>
              </w:rPr>
              <w:t>5665***</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0360)</w:t>
            </w:r>
          </w:p>
        </w:tc>
        <w:tc>
          <w:tcPr>
            <w:tcW w:w="1888" w:type="dxa"/>
            <w:tcBorders>
              <w:top w:val="nil"/>
              <w:left w:val="nil"/>
              <w:bottom w:val="nil"/>
              <w:right w:val="nil"/>
            </w:tcBorders>
            <w:vAlign w:val="bottom"/>
            <w:hideMark/>
          </w:tcPr>
          <w:p w14:paraId="6418E024" w14:textId="234FD7DE"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5257***</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0419)</w:t>
            </w:r>
          </w:p>
        </w:tc>
      </w:tr>
      <w:tr w:rsidR="0084294B" w:rsidRPr="00CD65FF" w14:paraId="7C631EBC" w14:textId="77777777" w:rsidTr="00804A34">
        <w:trPr>
          <w:trHeight w:val="74"/>
        </w:trPr>
        <w:tc>
          <w:tcPr>
            <w:tcW w:w="3397" w:type="dxa"/>
            <w:tcBorders>
              <w:top w:val="nil"/>
              <w:left w:val="nil"/>
              <w:bottom w:val="nil"/>
              <w:right w:val="nil"/>
            </w:tcBorders>
            <w:shd w:val="clear" w:color="D9D9D9" w:fill="D9D9D9"/>
            <w:noWrap/>
            <w:vAlign w:val="center"/>
            <w:hideMark/>
          </w:tcPr>
          <w:p w14:paraId="3F955960" w14:textId="606A2369"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Firm Size</w:t>
            </w:r>
          </w:p>
        </w:tc>
        <w:tc>
          <w:tcPr>
            <w:tcW w:w="1701" w:type="dxa"/>
            <w:tcBorders>
              <w:top w:val="nil"/>
              <w:left w:val="nil"/>
              <w:bottom w:val="nil"/>
              <w:right w:val="nil"/>
            </w:tcBorders>
            <w:shd w:val="clear" w:color="D9D9D9" w:fill="D9D9D9"/>
            <w:vAlign w:val="bottom"/>
            <w:hideMark/>
          </w:tcPr>
          <w:p w14:paraId="5F927B02" w14:textId="603C92DD"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1786***</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0338)</w:t>
            </w:r>
          </w:p>
        </w:tc>
        <w:tc>
          <w:tcPr>
            <w:tcW w:w="2223" w:type="dxa"/>
            <w:tcBorders>
              <w:top w:val="nil"/>
              <w:left w:val="nil"/>
              <w:bottom w:val="nil"/>
              <w:right w:val="nil"/>
            </w:tcBorders>
            <w:shd w:val="clear" w:color="D9D9D9" w:fill="D9D9D9"/>
            <w:vAlign w:val="bottom"/>
            <w:hideMark/>
          </w:tcPr>
          <w:p w14:paraId="1185F257" w14:textId="0F43136F"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w:t>
            </w:r>
            <w:r>
              <w:rPr>
                <w:rFonts w:ascii="Times New Roman" w:eastAsia="Times New Roman" w:hAnsi="Times New Roman" w:cs="Times New Roman"/>
                <w:color w:val="000000"/>
                <w:kern w:val="0"/>
                <w:sz w:val="24"/>
                <w:szCs w:val="24"/>
                <w:lang w:eastAsia="pt-BR"/>
                <w14:ligatures w14:val="none"/>
              </w:rPr>
              <w:t>0.</w:t>
            </w:r>
            <w:r w:rsidRPr="00CD65FF">
              <w:rPr>
                <w:rFonts w:ascii="Times New Roman" w:eastAsia="Times New Roman" w:hAnsi="Times New Roman" w:cs="Times New Roman"/>
                <w:color w:val="000000"/>
                <w:kern w:val="0"/>
                <w:sz w:val="24"/>
                <w:szCs w:val="24"/>
                <w:lang w:eastAsia="pt-BR"/>
                <w14:ligatures w14:val="none"/>
              </w:rPr>
              <w:t>1710***</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0322)</w:t>
            </w:r>
          </w:p>
        </w:tc>
        <w:tc>
          <w:tcPr>
            <w:tcW w:w="1888" w:type="dxa"/>
            <w:tcBorders>
              <w:top w:val="nil"/>
              <w:left w:val="nil"/>
              <w:bottom w:val="nil"/>
              <w:right w:val="nil"/>
            </w:tcBorders>
            <w:shd w:val="clear" w:color="D9D9D9" w:fill="D9D9D9"/>
            <w:vAlign w:val="bottom"/>
            <w:hideMark/>
          </w:tcPr>
          <w:p w14:paraId="5AAEBBAF" w14:textId="35A4A5C1"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3285***</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1059)</w:t>
            </w:r>
          </w:p>
        </w:tc>
      </w:tr>
      <w:tr w:rsidR="0084294B" w:rsidRPr="00CD65FF" w14:paraId="318DA023" w14:textId="77777777" w:rsidTr="00804A34">
        <w:trPr>
          <w:trHeight w:val="74"/>
        </w:trPr>
        <w:tc>
          <w:tcPr>
            <w:tcW w:w="3397" w:type="dxa"/>
            <w:tcBorders>
              <w:top w:val="nil"/>
              <w:left w:val="nil"/>
              <w:bottom w:val="nil"/>
              <w:right w:val="nil"/>
            </w:tcBorders>
            <w:noWrap/>
            <w:vAlign w:val="center"/>
            <w:hideMark/>
          </w:tcPr>
          <w:p w14:paraId="019EFD4C" w14:textId="08FEB69F"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Leverage</w:t>
            </w:r>
          </w:p>
        </w:tc>
        <w:tc>
          <w:tcPr>
            <w:tcW w:w="1701" w:type="dxa"/>
            <w:tcBorders>
              <w:top w:val="nil"/>
              <w:left w:val="nil"/>
              <w:bottom w:val="nil"/>
              <w:right w:val="nil"/>
            </w:tcBorders>
            <w:vAlign w:val="bottom"/>
            <w:hideMark/>
          </w:tcPr>
          <w:p w14:paraId="4B680EC5" w14:textId="6AE27F0B"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3792**</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1774)</w:t>
            </w:r>
          </w:p>
        </w:tc>
        <w:tc>
          <w:tcPr>
            <w:tcW w:w="2223" w:type="dxa"/>
            <w:tcBorders>
              <w:top w:val="nil"/>
              <w:left w:val="nil"/>
              <w:bottom w:val="nil"/>
              <w:right w:val="nil"/>
            </w:tcBorders>
            <w:vAlign w:val="bottom"/>
            <w:hideMark/>
          </w:tcPr>
          <w:p w14:paraId="720B8451" w14:textId="193CBFD8"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3559**</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1739)</w:t>
            </w:r>
          </w:p>
        </w:tc>
        <w:tc>
          <w:tcPr>
            <w:tcW w:w="1888" w:type="dxa"/>
            <w:tcBorders>
              <w:top w:val="nil"/>
              <w:left w:val="nil"/>
              <w:bottom w:val="nil"/>
              <w:right w:val="nil"/>
            </w:tcBorders>
            <w:vAlign w:val="bottom"/>
            <w:hideMark/>
          </w:tcPr>
          <w:p w14:paraId="3EDFFA2F" w14:textId="09A3F318"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4805***</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1339)</w:t>
            </w:r>
          </w:p>
        </w:tc>
      </w:tr>
      <w:tr w:rsidR="0084294B" w:rsidRPr="00CD65FF" w14:paraId="137EB015" w14:textId="77777777" w:rsidTr="00804A34">
        <w:trPr>
          <w:trHeight w:val="74"/>
        </w:trPr>
        <w:tc>
          <w:tcPr>
            <w:tcW w:w="3397" w:type="dxa"/>
            <w:tcBorders>
              <w:top w:val="nil"/>
              <w:left w:val="nil"/>
              <w:bottom w:val="nil"/>
              <w:right w:val="nil"/>
            </w:tcBorders>
            <w:shd w:val="clear" w:color="D9D9D9" w:fill="D9D9D9"/>
            <w:noWrap/>
            <w:vAlign w:val="center"/>
            <w:hideMark/>
          </w:tcPr>
          <w:p w14:paraId="214527FF" w14:textId="77777777"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ROA</w:t>
            </w:r>
          </w:p>
        </w:tc>
        <w:tc>
          <w:tcPr>
            <w:tcW w:w="1701" w:type="dxa"/>
            <w:tcBorders>
              <w:top w:val="nil"/>
              <w:left w:val="nil"/>
              <w:bottom w:val="nil"/>
              <w:right w:val="nil"/>
            </w:tcBorders>
            <w:shd w:val="clear" w:color="D9D9D9" w:fill="D9D9D9"/>
            <w:vAlign w:val="bottom"/>
            <w:hideMark/>
          </w:tcPr>
          <w:p w14:paraId="751C2DD6" w14:textId="59368AA2"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6842*</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3509)</w:t>
            </w:r>
          </w:p>
        </w:tc>
        <w:tc>
          <w:tcPr>
            <w:tcW w:w="2223" w:type="dxa"/>
            <w:tcBorders>
              <w:top w:val="nil"/>
              <w:left w:val="nil"/>
              <w:bottom w:val="nil"/>
              <w:right w:val="nil"/>
            </w:tcBorders>
            <w:shd w:val="clear" w:color="D9D9D9" w:fill="D9D9D9"/>
            <w:vAlign w:val="bottom"/>
            <w:hideMark/>
          </w:tcPr>
          <w:p w14:paraId="55176087" w14:textId="0365AF09"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0598***</w:t>
            </w:r>
            <w:r w:rsidRPr="00CD65FF">
              <w:rPr>
                <w:rFonts w:ascii="Times New Roman" w:eastAsia="Times New Roman" w:hAnsi="Times New Roman" w:cs="Times New Roman"/>
                <w:color w:val="000000"/>
                <w:kern w:val="0"/>
                <w:sz w:val="24"/>
                <w:szCs w:val="24"/>
                <w:lang w:eastAsia="pt-BR"/>
                <w14:ligatures w14:val="none"/>
              </w:rPr>
              <w:br/>
              <w:t xml:space="preserve"> (0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3589)</w:t>
            </w:r>
          </w:p>
        </w:tc>
        <w:tc>
          <w:tcPr>
            <w:tcW w:w="1888" w:type="dxa"/>
            <w:tcBorders>
              <w:top w:val="nil"/>
              <w:left w:val="nil"/>
              <w:bottom w:val="nil"/>
              <w:right w:val="nil"/>
            </w:tcBorders>
            <w:shd w:val="clear" w:color="D9D9D9" w:fill="D9D9D9"/>
            <w:vAlign w:val="bottom"/>
            <w:hideMark/>
          </w:tcPr>
          <w:p w14:paraId="7CDF098F" w14:textId="65B283B1"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6002*** </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1937)</w:t>
            </w:r>
          </w:p>
        </w:tc>
      </w:tr>
      <w:tr w:rsidR="0084294B" w:rsidRPr="00CD65FF" w14:paraId="722B1F55" w14:textId="77777777" w:rsidTr="00804A34">
        <w:trPr>
          <w:trHeight w:val="74"/>
        </w:trPr>
        <w:tc>
          <w:tcPr>
            <w:tcW w:w="3397" w:type="dxa"/>
            <w:tcBorders>
              <w:top w:val="nil"/>
              <w:left w:val="nil"/>
              <w:bottom w:val="nil"/>
              <w:right w:val="nil"/>
            </w:tcBorders>
            <w:noWrap/>
            <w:vAlign w:val="center"/>
            <w:hideMark/>
          </w:tcPr>
          <w:p w14:paraId="7E35D64A" w14:textId="367FFF47"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Sales Growth</w:t>
            </w:r>
          </w:p>
        </w:tc>
        <w:tc>
          <w:tcPr>
            <w:tcW w:w="1701" w:type="dxa"/>
            <w:tcBorders>
              <w:top w:val="nil"/>
              <w:left w:val="nil"/>
              <w:bottom w:val="nil"/>
              <w:right w:val="nil"/>
            </w:tcBorders>
            <w:vAlign w:val="bottom"/>
            <w:hideMark/>
          </w:tcPr>
          <w:p w14:paraId="726ACBB7" w14:textId="367AE6BB"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0634**</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0322)</w:t>
            </w:r>
          </w:p>
        </w:tc>
        <w:tc>
          <w:tcPr>
            <w:tcW w:w="2223" w:type="dxa"/>
            <w:tcBorders>
              <w:top w:val="nil"/>
              <w:left w:val="nil"/>
              <w:bottom w:val="nil"/>
              <w:right w:val="nil"/>
            </w:tcBorders>
            <w:vAlign w:val="bottom"/>
            <w:hideMark/>
          </w:tcPr>
          <w:p w14:paraId="06162EFC" w14:textId="4E77AB24"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0647** </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0320)</w:t>
            </w:r>
          </w:p>
        </w:tc>
        <w:tc>
          <w:tcPr>
            <w:tcW w:w="1888" w:type="dxa"/>
            <w:tcBorders>
              <w:top w:val="nil"/>
              <w:left w:val="nil"/>
              <w:bottom w:val="nil"/>
              <w:right w:val="nil"/>
            </w:tcBorders>
            <w:vAlign w:val="bottom"/>
            <w:hideMark/>
          </w:tcPr>
          <w:p w14:paraId="1C1524A2" w14:textId="1898A1E0"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0549*** </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0217)</w:t>
            </w:r>
          </w:p>
        </w:tc>
      </w:tr>
      <w:tr w:rsidR="0084294B" w:rsidRPr="00CD65FF" w14:paraId="6315F6A0" w14:textId="77777777" w:rsidTr="00804A34">
        <w:trPr>
          <w:trHeight w:val="74"/>
        </w:trPr>
        <w:tc>
          <w:tcPr>
            <w:tcW w:w="3397" w:type="dxa"/>
            <w:tcBorders>
              <w:top w:val="nil"/>
              <w:left w:val="nil"/>
              <w:bottom w:val="nil"/>
              <w:right w:val="nil"/>
            </w:tcBorders>
            <w:shd w:val="clear" w:color="D9D9D9" w:fill="D9D9D9"/>
            <w:noWrap/>
            <w:vAlign w:val="center"/>
            <w:hideMark/>
          </w:tcPr>
          <w:p w14:paraId="7B5E00D4" w14:textId="77777777"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_cons</w:t>
            </w:r>
          </w:p>
        </w:tc>
        <w:tc>
          <w:tcPr>
            <w:tcW w:w="1701" w:type="dxa"/>
            <w:tcBorders>
              <w:top w:val="nil"/>
              <w:left w:val="nil"/>
              <w:bottom w:val="nil"/>
              <w:right w:val="nil"/>
            </w:tcBorders>
            <w:shd w:val="clear" w:color="D9D9D9" w:fill="D9D9D9"/>
            <w:vAlign w:val="bottom"/>
            <w:hideMark/>
          </w:tcPr>
          <w:p w14:paraId="6052B615" w14:textId="58D9B8AD"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9336*** </w:t>
            </w:r>
            <w:r w:rsidRPr="00CD65FF">
              <w:rPr>
                <w:rFonts w:ascii="Times New Roman" w:eastAsia="Times New Roman" w:hAnsi="Times New Roman" w:cs="Times New Roman"/>
                <w:color w:val="000000"/>
                <w:kern w:val="0"/>
                <w:sz w:val="24"/>
                <w:szCs w:val="24"/>
                <w:lang w:eastAsia="pt-BR"/>
                <w14:ligatures w14:val="none"/>
              </w:rPr>
              <w:br/>
              <w:t>(0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6696)</w:t>
            </w:r>
          </w:p>
        </w:tc>
        <w:tc>
          <w:tcPr>
            <w:tcW w:w="2223" w:type="dxa"/>
            <w:tcBorders>
              <w:top w:val="nil"/>
              <w:left w:val="nil"/>
              <w:bottom w:val="nil"/>
              <w:right w:val="nil"/>
            </w:tcBorders>
            <w:shd w:val="clear" w:color="D9D9D9" w:fill="D9D9D9"/>
            <w:vAlign w:val="bottom"/>
            <w:hideMark/>
          </w:tcPr>
          <w:p w14:paraId="60202136" w14:textId="6A028E91"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5631***</w:t>
            </w:r>
            <w:r w:rsidRPr="00CD65FF">
              <w:rPr>
                <w:rFonts w:ascii="Times New Roman" w:eastAsia="Times New Roman" w:hAnsi="Times New Roman" w:cs="Times New Roman"/>
                <w:color w:val="000000"/>
                <w:kern w:val="0"/>
                <w:sz w:val="24"/>
                <w:szCs w:val="24"/>
                <w:lang w:eastAsia="pt-BR"/>
                <w14:ligatures w14:val="none"/>
              </w:rPr>
              <w:br/>
              <w:t xml:space="preserve"> (0</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6460)</w:t>
            </w:r>
          </w:p>
        </w:tc>
        <w:tc>
          <w:tcPr>
            <w:tcW w:w="1888" w:type="dxa"/>
            <w:tcBorders>
              <w:top w:val="nil"/>
              <w:left w:val="nil"/>
              <w:bottom w:val="nil"/>
              <w:right w:val="nil"/>
            </w:tcBorders>
            <w:shd w:val="clear" w:color="D9D9D9" w:fill="D9D9D9"/>
            <w:vAlign w:val="bottom"/>
            <w:hideMark/>
          </w:tcPr>
          <w:p w14:paraId="4BA70FCD" w14:textId="5C006F7A"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7</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 xml:space="preserve">3524*** </w:t>
            </w:r>
            <w:r w:rsidRPr="00CD65FF">
              <w:rPr>
                <w:rFonts w:ascii="Times New Roman" w:eastAsia="Times New Roman" w:hAnsi="Times New Roman" w:cs="Times New Roman"/>
                <w:color w:val="000000"/>
                <w:kern w:val="0"/>
                <w:sz w:val="24"/>
                <w:szCs w:val="24"/>
                <w:lang w:eastAsia="pt-BR"/>
                <w14:ligatures w14:val="none"/>
              </w:rPr>
              <w:br/>
              <w:t>(2</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0410)</w:t>
            </w:r>
          </w:p>
        </w:tc>
      </w:tr>
      <w:tr w:rsidR="0084294B" w:rsidRPr="00CD65FF" w14:paraId="42BA6668" w14:textId="77777777" w:rsidTr="00804A34">
        <w:trPr>
          <w:trHeight w:val="36"/>
        </w:trPr>
        <w:tc>
          <w:tcPr>
            <w:tcW w:w="3397" w:type="dxa"/>
            <w:tcBorders>
              <w:top w:val="nil"/>
              <w:left w:val="nil"/>
              <w:bottom w:val="nil"/>
              <w:right w:val="nil"/>
            </w:tcBorders>
            <w:noWrap/>
            <w:vAlign w:val="center"/>
            <w:hideMark/>
          </w:tcPr>
          <w:p w14:paraId="5CA33915" w14:textId="77777777"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p>
        </w:tc>
        <w:tc>
          <w:tcPr>
            <w:tcW w:w="1701" w:type="dxa"/>
            <w:tcBorders>
              <w:top w:val="nil"/>
              <w:left w:val="nil"/>
              <w:bottom w:val="nil"/>
              <w:right w:val="nil"/>
            </w:tcBorders>
            <w:noWrap/>
            <w:vAlign w:val="center"/>
          </w:tcPr>
          <w:p w14:paraId="7CD1B61D"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p>
        </w:tc>
        <w:tc>
          <w:tcPr>
            <w:tcW w:w="2223" w:type="dxa"/>
            <w:tcBorders>
              <w:top w:val="nil"/>
              <w:left w:val="nil"/>
              <w:bottom w:val="nil"/>
              <w:right w:val="nil"/>
            </w:tcBorders>
            <w:noWrap/>
            <w:vAlign w:val="center"/>
          </w:tcPr>
          <w:p w14:paraId="14446E6C"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p>
        </w:tc>
        <w:tc>
          <w:tcPr>
            <w:tcW w:w="1888" w:type="dxa"/>
            <w:tcBorders>
              <w:top w:val="nil"/>
              <w:left w:val="nil"/>
              <w:bottom w:val="nil"/>
              <w:right w:val="nil"/>
            </w:tcBorders>
            <w:noWrap/>
            <w:vAlign w:val="center"/>
          </w:tcPr>
          <w:p w14:paraId="204CF0B0"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p>
        </w:tc>
      </w:tr>
      <w:tr w:rsidR="0084294B" w:rsidRPr="00CD65FF" w14:paraId="3BE64372" w14:textId="77777777" w:rsidTr="00804A34">
        <w:trPr>
          <w:trHeight w:val="36"/>
        </w:trPr>
        <w:tc>
          <w:tcPr>
            <w:tcW w:w="3397" w:type="dxa"/>
            <w:tcBorders>
              <w:top w:val="nil"/>
              <w:left w:val="nil"/>
              <w:bottom w:val="nil"/>
              <w:right w:val="nil"/>
            </w:tcBorders>
            <w:shd w:val="clear" w:color="D9D9D9" w:fill="D9D9D9"/>
            <w:noWrap/>
            <w:vAlign w:val="center"/>
            <w:hideMark/>
          </w:tcPr>
          <w:p w14:paraId="03F76ECA" w14:textId="5E5AA369"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Sample Size</w:t>
            </w:r>
          </w:p>
        </w:tc>
        <w:tc>
          <w:tcPr>
            <w:tcW w:w="1701" w:type="dxa"/>
            <w:tcBorders>
              <w:top w:val="nil"/>
              <w:left w:val="nil"/>
              <w:bottom w:val="nil"/>
              <w:right w:val="nil"/>
            </w:tcBorders>
            <w:shd w:val="clear" w:color="D9D9D9" w:fill="D9D9D9"/>
            <w:noWrap/>
            <w:vAlign w:val="center"/>
            <w:hideMark/>
          </w:tcPr>
          <w:p w14:paraId="4661E80A" w14:textId="7777777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3806</w:t>
            </w:r>
          </w:p>
        </w:tc>
        <w:tc>
          <w:tcPr>
            <w:tcW w:w="2223" w:type="dxa"/>
            <w:tcBorders>
              <w:top w:val="nil"/>
              <w:left w:val="nil"/>
              <w:bottom w:val="nil"/>
              <w:right w:val="nil"/>
            </w:tcBorders>
            <w:shd w:val="clear" w:color="D9D9D9" w:fill="D9D9D9"/>
            <w:noWrap/>
            <w:vAlign w:val="center"/>
            <w:hideMark/>
          </w:tcPr>
          <w:p w14:paraId="350FAB5D" w14:textId="77777777" w:rsidR="0084294B" w:rsidRPr="00CD65FF" w:rsidRDefault="0084294B" w:rsidP="00804A34">
            <w:pPr>
              <w:spacing w:after="0" w:line="240" w:lineRule="auto"/>
              <w:jc w:val="center"/>
              <w:rPr>
                <w:rFonts w:ascii="Times New Roman" w:eastAsia="Times New Roman" w:hAnsi="Times New Roman" w:cs="Times New Roman"/>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3806</w:t>
            </w:r>
          </w:p>
        </w:tc>
        <w:tc>
          <w:tcPr>
            <w:tcW w:w="1888" w:type="dxa"/>
            <w:tcBorders>
              <w:top w:val="nil"/>
              <w:left w:val="nil"/>
              <w:bottom w:val="nil"/>
              <w:right w:val="nil"/>
            </w:tcBorders>
            <w:shd w:val="clear" w:color="D9D9D9" w:fill="D9D9D9"/>
            <w:noWrap/>
            <w:vAlign w:val="center"/>
            <w:hideMark/>
          </w:tcPr>
          <w:p w14:paraId="352DDF8F" w14:textId="77777777" w:rsidR="0084294B" w:rsidRPr="00CD65FF" w:rsidRDefault="0084294B" w:rsidP="00804A34">
            <w:pPr>
              <w:spacing w:after="0" w:line="240" w:lineRule="auto"/>
              <w:jc w:val="center"/>
              <w:rPr>
                <w:rFonts w:ascii="Times New Roman" w:eastAsia="Times New Roman" w:hAnsi="Times New Roman" w:cs="Times New Roman"/>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3806</w:t>
            </w:r>
          </w:p>
        </w:tc>
      </w:tr>
      <w:tr w:rsidR="0084294B" w:rsidRPr="00CD65FF" w14:paraId="58A1ED2E" w14:textId="77777777" w:rsidTr="00804A34">
        <w:trPr>
          <w:trHeight w:val="36"/>
        </w:trPr>
        <w:tc>
          <w:tcPr>
            <w:tcW w:w="3397" w:type="dxa"/>
            <w:tcBorders>
              <w:top w:val="nil"/>
              <w:left w:val="nil"/>
              <w:bottom w:val="nil"/>
              <w:right w:val="nil"/>
            </w:tcBorders>
            <w:noWrap/>
            <w:vAlign w:val="center"/>
            <w:hideMark/>
          </w:tcPr>
          <w:p w14:paraId="0BB645BB" w14:textId="77777777" w:rsidR="0084294B" w:rsidRPr="00CD65FF" w:rsidRDefault="0084294B" w:rsidP="00804A34">
            <w:pPr>
              <w:spacing w:after="0" w:line="240" w:lineRule="auto"/>
              <w:jc w:val="both"/>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Arellano-Bond Test AR(1):</w:t>
            </w:r>
          </w:p>
        </w:tc>
        <w:tc>
          <w:tcPr>
            <w:tcW w:w="1701" w:type="dxa"/>
            <w:tcBorders>
              <w:top w:val="nil"/>
              <w:left w:val="nil"/>
              <w:bottom w:val="nil"/>
              <w:right w:val="nil"/>
            </w:tcBorders>
            <w:noWrap/>
            <w:vAlign w:val="bottom"/>
            <w:hideMark/>
          </w:tcPr>
          <w:p w14:paraId="6A9DDE30" w14:textId="51A09549"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z = -4</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90***</w:t>
            </w:r>
          </w:p>
        </w:tc>
        <w:tc>
          <w:tcPr>
            <w:tcW w:w="2223" w:type="dxa"/>
            <w:tcBorders>
              <w:top w:val="nil"/>
              <w:left w:val="nil"/>
              <w:bottom w:val="nil"/>
              <w:right w:val="nil"/>
            </w:tcBorders>
            <w:noWrap/>
            <w:vAlign w:val="bottom"/>
            <w:hideMark/>
          </w:tcPr>
          <w:p w14:paraId="4561CDAD" w14:textId="4994C852"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z = -5</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24***</w:t>
            </w:r>
          </w:p>
        </w:tc>
        <w:tc>
          <w:tcPr>
            <w:tcW w:w="1888" w:type="dxa"/>
            <w:tcBorders>
              <w:top w:val="nil"/>
              <w:left w:val="nil"/>
              <w:bottom w:val="nil"/>
              <w:right w:val="nil"/>
            </w:tcBorders>
            <w:noWrap/>
            <w:vAlign w:val="bottom"/>
            <w:hideMark/>
          </w:tcPr>
          <w:p w14:paraId="541C3173" w14:textId="02D23E19"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z = -6</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52***</w:t>
            </w:r>
          </w:p>
        </w:tc>
      </w:tr>
      <w:tr w:rsidR="0084294B" w:rsidRPr="00CD65FF" w14:paraId="535DA316" w14:textId="77777777" w:rsidTr="00804A34">
        <w:trPr>
          <w:trHeight w:val="36"/>
        </w:trPr>
        <w:tc>
          <w:tcPr>
            <w:tcW w:w="3397" w:type="dxa"/>
            <w:tcBorders>
              <w:top w:val="nil"/>
              <w:left w:val="nil"/>
              <w:bottom w:val="nil"/>
              <w:right w:val="nil"/>
            </w:tcBorders>
            <w:shd w:val="clear" w:color="D9D9D9" w:fill="D9D9D9"/>
            <w:noWrap/>
            <w:vAlign w:val="center"/>
            <w:hideMark/>
          </w:tcPr>
          <w:p w14:paraId="5714E6D6" w14:textId="77777777" w:rsidR="0084294B" w:rsidRPr="00CD65FF" w:rsidRDefault="0084294B" w:rsidP="00804A34">
            <w:pPr>
              <w:spacing w:after="0" w:line="240" w:lineRule="auto"/>
              <w:jc w:val="both"/>
              <w:rPr>
                <w:rFonts w:ascii="Times New Roman" w:eastAsia="Times New Roman" w:hAnsi="Times New Roman" w:cs="Times New Roman"/>
                <w:b/>
                <w:bCs/>
                <w:color w:val="000000"/>
                <w:kern w:val="0"/>
                <w:sz w:val="24"/>
                <w:szCs w:val="24"/>
                <w:lang w:eastAsia="pt-BR"/>
                <w14:ligatures w14:val="none"/>
              </w:rPr>
            </w:pPr>
            <w:r w:rsidRPr="00CD65FF">
              <w:rPr>
                <w:rFonts w:ascii="Times New Roman" w:eastAsia="Times New Roman" w:hAnsi="Times New Roman" w:cs="Times New Roman"/>
                <w:b/>
                <w:bCs/>
                <w:color w:val="000000"/>
                <w:kern w:val="0"/>
                <w:sz w:val="24"/>
                <w:szCs w:val="24"/>
                <w:lang w:eastAsia="pt-BR"/>
                <w14:ligatures w14:val="none"/>
              </w:rPr>
              <w:t>Arellano-Bond Test AR(2)</w:t>
            </w:r>
          </w:p>
        </w:tc>
        <w:tc>
          <w:tcPr>
            <w:tcW w:w="1701" w:type="dxa"/>
            <w:tcBorders>
              <w:top w:val="nil"/>
              <w:left w:val="nil"/>
              <w:bottom w:val="nil"/>
              <w:right w:val="nil"/>
            </w:tcBorders>
            <w:shd w:val="clear" w:color="D9D9D9" w:fill="D9D9D9"/>
            <w:noWrap/>
            <w:vAlign w:val="bottom"/>
            <w:hideMark/>
          </w:tcPr>
          <w:p w14:paraId="57E87383" w14:textId="10596937"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z = -1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65</w:t>
            </w:r>
          </w:p>
        </w:tc>
        <w:tc>
          <w:tcPr>
            <w:tcW w:w="2223" w:type="dxa"/>
            <w:tcBorders>
              <w:top w:val="nil"/>
              <w:left w:val="nil"/>
              <w:bottom w:val="nil"/>
              <w:right w:val="nil"/>
            </w:tcBorders>
            <w:shd w:val="clear" w:color="D9D9D9" w:fill="D9D9D9"/>
            <w:noWrap/>
            <w:vAlign w:val="bottom"/>
            <w:hideMark/>
          </w:tcPr>
          <w:p w14:paraId="0BA44548" w14:textId="3E5AAB1D"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z = -1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54</w:t>
            </w:r>
          </w:p>
        </w:tc>
        <w:tc>
          <w:tcPr>
            <w:tcW w:w="1888" w:type="dxa"/>
            <w:tcBorders>
              <w:top w:val="nil"/>
              <w:left w:val="nil"/>
              <w:bottom w:val="nil"/>
              <w:right w:val="nil"/>
            </w:tcBorders>
            <w:shd w:val="clear" w:color="D9D9D9" w:fill="D9D9D9"/>
            <w:noWrap/>
            <w:vAlign w:val="bottom"/>
            <w:hideMark/>
          </w:tcPr>
          <w:p w14:paraId="380282B8" w14:textId="7901B85D" w:rsidR="0084294B" w:rsidRPr="00CD65FF" w:rsidRDefault="0084294B" w:rsidP="00804A34">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z = -1</w:t>
            </w:r>
            <w:r>
              <w:rPr>
                <w:rFonts w:ascii="Times New Roman" w:eastAsia="Times New Roman" w:hAnsi="Times New Roman" w:cs="Times New Roman"/>
                <w:color w:val="000000"/>
                <w:kern w:val="0"/>
                <w:sz w:val="24"/>
                <w:szCs w:val="24"/>
                <w:lang w:eastAsia="pt-BR"/>
                <w14:ligatures w14:val="none"/>
              </w:rPr>
              <w:t>.</w:t>
            </w:r>
            <w:r w:rsidRPr="00CD65FF">
              <w:rPr>
                <w:rFonts w:ascii="Times New Roman" w:eastAsia="Times New Roman" w:hAnsi="Times New Roman" w:cs="Times New Roman"/>
                <w:color w:val="000000"/>
                <w:kern w:val="0"/>
                <w:sz w:val="24"/>
                <w:szCs w:val="24"/>
                <w:lang w:eastAsia="pt-BR"/>
                <w14:ligatures w14:val="none"/>
              </w:rPr>
              <w:t>80*</w:t>
            </w:r>
          </w:p>
        </w:tc>
      </w:tr>
      <w:tr w:rsidR="0084294B" w:rsidRPr="00CD65FF" w14:paraId="783D3D81" w14:textId="77777777" w:rsidTr="00804A34">
        <w:trPr>
          <w:trHeight w:val="36"/>
        </w:trPr>
        <w:tc>
          <w:tcPr>
            <w:tcW w:w="3397" w:type="dxa"/>
            <w:tcBorders>
              <w:top w:val="nil"/>
              <w:left w:val="nil"/>
              <w:bottom w:val="nil"/>
              <w:right w:val="nil"/>
            </w:tcBorders>
            <w:noWrap/>
            <w:vAlign w:val="center"/>
            <w:hideMark/>
          </w:tcPr>
          <w:p w14:paraId="4A465F74" w14:textId="77777777" w:rsidR="0084294B" w:rsidRPr="00CD65FF" w:rsidRDefault="0084294B" w:rsidP="00804A34">
            <w:pPr>
              <w:spacing w:after="0" w:line="240" w:lineRule="auto"/>
              <w:jc w:val="both"/>
              <w:rPr>
                <w:rFonts w:ascii="Times New Roman" w:eastAsia="Times New Roman" w:hAnsi="Times New Roman" w:cs="Times New Roman"/>
                <w:color w:val="000000"/>
                <w:kern w:val="0"/>
                <w:sz w:val="24"/>
                <w:szCs w:val="24"/>
                <w:lang w:eastAsia="pt-BR"/>
                <w14:ligatures w14:val="none"/>
              </w:rPr>
            </w:pPr>
          </w:p>
        </w:tc>
        <w:tc>
          <w:tcPr>
            <w:tcW w:w="1701" w:type="dxa"/>
            <w:tcBorders>
              <w:top w:val="nil"/>
              <w:left w:val="nil"/>
              <w:bottom w:val="nil"/>
              <w:right w:val="nil"/>
            </w:tcBorders>
            <w:noWrap/>
            <w:vAlign w:val="bottom"/>
            <w:hideMark/>
          </w:tcPr>
          <w:p w14:paraId="08C8C487" w14:textId="77777777" w:rsidR="0084294B" w:rsidRPr="00CD65FF" w:rsidRDefault="0084294B" w:rsidP="00804A34">
            <w:pPr>
              <w:spacing w:after="0" w:line="240" w:lineRule="auto"/>
              <w:jc w:val="center"/>
              <w:rPr>
                <w:rFonts w:ascii="Times New Roman" w:eastAsia="Times New Roman" w:hAnsi="Times New Roman" w:cs="Times New Roman"/>
                <w:kern w:val="0"/>
                <w:sz w:val="24"/>
                <w:szCs w:val="24"/>
                <w:lang w:eastAsia="pt-BR"/>
                <w14:ligatures w14:val="none"/>
              </w:rPr>
            </w:pPr>
          </w:p>
        </w:tc>
        <w:tc>
          <w:tcPr>
            <w:tcW w:w="2223" w:type="dxa"/>
            <w:tcBorders>
              <w:top w:val="nil"/>
              <w:left w:val="nil"/>
              <w:bottom w:val="nil"/>
              <w:right w:val="nil"/>
            </w:tcBorders>
            <w:noWrap/>
            <w:vAlign w:val="bottom"/>
            <w:hideMark/>
          </w:tcPr>
          <w:p w14:paraId="19282B4A" w14:textId="77777777" w:rsidR="0084294B" w:rsidRPr="00CD65FF" w:rsidRDefault="0084294B" w:rsidP="00804A34">
            <w:pPr>
              <w:spacing w:after="0" w:line="240" w:lineRule="auto"/>
              <w:jc w:val="center"/>
              <w:rPr>
                <w:rFonts w:ascii="Times New Roman" w:eastAsia="Times New Roman" w:hAnsi="Times New Roman" w:cs="Times New Roman"/>
                <w:kern w:val="0"/>
                <w:sz w:val="24"/>
                <w:szCs w:val="24"/>
                <w:lang w:eastAsia="pt-BR"/>
                <w14:ligatures w14:val="none"/>
              </w:rPr>
            </w:pPr>
          </w:p>
        </w:tc>
        <w:tc>
          <w:tcPr>
            <w:tcW w:w="1888" w:type="dxa"/>
            <w:tcBorders>
              <w:top w:val="nil"/>
              <w:left w:val="nil"/>
              <w:bottom w:val="nil"/>
              <w:right w:val="nil"/>
            </w:tcBorders>
            <w:noWrap/>
            <w:vAlign w:val="bottom"/>
            <w:hideMark/>
          </w:tcPr>
          <w:p w14:paraId="35116ADC" w14:textId="77777777" w:rsidR="0084294B" w:rsidRPr="00CD65FF" w:rsidRDefault="0084294B" w:rsidP="00804A34">
            <w:pPr>
              <w:spacing w:after="0" w:line="240" w:lineRule="auto"/>
              <w:jc w:val="center"/>
              <w:rPr>
                <w:rFonts w:ascii="Times New Roman" w:eastAsia="Times New Roman" w:hAnsi="Times New Roman" w:cs="Times New Roman"/>
                <w:kern w:val="0"/>
                <w:sz w:val="24"/>
                <w:szCs w:val="24"/>
                <w:lang w:eastAsia="pt-BR"/>
                <w14:ligatures w14:val="none"/>
              </w:rPr>
            </w:pPr>
          </w:p>
        </w:tc>
      </w:tr>
      <w:tr w:rsidR="0084294B" w:rsidRPr="00CD65FF" w14:paraId="2DD86599" w14:textId="77777777" w:rsidTr="00C27A8E">
        <w:trPr>
          <w:trHeight w:val="36"/>
        </w:trPr>
        <w:tc>
          <w:tcPr>
            <w:tcW w:w="9209" w:type="dxa"/>
            <w:gridSpan w:val="4"/>
            <w:tcBorders>
              <w:top w:val="nil"/>
              <w:left w:val="nil"/>
              <w:bottom w:val="single" w:sz="4" w:space="0" w:color="000000"/>
            </w:tcBorders>
            <w:shd w:val="clear" w:color="D9D9D9" w:fill="D9D9D9"/>
            <w:noWrap/>
            <w:vAlign w:val="center"/>
            <w:hideMark/>
          </w:tcPr>
          <w:p w14:paraId="56A5B332" w14:textId="729CA6CE" w:rsidR="0084294B" w:rsidRPr="00CD65FF" w:rsidRDefault="0084294B" w:rsidP="00804A34">
            <w:pPr>
              <w:spacing w:after="0" w:line="240" w:lineRule="auto"/>
              <w:jc w:val="both"/>
              <w:rPr>
                <w:rFonts w:ascii="Times New Roman" w:eastAsia="Times New Roman" w:hAnsi="Times New Roman" w:cs="Times New Roman"/>
                <w:kern w:val="0"/>
                <w:sz w:val="24"/>
                <w:szCs w:val="24"/>
                <w:lang w:eastAsia="pt-BR"/>
                <w14:ligatures w14:val="none"/>
              </w:rPr>
            </w:pPr>
            <w:r w:rsidRPr="00CD65FF">
              <w:rPr>
                <w:rFonts w:ascii="Times New Roman" w:eastAsia="Times New Roman" w:hAnsi="Times New Roman" w:cs="Times New Roman"/>
                <w:color w:val="000000"/>
                <w:kern w:val="0"/>
                <w:sz w:val="24"/>
                <w:szCs w:val="24"/>
                <w:lang w:eastAsia="pt-BR"/>
                <w14:ligatures w14:val="none"/>
              </w:rPr>
              <w:t>*valor-p</w:t>
            </w:r>
            <w:r>
              <w:rPr>
                <w:rFonts w:ascii="Times New Roman" w:eastAsia="Times New Roman" w:hAnsi="Times New Roman" w:cs="Times New Roman"/>
                <w:color w:val="000000"/>
                <w:kern w:val="0"/>
                <w:sz w:val="24"/>
                <w:szCs w:val="24"/>
                <w:lang w:eastAsia="pt-BR"/>
                <w14:ligatures w14:val="none"/>
              </w:rPr>
              <w:t xml:space="preserve"> </w:t>
            </w:r>
            <w:r w:rsidRPr="00CD65FF">
              <w:rPr>
                <w:rFonts w:ascii="Times New Roman" w:eastAsia="Times New Roman" w:hAnsi="Times New Roman" w:cs="Times New Roman"/>
                <w:color w:val="000000"/>
                <w:kern w:val="0"/>
                <w:sz w:val="24"/>
                <w:szCs w:val="24"/>
                <w:lang w:eastAsia="pt-BR"/>
                <w14:ligatures w14:val="none"/>
              </w:rPr>
              <w:t>&lt;</w:t>
            </w:r>
            <w:r>
              <w:rPr>
                <w:rFonts w:ascii="Times New Roman" w:eastAsia="Times New Roman" w:hAnsi="Times New Roman" w:cs="Times New Roman"/>
                <w:color w:val="000000"/>
                <w:kern w:val="0"/>
                <w:sz w:val="24"/>
                <w:szCs w:val="24"/>
                <w:lang w:eastAsia="pt-BR"/>
                <w14:ligatures w14:val="none"/>
              </w:rPr>
              <w:t xml:space="preserve"> </w:t>
            </w:r>
            <w:r w:rsidRPr="00CD65FF">
              <w:rPr>
                <w:rFonts w:ascii="Times New Roman" w:eastAsia="Times New Roman" w:hAnsi="Times New Roman" w:cs="Times New Roman"/>
                <w:color w:val="000000"/>
                <w:kern w:val="0"/>
                <w:sz w:val="24"/>
                <w:szCs w:val="24"/>
                <w:lang w:eastAsia="pt-BR"/>
                <w14:ligatures w14:val="none"/>
              </w:rPr>
              <w:t>0,1; **valor-p</w:t>
            </w:r>
            <w:r>
              <w:rPr>
                <w:rFonts w:ascii="Times New Roman" w:eastAsia="Times New Roman" w:hAnsi="Times New Roman" w:cs="Times New Roman"/>
                <w:color w:val="000000"/>
                <w:kern w:val="0"/>
                <w:sz w:val="24"/>
                <w:szCs w:val="24"/>
                <w:lang w:eastAsia="pt-BR"/>
                <w14:ligatures w14:val="none"/>
              </w:rPr>
              <w:t xml:space="preserve"> </w:t>
            </w:r>
            <w:r w:rsidRPr="00CD65FF">
              <w:rPr>
                <w:rFonts w:ascii="Times New Roman" w:eastAsia="Times New Roman" w:hAnsi="Times New Roman" w:cs="Times New Roman"/>
                <w:color w:val="000000"/>
                <w:kern w:val="0"/>
                <w:sz w:val="24"/>
                <w:szCs w:val="24"/>
                <w:lang w:eastAsia="pt-BR"/>
                <w14:ligatures w14:val="none"/>
              </w:rPr>
              <w:t>&lt;</w:t>
            </w:r>
            <w:r>
              <w:rPr>
                <w:rFonts w:ascii="Times New Roman" w:eastAsia="Times New Roman" w:hAnsi="Times New Roman" w:cs="Times New Roman"/>
                <w:color w:val="000000"/>
                <w:kern w:val="0"/>
                <w:sz w:val="24"/>
                <w:szCs w:val="24"/>
                <w:lang w:eastAsia="pt-BR"/>
                <w14:ligatures w14:val="none"/>
              </w:rPr>
              <w:t xml:space="preserve"> </w:t>
            </w:r>
            <w:r w:rsidRPr="00CD65FF">
              <w:rPr>
                <w:rFonts w:ascii="Times New Roman" w:eastAsia="Times New Roman" w:hAnsi="Times New Roman" w:cs="Times New Roman"/>
                <w:color w:val="000000"/>
                <w:kern w:val="0"/>
                <w:sz w:val="24"/>
                <w:szCs w:val="24"/>
                <w:lang w:eastAsia="pt-BR"/>
                <w14:ligatures w14:val="none"/>
              </w:rPr>
              <w:t>0,05; ***valor-p</w:t>
            </w:r>
            <w:r>
              <w:rPr>
                <w:rFonts w:ascii="Times New Roman" w:eastAsia="Times New Roman" w:hAnsi="Times New Roman" w:cs="Times New Roman"/>
                <w:color w:val="000000"/>
                <w:kern w:val="0"/>
                <w:sz w:val="24"/>
                <w:szCs w:val="24"/>
                <w:lang w:eastAsia="pt-BR"/>
                <w14:ligatures w14:val="none"/>
              </w:rPr>
              <w:t xml:space="preserve"> </w:t>
            </w:r>
            <w:r w:rsidRPr="00CD65FF">
              <w:rPr>
                <w:rFonts w:ascii="Times New Roman" w:eastAsia="Times New Roman" w:hAnsi="Times New Roman" w:cs="Times New Roman"/>
                <w:color w:val="000000"/>
                <w:kern w:val="0"/>
                <w:sz w:val="24"/>
                <w:szCs w:val="24"/>
                <w:lang w:eastAsia="pt-BR"/>
                <w14:ligatures w14:val="none"/>
              </w:rPr>
              <w:t>&lt;</w:t>
            </w:r>
            <w:r>
              <w:rPr>
                <w:rFonts w:ascii="Times New Roman" w:eastAsia="Times New Roman" w:hAnsi="Times New Roman" w:cs="Times New Roman"/>
                <w:color w:val="000000"/>
                <w:kern w:val="0"/>
                <w:sz w:val="24"/>
                <w:szCs w:val="24"/>
                <w:lang w:eastAsia="pt-BR"/>
                <w14:ligatures w14:val="none"/>
              </w:rPr>
              <w:t xml:space="preserve"> </w:t>
            </w:r>
            <w:r w:rsidRPr="00CD65FF">
              <w:rPr>
                <w:rFonts w:ascii="Times New Roman" w:eastAsia="Times New Roman" w:hAnsi="Times New Roman" w:cs="Times New Roman"/>
                <w:color w:val="000000"/>
                <w:kern w:val="0"/>
                <w:sz w:val="24"/>
                <w:szCs w:val="24"/>
                <w:lang w:eastAsia="pt-BR"/>
                <w14:ligatures w14:val="none"/>
              </w:rPr>
              <w:t>0,01</w:t>
            </w:r>
          </w:p>
        </w:tc>
      </w:tr>
    </w:tbl>
    <w:p w14:paraId="52A745D8" w14:textId="5D2A7196" w:rsidR="0084294B" w:rsidRPr="00C065E8" w:rsidRDefault="00C065E8" w:rsidP="008B788C">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Source: Prepared by the authors</w:t>
      </w:r>
    </w:p>
    <w:sectPr w:rsidR="0084294B" w:rsidRPr="00C065E8" w:rsidSect="00691F39">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9CE1" w14:textId="77777777" w:rsidR="00914B3B" w:rsidRDefault="00914B3B" w:rsidP="00D3545A">
      <w:pPr>
        <w:spacing w:after="0" w:line="240" w:lineRule="auto"/>
      </w:pPr>
      <w:r>
        <w:separator/>
      </w:r>
    </w:p>
  </w:endnote>
  <w:endnote w:type="continuationSeparator" w:id="0">
    <w:p w14:paraId="695630D3" w14:textId="77777777" w:rsidR="00914B3B" w:rsidRDefault="00914B3B" w:rsidP="00D3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89597"/>
      <w:docPartObj>
        <w:docPartGallery w:val="Page Numbers (Bottom of Page)"/>
        <w:docPartUnique/>
      </w:docPartObj>
    </w:sdtPr>
    <w:sdtContent>
      <w:p w14:paraId="16011BB5" w14:textId="21EE1D9A" w:rsidR="00D3545A" w:rsidRDefault="00D3545A">
        <w:pPr>
          <w:pStyle w:val="Rodap"/>
          <w:jc w:val="right"/>
        </w:pPr>
        <w:r>
          <w:fldChar w:fldCharType="begin"/>
        </w:r>
        <w:r>
          <w:instrText>PAGE   \* MERGEFORMAT</w:instrText>
        </w:r>
        <w:r>
          <w:fldChar w:fldCharType="separate"/>
        </w:r>
        <w:r>
          <w:t>2</w:t>
        </w:r>
        <w:r>
          <w:fldChar w:fldCharType="end"/>
        </w:r>
      </w:p>
    </w:sdtContent>
  </w:sdt>
  <w:p w14:paraId="4F16E6B2" w14:textId="77777777" w:rsidR="00D3545A" w:rsidRDefault="00D354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735E" w14:textId="77777777" w:rsidR="00914B3B" w:rsidRDefault="00914B3B" w:rsidP="00D3545A">
      <w:pPr>
        <w:spacing w:after="0" w:line="240" w:lineRule="auto"/>
      </w:pPr>
      <w:r>
        <w:separator/>
      </w:r>
    </w:p>
  </w:footnote>
  <w:footnote w:type="continuationSeparator" w:id="0">
    <w:p w14:paraId="2DF4BFA9" w14:textId="77777777" w:rsidR="00914B3B" w:rsidRDefault="00914B3B" w:rsidP="00D35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E1C67"/>
    <w:multiLevelType w:val="multilevel"/>
    <w:tmpl w:val="AF82C27E"/>
    <w:lvl w:ilvl="0">
      <w:start w:val="1"/>
      <w:numFmt w:val="decimal"/>
      <w:lvlText w:val="%1."/>
      <w:lvlJc w:val="left"/>
      <w:pPr>
        <w:ind w:left="720" w:hanging="360"/>
      </w:pPr>
      <w:rPr>
        <w:rFonts w:eastAsiaTheme="majorEastAsia"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6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5A"/>
    <w:rsid w:val="00011093"/>
    <w:rsid w:val="000115DE"/>
    <w:rsid w:val="00097A0A"/>
    <w:rsid w:val="000B7685"/>
    <w:rsid w:val="000E005A"/>
    <w:rsid w:val="000E38C6"/>
    <w:rsid w:val="001023A0"/>
    <w:rsid w:val="001129E0"/>
    <w:rsid w:val="00127014"/>
    <w:rsid w:val="00130C45"/>
    <w:rsid w:val="001B31EC"/>
    <w:rsid w:val="001E4F18"/>
    <w:rsid w:val="001F1E9E"/>
    <w:rsid w:val="001F4301"/>
    <w:rsid w:val="0020222A"/>
    <w:rsid w:val="00213921"/>
    <w:rsid w:val="002159EE"/>
    <w:rsid w:val="00216644"/>
    <w:rsid w:val="00243D4C"/>
    <w:rsid w:val="00257778"/>
    <w:rsid w:val="00275A83"/>
    <w:rsid w:val="00282448"/>
    <w:rsid w:val="00284E7E"/>
    <w:rsid w:val="00286282"/>
    <w:rsid w:val="00295D42"/>
    <w:rsid w:val="002974AA"/>
    <w:rsid w:val="002D339A"/>
    <w:rsid w:val="002E0C73"/>
    <w:rsid w:val="003176F1"/>
    <w:rsid w:val="00322C61"/>
    <w:rsid w:val="00322E4E"/>
    <w:rsid w:val="00345674"/>
    <w:rsid w:val="003564D3"/>
    <w:rsid w:val="0038377B"/>
    <w:rsid w:val="003932B1"/>
    <w:rsid w:val="00396349"/>
    <w:rsid w:val="00414CD9"/>
    <w:rsid w:val="00441605"/>
    <w:rsid w:val="004F3D88"/>
    <w:rsid w:val="004F669F"/>
    <w:rsid w:val="00506543"/>
    <w:rsid w:val="005238EE"/>
    <w:rsid w:val="00586A05"/>
    <w:rsid w:val="00586E23"/>
    <w:rsid w:val="00595199"/>
    <w:rsid w:val="005A171C"/>
    <w:rsid w:val="005C5B1F"/>
    <w:rsid w:val="005D2328"/>
    <w:rsid w:val="005F3225"/>
    <w:rsid w:val="006034C5"/>
    <w:rsid w:val="00667399"/>
    <w:rsid w:val="0067133D"/>
    <w:rsid w:val="00681E12"/>
    <w:rsid w:val="00691F39"/>
    <w:rsid w:val="006952E6"/>
    <w:rsid w:val="006A1B1F"/>
    <w:rsid w:val="006A593D"/>
    <w:rsid w:val="006C5F08"/>
    <w:rsid w:val="006D605B"/>
    <w:rsid w:val="006E259E"/>
    <w:rsid w:val="006F2360"/>
    <w:rsid w:val="0070362E"/>
    <w:rsid w:val="00715A8B"/>
    <w:rsid w:val="007162FA"/>
    <w:rsid w:val="00740912"/>
    <w:rsid w:val="00745CB6"/>
    <w:rsid w:val="007464C4"/>
    <w:rsid w:val="0078702E"/>
    <w:rsid w:val="00793DC3"/>
    <w:rsid w:val="00796164"/>
    <w:rsid w:val="007B048D"/>
    <w:rsid w:val="007E4754"/>
    <w:rsid w:val="00811440"/>
    <w:rsid w:val="00824CB0"/>
    <w:rsid w:val="008357E7"/>
    <w:rsid w:val="0084294B"/>
    <w:rsid w:val="00843C5F"/>
    <w:rsid w:val="00870EFC"/>
    <w:rsid w:val="0089508F"/>
    <w:rsid w:val="00895311"/>
    <w:rsid w:val="008B159A"/>
    <w:rsid w:val="008B788C"/>
    <w:rsid w:val="008C130F"/>
    <w:rsid w:val="008C6AD3"/>
    <w:rsid w:val="008C7351"/>
    <w:rsid w:val="00900792"/>
    <w:rsid w:val="00914B3B"/>
    <w:rsid w:val="00930AC8"/>
    <w:rsid w:val="00931B1B"/>
    <w:rsid w:val="0098415F"/>
    <w:rsid w:val="009A218E"/>
    <w:rsid w:val="009B30A1"/>
    <w:rsid w:val="009C655A"/>
    <w:rsid w:val="009F3AB3"/>
    <w:rsid w:val="009F4810"/>
    <w:rsid w:val="009F7310"/>
    <w:rsid w:val="00A0428B"/>
    <w:rsid w:val="00A067D9"/>
    <w:rsid w:val="00A36E16"/>
    <w:rsid w:val="00A4780B"/>
    <w:rsid w:val="00A51BE9"/>
    <w:rsid w:val="00A60C07"/>
    <w:rsid w:val="00A820E3"/>
    <w:rsid w:val="00AD0D8F"/>
    <w:rsid w:val="00AE44FE"/>
    <w:rsid w:val="00B16218"/>
    <w:rsid w:val="00B334C9"/>
    <w:rsid w:val="00B4622E"/>
    <w:rsid w:val="00B70FD6"/>
    <w:rsid w:val="00B7763B"/>
    <w:rsid w:val="00BE49E5"/>
    <w:rsid w:val="00BE5A32"/>
    <w:rsid w:val="00C065E8"/>
    <w:rsid w:val="00C25896"/>
    <w:rsid w:val="00C72BEA"/>
    <w:rsid w:val="00C77484"/>
    <w:rsid w:val="00C955BF"/>
    <w:rsid w:val="00C96F51"/>
    <w:rsid w:val="00CA6BEF"/>
    <w:rsid w:val="00CA7658"/>
    <w:rsid w:val="00D11D10"/>
    <w:rsid w:val="00D16DCE"/>
    <w:rsid w:val="00D3545A"/>
    <w:rsid w:val="00D57933"/>
    <w:rsid w:val="00DA5ED7"/>
    <w:rsid w:val="00DB1972"/>
    <w:rsid w:val="00E1483D"/>
    <w:rsid w:val="00E508A3"/>
    <w:rsid w:val="00E53829"/>
    <w:rsid w:val="00E60193"/>
    <w:rsid w:val="00E628AB"/>
    <w:rsid w:val="00E709CE"/>
    <w:rsid w:val="00E803A1"/>
    <w:rsid w:val="00EA19B4"/>
    <w:rsid w:val="00EA19D7"/>
    <w:rsid w:val="00EA271B"/>
    <w:rsid w:val="00EA3C1C"/>
    <w:rsid w:val="00ED3D33"/>
    <w:rsid w:val="00F27430"/>
    <w:rsid w:val="00F34E5A"/>
    <w:rsid w:val="00F7550F"/>
    <w:rsid w:val="00FF63BF"/>
    <w:rsid w:val="00FF6E6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4F9C"/>
  <w15:chartTrackingRefBased/>
  <w15:docId w15:val="{0D653884-0E33-4118-8217-C73CD72E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35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D35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D35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35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35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35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35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35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3545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basedOn w:val="Normal"/>
    <w:link w:val="PadroChar"/>
    <w:autoRedefine/>
    <w:qFormat/>
    <w:rsid w:val="00A0428B"/>
    <w:pPr>
      <w:spacing w:line="360" w:lineRule="auto"/>
      <w:jc w:val="both"/>
    </w:pPr>
    <w:rPr>
      <w:rFonts w:ascii="Times New Roman" w:hAnsi="Times New Roman" w:cs="Times New Roman"/>
      <w:sz w:val="24"/>
    </w:rPr>
  </w:style>
  <w:style w:type="character" w:customStyle="1" w:styleId="PadroChar">
    <w:name w:val="Padrão Char"/>
    <w:basedOn w:val="Fontepargpadro"/>
    <w:link w:val="Padro"/>
    <w:rsid w:val="00A0428B"/>
    <w:rPr>
      <w:rFonts w:ascii="Times New Roman" w:hAnsi="Times New Roman" w:cs="Times New Roman"/>
      <w:sz w:val="24"/>
    </w:rPr>
  </w:style>
  <w:style w:type="character" w:customStyle="1" w:styleId="Ttulo1Char">
    <w:name w:val="Título 1 Char"/>
    <w:basedOn w:val="Fontepargpadro"/>
    <w:link w:val="Ttulo1"/>
    <w:uiPriority w:val="9"/>
    <w:rsid w:val="00D3545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D3545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D3545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3545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3545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3545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3545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3545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3545A"/>
    <w:rPr>
      <w:rFonts w:eastAsiaTheme="majorEastAsia" w:cstheme="majorBidi"/>
      <w:color w:val="272727" w:themeColor="text1" w:themeTint="D8"/>
    </w:rPr>
  </w:style>
  <w:style w:type="paragraph" w:styleId="Ttulo">
    <w:name w:val="Title"/>
    <w:basedOn w:val="Normal"/>
    <w:next w:val="Normal"/>
    <w:link w:val="TtuloChar"/>
    <w:uiPriority w:val="10"/>
    <w:qFormat/>
    <w:rsid w:val="00D3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35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3545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3545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3545A"/>
    <w:pPr>
      <w:spacing w:before="160"/>
      <w:jc w:val="center"/>
    </w:pPr>
    <w:rPr>
      <w:i/>
      <w:iCs/>
      <w:color w:val="404040" w:themeColor="text1" w:themeTint="BF"/>
    </w:rPr>
  </w:style>
  <w:style w:type="character" w:customStyle="1" w:styleId="CitaoChar">
    <w:name w:val="Citação Char"/>
    <w:basedOn w:val="Fontepargpadro"/>
    <w:link w:val="Citao"/>
    <w:uiPriority w:val="29"/>
    <w:rsid w:val="00D3545A"/>
    <w:rPr>
      <w:i/>
      <w:iCs/>
      <w:color w:val="404040" w:themeColor="text1" w:themeTint="BF"/>
    </w:rPr>
  </w:style>
  <w:style w:type="paragraph" w:styleId="PargrafodaLista">
    <w:name w:val="List Paragraph"/>
    <w:basedOn w:val="Normal"/>
    <w:uiPriority w:val="34"/>
    <w:qFormat/>
    <w:rsid w:val="00D3545A"/>
    <w:pPr>
      <w:ind w:left="720"/>
      <w:contextualSpacing/>
    </w:pPr>
  </w:style>
  <w:style w:type="character" w:styleId="nfaseIntensa">
    <w:name w:val="Intense Emphasis"/>
    <w:basedOn w:val="Fontepargpadro"/>
    <w:uiPriority w:val="21"/>
    <w:qFormat/>
    <w:rsid w:val="00D3545A"/>
    <w:rPr>
      <w:i/>
      <w:iCs/>
      <w:color w:val="0F4761" w:themeColor="accent1" w:themeShade="BF"/>
    </w:rPr>
  </w:style>
  <w:style w:type="paragraph" w:styleId="CitaoIntensa">
    <w:name w:val="Intense Quote"/>
    <w:basedOn w:val="Normal"/>
    <w:next w:val="Normal"/>
    <w:link w:val="CitaoIntensaChar"/>
    <w:uiPriority w:val="30"/>
    <w:qFormat/>
    <w:rsid w:val="00D35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3545A"/>
    <w:rPr>
      <w:i/>
      <w:iCs/>
      <w:color w:val="0F4761" w:themeColor="accent1" w:themeShade="BF"/>
    </w:rPr>
  </w:style>
  <w:style w:type="character" w:styleId="RefernciaIntensa">
    <w:name w:val="Intense Reference"/>
    <w:basedOn w:val="Fontepargpadro"/>
    <w:uiPriority w:val="32"/>
    <w:qFormat/>
    <w:rsid w:val="00D3545A"/>
    <w:rPr>
      <w:b/>
      <w:bCs/>
      <w:smallCaps/>
      <w:color w:val="0F4761" w:themeColor="accent1" w:themeShade="BF"/>
      <w:spacing w:val="5"/>
    </w:rPr>
  </w:style>
  <w:style w:type="paragraph" w:styleId="Cabealho">
    <w:name w:val="header"/>
    <w:basedOn w:val="Normal"/>
    <w:link w:val="CabealhoChar"/>
    <w:uiPriority w:val="99"/>
    <w:unhideWhenUsed/>
    <w:rsid w:val="00D354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545A"/>
  </w:style>
  <w:style w:type="paragraph" w:styleId="Rodap">
    <w:name w:val="footer"/>
    <w:basedOn w:val="Normal"/>
    <w:link w:val="RodapChar"/>
    <w:uiPriority w:val="99"/>
    <w:unhideWhenUsed/>
    <w:rsid w:val="00D3545A"/>
    <w:pPr>
      <w:tabs>
        <w:tab w:val="center" w:pos="4252"/>
        <w:tab w:val="right" w:pos="8504"/>
      </w:tabs>
      <w:spacing w:after="0" w:line="240" w:lineRule="auto"/>
    </w:pPr>
  </w:style>
  <w:style w:type="character" w:customStyle="1" w:styleId="RodapChar">
    <w:name w:val="Rodapé Char"/>
    <w:basedOn w:val="Fontepargpadro"/>
    <w:link w:val="Rodap"/>
    <w:uiPriority w:val="99"/>
    <w:rsid w:val="00D3545A"/>
  </w:style>
  <w:style w:type="paragraph" w:styleId="NormalWeb">
    <w:name w:val="Normal (Web)"/>
    <w:basedOn w:val="Normal"/>
    <w:uiPriority w:val="99"/>
    <w:semiHidden/>
    <w:unhideWhenUsed/>
    <w:rsid w:val="00D354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D3545A"/>
    <w:rPr>
      <w:b/>
      <w:bCs/>
    </w:rPr>
  </w:style>
  <w:style w:type="character" w:styleId="TextodoEspaoReservado">
    <w:name w:val="Placeholder Text"/>
    <w:basedOn w:val="Fontepargpadro"/>
    <w:uiPriority w:val="99"/>
    <w:semiHidden/>
    <w:rsid w:val="00870EFC"/>
    <w:rPr>
      <w:color w:val="666666"/>
    </w:rPr>
  </w:style>
  <w:style w:type="character" w:styleId="Refdecomentrio">
    <w:name w:val="annotation reference"/>
    <w:basedOn w:val="Fontepargpadro"/>
    <w:uiPriority w:val="99"/>
    <w:semiHidden/>
    <w:unhideWhenUsed/>
    <w:rsid w:val="00A36E16"/>
    <w:rPr>
      <w:sz w:val="16"/>
      <w:szCs w:val="16"/>
    </w:rPr>
  </w:style>
  <w:style w:type="paragraph" w:styleId="Textodecomentrio">
    <w:name w:val="annotation text"/>
    <w:basedOn w:val="Normal"/>
    <w:link w:val="TextodecomentrioChar"/>
    <w:uiPriority w:val="99"/>
    <w:unhideWhenUsed/>
    <w:rsid w:val="00A36E16"/>
    <w:pPr>
      <w:spacing w:line="240" w:lineRule="auto"/>
    </w:pPr>
    <w:rPr>
      <w:sz w:val="20"/>
      <w:szCs w:val="20"/>
    </w:rPr>
  </w:style>
  <w:style w:type="character" w:customStyle="1" w:styleId="TextodecomentrioChar">
    <w:name w:val="Texto de comentário Char"/>
    <w:basedOn w:val="Fontepargpadro"/>
    <w:link w:val="Textodecomentrio"/>
    <w:uiPriority w:val="99"/>
    <w:rsid w:val="00A36E16"/>
    <w:rPr>
      <w:sz w:val="20"/>
      <w:szCs w:val="20"/>
    </w:rPr>
  </w:style>
  <w:style w:type="character" w:styleId="Hyperlink">
    <w:name w:val="Hyperlink"/>
    <w:basedOn w:val="Fontepargpadro"/>
    <w:uiPriority w:val="99"/>
    <w:unhideWhenUsed/>
    <w:rsid w:val="008B788C"/>
    <w:rPr>
      <w:color w:val="467886" w:themeColor="hyperlink"/>
      <w:u w:val="single"/>
    </w:rPr>
  </w:style>
  <w:style w:type="paragraph" w:styleId="Assuntodocomentrio">
    <w:name w:val="annotation subject"/>
    <w:basedOn w:val="Textodecomentrio"/>
    <w:next w:val="Textodecomentrio"/>
    <w:link w:val="AssuntodocomentrioChar"/>
    <w:uiPriority w:val="99"/>
    <w:semiHidden/>
    <w:unhideWhenUsed/>
    <w:rsid w:val="00286282"/>
    <w:rPr>
      <w:b/>
      <w:bCs/>
    </w:rPr>
  </w:style>
  <w:style w:type="character" w:customStyle="1" w:styleId="AssuntodocomentrioChar">
    <w:name w:val="Assunto do comentário Char"/>
    <w:basedOn w:val="TextodecomentrioChar"/>
    <w:link w:val="Assuntodocomentrio"/>
    <w:uiPriority w:val="99"/>
    <w:semiHidden/>
    <w:rsid w:val="00286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8816">
      <w:bodyDiv w:val="1"/>
      <w:marLeft w:val="0"/>
      <w:marRight w:val="0"/>
      <w:marTop w:val="0"/>
      <w:marBottom w:val="0"/>
      <w:divBdr>
        <w:top w:val="none" w:sz="0" w:space="0" w:color="auto"/>
        <w:left w:val="none" w:sz="0" w:space="0" w:color="auto"/>
        <w:bottom w:val="none" w:sz="0" w:space="0" w:color="auto"/>
        <w:right w:val="none" w:sz="0" w:space="0" w:color="auto"/>
      </w:divBdr>
    </w:div>
    <w:div w:id="253058144">
      <w:bodyDiv w:val="1"/>
      <w:marLeft w:val="0"/>
      <w:marRight w:val="0"/>
      <w:marTop w:val="0"/>
      <w:marBottom w:val="0"/>
      <w:divBdr>
        <w:top w:val="none" w:sz="0" w:space="0" w:color="auto"/>
        <w:left w:val="none" w:sz="0" w:space="0" w:color="auto"/>
        <w:bottom w:val="none" w:sz="0" w:space="0" w:color="auto"/>
        <w:right w:val="none" w:sz="0" w:space="0" w:color="auto"/>
      </w:divBdr>
      <w:divsChild>
        <w:div w:id="414280565">
          <w:marLeft w:val="0"/>
          <w:marRight w:val="0"/>
          <w:marTop w:val="0"/>
          <w:marBottom w:val="0"/>
          <w:divBdr>
            <w:top w:val="none" w:sz="0" w:space="0" w:color="auto"/>
            <w:left w:val="none" w:sz="0" w:space="0" w:color="auto"/>
            <w:bottom w:val="none" w:sz="0" w:space="0" w:color="auto"/>
            <w:right w:val="none" w:sz="0" w:space="0" w:color="auto"/>
          </w:divBdr>
          <w:divsChild>
            <w:div w:id="1079138030">
              <w:marLeft w:val="0"/>
              <w:marRight w:val="0"/>
              <w:marTop w:val="0"/>
              <w:marBottom w:val="0"/>
              <w:divBdr>
                <w:top w:val="none" w:sz="0" w:space="0" w:color="auto"/>
                <w:left w:val="none" w:sz="0" w:space="0" w:color="auto"/>
                <w:bottom w:val="none" w:sz="0" w:space="0" w:color="auto"/>
                <w:right w:val="none" w:sz="0" w:space="0" w:color="auto"/>
              </w:divBdr>
              <w:divsChild>
                <w:div w:id="1294747281">
                  <w:marLeft w:val="0"/>
                  <w:marRight w:val="0"/>
                  <w:marTop w:val="0"/>
                  <w:marBottom w:val="0"/>
                  <w:divBdr>
                    <w:top w:val="none" w:sz="0" w:space="0" w:color="auto"/>
                    <w:left w:val="none" w:sz="0" w:space="0" w:color="auto"/>
                    <w:bottom w:val="none" w:sz="0" w:space="0" w:color="auto"/>
                    <w:right w:val="none" w:sz="0" w:space="0" w:color="auto"/>
                  </w:divBdr>
                  <w:divsChild>
                    <w:div w:id="415178804">
                      <w:marLeft w:val="0"/>
                      <w:marRight w:val="0"/>
                      <w:marTop w:val="0"/>
                      <w:marBottom w:val="0"/>
                      <w:divBdr>
                        <w:top w:val="none" w:sz="0" w:space="0" w:color="auto"/>
                        <w:left w:val="none" w:sz="0" w:space="0" w:color="auto"/>
                        <w:bottom w:val="none" w:sz="0" w:space="0" w:color="auto"/>
                        <w:right w:val="none" w:sz="0" w:space="0" w:color="auto"/>
                      </w:divBdr>
                    </w:div>
                    <w:div w:id="21451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89638">
      <w:bodyDiv w:val="1"/>
      <w:marLeft w:val="0"/>
      <w:marRight w:val="0"/>
      <w:marTop w:val="0"/>
      <w:marBottom w:val="0"/>
      <w:divBdr>
        <w:top w:val="none" w:sz="0" w:space="0" w:color="auto"/>
        <w:left w:val="none" w:sz="0" w:space="0" w:color="auto"/>
        <w:bottom w:val="none" w:sz="0" w:space="0" w:color="auto"/>
        <w:right w:val="none" w:sz="0" w:space="0" w:color="auto"/>
      </w:divBdr>
    </w:div>
    <w:div w:id="323363382">
      <w:bodyDiv w:val="1"/>
      <w:marLeft w:val="0"/>
      <w:marRight w:val="0"/>
      <w:marTop w:val="0"/>
      <w:marBottom w:val="0"/>
      <w:divBdr>
        <w:top w:val="none" w:sz="0" w:space="0" w:color="auto"/>
        <w:left w:val="none" w:sz="0" w:space="0" w:color="auto"/>
        <w:bottom w:val="none" w:sz="0" w:space="0" w:color="auto"/>
        <w:right w:val="none" w:sz="0" w:space="0" w:color="auto"/>
      </w:divBdr>
    </w:div>
    <w:div w:id="364260535">
      <w:bodyDiv w:val="1"/>
      <w:marLeft w:val="0"/>
      <w:marRight w:val="0"/>
      <w:marTop w:val="0"/>
      <w:marBottom w:val="0"/>
      <w:divBdr>
        <w:top w:val="none" w:sz="0" w:space="0" w:color="auto"/>
        <w:left w:val="none" w:sz="0" w:space="0" w:color="auto"/>
        <w:bottom w:val="none" w:sz="0" w:space="0" w:color="auto"/>
        <w:right w:val="none" w:sz="0" w:space="0" w:color="auto"/>
      </w:divBdr>
    </w:div>
    <w:div w:id="414594458">
      <w:bodyDiv w:val="1"/>
      <w:marLeft w:val="0"/>
      <w:marRight w:val="0"/>
      <w:marTop w:val="0"/>
      <w:marBottom w:val="0"/>
      <w:divBdr>
        <w:top w:val="none" w:sz="0" w:space="0" w:color="auto"/>
        <w:left w:val="none" w:sz="0" w:space="0" w:color="auto"/>
        <w:bottom w:val="none" w:sz="0" w:space="0" w:color="auto"/>
        <w:right w:val="none" w:sz="0" w:space="0" w:color="auto"/>
      </w:divBdr>
    </w:div>
    <w:div w:id="604339794">
      <w:bodyDiv w:val="1"/>
      <w:marLeft w:val="0"/>
      <w:marRight w:val="0"/>
      <w:marTop w:val="0"/>
      <w:marBottom w:val="0"/>
      <w:divBdr>
        <w:top w:val="none" w:sz="0" w:space="0" w:color="auto"/>
        <w:left w:val="none" w:sz="0" w:space="0" w:color="auto"/>
        <w:bottom w:val="none" w:sz="0" w:space="0" w:color="auto"/>
        <w:right w:val="none" w:sz="0" w:space="0" w:color="auto"/>
      </w:divBdr>
    </w:div>
    <w:div w:id="649290786">
      <w:bodyDiv w:val="1"/>
      <w:marLeft w:val="0"/>
      <w:marRight w:val="0"/>
      <w:marTop w:val="0"/>
      <w:marBottom w:val="0"/>
      <w:divBdr>
        <w:top w:val="none" w:sz="0" w:space="0" w:color="auto"/>
        <w:left w:val="none" w:sz="0" w:space="0" w:color="auto"/>
        <w:bottom w:val="none" w:sz="0" w:space="0" w:color="auto"/>
        <w:right w:val="none" w:sz="0" w:space="0" w:color="auto"/>
      </w:divBdr>
    </w:div>
    <w:div w:id="678579796">
      <w:bodyDiv w:val="1"/>
      <w:marLeft w:val="0"/>
      <w:marRight w:val="0"/>
      <w:marTop w:val="0"/>
      <w:marBottom w:val="0"/>
      <w:divBdr>
        <w:top w:val="none" w:sz="0" w:space="0" w:color="auto"/>
        <w:left w:val="none" w:sz="0" w:space="0" w:color="auto"/>
        <w:bottom w:val="none" w:sz="0" w:space="0" w:color="auto"/>
        <w:right w:val="none" w:sz="0" w:space="0" w:color="auto"/>
      </w:divBdr>
    </w:div>
    <w:div w:id="768700771">
      <w:bodyDiv w:val="1"/>
      <w:marLeft w:val="0"/>
      <w:marRight w:val="0"/>
      <w:marTop w:val="0"/>
      <w:marBottom w:val="0"/>
      <w:divBdr>
        <w:top w:val="none" w:sz="0" w:space="0" w:color="auto"/>
        <w:left w:val="none" w:sz="0" w:space="0" w:color="auto"/>
        <w:bottom w:val="none" w:sz="0" w:space="0" w:color="auto"/>
        <w:right w:val="none" w:sz="0" w:space="0" w:color="auto"/>
      </w:divBdr>
    </w:div>
    <w:div w:id="892698310">
      <w:bodyDiv w:val="1"/>
      <w:marLeft w:val="0"/>
      <w:marRight w:val="0"/>
      <w:marTop w:val="0"/>
      <w:marBottom w:val="0"/>
      <w:divBdr>
        <w:top w:val="none" w:sz="0" w:space="0" w:color="auto"/>
        <w:left w:val="none" w:sz="0" w:space="0" w:color="auto"/>
        <w:bottom w:val="none" w:sz="0" w:space="0" w:color="auto"/>
        <w:right w:val="none" w:sz="0" w:space="0" w:color="auto"/>
      </w:divBdr>
    </w:div>
    <w:div w:id="903027456">
      <w:bodyDiv w:val="1"/>
      <w:marLeft w:val="0"/>
      <w:marRight w:val="0"/>
      <w:marTop w:val="0"/>
      <w:marBottom w:val="0"/>
      <w:divBdr>
        <w:top w:val="none" w:sz="0" w:space="0" w:color="auto"/>
        <w:left w:val="none" w:sz="0" w:space="0" w:color="auto"/>
        <w:bottom w:val="none" w:sz="0" w:space="0" w:color="auto"/>
        <w:right w:val="none" w:sz="0" w:space="0" w:color="auto"/>
      </w:divBdr>
    </w:div>
    <w:div w:id="1178033427">
      <w:bodyDiv w:val="1"/>
      <w:marLeft w:val="0"/>
      <w:marRight w:val="0"/>
      <w:marTop w:val="0"/>
      <w:marBottom w:val="0"/>
      <w:divBdr>
        <w:top w:val="none" w:sz="0" w:space="0" w:color="auto"/>
        <w:left w:val="none" w:sz="0" w:space="0" w:color="auto"/>
        <w:bottom w:val="none" w:sz="0" w:space="0" w:color="auto"/>
        <w:right w:val="none" w:sz="0" w:space="0" w:color="auto"/>
      </w:divBdr>
    </w:div>
    <w:div w:id="1310818279">
      <w:bodyDiv w:val="1"/>
      <w:marLeft w:val="0"/>
      <w:marRight w:val="0"/>
      <w:marTop w:val="0"/>
      <w:marBottom w:val="0"/>
      <w:divBdr>
        <w:top w:val="none" w:sz="0" w:space="0" w:color="auto"/>
        <w:left w:val="none" w:sz="0" w:space="0" w:color="auto"/>
        <w:bottom w:val="none" w:sz="0" w:space="0" w:color="auto"/>
        <w:right w:val="none" w:sz="0" w:space="0" w:color="auto"/>
      </w:divBdr>
    </w:div>
    <w:div w:id="1339582053">
      <w:bodyDiv w:val="1"/>
      <w:marLeft w:val="0"/>
      <w:marRight w:val="0"/>
      <w:marTop w:val="0"/>
      <w:marBottom w:val="0"/>
      <w:divBdr>
        <w:top w:val="none" w:sz="0" w:space="0" w:color="auto"/>
        <w:left w:val="none" w:sz="0" w:space="0" w:color="auto"/>
        <w:bottom w:val="none" w:sz="0" w:space="0" w:color="auto"/>
        <w:right w:val="none" w:sz="0" w:space="0" w:color="auto"/>
      </w:divBdr>
    </w:div>
    <w:div w:id="1374576893">
      <w:bodyDiv w:val="1"/>
      <w:marLeft w:val="0"/>
      <w:marRight w:val="0"/>
      <w:marTop w:val="0"/>
      <w:marBottom w:val="0"/>
      <w:divBdr>
        <w:top w:val="none" w:sz="0" w:space="0" w:color="auto"/>
        <w:left w:val="none" w:sz="0" w:space="0" w:color="auto"/>
        <w:bottom w:val="none" w:sz="0" w:space="0" w:color="auto"/>
        <w:right w:val="none" w:sz="0" w:space="0" w:color="auto"/>
      </w:divBdr>
      <w:divsChild>
        <w:div w:id="1284772654">
          <w:marLeft w:val="0"/>
          <w:marRight w:val="0"/>
          <w:marTop w:val="0"/>
          <w:marBottom w:val="0"/>
          <w:divBdr>
            <w:top w:val="none" w:sz="0" w:space="0" w:color="auto"/>
            <w:left w:val="none" w:sz="0" w:space="0" w:color="auto"/>
            <w:bottom w:val="none" w:sz="0" w:space="0" w:color="auto"/>
            <w:right w:val="none" w:sz="0" w:space="0" w:color="auto"/>
          </w:divBdr>
          <w:divsChild>
            <w:div w:id="277874377">
              <w:marLeft w:val="0"/>
              <w:marRight w:val="0"/>
              <w:marTop w:val="0"/>
              <w:marBottom w:val="0"/>
              <w:divBdr>
                <w:top w:val="none" w:sz="0" w:space="0" w:color="auto"/>
                <w:left w:val="none" w:sz="0" w:space="0" w:color="auto"/>
                <w:bottom w:val="none" w:sz="0" w:space="0" w:color="auto"/>
                <w:right w:val="none" w:sz="0" w:space="0" w:color="auto"/>
              </w:divBdr>
              <w:divsChild>
                <w:div w:id="554855102">
                  <w:marLeft w:val="0"/>
                  <w:marRight w:val="0"/>
                  <w:marTop w:val="0"/>
                  <w:marBottom w:val="0"/>
                  <w:divBdr>
                    <w:top w:val="none" w:sz="0" w:space="0" w:color="auto"/>
                    <w:left w:val="none" w:sz="0" w:space="0" w:color="auto"/>
                    <w:bottom w:val="none" w:sz="0" w:space="0" w:color="auto"/>
                    <w:right w:val="none" w:sz="0" w:space="0" w:color="auto"/>
                  </w:divBdr>
                  <w:divsChild>
                    <w:div w:id="214317885">
                      <w:marLeft w:val="0"/>
                      <w:marRight w:val="0"/>
                      <w:marTop w:val="0"/>
                      <w:marBottom w:val="0"/>
                      <w:divBdr>
                        <w:top w:val="none" w:sz="0" w:space="0" w:color="auto"/>
                        <w:left w:val="none" w:sz="0" w:space="0" w:color="auto"/>
                        <w:bottom w:val="none" w:sz="0" w:space="0" w:color="auto"/>
                        <w:right w:val="none" w:sz="0" w:space="0" w:color="auto"/>
                      </w:divBdr>
                    </w:div>
                    <w:div w:id="6800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1946">
      <w:bodyDiv w:val="1"/>
      <w:marLeft w:val="0"/>
      <w:marRight w:val="0"/>
      <w:marTop w:val="0"/>
      <w:marBottom w:val="0"/>
      <w:divBdr>
        <w:top w:val="none" w:sz="0" w:space="0" w:color="auto"/>
        <w:left w:val="none" w:sz="0" w:space="0" w:color="auto"/>
        <w:bottom w:val="none" w:sz="0" w:space="0" w:color="auto"/>
        <w:right w:val="none" w:sz="0" w:space="0" w:color="auto"/>
      </w:divBdr>
    </w:div>
    <w:div w:id="1484808747">
      <w:bodyDiv w:val="1"/>
      <w:marLeft w:val="0"/>
      <w:marRight w:val="0"/>
      <w:marTop w:val="0"/>
      <w:marBottom w:val="0"/>
      <w:divBdr>
        <w:top w:val="none" w:sz="0" w:space="0" w:color="auto"/>
        <w:left w:val="none" w:sz="0" w:space="0" w:color="auto"/>
        <w:bottom w:val="none" w:sz="0" w:space="0" w:color="auto"/>
        <w:right w:val="none" w:sz="0" w:space="0" w:color="auto"/>
      </w:divBdr>
    </w:div>
    <w:div w:id="1561669656">
      <w:bodyDiv w:val="1"/>
      <w:marLeft w:val="0"/>
      <w:marRight w:val="0"/>
      <w:marTop w:val="0"/>
      <w:marBottom w:val="0"/>
      <w:divBdr>
        <w:top w:val="none" w:sz="0" w:space="0" w:color="auto"/>
        <w:left w:val="none" w:sz="0" w:space="0" w:color="auto"/>
        <w:bottom w:val="none" w:sz="0" w:space="0" w:color="auto"/>
        <w:right w:val="none" w:sz="0" w:space="0" w:color="auto"/>
      </w:divBdr>
    </w:div>
    <w:div w:id="1600017051">
      <w:bodyDiv w:val="1"/>
      <w:marLeft w:val="0"/>
      <w:marRight w:val="0"/>
      <w:marTop w:val="0"/>
      <w:marBottom w:val="0"/>
      <w:divBdr>
        <w:top w:val="none" w:sz="0" w:space="0" w:color="auto"/>
        <w:left w:val="none" w:sz="0" w:space="0" w:color="auto"/>
        <w:bottom w:val="none" w:sz="0" w:space="0" w:color="auto"/>
        <w:right w:val="none" w:sz="0" w:space="0" w:color="auto"/>
      </w:divBdr>
    </w:div>
    <w:div w:id="1871380615">
      <w:bodyDiv w:val="1"/>
      <w:marLeft w:val="0"/>
      <w:marRight w:val="0"/>
      <w:marTop w:val="0"/>
      <w:marBottom w:val="0"/>
      <w:divBdr>
        <w:top w:val="none" w:sz="0" w:space="0" w:color="auto"/>
        <w:left w:val="none" w:sz="0" w:space="0" w:color="auto"/>
        <w:bottom w:val="none" w:sz="0" w:space="0" w:color="auto"/>
        <w:right w:val="none" w:sz="0" w:space="0" w:color="auto"/>
      </w:divBdr>
    </w:div>
    <w:div w:id="1991013263">
      <w:bodyDiv w:val="1"/>
      <w:marLeft w:val="0"/>
      <w:marRight w:val="0"/>
      <w:marTop w:val="0"/>
      <w:marBottom w:val="0"/>
      <w:divBdr>
        <w:top w:val="none" w:sz="0" w:space="0" w:color="auto"/>
        <w:left w:val="none" w:sz="0" w:space="0" w:color="auto"/>
        <w:bottom w:val="none" w:sz="0" w:space="0" w:color="auto"/>
        <w:right w:val="none" w:sz="0" w:space="0" w:color="auto"/>
      </w:divBdr>
    </w:div>
    <w:div w:id="2080665188">
      <w:bodyDiv w:val="1"/>
      <w:marLeft w:val="0"/>
      <w:marRight w:val="0"/>
      <w:marTop w:val="0"/>
      <w:marBottom w:val="0"/>
      <w:divBdr>
        <w:top w:val="none" w:sz="0" w:space="0" w:color="auto"/>
        <w:left w:val="none" w:sz="0" w:space="0" w:color="auto"/>
        <w:bottom w:val="none" w:sz="0" w:space="0" w:color="auto"/>
        <w:right w:val="none" w:sz="0" w:space="0" w:color="auto"/>
      </w:divBdr>
    </w:div>
    <w:div w:id="21133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11/j.1468-0335.2009.00843.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08/JMD-06-2019-02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08/MEDAR-12-2020-11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olina.kalaf\Desktop\Pessoal%20Nina\Mestrado%20Insper\BASE%20DE%20DADOS%20TESE%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olina.kalaf\Desktop\Pessoal%20Nina\Mestrado%20Insper\TAbelas_disserta&#231;&#227;o%20(version%201)%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rolina.kalaf\Desktop\Pessoal%20Nina\Mestrado%20Insper\TAbelas_disserta&#231;&#227;o%20(version%201)%20(version%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'Todos os dados_Dummy_com setor'!$T$2</c:f>
              <c:strCache>
                <c:ptCount val="1"/>
                <c:pt idx="0">
                  <c:v>ESG Combined Score </c:v>
                </c:pt>
              </c:strCache>
            </c:strRef>
          </c:tx>
          <c:spPr>
            <a:ln w="28575" cap="rnd">
              <a:solidFill>
                <a:schemeClr val="tx1"/>
              </a:solidFill>
              <a:prstDash val="dash"/>
              <a:round/>
            </a:ln>
            <a:effectLst/>
          </c:spPr>
          <c:marker>
            <c:symbol val="none"/>
          </c:marker>
          <c:cat>
            <c:numRef>
              <c:f>'Todos os dados_Dummy_com setor'!$R$15:$R$23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'Todos os dados_Dummy_com setor'!$T$15:$T$23</c:f>
              <c:numCache>
                <c:formatCode>General</c:formatCode>
                <c:ptCount val="9"/>
                <c:pt idx="0">
                  <c:v>28.54115627318842</c:v>
                </c:pt>
                <c:pt idx="1">
                  <c:v>41.925202808980373</c:v>
                </c:pt>
                <c:pt idx="2">
                  <c:v>42.210322430311621</c:v>
                </c:pt>
                <c:pt idx="3">
                  <c:v>43.551842793229007</c:v>
                </c:pt>
                <c:pt idx="4">
                  <c:v>44.632549072089013</c:v>
                </c:pt>
                <c:pt idx="5">
                  <c:v>45.346261605601725</c:v>
                </c:pt>
                <c:pt idx="6">
                  <c:v>43.700914431133121</c:v>
                </c:pt>
                <c:pt idx="7">
                  <c:v>41.834066018738646</c:v>
                </c:pt>
                <c:pt idx="8">
                  <c:v>51.546022552955051</c:v>
                </c:pt>
              </c:numCache>
            </c:numRef>
          </c:val>
          <c:smooth val="0"/>
          <c:extLst>
            <c:ext xmlns:c16="http://schemas.microsoft.com/office/drawing/2014/chart" uri="{C3380CC4-5D6E-409C-BE32-E72D297353CC}">
              <c16:uniqueId val="{00000000-D696-4AF1-BD5C-E83767EF728C}"/>
            </c:ext>
          </c:extLst>
        </c:ser>
        <c:dLbls>
          <c:showLegendKey val="0"/>
          <c:showVal val="0"/>
          <c:showCatName val="0"/>
          <c:showSerName val="0"/>
          <c:showPercent val="0"/>
          <c:showBubbleSize val="0"/>
        </c:dLbls>
        <c:marker val="1"/>
        <c:smooth val="0"/>
        <c:axId val="1136650367"/>
        <c:axId val="1136659007"/>
      </c:lineChart>
      <c:lineChart>
        <c:grouping val="standard"/>
        <c:varyColors val="0"/>
        <c:ser>
          <c:idx val="0"/>
          <c:order val="0"/>
          <c:tx>
            <c:strRef>
              <c:f>'Todos os dados_Dummy_com setor'!$S$2</c:f>
              <c:strCache>
                <c:ptCount val="1"/>
                <c:pt idx="0">
                  <c:v>Tobin's Q </c:v>
                </c:pt>
              </c:strCache>
            </c:strRef>
          </c:tx>
          <c:spPr>
            <a:ln w="28575" cap="rnd">
              <a:solidFill>
                <a:schemeClr val="bg1">
                  <a:lumMod val="50000"/>
                </a:schemeClr>
              </a:solidFill>
              <a:round/>
            </a:ln>
            <a:effectLst/>
          </c:spPr>
          <c:marker>
            <c:symbol val="none"/>
          </c:marker>
          <c:cat>
            <c:numRef>
              <c:f>'Todos os dados_Dummy_com setor'!$R$15:$R$23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'Todos os dados_Dummy_com setor'!$S$15:$S$23</c:f>
              <c:numCache>
                <c:formatCode>General</c:formatCode>
                <c:ptCount val="9"/>
                <c:pt idx="0">
                  <c:v>1.7969495813996694</c:v>
                </c:pt>
                <c:pt idx="1">
                  <c:v>2.2451066943866138</c:v>
                </c:pt>
                <c:pt idx="2">
                  <c:v>1.9924021148011013</c:v>
                </c:pt>
                <c:pt idx="3">
                  <c:v>2.7498535638490114</c:v>
                </c:pt>
                <c:pt idx="4">
                  <c:v>2.6974629837782382</c:v>
                </c:pt>
                <c:pt idx="5">
                  <c:v>2.530600747908299</c:v>
                </c:pt>
                <c:pt idx="6">
                  <c:v>9.5054709706122047</c:v>
                </c:pt>
                <c:pt idx="7">
                  <c:v>2.2844536761041914</c:v>
                </c:pt>
                <c:pt idx="8">
                  <c:v>12.573784460559477</c:v>
                </c:pt>
              </c:numCache>
            </c:numRef>
          </c:val>
          <c:smooth val="0"/>
          <c:extLst>
            <c:ext xmlns:c16="http://schemas.microsoft.com/office/drawing/2014/chart" uri="{C3380CC4-5D6E-409C-BE32-E72D297353CC}">
              <c16:uniqueId val="{00000001-D696-4AF1-BD5C-E83767EF728C}"/>
            </c:ext>
          </c:extLst>
        </c:ser>
        <c:dLbls>
          <c:showLegendKey val="0"/>
          <c:showVal val="0"/>
          <c:showCatName val="0"/>
          <c:showSerName val="0"/>
          <c:showPercent val="0"/>
          <c:showBubbleSize val="0"/>
        </c:dLbls>
        <c:marker val="1"/>
        <c:smooth val="0"/>
        <c:axId val="1136661407"/>
        <c:axId val="1136675807"/>
      </c:lineChart>
      <c:catAx>
        <c:axId val="113665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6659007"/>
        <c:crosses val="autoZero"/>
        <c:auto val="1"/>
        <c:lblAlgn val="ctr"/>
        <c:lblOffset val="100"/>
        <c:noMultiLvlLbl val="0"/>
      </c:catAx>
      <c:valAx>
        <c:axId val="11366590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ESG Combined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6650367"/>
        <c:crosses val="autoZero"/>
        <c:crossBetween val="between"/>
      </c:valAx>
      <c:valAx>
        <c:axId val="113667580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Tobin's Q</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6661407"/>
        <c:crosses val="max"/>
        <c:crossBetween val="between"/>
      </c:valAx>
      <c:catAx>
        <c:axId val="1136661407"/>
        <c:scaling>
          <c:orientation val="minMax"/>
        </c:scaling>
        <c:delete val="1"/>
        <c:axPos val="b"/>
        <c:numFmt formatCode="General" sourceLinked="1"/>
        <c:majorTickMark val="out"/>
        <c:minorTickMark val="none"/>
        <c:tickLblPos val="nextTo"/>
        <c:crossAx val="113667580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'RegressãoNOVO média ind_USADO'!$L$27</c:f>
              <c:strCache>
                <c:ptCount val="1"/>
                <c:pt idx="0">
                  <c:v>Tobin'sQ (VC=1)</c:v>
                </c:pt>
              </c:strCache>
            </c:strRef>
          </c:tx>
          <c:spPr>
            <a:ln w="28575" cap="rnd">
              <a:solidFill>
                <a:schemeClr val="tx1"/>
              </a:solidFill>
              <a:prstDash val="dash"/>
              <a:round/>
            </a:ln>
            <a:effectLst/>
          </c:spPr>
          <c:marker>
            <c:symbol val="none"/>
          </c:marker>
          <c:cat>
            <c:numRef>
              <c:f>'RegressãoNOVO média ind_USADO'!$M$26:$Y$26</c:f>
              <c:numCache>
                <c:formatCode>0.0</c:formatCode>
                <c:ptCount val="13"/>
                <c:pt idx="0">
                  <c:v>28.875</c:v>
                </c:pt>
                <c:pt idx="1">
                  <c:v>32.436999999999998</c:v>
                </c:pt>
                <c:pt idx="2">
                  <c:v>39.999000000000002</c:v>
                </c:pt>
                <c:pt idx="3">
                  <c:v>45.561</c:v>
                </c:pt>
                <c:pt idx="4">
                  <c:v>51.122999999999998</c:v>
                </c:pt>
                <c:pt idx="5">
                  <c:v>56.685000000000002</c:v>
                </c:pt>
                <c:pt idx="6">
                  <c:v>62.247</c:v>
                </c:pt>
                <c:pt idx="7">
                  <c:v>67.808999999999997</c:v>
                </c:pt>
                <c:pt idx="8">
                  <c:v>73.370999999999995</c:v>
                </c:pt>
                <c:pt idx="9">
                  <c:v>78.933000000000007</c:v>
                </c:pt>
                <c:pt idx="10">
                  <c:v>84.495000000000005</c:v>
                </c:pt>
                <c:pt idx="11">
                  <c:v>90.057000000000002</c:v>
                </c:pt>
                <c:pt idx="12">
                  <c:v>95.619</c:v>
                </c:pt>
              </c:numCache>
            </c:numRef>
          </c:cat>
          <c:val>
            <c:numRef>
              <c:f>'RegressãoNOVO média ind_USADO'!$M$27:$Y$27</c:f>
              <c:numCache>
                <c:formatCode>General</c:formatCode>
                <c:ptCount val="13"/>
                <c:pt idx="0">
                  <c:v>-2.1534486524500016</c:v>
                </c:pt>
                <c:pt idx="1">
                  <c:v>-1.6412330524500018</c:v>
                </c:pt>
                <c:pt idx="2">
                  <c:v>-0.55381745245000102</c:v>
                </c:pt>
                <c:pt idx="3">
                  <c:v>0.2459981475499986</c:v>
                </c:pt>
                <c:pt idx="4">
                  <c:v>1.0458137475499982</c:v>
                </c:pt>
                <c:pt idx="5">
                  <c:v>1.8456293475499987</c:v>
                </c:pt>
                <c:pt idx="6">
                  <c:v>2.6454449475499988</c:v>
                </c:pt>
                <c:pt idx="7">
                  <c:v>3.4452605475499993</c:v>
                </c:pt>
                <c:pt idx="8">
                  <c:v>4.245076147549999</c:v>
                </c:pt>
                <c:pt idx="9">
                  <c:v>5.0448917475500004</c:v>
                </c:pt>
                <c:pt idx="10">
                  <c:v>5.84470734755</c:v>
                </c:pt>
                <c:pt idx="11">
                  <c:v>6.6445229475499996</c:v>
                </c:pt>
                <c:pt idx="12">
                  <c:v>7.4443385475499992</c:v>
                </c:pt>
              </c:numCache>
            </c:numRef>
          </c:val>
          <c:smooth val="0"/>
          <c:extLst>
            <c:ext xmlns:c16="http://schemas.microsoft.com/office/drawing/2014/chart" uri="{C3380CC4-5D6E-409C-BE32-E72D297353CC}">
              <c16:uniqueId val="{00000000-7ABB-429E-8E35-E2711AEB8816}"/>
            </c:ext>
          </c:extLst>
        </c:ser>
        <c:ser>
          <c:idx val="1"/>
          <c:order val="1"/>
          <c:tx>
            <c:strRef>
              <c:f>'RegressãoNOVO média ind_USADO'!$L$28</c:f>
              <c:strCache>
                <c:ptCount val="1"/>
                <c:pt idx="0">
                  <c:v>Tobin'sQ (VC=0)</c:v>
                </c:pt>
              </c:strCache>
            </c:strRef>
          </c:tx>
          <c:spPr>
            <a:ln w="28575" cap="rnd">
              <a:solidFill>
                <a:schemeClr val="bg1">
                  <a:lumMod val="50000"/>
                </a:schemeClr>
              </a:solidFill>
              <a:round/>
            </a:ln>
            <a:effectLst/>
          </c:spPr>
          <c:marker>
            <c:symbol val="none"/>
          </c:marker>
          <c:cat>
            <c:numRef>
              <c:f>'RegressãoNOVO média ind_USADO'!$M$26:$Y$26</c:f>
              <c:numCache>
                <c:formatCode>0.0</c:formatCode>
                <c:ptCount val="13"/>
                <c:pt idx="0">
                  <c:v>28.875</c:v>
                </c:pt>
                <c:pt idx="1">
                  <c:v>32.436999999999998</c:v>
                </c:pt>
                <c:pt idx="2">
                  <c:v>39.999000000000002</c:v>
                </c:pt>
                <c:pt idx="3">
                  <c:v>45.561</c:v>
                </c:pt>
                <c:pt idx="4">
                  <c:v>51.122999999999998</c:v>
                </c:pt>
                <c:pt idx="5">
                  <c:v>56.685000000000002</c:v>
                </c:pt>
                <c:pt idx="6">
                  <c:v>62.247</c:v>
                </c:pt>
                <c:pt idx="7">
                  <c:v>67.808999999999997</c:v>
                </c:pt>
                <c:pt idx="8">
                  <c:v>73.370999999999995</c:v>
                </c:pt>
                <c:pt idx="9">
                  <c:v>78.933000000000007</c:v>
                </c:pt>
                <c:pt idx="10">
                  <c:v>84.495000000000005</c:v>
                </c:pt>
                <c:pt idx="11">
                  <c:v>90.057000000000002</c:v>
                </c:pt>
                <c:pt idx="12">
                  <c:v>95.619</c:v>
                </c:pt>
              </c:numCache>
            </c:numRef>
          </c:cat>
          <c:val>
            <c:numRef>
              <c:f>'RegressãoNOVO média ind_USADO'!$M$28:$Y$28</c:f>
              <c:numCache>
                <c:formatCode>General</c:formatCode>
                <c:ptCount val="13"/>
                <c:pt idx="0">
                  <c:v>1.6064624227100002</c:v>
                </c:pt>
                <c:pt idx="1">
                  <c:v>1.6680850227100001</c:v>
                </c:pt>
                <c:pt idx="2">
                  <c:v>1.7989076227100003</c:v>
                </c:pt>
                <c:pt idx="3">
                  <c:v>1.8951302227100002</c:v>
                </c:pt>
                <c:pt idx="4">
                  <c:v>1.9913528227100001</c:v>
                </c:pt>
                <c:pt idx="5">
                  <c:v>2.0875754227100001</c:v>
                </c:pt>
                <c:pt idx="6">
                  <c:v>2.1837980227100005</c:v>
                </c:pt>
                <c:pt idx="7">
                  <c:v>2.2800206227100004</c:v>
                </c:pt>
                <c:pt idx="8">
                  <c:v>2.3762432227100003</c:v>
                </c:pt>
                <c:pt idx="9">
                  <c:v>2.4724658227100003</c:v>
                </c:pt>
                <c:pt idx="10">
                  <c:v>2.5686884227100002</c:v>
                </c:pt>
                <c:pt idx="11">
                  <c:v>2.6649110227100001</c:v>
                </c:pt>
                <c:pt idx="12">
                  <c:v>2.7611336227100001</c:v>
                </c:pt>
              </c:numCache>
            </c:numRef>
          </c:val>
          <c:smooth val="0"/>
          <c:extLst>
            <c:ext xmlns:c16="http://schemas.microsoft.com/office/drawing/2014/chart" uri="{C3380CC4-5D6E-409C-BE32-E72D297353CC}">
              <c16:uniqueId val="{00000001-7ABB-429E-8E35-E2711AEB8816}"/>
            </c:ext>
          </c:extLst>
        </c:ser>
        <c:dLbls>
          <c:showLegendKey val="0"/>
          <c:showVal val="0"/>
          <c:showCatName val="0"/>
          <c:showSerName val="0"/>
          <c:showPercent val="0"/>
          <c:showBubbleSize val="0"/>
        </c:dLbls>
        <c:smooth val="0"/>
        <c:axId val="1136687327"/>
        <c:axId val="1136693087"/>
      </c:lineChart>
      <c:catAx>
        <c:axId val="11366873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ESG Combined Score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6693087"/>
        <c:crosses val="autoZero"/>
        <c:auto val="1"/>
        <c:lblAlgn val="ctr"/>
        <c:lblOffset val="100"/>
        <c:noMultiLvlLbl val="0"/>
      </c:catAx>
      <c:valAx>
        <c:axId val="11366930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Tobin's Q</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6687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'RegressãoNOVO média ind_USADO'!$L$43</c:f>
              <c:strCache>
                <c:ptCount val="1"/>
                <c:pt idx="0">
                  <c:v>Tobin'sQ (CI=1)</c:v>
                </c:pt>
              </c:strCache>
            </c:strRef>
          </c:tx>
          <c:spPr>
            <a:ln w="28575" cap="rnd">
              <a:solidFill>
                <a:schemeClr val="tx1"/>
              </a:solidFill>
              <a:prstDash val="dash"/>
              <a:round/>
            </a:ln>
            <a:effectLst/>
          </c:spPr>
          <c:marker>
            <c:symbol val="none"/>
          </c:marker>
          <c:cat>
            <c:numRef>
              <c:f>'RegressãoNOVO média ind_USADO'!$M$42:$Y$42</c:f>
              <c:numCache>
                <c:formatCode>0.0</c:formatCode>
                <c:ptCount val="13"/>
                <c:pt idx="0">
                  <c:v>28.875</c:v>
                </c:pt>
                <c:pt idx="1">
                  <c:v>34.436999999999998</c:v>
                </c:pt>
                <c:pt idx="2">
                  <c:v>39.999000000000002</c:v>
                </c:pt>
                <c:pt idx="3">
                  <c:v>45.561</c:v>
                </c:pt>
                <c:pt idx="4">
                  <c:v>51.122999999999998</c:v>
                </c:pt>
                <c:pt idx="5">
                  <c:v>56.685000000000002</c:v>
                </c:pt>
                <c:pt idx="6">
                  <c:v>62.247</c:v>
                </c:pt>
                <c:pt idx="7">
                  <c:v>67.808999999999997</c:v>
                </c:pt>
                <c:pt idx="8">
                  <c:v>73.370999999999995</c:v>
                </c:pt>
                <c:pt idx="9">
                  <c:v>78.933000000000007</c:v>
                </c:pt>
                <c:pt idx="10">
                  <c:v>84.495000000000005</c:v>
                </c:pt>
                <c:pt idx="11">
                  <c:v>90.057000000000002</c:v>
                </c:pt>
                <c:pt idx="12">
                  <c:v>95.619</c:v>
                </c:pt>
              </c:numCache>
            </c:numRef>
          </c:cat>
          <c:val>
            <c:numRef>
              <c:f>'RegressãoNOVO média ind_USADO'!$M$43:$Y$43</c:f>
              <c:numCache>
                <c:formatCode>General</c:formatCode>
                <c:ptCount val="13"/>
                <c:pt idx="0">
                  <c:v>-5.8298050839999283E-2</c:v>
                </c:pt>
                <c:pt idx="1">
                  <c:v>2.1603837491600002</c:v>
                </c:pt>
                <c:pt idx="2">
                  <c:v>4.3790655491600017</c:v>
                </c:pt>
                <c:pt idx="3">
                  <c:v>6.5977473491600005</c:v>
                </c:pt>
                <c:pt idx="4">
                  <c:v>8.8164291491599993</c:v>
                </c:pt>
                <c:pt idx="5">
                  <c:v>11.03511094916</c:v>
                </c:pt>
                <c:pt idx="6">
                  <c:v>13.253792749159999</c:v>
                </c:pt>
                <c:pt idx="7">
                  <c:v>15.472474549159998</c:v>
                </c:pt>
                <c:pt idx="8">
                  <c:v>17.691156349159996</c:v>
                </c:pt>
                <c:pt idx="9">
                  <c:v>19.909838149160002</c:v>
                </c:pt>
                <c:pt idx="10">
                  <c:v>22.128519949160005</c:v>
                </c:pt>
                <c:pt idx="11">
                  <c:v>24.347201749160003</c:v>
                </c:pt>
                <c:pt idx="12">
                  <c:v>26.565883549160002</c:v>
                </c:pt>
              </c:numCache>
            </c:numRef>
          </c:val>
          <c:smooth val="0"/>
          <c:extLst>
            <c:ext xmlns:c16="http://schemas.microsoft.com/office/drawing/2014/chart" uri="{C3380CC4-5D6E-409C-BE32-E72D297353CC}">
              <c16:uniqueId val="{00000000-091C-47ED-8BF3-CEC899BA6D6E}"/>
            </c:ext>
          </c:extLst>
        </c:ser>
        <c:ser>
          <c:idx val="1"/>
          <c:order val="1"/>
          <c:tx>
            <c:strRef>
              <c:f>'RegressãoNOVO média ind_USADO'!$L$44</c:f>
              <c:strCache>
                <c:ptCount val="1"/>
                <c:pt idx="0">
                  <c:v>Tobin'sQ (CI=0)</c:v>
                </c:pt>
              </c:strCache>
            </c:strRef>
          </c:tx>
          <c:spPr>
            <a:ln w="28575" cap="rnd">
              <a:solidFill>
                <a:schemeClr val="bg1">
                  <a:lumMod val="50000"/>
                </a:schemeClr>
              </a:solidFill>
              <a:round/>
            </a:ln>
            <a:effectLst/>
          </c:spPr>
          <c:marker>
            <c:symbol val="none"/>
          </c:marker>
          <c:cat>
            <c:numRef>
              <c:f>'RegressãoNOVO média ind_USADO'!$M$42:$Y$42</c:f>
              <c:numCache>
                <c:formatCode>0.0</c:formatCode>
                <c:ptCount val="13"/>
                <c:pt idx="0">
                  <c:v>28.875</c:v>
                </c:pt>
                <c:pt idx="1">
                  <c:v>34.436999999999998</c:v>
                </c:pt>
                <c:pt idx="2">
                  <c:v>39.999000000000002</c:v>
                </c:pt>
                <c:pt idx="3">
                  <c:v>45.561</c:v>
                </c:pt>
                <c:pt idx="4">
                  <c:v>51.122999999999998</c:v>
                </c:pt>
                <c:pt idx="5">
                  <c:v>56.685000000000002</c:v>
                </c:pt>
                <c:pt idx="6">
                  <c:v>62.247</c:v>
                </c:pt>
                <c:pt idx="7">
                  <c:v>67.808999999999997</c:v>
                </c:pt>
                <c:pt idx="8">
                  <c:v>73.370999999999995</c:v>
                </c:pt>
                <c:pt idx="9">
                  <c:v>78.933000000000007</c:v>
                </c:pt>
                <c:pt idx="10">
                  <c:v>84.495000000000005</c:v>
                </c:pt>
                <c:pt idx="11">
                  <c:v>90.057000000000002</c:v>
                </c:pt>
                <c:pt idx="12">
                  <c:v>95.619</c:v>
                </c:pt>
              </c:numCache>
            </c:numRef>
          </c:cat>
          <c:val>
            <c:numRef>
              <c:f>'RegressãoNOVO média ind_USADO'!$M$44:$Y$44</c:f>
              <c:numCache>
                <c:formatCode>General</c:formatCode>
                <c:ptCount val="13"/>
                <c:pt idx="0">
                  <c:v>1.9093932823900011</c:v>
                </c:pt>
                <c:pt idx="1">
                  <c:v>1.9405404823900012</c:v>
                </c:pt>
                <c:pt idx="2">
                  <c:v>1.9716876823900011</c:v>
                </c:pt>
                <c:pt idx="3">
                  <c:v>2.0028348823900011</c:v>
                </c:pt>
                <c:pt idx="4">
                  <c:v>2.033982082390001</c:v>
                </c:pt>
                <c:pt idx="5">
                  <c:v>2.0651292823900009</c:v>
                </c:pt>
                <c:pt idx="6">
                  <c:v>2.0962764823900013</c:v>
                </c:pt>
                <c:pt idx="7">
                  <c:v>2.1274236823900012</c:v>
                </c:pt>
                <c:pt idx="8">
                  <c:v>2.1585708823900012</c:v>
                </c:pt>
                <c:pt idx="9">
                  <c:v>2.1897180823900011</c:v>
                </c:pt>
                <c:pt idx="10">
                  <c:v>2.220865282390001</c:v>
                </c:pt>
                <c:pt idx="11">
                  <c:v>2.252012482390001</c:v>
                </c:pt>
                <c:pt idx="12">
                  <c:v>2.2831596823900009</c:v>
                </c:pt>
              </c:numCache>
            </c:numRef>
          </c:val>
          <c:smooth val="0"/>
          <c:extLst>
            <c:ext xmlns:c16="http://schemas.microsoft.com/office/drawing/2014/chart" uri="{C3380CC4-5D6E-409C-BE32-E72D297353CC}">
              <c16:uniqueId val="{00000001-091C-47ED-8BF3-CEC899BA6D6E}"/>
            </c:ext>
          </c:extLst>
        </c:ser>
        <c:dLbls>
          <c:showLegendKey val="0"/>
          <c:showVal val="0"/>
          <c:showCatName val="0"/>
          <c:showSerName val="0"/>
          <c:showPercent val="0"/>
          <c:showBubbleSize val="0"/>
        </c:dLbls>
        <c:smooth val="0"/>
        <c:axId val="916342175"/>
        <c:axId val="916367135"/>
      </c:lineChart>
      <c:catAx>
        <c:axId val="916342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ESG Combined Score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6367135"/>
        <c:crosses val="autoZero"/>
        <c:auto val="1"/>
        <c:lblAlgn val="ctr"/>
        <c:lblOffset val="100"/>
        <c:noMultiLvlLbl val="0"/>
      </c:catAx>
      <c:valAx>
        <c:axId val="9163671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Tobin's Q</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6342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1</Pages>
  <Words>12650</Words>
  <Characters>73877</Characters>
  <Application>Microsoft Office Word</Application>
  <DocSecurity>0</DocSecurity>
  <Lines>1393</Lines>
  <Paragraphs>527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 da Silva de Souza</dc:creator>
  <cp:keywords/>
  <dc:description/>
  <cp:lastModifiedBy>Carolina Kalaf Simões</cp:lastModifiedBy>
  <cp:revision>30</cp:revision>
  <dcterms:created xsi:type="dcterms:W3CDTF">2025-06-17T08:05:00Z</dcterms:created>
  <dcterms:modified xsi:type="dcterms:W3CDTF">2026-03-23T16:28:00Z</dcterms:modified>
</cp:coreProperties>
</file>