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179F" w14:textId="77777777" w:rsidR="00687F3F" w:rsidRDefault="00000000">
      <w:pPr>
        <w:pStyle w:val="Corpodetex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5C03EA" wp14:editId="76007294">
            <wp:extent cx="5087897" cy="16606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901" cy="166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005C" w14:textId="77777777" w:rsidR="00687F3F" w:rsidRDefault="00687F3F">
      <w:pPr>
        <w:pStyle w:val="Corpodetexto"/>
        <w:spacing w:before="1"/>
        <w:rPr>
          <w:rFonts w:ascii="Times New Roman"/>
          <w:sz w:val="17"/>
        </w:rPr>
      </w:pPr>
    </w:p>
    <w:p w14:paraId="3008C53C" w14:textId="1C18EB48" w:rsidR="00C23F94" w:rsidRDefault="000E4587" w:rsidP="00C23F94">
      <w:pPr>
        <w:pStyle w:val="Corpodetexto"/>
        <w:spacing w:before="8"/>
        <w:rPr>
          <w:rFonts w:ascii="Tahoma" w:eastAsia="Tahoma" w:hAnsi="Tahoma" w:cs="Tahoma"/>
          <w:b/>
          <w:bCs/>
          <w:spacing w:val="-1"/>
          <w:w w:val="95"/>
          <w:sz w:val="24"/>
          <w:szCs w:val="24"/>
          <w:u w:val="single"/>
        </w:rPr>
      </w:pPr>
      <w:r w:rsidRPr="000E4587">
        <w:rPr>
          <w:rFonts w:ascii="Tahoma" w:eastAsia="Tahoma" w:hAnsi="Tahoma" w:cs="Tahoma"/>
          <w:b/>
          <w:bCs/>
          <w:spacing w:val="-1"/>
          <w:w w:val="95"/>
          <w:sz w:val="24"/>
          <w:szCs w:val="24"/>
          <w:u w:val="single"/>
        </w:rPr>
        <w:t>VISÃO GERAL DAS ANORMALIDADES ELETROLÍTICAS PÓS-OPERATÓRIAS</w:t>
      </w:r>
    </w:p>
    <w:p w14:paraId="26028750" w14:textId="77777777" w:rsidR="000E4587" w:rsidRDefault="000E4587" w:rsidP="00C23F94">
      <w:pPr>
        <w:pStyle w:val="Corpodetexto"/>
        <w:spacing w:before="8"/>
        <w:rPr>
          <w:rFonts w:ascii="Tahoma" w:eastAsia="Tahoma" w:hAnsi="Tahoma" w:cs="Tahoma"/>
          <w:b/>
          <w:bCs/>
          <w:spacing w:val="-1"/>
          <w:w w:val="95"/>
          <w:sz w:val="24"/>
          <w:szCs w:val="24"/>
          <w:u w:val="single"/>
        </w:rPr>
      </w:pPr>
    </w:p>
    <w:p w14:paraId="72352679" w14:textId="59B62D5E" w:rsidR="00C23F94" w:rsidRDefault="000E4587" w:rsidP="00C23F94">
      <w:pPr>
        <w:pStyle w:val="Corpodetexto"/>
        <w:spacing w:before="8"/>
        <w:jc w:val="center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>Camilla Maganhin Luquetti</w:t>
      </w:r>
      <w:r>
        <w:rPr>
          <w:rFonts w:ascii="Times New Roman" w:eastAsiaTheme="minorEastAsia" w:hAnsi="Times New Roman" w:cs="Times New Roman"/>
          <w:sz w:val="22"/>
          <w:szCs w:val="22"/>
          <w:lang w:val="pt-BR"/>
        </w:rPr>
        <w:t>1</w:t>
      </w:r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>; Gustavo Henrique Rodrigues Mesquita</w:t>
      </w:r>
      <w:r>
        <w:rPr>
          <w:rFonts w:ascii="Times New Roman" w:eastAsiaTheme="minorEastAsia" w:hAnsi="Times New Roman" w:cs="Times New Roman"/>
          <w:sz w:val="22"/>
          <w:szCs w:val="22"/>
          <w:lang w:val="pt-BR"/>
        </w:rPr>
        <w:t>2</w:t>
      </w:r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>; Paulo Henrique de Carvalho Batista</w:t>
      </w:r>
      <w:r w:rsidR="009E253E">
        <w:rPr>
          <w:rFonts w:ascii="Times New Roman" w:eastAsiaTheme="minorEastAsia" w:hAnsi="Times New Roman" w:cs="Times New Roman"/>
          <w:sz w:val="22"/>
          <w:szCs w:val="22"/>
          <w:lang w:val="pt-BR"/>
        </w:rPr>
        <w:t>3</w:t>
      </w:r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>; Fernanda Ferradeira Latorre</w:t>
      </w:r>
      <w:r w:rsidR="009E253E">
        <w:rPr>
          <w:rFonts w:ascii="Times New Roman" w:eastAsiaTheme="minorEastAsia" w:hAnsi="Times New Roman" w:cs="Times New Roman"/>
          <w:sz w:val="22"/>
          <w:szCs w:val="22"/>
          <w:lang w:val="pt-BR"/>
        </w:rPr>
        <w:t>4</w:t>
      </w:r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>; Andressa Bueno Carvalho</w:t>
      </w:r>
      <w:r w:rsidR="009E253E">
        <w:rPr>
          <w:rFonts w:ascii="Times New Roman" w:eastAsiaTheme="minorEastAsia" w:hAnsi="Times New Roman" w:cs="Times New Roman"/>
          <w:sz w:val="22"/>
          <w:szCs w:val="22"/>
          <w:lang w:val="pt-BR"/>
        </w:rPr>
        <w:t>5</w:t>
      </w:r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>; Marcela Soares</w:t>
      </w:r>
      <w:r w:rsidR="009E253E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Pereira Gomes6</w:t>
      </w:r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>; Renata Barreto da Silva</w:t>
      </w:r>
      <w:r w:rsidR="009E253E">
        <w:rPr>
          <w:rFonts w:ascii="Times New Roman" w:eastAsiaTheme="minorEastAsia" w:hAnsi="Times New Roman" w:cs="Times New Roman"/>
          <w:sz w:val="22"/>
          <w:szCs w:val="22"/>
          <w:lang w:val="pt-BR"/>
        </w:rPr>
        <w:t>7</w:t>
      </w:r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; </w:t>
      </w:r>
      <w:r w:rsidR="009E253E" w:rsidRPr="009E253E">
        <w:rPr>
          <w:rFonts w:ascii="Times New Roman" w:eastAsiaTheme="minorEastAsia" w:hAnsi="Times New Roman" w:cs="Times New Roman"/>
          <w:sz w:val="22"/>
          <w:szCs w:val="22"/>
          <w:lang w:val="pt-BR"/>
        </w:rPr>
        <w:t>Júlia Diniz Marra Vieira</w:t>
      </w:r>
      <w:r w:rsidR="009E253E">
        <w:rPr>
          <w:rFonts w:ascii="Times New Roman" w:eastAsiaTheme="minorEastAsia" w:hAnsi="Times New Roman" w:cs="Times New Roman"/>
          <w:sz w:val="22"/>
          <w:szCs w:val="22"/>
          <w:lang w:val="pt-BR"/>
        </w:rPr>
        <w:t>8</w:t>
      </w:r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>; Luísa Diniz Marra Vieira</w:t>
      </w:r>
      <w:r w:rsidR="009E253E">
        <w:rPr>
          <w:rFonts w:ascii="Times New Roman" w:eastAsiaTheme="minorEastAsia" w:hAnsi="Times New Roman" w:cs="Times New Roman"/>
          <w:sz w:val="22"/>
          <w:szCs w:val="22"/>
          <w:lang w:val="pt-BR"/>
        </w:rPr>
        <w:t>9</w:t>
      </w:r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; Pedro </w:t>
      </w:r>
      <w:proofErr w:type="spellStart"/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>Pomarico</w:t>
      </w:r>
      <w:proofErr w:type="spellEnd"/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de Oliveira</w:t>
      </w:r>
      <w:r w:rsidR="009E253E">
        <w:rPr>
          <w:rFonts w:ascii="Times New Roman" w:eastAsiaTheme="minorEastAsia" w:hAnsi="Times New Roman" w:cs="Times New Roman"/>
          <w:sz w:val="22"/>
          <w:szCs w:val="22"/>
          <w:lang w:val="pt-BR"/>
        </w:rPr>
        <w:t>10</w:t>
      </w:r>
      <w:r w:rsidRPr="000E4587">
        <w:rPr>
          <w:rFonts w:ascii="Times New Roman" w:eastAsiaTheme="minorEastAsia" w:hAnsi="Times New Roman" w:cs="Times New Roman"/>
          <w:sz w:val="22"/>
          <w:szCs w:val="22"/>
          <w:lang w:val="pt-BR"/>
        </w:rPr>
        <w:t>.</w:t>
      </w:r>
    </w:p>
    <w:p w14:paraId="77817D73" w14:textId="77777777" w:rsidR="000E4587" w:rsidRPr="000E4587" w:rsidRDefault="000E4587" w:rsidP="00C23F94">
      <w:pPr>
        <w:pStyle w:val="Corpodetexto"/>
        <w:spacing w:before="8"/>
        <w:jc w:val="center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3E807099" w14:textId="7E6A703E" w:rsidR="000E4587" w:rsidRPr="000E4587" w:rsidRDefault="000E4587" w:rsidP="000E4587">
      <w:pPr>
        <w:spacing w:before="1"/>
        <w:jc w:val="both"/>
        <w:rPr>
          <w:rFonts w:ascii="Times New Roman" w:eastAsiaTheme="minorEastAsia" w:hAnsi="Times New Roman" w:cs="Times New Roman"/>
          <w:lang w:val="pt-BR"/>
        </w:rPr>
      </w:pPr>
      <w:r w:rsidRPr="000E4587">
        <w:rPr>
          <w:rFonts w:ascii="Times New Roman" w:eastAsiaTheme="minorEastAsia" w:hAnsi="Times New Roman" w:cs="Times New Roman"/>
          <w:b/>
          <w:bCs/>
          <w:lang w:val="pt-BR"/>
        </w:rPr>
        <w:t>Introdução:</w:t>
      </w:r>
      <w:r w:rsidRPr="000E4587">
        <w:rPr>
          <w:rFonts w:ascii="Times New Roman" w:eastAsiaTheme="minorEastAsia" w:hAnsi="Times New Roman" w:cs="Times New Roman"/>
          <w:lang w:val="pt-BR"/>
        </w:rPr>
        <w:t xml:space="preserve"> Os pacientes pós-operatórios são propensos a alterações eletrolíticas relacionadas à perda de sangue e fluidos corporais, à resposta ao estresse, à administração intravenosa de líquidos, à transfusão de sangue e à doença cirúrgica subjacente. Anormalidades eletrolíticas observadas no período pós-operatório geralmente resultam da administração de fluidos intravenosos, deslocamentos de fluidos, transfusão e suporte nutricional parenteral. As deficiências eletrolíticas podem ser substituídas usando a via intravenosa ou enteral. Uma ou outra via de administração pode ser mais apropriada, dependendo da situação clínica. Embora uma substituição administrada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enteralmente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 seja preferida para aqueles com função intestinal, estas podem ser mal toleradas ou não viáveis em pacientes pós-operatórios. Para pacientes com deficiência eletrolítica moderada a grave, a administração intravenosa fornece entrega confiável e rápida. O excesso de eletrólito em pacientes pós-operatórios está frequentemente relacionado à doença subjacente para a qual a cirurgia foi indicada e seu tratamento. </w:t>
      </w:r>
      <w:r w:rsidRPr="000E4587">
        <w:rPr>
          <w:rFonts w:ascii="Times New Roman" w:eastAsiaTheme="minorEastAsia" w:hAnsi="Times New Roman" w:cs="Times New Roman"/>
          <w:b/>
          <w:bCs/>
          <w:lang w:val="pt-BR"/>
        </w:rPr>
        <w:t>Objetivo:</w:t>
      </w:r>
      <w:r w:rsidRPr="000E4587">
        <w:rPr>
          <w:rFonts w:ascii="Times New Roman" w:eastAsiaTheme="minorEastAsia" w:hAnsi="Times New Roman" w:cs="Times New Roman"/>
          <w:lang w:val="pt-BR"/>
        </w:rPr>
        <w:t xml:space="preserve"> discutir anormalidades eletrolíticas no pós-operatório e seu </w:t>
      </w:r>
      <w:proofErr w:type="spellStart"/>
      <w:proofErr w:type="gramStart"/>
      <w:r w:rsidRPr="000E4587">
        <w:rPr>
          <w:rFonts w:ascii="Times New Roman" w:eastAsiaTheme="minorEastAsia" w:hAnsi="Times New Roman" w:cs="Times New Roman"/>
          <w:lang w:val="pt-BR"/>
        </w:rPr>
        <w:t>manejo.</w:t>
      </w:r>
      <w:r w:rsidRPr="00482D75">
        <w:rPr>
          <w:rFonts w:ascii="Times New Roman" w:eastAsiaTheme="minorEastAsia" w:hAnsi="Times New Roman" w:cs="Times New Roman"/>
          <w:b/>
          <w:bCs/>
          <w:lang w:val="pt-BR"/>
        </w:rPr>
        <w:t>Metodologia</w:t>
      </w:r>
      <w:proofErr w:type="spellEnd"/>
      <w:proofErr w:type="gramEnd"/>
      <w:r w:rsidRPr="00482D75">
        <w:rPr>
          <w:rFonts w:ascii="Times New Roman" w:eastAsiaTheme="minorEastAsia" w:hAnsi="Times New Roman" w:cs="Times New Roman"/>
          <w:b/>
          <w:bCs/>
          <w:lang w:val="pt-BR"/>
        </w:rPr>
        <w:t>:</w:t>
      </w:r>
      <w:r w:rsidRPr="00482D75">
        <w:rPr>
          <w:rFonts w:ascii="Times New Roman" w:eastAsiaTheme="minorEastAsia" w:hAnsi="Times New Roman" w:cs="Times New Roman"/>
          <w:lang w:val="pt-BR"/>
        </w:rPr>
        <w:t xml:space="preserve"> Revisão de literatura a partir de bases de dados da Scielo, da PubMed e da BVS, de abril a junho de 2024, com descritores “</w:t>
      </w:r>
      <w:proofErr w:type="spellStart"/>
      <w:r w:rsidR="00482D75" w:rsidRPr="00482D75">
        <w:rPr>
          <w:rFonts w:ascii="Times New Roman" w:eastAsiaTheme="minorEastAsia" w:hAnsi="Times New Roman" w:cs="Times New Roman"/>
          <w:lang w:val="pt-BR"/>
        </w:rPr>
        <w:t>Electrolytes</w:t>
      </w:r>
      <w:proofErr w:type="spellEnd"/>
      <w:r w:rsidR="00482D75" w:rsidRPr="00482D75">
        <w:rPr>
          <w:rFonts w:ascii="Times New Roman" w:eastAsiaTheme="minorEastAsia" w:hAnsi="Times New Roman" w:cs="Times New Roman"/>
          <w:lang w:val="pt-BR"/>
        </w:rPr>
        <w:t>”; “Management” e “</w:t>
      </w:r>
      <w:proofErr w:type="spellStart"/>
      <w:r w:rsidR="00482D75" w:rsidRPr="00482D75">
        <w:rPr>
          <w:rFonts w:ascii="Times New Roman" w:eastAsiaTheme="minorEastAsia" w:hAnsi="Times New Roman" w:cs="Times New Roman"/>
          <w:lang w:val="pt-BR"/>
        </w:rPr>
        <w:t>Postoperative</w:t>
      </w:r>
      <w:proofErr w:type="spellEnd"/>
      <w:r w:rsidRPr="00482D75">
        <w:rPr>
          <w:rFonts w:ascii="Times New Roman" w:eastAsiaTheme="minorEastAsia" w:hAnsi="Times New Roman" w:cs="Times New Roman"/>
          <w:lang w:val="pt-BR"/>
        </w:rPr>
        <w:t xml:space="preserve">”. Incluíram-se artigos de 2019-2024 (total </w:t>
      </w:r>
      <w:r w:rsidR="00482D75" w:rsidRPr="00482D75">
        <w:rPr>
          <w:rFonts w:ascii="Times New Roman" w:eastAsiaTheme="minorEastAsia" w:hAnsi="Times New Roman" w:cs="Times New Roman"/>
          <w:lang w:val="pt-BR"/>
        </w:rPr>
        <w:t>39</w:t>
      </w:r>
      <w:r w:rsidRPr="00482D75">
        <w:rPr>
          <w:rFonts w:ascii="Times New Roman" w:eastAsiaTheme="minorEastAsia" w:hAnsi="Times New Roman" w:cs="Times New Roman"/>
          <w:lang w:val="pt-BR"/>
        </w:rPr>
        <w:t>), com exclusão de outros critérios e escolha de 05 artigos na íntegra.</w:t>
      </w:r>
      <w:r w:rsidR="007A15C5">
        <w:rPr>
          <w:rFonts w:ascii="Times New Roman" w:eastAsiaTheme="minorEastAsia" w:hAnsi="Times New Roman" w:cs="Times New Roman"/>
          <w:lang w:val="pt-BR"/>
        </w:rPr>
        <w:t xml:space="preserve"> </w:t>
      </w:r>
      <w:r w:rsidRPr="00482D75">
        <w:rPr>
          <w:rFonts w:ascii="Times New Roman" w:eastAsiaTheme="minorEastAsia" w:hAnsi="Times New Roman" w:cs="Times New Roman"/>
          <w:b/>
          <w:bCs/>
          <w:lang w:val="pt-BR"/>
        </w:rPr>
        <w:t>Resultados e Discussão</w:t>
      </w:r>
      <w:r w:rsidRPr="000E4587">
        <w:rPr>
          <w:rFonts w:ascii="Times New Roman" w:eastAsiaTheme="minorEastAsia" w:hAnsi="Times New Roman" w:cs="Times New Roman"/>
          <w:lang w:val="pt-BR"/>
        </w:rPr>
        <w:t xml:space="preserve">: Uma variedade de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cristalóides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 é usada na ressuscitação de fluidos após a cirurgia, incluindo cloreto de sódio a 0,9%, solução de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Lactated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 Ringer (LR) e soluções de sal equilibradas, como Plasma-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Lyte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. Dependendo da solução escolhida, os receptores de um grande volume de líquido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cristalóide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 intravenoso pode desenvolver acidose metabólica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hiperclorêmica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 e deficiência de eletrólitos de diluição (ou seja, hiponatremia, hipocalcemia,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hipomagnesemia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, hipocalemia). Ressuscitação de cloreto de sódio de 0,9% de grande volume gera uma acidose metabólica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hiperclorêmica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 e vasoconstrição renal, ambas contribuindo para a retenção de água imprevisível e desarranjo eletrolítico. Em muitos casos, a acidose pode ser evitada com o uso de uma solução contendo menos cloreto do que 0,9% de cloreto de sódio, como LR ou Plasma-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Lyte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. No entanto, as soluções salinas equilibradas são mais caras do que a LR, e a LR tem uma concentração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subfisiológica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 de sódio (130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mEq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>/L), o que pode resultar em hiponatremia quando administrada em excesso.</w:t>
      </w:r>
    </w:p>
    <w:p w14:paraId="4CC42518" w14:textId="1C9FEC33" w:rsidR="000E4587" w:rsidRPr="000E4587" w:rsidRDefault="000E4587" w:rsidP="000E4587">
      <w:pPr>
        <w:spacing w:before="1"/>
        <w:jc w:val="both"/>
        <w:rPr>
          <w:rFonts w:ascii="Times New Roman" w:eastAsiaTheme="minorEastAsia" w:hAnsi="Times New Roman" w:cs="Times New Roman"/>
          <w:lang w:val="pt-BR"/>
        </w:rPr>
      </w:pPr>
      <w:r w:rsidRPr="000E4587">
        <w:rPr>
          <w:rFonts w:ascii="Times New Roman" w:eastAsiaTheme="minorEastAsia" w:hAnsi="Times New Roman" w:cs="Times New Roman"/>
          <w:lang w:val="pt-BR"/>
        </w:rPr>
        <w:t xml:space="preserve">Durante e após a cirurgia, o estresse cirúrgico resulta na liberação do hormônio antidiurético. O ADH atua no rim para reter a água. Em pacientes pós-cirúrgicos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normovolêmicos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>, a administração de sódio adicional (ou seja, cloreto de sódio a 0,9%) pode resultar em uma queda paradoxal na concentração de sódio porque o sódio contido nessas soluções é excretado na urina, resultando na retenção líquida de água livre de eletrólitos. Como resultado, a hiponatremia é comumente observada em pacientes pós-cirúrgicos. Também pode ocorrer se muito LR ou uma solução salina equilibrada for administrada.</w:t>
      </w:r>
      <w:r w:rsidR="007A15C5">
        <w:rPr>
          <w:rFonts w:ascii="Times New Roman" w:eastAsiaTheme="minorEastAsia" w:hAnsi="Times New Roman" w:cs="Times New Roman"/>
          <w:lang w:val="pt-BR"/>
        </w:rPr>
        <w:t xml:space="preserve"> </w:t>
      </w:r>
      <w:r w:rsidRPr="000E4587">
        <w:rPr>
          <w:rFonts w:ascii="Times New Roman" w:eastAsiaTheme="minorEastAsia" w:hAnsi="Times New Roman" w:cs="Times New Roman"/>
          <w:lang w:val="pt-BR"/>
        </w:rPr>
        <w:t xml:space="preserve">Além da liberação de ADH em resposta ao estresse cirúrgico, a aldosterona é liberada em resposta à hipotensão ou hipovolemia. Atua no rim para reter sódio e desperdiçar potássio. O grau dessa resposta hormonal para um determinado paciente ou tipo de </w:t>
      </w:r>
      <w:r w:rsidRPr="000E4587">
        <w:rPr>
          <w:rFonts w:ascii="Times New Roman" w:eastAsiaTheme="minorEastAsia" w:hAnsi="Times New Roman" w:cs="Times New Roman"/>
          <w:lang w:val="pt-BR"/>
        </w:rPr>
        <w:lastRenderedPageBreak/>
        <w:t xml:space="preserve">cirurgia é altamente variável, assim como o grau de alteração eletrolítica associada. Embora o volume intravascular seja restaurado, os níveis de potássio são imprevisivelmente afetados. Este processo é agravado pela administração de doses supernormais de sódio com terapia fluida intravenosa durante e após a </w:t>
      </w:r>
      <w:proofErr w:type="spellStart"/>
      <w:proofErr w:type="gramStart"/>
      <w:r w:rsidRPr="000E4587">
        <w:rPr>
          <w:rFonts w:ascii="Times New Roman" w:eastAsiaTheme="minorEastAsia" w:hAnsi="Times New Roman" w:cs="Times New Roman"/>
          <w:lang w:val="pt-BR"/>
        </w:rPr>
        <w:t>cirurgia.Parte</w:t>
      </w:r>
      <w:proofErr w:type="spellEnd"/>
      <w:proofErr w:type="gramEnd"/>
      <w:r w:rsidRPr="000E4587">
        <w:rPr>
          <w:rFonts w:ascii="Times New Roman" w:eastAsiaTheme="minorEastAsia" w:hAnsi="Times New Roman" w:cs="Times New Roman"/>
          <w:lang w:val="pt-BR"/>
        </w:rPr>
        <w:t xml:space="preserve"> da resposta ao estresse à cirurgia inclui a liberação de aldosterona, que contribui para a depuração de magnésio no rim. Assim, o magnésio é reposto de forma mais agressiva em pacientes cirúrgicos.</w:t>
      </w:r>
    </w:p>
    <w:p w14:paraId="1BCFEB0E" w14:textId="77777777" w:rsidR="000E4587" w:rsidRPr="000E4587" w:rsidRDefault="000E4587" w:rsidP="000E4587">
      <w:pPr>
        <w:spacing w:before="1"/>
        <w:jc w:val="both"/>
        <w:rPr>
          <w:rFonts w:ascii="Times New Roman" w:eastAsiaTheme="minorEastAsia" w:hAnsi="Times New Roman" w:cs="Times New Roman"/>
          <w:lang w:val="pt-BR"/>
        </w:rPr>
      </w:pPr>
      <w:r w:rsidRPr="000E4587">
        <w:rPr>
          <w:rFonts w:ascii="Times New Roman" w:eastAsiaTheme="minorEastAsia" w:hAnsi="Times New Roman" w:cs="Times New Roman"/>
          <w:lang w:val="pt-BR"/>
        </w:rPr>
        <w:t xml:space="preserve">Os efeitos da transfusão no desenvolvimento de anormalidades eletrolíticas pós-operatórias dependem da quantidade administrada, do estado clínico do paciente, da temperatura do sangue quando é transfundido e da duração do armazenamento do sangue. A hipercalemia pode ser observada após a transfusão de glóbulos vermelhos. À medida que os glóbulos vermelhos armazenados envelhecem, eles lise, vazando potássio para o fluido extracelular. Dessa forma, o sangue mais velho tende a conter mais potássio extracelular. Quando o citrato, um aditivo de glóbulos vermelhos, é administrado, pode resultar na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quelação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 de eletrólitos séricos, resultando em hipocalemia, hipocalcemia ou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hipomagnesemia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>.</w:t>
      </w:r>
    </w:p>
    <w:p w14:paraId="127929B1" w14:textId="77777777" w:rsidR="000E4587" w:rsidRPr="000E4587" w:rsidRDefault="000E4587" w:rsidP="000E4587">
      <w:pPr>
        <w:spacing w:before="1"/>
        <w:jc w:val="both"/>
        <w:rPr>
          <w:rFonts w:ascii="Times New Roman" w:eastAsiaTheme="minorEastAsia" w:hAnsi="Times New Roman" w:cs="Times New Roman"/>
          <w:lang w:val="pt-BR"/>
        </w:rPr>
      </w:pPr>
      <w:r w:rsidRPr="000E4587">
        <w:rPr>
          <w:rFonts w:ascii="Times New Roman" w:eastAsiaTheme="minorEastAsia" w:hAnsi="Times New Roman" w:cs="Times New Roman"/>
          <w:lang w:val="pt-BR"/>
        </w:rPr>
        <w:t>Para evitar complicações da deficiência de eletrólitos no período pós-operatório (por exemplo, íleo, arritmia, convulsão), as deficiências eletrolíticas devem ser identificadas e tratadas. A substituição de eletrólitos para uma meta de níveis normais de eletrólitos séricos (conforme definido para uma instituição específica) é uma prática segura. Para o paciente com perdas contínuas, alvo no meio da faixa normal</w:t>
      </w:r>
    </w:p>
    <w:p w14:paraId="4D412838" w14:textId="77777777" w:rsidR="000E4587" w:rsidRPr="000E4587" w:rsidRDefault="000E4587" w:rsidP="000E4587">
      <w:pPr>
        <w:spacing w:before="1"/>
        <w:jc w:val="both"/>
        <w:rPr>
          <w:rFonts w:ascii="Times New Roman" w:eastAsiaTheme="minorEastAsia" w:hAnsi="Times New Roman" w:cs="Times New Roman"/>
          <w:lang w:val="pt-BR"/>
        </w:rPr>
      </w:pPr>
      <w:r w:rsidRPr="000E4587">
        <w:rPr>
          <w:rFonts w:ascii="Times New Roman" w:eastAsiaTheme="minorEastAsia" w:hAnsi="Times New Roman" w:cs="Times New Roman"/>
          <w:b/>
          <w:bCs/>
          <w:lang w:val="pt-BR"/>
        </w:rPr>
        <w:t>Conclusão:</w:t>
      </w:r>
      <w:r w:rsidRPr="000E4587">
        <w:rPr>
          <w:rFonts w:ascii="Times New Roman" w:eastAsiaTheme="minorEastAsia" w:hAnsi="Times New Roman" w:cs="Times New Roman"/>
          <w:lang w:val="pt-BR"/>
        </w:rPr>
        <w:t xml:space="preserve"> Os pacientes pós-operatórios são propensos a anormalidades eletrolíticas resultantes de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fluidoterapia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 intravenosa, transfusão, hormônios do estresse, suporte nutricional, síndrome de realimentação, anormalidade ácido-base, perda de líquidos e trauma tecidual. O excesso de perda urinária pode ocorrer com </w:t>
      </w:r>
      <w:proofErr w:type="spellStart"/>
      <w:r w:rsidRPr="000E4587">
        <w:rPr>
          <w:rFonts w:ascii="Times New Roman" w:eastAsiaTheme="minorEastAsia" w:hAnsi="Times New Roman" w:cs="Times New Roman"/>
          <w:lang w:val="pt-BR"/>
        </w:rPr>
        <w:t>autodiurese</w:t>
      </w:r>
      <w:proofErr w:type="spellEnd"/>
      <w:r w:rsidRPr="000E4587">
        <w:rPr>
          <w:rFonts w:ascii="Times New Roman" w:eastAsiaTheme="minorEastAsia" w:hAnsi="Times New Roman" w:cs="Times New Roman"/>
          <w:lang w:val="pt-BR"/>
        </w:rPr>
        <w:t xml:space="preserve"> durante a recuperação de cirurgia ou trauma craniano. A condição médica subjacente do paciente e o tratamento de outras comorbidades também contribuem para a desorganização eletrolítica.</w:t>
      </w:r>
    </w:p>
    <w:p w14:paraId="31CFC058" w14:textId="77777777" w:rsidR="000E4587" w:rsidRPr="000E4587" w:rsidRDefault="000E4587" w:rsidP="000E4587">
      <w:pPr>
        <w:spacing w:before="1"/>
        <w:rPr>
          <w:rFonts w:ascii="Times New Roman" w:eastAsiaTheme="minorEastAsia" w:hAnsi="Times New Roman" w:cs="Times New Roman"/>
          <w:b/>
          <w:bCs/>
          <w:lang w:val="pt-BR"/>
        </w:rPr>
      </w:pPr>
    </w:p>
    <w:p w14:paraId="20B1562F" w14:textId="77777777" w:rsidR="000E4587" w:rsidRDefault="000E4587" w:rsidP="000E4587">
      <w:pPr>
        <w:spacing w:before="1"/>
        <w:rPr>
          <w:rFonts w:ascii="Times New Roman" w:eastAsiaTheme="minorEastAsia" w:hAnsi="Times New Roman" w:cs="Times New Roman"/>
          <w:b/>
          <w:bCs/>
          <w:lang w:val="pt-BR"/>
        </w:rPr>
      </w:pPr>
      <w:r w:rsidRPr="000E4587">
        <w:rPr>
          <w:rFonts w:ascii="Times New Roman" w:eastAsiaTheme="minorEastAsia" w:hAnsi="Times New Roman" w:cs="Times New Roman"/>
          <w:b/>
          <w:bCs/>
          <w:lang w:val="pt-BR"/>
        </w:rPr>
        <w:t xml:space="preserve">Palavras-chave: </w:t>
      </w:r>
      <w:r w:rsidRPr="000E4587">
        <w:rPr>
          <w:rFonts w:ascii="Times New Roman" w:eastAsiaTheme="minorEastAsia" w:hAnsi="Times New Roman" w:cs="Times New Roman"/>
          <w:lang w:val="pt-BR"/>
        </w:rPr>
        <w:t>Eletrólitos; Manejo; Pós-operatório.</w:t>
      </w:r>
    </w:p>
    <w:p w14:paraId="235AB8C9" w14:textId="3993FA6D" w:rsidR="00687F3F" w:rsidRPr="00DC3AC3" w:rsidRDefault="00000000" w:rsidP="000E4587">
      <w:pPr>
        <w:spacing w:before="1"/>
        <w:rPr>
          <w:rFonts w:ascii="Times New Roman" w:eastAsiaTheme="minorEastAsia" w:hAnsi="Times New Roman" w:cs="Times New Roman"/>
          <w:b/>
          <w:bCs/>
        </w:rPr>
      </w:pPr>
      <w:r w:rsidRPr="00DC3AC3">
        <w:rPr>
          <w:rFonts w:ascii="Times New Roman" w:eastAsiaTheme="minorEastAsia" w:hAnsi="Times New Roman" w:cs="Times New Roman"/>
          <w:b/>
          <w:bCs/>
        </w:rPr>
        <w:t xml:space="preserve">E-mail do autor principal: </w:t>
      </w:r>
      <w:hyperlink r:id="rId6" w:history="1">
        <w:r w:rsidR="000E4587" w:rsidRPr="008B0F35">
          <w:rPr>
            <w:rStyle w:val="Hyperlink"/>
            <w:rFonts w:ascii="Times New Roman" w:eastAsiaTheme="minorEastAsia" w:hAnsi="Times New Roman" w:cs="Times New Roman"/>
            <w:b/>
            <w:bCs/>
          </w:rPr>
          <w:t>cmaganhinmed@gmail.com</w:t>
        </w:r>
      </w:hyperlink>
    </w:p>
    <w:p w14:paraId="0D71D15B" w14:textId="77777777" w:rsidR="00DC3AC3" w:rsidRPr="00DC3AC3" w:rsidRDefault="00DC3AC3">
      <w:pPr>
        <w:spacing w:before="1"/>
        <w:ind w:left="11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A6FC013" w14:textId="77777777" w:rsidR="00687F3F" w:rsidRDefault="00687F3F">
      <w:pPr>
        <w:pStyle w:val="Corpodetexto"/>
        <w:rPr>
          <w:sz w:val="24"/>
        </w:rPr>
      </w:pPr>
    </w:p>
    <w:p w14:paraId="4F45D30E" w14:textId="4C81CA11" w:rsidR="00DC3AC3" w:rsidRPr="000E4587" w:rsidRDefault="00DC3AC3" w:rsidP="00DC3AC3">
      <w:pPr>
        <w:jc w:val="both"/>
        <w:rPr>
          <w:rFonts w:ascii="Times New Roman" w:eastAsiaTheme="minorEastAsia" w:hAnsi="Times New Roman" w:cs="Times New Roman"/>
          <w:b/>
          <w:bCs/>
          <w:u w:val="single"/>
          <w:lang w:val="en-US"/>
        </w:rPr>
      </w:pPr>
      <w:r w:rsidRPr="000E4587">
        <w:rPr>
          <w:rFonts w:ascii="Times New Roman" w:eastAsiaTheme="minorEastAsia" w:hAnsi="Times New Roman" w:cs="Times New Roman"/>
          <w:b/>
          <w:bCs/>
          <w:u w:val="single"/>
          <w:lang w:val="en-US"/>
        </w:rPr>
        <w:t>REFERÊNCIAS:</w:t>
      </w:r>
    </w:p>
    <w:p w14:paraId="2BE2EDBD" w14:textId="77777777" w:rsidR="000E4587" w:rsidRPr="000E4587" w:rsidRDefault="000E4587" w:rsidP="000E4587">
      <w:pPr>
        <w:pStyle w:val="PargrafodaLista"/>
        <w:numPr>
          <w:ilvl w:val="0"/>
          <w:numId w:val="4"/>
        </w:numPr>
        <w:autoSpaceDE/>
        <w:autoSpaceDN/>
        <w:contextualSpacing/>
        <w:jc w:val="both"/>
        <w:rPr>
          <w:rFonts w:ascii="Times New Roman" w:eastAsiaTheme="minorEastAsia" w:hAnsi="Times New Roman" w:cs="Times New Roman"/>
        </w:rPr>
      </w:pPr>
      <w:r w:rsidRPr="000E4587">
        <w:rPr>
          <w:rFonts w:ascii="Times New Roman" w:eastAsiaTheme="minorEastAsia" w:hAnsi="Times New Roman" w:cs="Times New Roman"/>
          <w:lang w:val="en-US"/>
        </w:rPr>
        <w:t xml:space="preserve">Chowdhury AH, Cox EF, Francis ST, Lobo DN. </w:t>
      </w:r>
      <w:r w:rsidRPr="000E4587">
        <w:rPr>
          <w:rFonts w:ascii="Times New Roman" w:eastAsiaTheme="minorEastAsia" w:hAnsi="Times New Roman" w:cs="Times New Roman"/>
        </w:rPr>
        <w:t>Um estudo cruzado randomizado, controlado e duplo-cego sobre os efeitos das infusões de 2-L de 0,9% de solução salina e plasma-lyte® 148 na velocidade do fluxo sanguíneo renal e na perfusão do tecido cortical renal em voluntários saudáveis. Ann Surg 2012; 256:18.</w:t>
      </w:r>
    </w:p>
    <w:p w14:paraId="3BC72881" w14:textId="77777777" w:rsidR="000E4587" w:rsidRPr="000E4587" w:rsidRDefault="000E4587" w:rsidP="000E4587">
      <w:pPr>
        <w:pStyle w:val="PargrafodaLista"/>
        <w:numPr>
          <w:ilvl w:val="0"/>
          <w:numId w:val="4"/>
        </w:num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en-US"/>
        </w:rPr>
      </w:pPr>
      <w:r w:rsidRPr="000E4587">
        <w:rPr>
          <w:rFonts w:ascii="Times New Roman" w:eastAsiaTheme="minorEastAsia" w:hAnsi="Times New Roman" w:cs="Times New Roman"/>
        </w:rPr>
        <w:t xml:space="preserve">Russell JA. Revisão do banco à cabeceira: Vasopressina no manejo do choque séptico. </w:t>
      </w:r>
      <w:r w:rsidRPr="000E4587">
        <w:rPr>
          <w:rFonts w:ascii="Times New Roman" w:eastAsiaTheme="minorEastAsia" w:hAnsi="Times New Roman" w:cs="Times New Roman"/>
          <w:lang w:val="en-US"/>
        </w:rPr>
        <w:t>Crit Care 2011; 15:226.</w:t>
      </w:r>
    </w:p>
    <w:p w14:paraId="6269A338" w14:textId="77777777" w:rsidR="000E4587" w:rsidRPr="000E4587" w:rsidRDefault="000E4587" w:rsidP="000E4587">
      <w:pPr>
        <w:pStyle w:val="PargrafodaLista"/>
        <w:numPr>
          <w:ilvl w:val="0"/>
          <w:numId w:val="4"/>
        </w:numPr>
        <w:autoSpaceDE/>
        <w:autoSpaceDN/>
        <w:contextualSpacing/>
        <w:jc w:val="both"/>
        <w:rPr>
          <w:rFonts w:ascii="Times New Roman" w:eastAsiaTheme="minorEastAsia" w:hAnsi="Times New Roman" w:cs="Times New Roman"/>
        </w:rPr>
      </w:pPr>
      <w:r w:rsidRPr="000E4587">
        <w:rPr>
          <w:rFonts w:ascii="Times New Roman" w:eastAsiaTheme="minorEastAsia" w:hAnsi="Times New Roman" w:cs="Times New Roman"/>
          <w:lang w:val="en-US"/>
        </w:rPr>
        <w:t xml:space="preserve">Steele A, Gowrishankar M, Abrahamson S, et al. </w:t>
      </w:r>
      <w:r w:rsidRPr="000E4587">
        <w:rPr>
          <w:rFonts w:ascii="Times New Roman" w:eastAsiaTheme="minorEastAsia" w:hAnsi="Times New Roman" w:cs="Times New Roman"/>
        </w:rPr>
        <w:t>Hiponatremia pós-operatória apesar da infusão de solução salina quase isotônica: um fenômeno de dessalinização. Ann Intern Med 1997; 126:20.</w:t>
      </w:r>
    </w:p>
    <w:p w14:paraId="09A78AB1" w14:textId="77777777" w:rsidR="000E4587" w:rsidRPr="000E4587" w:rsidRDefault="000E4587" w:rsidP="000E4587">
      <w:pPr>
        <w:pStyle w:val="PargrafodaLista"/>
        <w:numPr>
          <w:ilvl w:val="0"/>
          <w:numId w:val="4"/>
        </w:numPr>
        <w:autoSpaceDE/>
        <w:autoSpaceDN/>
        <w:contextualSpacing/>
        <w:jc w:val="both"/>
        <w:rPr>
          <w:rFonts w:ascii="Times New Roman" w:eastAsiaTheme="minorEastAsia" w:hAnsi="Times New Roman" w:cs="Times New Roman"/>
        </w:rPr>
      </w:pPr>
      <w:proofErr w:type="spellStart"/>
      <w:r w:rsidRPr="000E4587">
        <w:rPr>
          <w:rFonts w:ascii="Times New Roman" w:eastAsiaTheme="minorEastAsia" w:hAnsi="Times New Roman" w:cs="Times New Roman"/>
          <w:lang w:val="en-US"/>
        </w:rPr>
        <w:t>Awad</w:t>
      </w:r>
      <w:proofErr w:type="spellEnd"/>
      <w:r w:rsidRPr="000E4587">
        <w:rPr>
          <w:rFonts w:ascii="Times New Roman" w:eastAsiaTheme="minorEastAsia" w:hAnsi="Times New Roman" w:cs="Times New Roman"/>
          <w:lang w:val="en-US"/>
        </w:rPr>
        <w:t xml:space="preserve"> S, Allison SP, Lobo DN. </w:t>
      </w:r>
      <w:r w:rsidRPr="000E4587">
        <w:rPr>
          <w:rFonts w:ascii="Times New Roman" w:eastAsiaTheme="minorEastAsia" w:hAnsi="Times New Roman" w:cs="Times New Roman"/>
        </w:rPr>
        <w:t>A história da salina de 0,9%. Clin Nutr 2008; 27:179.</w:t>
      </w:r>
    </w:p>
    <w:p w14:paraId="7B8058A0" w14:textId="77777777" w:rsidR="000E4587" w:rsidRDefault="000E4587" w:rsidP="000E4587">
      <w:pPr>
        <w:pStyle w:val="PargrafodaLista"/>
        <w:numPr>
          <w:ilvl w:val="0"/>
          <w:numId w:val="4"/>
        </w:numPr>
        <w:autoSpaceDE/>
        <w:autoSpaceDN/>
        <w:contextualSpacing/>
        <w:jc w:val="both"/>
        <w:rPr>
          <w:rFonts w:ascii="Times New Roman" w:eastAsiaTheme="minorEastAsia" w:hAnsi="Times New Roman" w:cs="Times New Roman"/>
        </w:rPr>
      </w:pPr>
      <w:r w:rsidRPr="000E4587">
        <w:rPr>
          <w:rFonts w:ascii="Times New Roman" w:eastAsiaTheme="minorEastAsia" w:hAnsi="Times New Roman" w:cs="Times New Roman"/>
        </w:rPr>
        <w:t>Cuesta M, Thompson C. A relevância da hiponatremia para o cuidado perioperatório de pacientes cirúrgicos. Cirurgião 2015; 13:163.</w:t>
      </w:r>
    </w:p>
    <w:p w14:paraId="72B07E8E" w14:textId="77777777" w:rsidR="000E4587" w:rsidRDefault="000E4587" w:rsidP="000E4587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</w:rPr>
      </w:pPr>
    </w:p>
    <w:p w14:paraId="51D1B047" w14:textId="77777777" w:rsidR="000E4587" w:rsidRPr="000E4587" w:rsidRDefault="000E4587" w:rsidP="000E4587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</w:rPr>
      </w:pPr>
    </w:p>
    <w:p w14:paraId="7CA3864D" w14:textId="77777777" w:rsidR="009E253E" w:rsidRPr="009E253E" w:rsidRDefault="009E253E" w:rsidP="009E253E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pt-BR"/>
        </w:rPr>
      </w:pPr>
      <w:r w:rsidRPr="009E253E">
        <w:rPr>
          <w:rFonts w:ascii="Times New Roman" w:eastAsiaTheme="minorEastAsia" w:hAnsi="Times New Roman" w:cs="Times New Roman"/>
          <w:lang w:val="pt-BR"/>
        </w:rPr>
        <w:t>1:  Faculdade Israelita de Ciências da Saúde Albert Einstein; cmaganhinmed@gmail.com</w:t>
      </w:r>
    </w:p>
    <w:p w14:paraId="48D119F1" w14:textId="5B0A92CC" w:rsidR="009E253E" w:rsidRDefault="009E253E" w:rsidP="009E253E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pt-BR"/>
        </w:rPr>
      </w:pPr>
      <w:r w:rsidRPr="009E253E">
        <w:rPr>
          <w:rFonts w:ascii="Times New Roman" w:eastAsiaTheme="minorEastAsia" w:hAnsi="Times New Roman" w:cs="Times New Roman"/>
          <w:lang w:val="pt-BR"/>
        </w:rPr>
        <w:t xml:space="preserve">2: </w:t>
      </w:r>
      <w:proofErr w:type="spellStart"/>
      <w:r w:rsidRPr="009E253E">
        <w:rPr>
          <w:rFonts w:ascii="Times New Roman" w:eastAsiaTheme="minorEastAsia" w:hAnsi="Times New Roman" w:cs="Times New Roman"/>
          <w:lang w:val="pt-BR"/>
        </w:rPr>
        <w:t>Uniube</w:t>
      </w:r>
      <w:proofErr w:type="spellEnd"/>
      <w:r w:rsidRPr="009E253E">
        <w:rPr>
          <w:rFonts w:ascii="Times New Roman" w:eastAsiaTheme="minorEastAsia" w:hAnsi="Times New Roman" w:cs="Times New Roman"/>
          <w:lang w:val="pt-BR"/>
        </w:rPr>
        <w:t xml:space="preserve"> - Universidade de Uberaba</w:t>
      </w:r>
      <w:r>
        <w:rPr>
          <w:rFonts w:ascii="Times New Roman" w:eastAsiaTheme="minorEastAsia" w:hAnsi="Times New Roman" w:cs="Times New Roman"/>
          <w:lang w:val="pt-BR"/>
        </w:rPr>
        <w:t xml:space="preserve">; </w:t>
      </w:r>
      <w:r w:rsidRPr="009E253E">
        <w:rPr>
          <w:rFonts w:ascii="Times New Roman" w:eastAsiaTheme="minorEastAsia" w:hAnsi="Times New Roman" w:cs="Times New Roman"/>
          <w:lang w:val="pt-BR"/>
        </w:rPr>
        <w:t>gustavohenrique5@gmail.com</w:t>
      </w:r>
    </w:p>
    <w:p w14:paraId="4F0E010B" w14:textId="0430A10E" w:rsidR="009E253E" w:rsidRDefault="009E253E" w:rsidP="009E253E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3: </w:t>
      </w:r>
      <w:r w:rsidRPr="009E253E">
        <w:rPr>
          <w:rFonts w:ascii="Times New Roman" w:eastAsiaTheme="minorEastAsia" w:hAnsi="Times New Roman" w:cs="Times New Roman"/>
          <w:lang w:val="pt-BR"/>
        </w:rPr>
        <w:t>Universidade Federal de Lavras (UFLA)</w:t>
      </w:r>
      <w:r>
        <w:rPr>
          <w:rFonts w:ascii="Times New Roman" w:eastAsiaTheme="minorEastAsia" w:hAnsi="Times New Roman" w:cs="Times New Roman"/>
          <w:lang w:val="pt-BR"/>
        </w:rPr>
        <w:t xml:space="preserve">; </w:t>
      </w:r>
      <w:r w:rsidRPr="009E253E">
        <w:rPr>
          <w:rFonts w:ascii="Times New Roman" w:eastAsiaTheme="minorEastAsia" w:hAnsi="Times New Roman" w:cs="Times New Roman"/>
          <w:lang w:val="pt-BR"/>
        </w:rPr>
        <w:t>batistaphc@gmail.com</w:t>
      </w:r>
    </w:p>
    <w:p w14:paraId="7D3510AD" w14:textId="467EBDC0" w:rsidR="009E253E" w:rsidRDefault="009E253E" w:rsidP="009E253E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4: </w:t>
      </w:r>
      <w:r w:rsidRPr="009E253E">
        <w:rPr>
          <w:rFonts w:ascii="Times New Roman" w:eastAsiaTheme="minorEastAsia" w:hAnsi="Times New Roman" w:cs="Times New Roman"/>
          <w:lang w:val="pt-BR"/>
        </w:rPr>
        <w:t xml:space="preserve">Faculdade de </w:t>
      </w:r>
      <w:r>
        <w:rPr>
          <w:rFonts w:ascii="Times New Roman" w:eastAsiaTheme="minorEastAsia" w:hAnsi="Times New Roman" w:cs="Times New Roman"/>
          <w:lang w:val="pt-BR"/>
        </w:rPr>
        <w:t>M</w:t>
      </w:r>
      <w:r w:rsidRPr="009E253E">
        <w:rPr>
          <w:rFonts w:ascii="Times New Roman" w:eastAsiaTheme="minorEastAsia" w:hAnsi="Times New Roman" w:cs="Times New Roman"/>
          <w:lang w:val="pt-BR"/>
        </w:rPr>
        <w:t xml:space="preserve">edicina de </w:t>
      </w:r>
      <w:r>
        <w:rPr>
          <w:rFonts w:ascii="Times New Roman" w:eastAsiaTheme="minorEastAsia" w:hAnsi="Times New Roman" w:cs="Times New Roman"/>
          <w:lang w:val="pt-BR"/>
        </w:rPr>
        <w:t>B</w:t>
      </w:r>
      <w:r w:rsidRPr="009E253E">
        <w:rPr>
          <w:rFonts w:ascii="Times New Roman" w:eastAsiaTheme="minorEastAsia" w:hAnsi="Times New Roman" w:cs="Times New Roman"/>
          <w:lang w:val="pt-BR"/>
        </w:rPr>
        <w:t>arbacena</w:t>
      </w:r>
      <w:r>
        <w:rPr>
          <w:rFonts w:ascii="Times New Roman" w:eastAsiaTheme="minorEastAsia" w:hAnsi="Times New Roman" w:cs="Times New Roman"/>
          <w:lang w:val="pt-BR"/>
        </w:rPr>
        <w:t>; f</w:t>
      </w:r>
      <w:r w:rsidRPr="009E253E">
        <w:rPr>
          <w:rFonts w:ascii="Times New Roman" w:eastAsiaTheme="minorEastAsia" w:hAnsi="Times New Roman" w:cs="Times New Roman"/>
          <w:lang w:val="pt-BR"/>
        </w:rPr>
        <w:t>ernandalatorre@outlook.com</w:t>
      </w:r>
    </w:p>
    <w:p w14:paraId="16492AA0" w14:textId="2100A680" w:rsidR="009E253E" w:rsidRDefault="009E253E" w:rsidP="009E253E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5: </w:t>
      </w:r>
      <w:r w:rsidRPr="009E253E">
        <w:rPr>
          <w:rFonts w:ascii="Times New Roman" w:eastAsiaTheme="minorEastAsia" w:hAnsi="Times New Roman" w:cs="Times New Roman"/>
          <w:lang w:val="pt-BR"/>
        </w:rPr>
        <w:t>Centro universitário IMEPAC</w:t>
      </w:r>
      <w:r>
        <w:rPr>
          <w:rFonts w:ascii="Times New Roman" w:eastAsiaTheme="minorEastAsia" w:hAnsi="Times New Roman" w:cs="Times New Roman"/>
          <w:lang w:val="pt-BR"/>
        </w:rPr>
        <w:t xml:space="preserve">; </w:t>
      </w:r>
      <w:r w:rsidRPr="009E253E">
        <w:rPr>
          <w:rFonts w:ascii="Times New Roman" w:eastAsiaTheme="minorEastAsia" w:hAnsi="Times New Roman" w:cs="Times New Roman"/>
          <w:lang w:val="pt-BR"/>
        </w:rPr>
        <w:t>andressabuenoc@hotmail.com</w:t>
      </w:r>
      <w:r>
        <w:rPr>
          <w:rFonts w:ascii="Times New Roman" w:eastAsiaTheme="minorEastAsia" w:hAnsi="Times New Roman" w:cs="Times New Roman"/>
          <w:lang w:val="pt-BR"/>
        </w:rPr>
        <w:t>;</w:t>
      </w:r>
    </w:p>
    <w:p w14:paraId="71BE5EA6" w14:textId="3E8DCF95" w:rsidR="009E253E" w:rsidRDefault="009E253E" w:rsidP="009E253E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6: </w:t>
      </w:r>
      <w:r w:rsidRPr="009E253E">
        <w:rPr>
          <w:rFonts w:ascii="Times New Roman" w:eastAsiaTheme="minorEastAsia" w:hAnsi="Times New Roman" w:cs="Times New Roman"/>
          <w:lang w:val="pt-BR"/>
        </w:rPr>
        <w:t xml:space="preserve">Universidad internacional </w:t>
      </w:r>
      <w:proofErr w:type="spellStart"/>
      <w:r w:rsidRPr="009E253E">
        <w:rPr>
          <w:rFonts w:ascii="Times New Roman" w:eastAsiaTheme="minorEastAsia" w:hAnsi="Times New Roman" w:cs="Times New Roman"/>
          <w:lang w:val="pt-BR"/>
        </w:rPr>
        <w:t>tres</w:t>
      </w:r>
      <w:proofErr w:type="spellEnd"/>
      <w:r w:rsidRPr="009E253E">
        <w:rPr>
          <w:rFonts w:ascii="Times New Roman" w:eastAsiaTheme="minorEastAsia" w:hAnsi="Times New Roman" w:cs="Times New Roman"/>
          <w:lang w:val="pt-BR"/>
        </w:rPr>
        <w:t xml:space="preserve"> </w:t>
      </w:r>
      <w:proofErr w:type="spellStart"/>
      <w:r w:rsidRPr="009E253E">
        <w:rPr>
          <w:rFonts w:ascii="Times New Roman" w:eastAsiaTheme="minorEastAsia" w:hAnsi="Times New Roman" w:cs="Times New Roman"/>
          <w:lang w:val="pt-BR"/>
        </w:rPr>
        <w:t>fronteras</w:t>
      </w:r>
      <w:proofErr w:type="spellEnd"/>
      <w:r>
        <w:rPr>
          <w:rFonts w:ascii="Times New Roman" w:eastAsiaTheme="minorEastAsia" w:hAnsi="Times New Roman" w:cs="Times New Roman"/>
          <w:lang w:val="pt-BR"/>
        </w:rPr>
        <w:t xml:space="preserve">; </w:t>
      </w:r>
      <w:r w:rsidRPr="009E253E">
        <w:rPr>
          <w:rFonts w:ascii="Times New Roman" w:eastAsiaTheme="minorEastAsia" w:hAnsi="Times New Roman" w:cs="Times New Roman"/>
          <w:lang w:val="pt-BR"/>
        </w:rPr>
        <w:t>Marcelasoarespg1@gmail.com</w:t>
      </w:r>
    </w:p>
    <w:p w14:paraId="251BF690" w14:textId="7780AC23" w:rsidR="009E253E" w:rsidRDefault="009E253E" w:rsidP="009E253E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7: </w:t>
      </w:r>
      <w:r w:rsidRPr="009E253E">
        <w:rPr>
          <w:rFonts w:ascii="Times New Roman" w:eastAsiaTheme="minorEastAsia" w:hAnsi="Times New Roman" w:cs="Times New Roman"/>
          <w:lang w:val="pt-BR"/>
        </w:rPr>
        <w:t xml:space="preserve">Universidad Nacional de Rosario </w:t>
      </w:r>
      <w:r>
        <w:rPr>
          <w:rFonts w:ascii="Times New Roman" w:eastAsiaTheme="minorEastAsia" w:hAnsi="Times New Roman" w:cs="Times New Roman"/>
          <w:lang w:val="pt-BR"/>
        </w:rPr>
        <w:t>–</w:t>
      </w:r>
      <w:r w:rsidRPr="009E253E">
        <w:rPr>
          <w:rFonts w:ascii="Times New Roman" w:eastAsiaTheme="minorEastAsia" w:hAnsi="Times New Roman" w:cs="Times New Roman"/>
          <w:lang w:val="pt-BR"/>
        </w:rPr>
        <w:t xml:space="preserve"> Argentina</w:t>
      </w:r>
      <w:r>
        <w:rPr>
          <w:rFonts w:ascii="Times New Roman" w:eastAsiaTheme="minorEastAsia" w:hAnsi="Times New Roman" w:cs="Times New Roman"/>
          <w:lang w:val="pt-BR"/>
        </w:rPr>
        <w:t xml:space="preserve">; </w:t>
      </w:r>
      <w:r w:rsidRPr="009E253E">
        <w:rPr>
          <w:rFonts w:ascii="Times New Roman" w:eastAsiaTheme="minorEastAsia" w:hAnsi="Times New Roman" w:cs="Times New Roman"/>
          <w:lang w:val="pt-BR"/>
        </w:rPr>
        <w:t>renatta.barretto@hotmail.com</w:t>
      </w:r>
    </w:p>
    <w:p w14:paraId="0B226583" w14:textId="6F733C2E" w:rsidR="009E253E" w:rsidRDefault="009E253E" w:rsidP="009E253E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8: </w:t>
      </w:r>
      <w:r w:rsidRPr="009E253E">
        <w:rPr>
          <w:rFonts w:ascii="Times New Roman" w:eastAsiaTheme="minorEastAsia" w:hAnsi="Times New Roman" w:cs="Times New Roman"/>
          <w:lang w:val="pt-BR"/>
        </w:rPr>
        <w:t>Universidade de Itaúna</w:t>
      </w:r>
      <w:r>
        <w:rPr>
          <w:rFonts w:ascii="Times New Roman" w:eastAsiaTheme="minorEastAsia" w:hAnsi="Times New Roman" w:cs="Times New Roman"/>
          <w:lang w:val="pt-BR"/>
        </w:rPr>
        <w:t xml:space="preserve">; </w:t>
      </w:r>
      <w:r w:rsidRPr="009E253E">
        <w:rPr>
          <w:rFonts w:ascii="Times New Roman" w:eastAsiaTheme="minorEastAsia" w:hAnsi="Times New Roman" w:cs="Times New Roman"/>
          <w:lang w:val="pt-BR"/>
        </w:rPr>
        <w:t>Juliadiniz_021@hotmail.com</w:t>
      </w:r>
    </w:p>
    <w:p w14:paraId="31543EFE" w14:textId="0AF3D6C2" w:rsidR="009E253E" w:rsidRDefault="009E253E" w:rsidP="009E253E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>9</w:t>
      </w:r>
      <w:r>
        <w:rPr>
          <w:rFonts w:ascii="AppleSystemUIFont" w:eastAsiaTheme="minorHAnsi" w:hAnsi="AppleSystemUIFont" w:cs="AppleSystemUIFont"/>
          <w:sz w:val="26"/>
          <w:szCs w:val="26"/>
          <w:lang w:val="pt-BR"/>
        </w:rPr>
        <w:t xml:space="preserve">: </w:t>
      </w:r>
      <w:r w:rsidRPr="009E253E">
        <w:rPr>
          <w:rFonts w:ascii="Times New Roman" w:eastAsiaTheme="minorEastAsia" w:hAnsi="Times New Roman" w:cs="Times New Roman"/>
          <w:lang w:val="pt-BR"/>
        </w:rPr>
        <w:t xml:space="preserve">Universidade </w:t>
      </w:r>
      <w:proofErr w:type="spellStart"/>
      <w:r w:rsidRPr="009E253E">
        <w:rPr>
          <w:rFonts w:ascii="Times New Roman" w:eastAsiaTheme="minorEastAsia" w:hAnsi="Times New Roman" w:cs="Times New Roman"/>
          <w:lang w:val="pt-BR"/>
        </w:rPr>
        <w:t>Unifenas</w:t>
      </w:r>
      <w:proofErr w:type="spellEnd"/>
      <w:r w:rsidRPr="009E253E">
        <w:rPr>
          <w:rFonts w:ascii="Times New Roman" w:eastAsiaTheme="minorEastAsia" w:hAnsi="Times New Roman" w:cs="Times New Roman"/>
          <w:lang w:val="pt-BR"/>
        </w:rPr>
        <w:t xml:space="preserve"> Alfenas</w:t>
      </w:r>
      <w:r>
        <w:rPr>
          <w:rFonts w:ascii="Times New Roman" w:eastAsiaTheme="minorEastAsia" w:hAnsi="Times New Roman" w:cs="Times New Roman"/>
          <w:lang w:val="pt-BR"/>
        </w:rPr>
        <w:t xml:space="preserve">; </w:t>
      </w:r>
      <w:r w:rsidRPr="009E253E">
        <w:rPr>
          <w:rFonts w:ascii="Times New Roman" w:eastAsiaTheme="minorEastAsia" w:hAnsi="Times New Roman" w:cs="Times New Roman"/>
          <w:lang w:val="pt-BR"/>
        </w:rPr>
        <w:t>Luisadinizmv@hotmail.com</w:t>
      </w:r>
    </w:p>
    <w:p w14:paraId="11C01970" w14:textId="0A2B2D0C" w:rsidR="009E253E" w:rsidRDefault="009E253E" w:rsidP="009E253E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lastRenderedPageBreak/>
        <w:t xml:space="preserve">10: </w:t>
      </w:r>
      <w:r w:rsidRPr="009E253E">
        <w:rPr>
          <w:rFonts w:ascii="Times New Roman" w:eastAsiaTheme="minorEastAsia" w:hAnsi="Times New Roman" w:cs="Times New Roman"/>
          <w:lang w:val="pt-BR"/>
        </w:rPr>
        <w:t>Universidade Presidente Antônio Carlos de Juiz de Fora (UNIPAC-JF</w:t>
      </w:r>
      <w:proofErr w:type="gramStart"/>
      <w:r w:rsidRPr="009E253E">
        <w:rPr>
          <w:rFonts w:ascii="Times New Roman" w:eastAsiaTheme="minorEastAsia" w:hAnsi="Times New Roman" w:cs="Times New Roman"/>
          <w:lang w:val="pt-BR"/>
        </w:rPr>
        <w:t>)</w:t>
      </w:r>
      <w:r>
        <w:rPr>
          <w:rFonts w:ascii="Times New Roman" w:eastAsiaTheme="minorEastAsia" w:hAnsi="Times New Roman" w:cs="Times New Roman"/>
          <w:lang w:val="pt-BR"/>
        </w:rPr>
        <w:t>;</w:t>
      </w:r>
      <w:r w:rsidRPr="009E253E">
        <w:rPr>
          <w:rFonts w:ascii="Times New Roman" w:eastAsiaTheme="minorEastAsia" w:hAnsi="Times New Roman" w:cs="Times New Roman"/>
          <w:lang w:val="pt-BR"/>
        </w:rPr>
        <w:t>ppo_97@outlook.com</w:t>
      </w:r>
      <w:proofErr w:type="gramEnd"/>
    </w:p>
    <w:p w14:paraId="50EC093C" w14:textId="77777777" w:rsidR="009E253E" w:rsidRPr="009E253E" w:rsidRDefault="009E253E" w:rsidP="009E253E">
      <w:pPr>
        <w:autoSpaceDE/>
        <w:autoSpaceDN/>
        <w:contextualSpacing/>
        <w:jc w:val="both"/>
        <w:rPr>
          <w:rFonts w:ascii="Times New Roman" w:eastAsiaTheme="minorEastAsia" w:hAnsi="Times New Roman" w:cs="Times New Roman"/>
          <w:lang w:val="pt-BR"/>
        </w:rPr>
      </w:pPr>
    </w:p>
    <w:p w14:paraId="274E4E65" w14:textId="77777777" w:rsidR="009E253E" w:rsidRDefault="009E253E" w:rsidP="009E253E">
      <w:pPr>
        <w:spacing w:before="205"/>
        <w:rPr>
          <w:sz w:val="15"/>
          <w:lang w:val="pt-BR"/>
        </w:rPr>
      </w:pPr>
    </w:p>
    <w:p w14:paraId="0A950B23" w14:textId="0222419A" w:rsidR="009E253E" w:rsidRPr="009E253E" w:rsidRDefault="009E253E" w:rsidP="009E253E">
      <w:pPr>
        <w:spacing w:before="205"/>
        <w:rPr>
          <w:sz w:val="15"/>
          <w:lang w:val="pt-BR"/>
        </w:rPr>
        <w:sectPr w:rsidR="009E253E" w:rsidRPr="009E253E" w:rsidSect="00DC3AC3">
          <w:type w:val="continuous"/>
          <w:pgSz w:w="11910" w:h="16840"/>
          <w:pgMar w:top="1417" w:right="1701" w:bottom="1417" w:left="1701" w:header="720" w:footer="720" w:gutter="0"/>
          <w:cols w:space="720"/>
          <w:docGrid w:linePitch="299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3B5A4D" wp14:editId="52326E6B">
            <wp:simplePos x="0" y="0"/>
            <wp:positionH relativeFrom="page">
              <wp:posOffset>1080135</wp:posOffset>
            </wp:positionH>
            <wp:positionV relativeFrom="paragraph">
              <wp:posOffset>-1270</wp:posOffset>
            </wp:positionV>
            <wp:extent cx="5093348" cy="1670399"/>
            <wp:effectExtent l="0" t="0" r="0" b="0"/>
            <wp:wrapTopAndBottom/>
            <wp:docPr id="3" name="image2.png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Placa azul com letras brancas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348" cy="167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59AB0" w14:textId="3992686B" w:rsidR="00687F3F" w:rsidRDefault="00687F3F">
      <w:pPr>
        <w:pStyle w:val="Corpodetexto"/>
        <w:spacing w:before="2"/>
        <w:rPr>
          <w:sz w:val="22"/>
        </w:rPr>
      </w:pPr>
    </w:p>
    <w:sectPr w:rsidR="00687F3F">
      <w:pgSz w:w="11910" w:h="16840"/>
      <w:pgMar w:top="6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97855"/>
    <w:multiLevelType w:val="hybridMultilevel"/>
    <w:tmpl w:val="296803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5497"/>
    <w:multiLevelType w:val="hybridMultilevel"/>
    <w:tmpl w:val="DACC5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07100"/>
    <w:multiLevelType w:val="hybridMultilevel"/>
    <w:tmpl w:val="9BC42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3A6A"/>
    <w:multiLevelType w:val="hybridMultilevel"/>
    <w:tmpl w:val="42A05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5497">
    <w:abstractNumId w:val="3"/>
  </w:num>
  <w:num w:numId="2" w16cid:durableId="112097545">
    <w:abstractNumId w:val="0"/>
  </w:num>
  <w:num w:numId="3" w16cid:durableId="645401037">
    <w:abstractNumId w:val="1"/>
  </w:num>
  <w:num w:numId="4" w16cid:durableId="1594585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3F"/>
    <w:rsid w:val="000E4587"/>
    <w:rsid w:val="00475E27"/>
    <w:rsid w:val="00482D75"/>
    <w:rsid w:val="00687F3F"/>
    <w:rsid w:val="007A15C5"/>
    <w:rsid w:val="008A19D0"/>
    <w:rsid w:val="009E253E"/>
    <w:rsid w:val="00A456C0"/>
    <w:rsid w:val="00A8532C"/>
    <w:rsid w:val="00C23F94"/>
    <w:rsid w:val="00C8461C"/>
    <w:rsid w:val="00DC3AC3"/>
    <w:rsid w:val="00E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AC81"/>
  <w15:docId w15:val="{060605F2-CFF7-5F4E-AB96-3685C0C9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3"/>
      <w:ind w:left="276" w:right="276"/>
      <w:jc w:val="center"/>
    </w:pPr>
    <w:rPr>
      <w:rFonts w:ascii="Tahoma" w:eastAsia="Tahoma" w:hAnsi="Tahoma" w:cs="Tahoma"/>
      <w:b/>
      <w:bCs/>
      <w:sz w:val="33"/>
      <w:szCs w:val="33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C3A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3AC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E4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ganhinme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1180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TÍTULO DE SER CENTRALIZADO, COM FONTE TIMES NEW ROMAN TAMANHO 14, MÁXIMO 21 PALAVRAS E DEVE ESTAREM CAIXA ALTA.</vt:lpstr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TÍTULO DE SER CENTRALIZADO, COM FONTE TIMES NEW ROMAN TAMANHO 14, MÁXIMO 21 PALAVRAS E DEVE ESTAREM CAIXA ALTA.</dc:title>
  <dc:creator>Gabriel lopes</dc:creator>
  <cp:keywords>DAGLO8lvsuU,BAFdLJ1Rj7I</cp:keywords>
  <cp:lastModifiedBy>Camilla Maganhin</cp:lastModifiedBy>
  <cp:revision>3</cp:revision>
  <dcterms:created xsi:type="dcterms:W3CDTF">2024-08-22T17:49:00Z</dcterms:created>
  <dcterms:modified xsi:type="dcterms:W3CDTF">2024-08-23T00:47:00Z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2024-08-20T00:00:00Z</vt:filetime>
  </property>
</Properties>
</file>