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77463" w14:textId="77777777" w:rsidR="009C2E72" w:rsidRDefault="009C2E72">
      <w:pPr>
        <w:spacing w:line="360" w:lineRule="auto"/>
        <w:rPr>
          <w:sz w:val="24"/>
          <w:szCs w:val="24"/>
        </w:rPr>
      </w:pPr>
    </w:p>
    <w:p w14:paraId="6BF8EFE7" w14:textId="77777777" w:rsidR="009C2E72" w:rsidRDefault="009C2E72">
      <w:pPr>
        <w:spacing w:line="360" w:lineRule="auto"/>
        <w:jc w:val="center"/>
        <w:rPr>
          <w:b/>
          <w:bCs/>
          <w:sz w:val="24"/>
          <w:szCs w:val="24"/>
        </w:rPr>
      </w:pPr>
    </w:p>
    <w:p w14:paraId="48185E17" w14:textId="77777777" w:rsidR="009C2E72" w:rsidRDefault="009C2E72">
      <w:pPr>
        <w:spacing w:line="360" w:lineRule="auto"/>
        <w:jc w:val="center"/>
        <w:rPr>
          <w:b/>
          <w:bCs/>
          <w:sz w:val="24"/>
          <w:szCs w:val="24"/>
        </w:rPr>
      </w:pPr>
    </w:p>
    <w:p w14:paraId="0C11A6B1" w14:textId="5128ABED" w:rsidR="001F533F" w:rsidRPr="00333069" w:rsidRDefault="001F533F" w:rsidP="00343984">
      <w:pPr>
        <w:pStyle w:val="SemEspaamento"/>
        <w:jc w:val="center"/>
        <w:rPr>
          <w:b/>
        </w:rPr>
      </w:pPr>
      <w:r w:rsidRPr="00806FC2">
        <w:rPr>
          <w:b/>
          <w:color w:val="000000" w:themeColor="text1"/>
          <w:sz w:val="24"/>
          <w:szCs w:val="24"/>
        </w:rPr>
        <w:t>CAPACITISMO E PROTEÇÃO JURÍDICA</w:t>
      </w:r>
      <w:r w:rsidRPr="001F533F">
        <w:rPr>
          <w:color w:val="000000" w:themeColor="text1"/>
          <w:sz w:val="24"/>
          <w:szCs w:val="24"/>
        </w:rPr>
        <w:t xml:space="preserve"> </w:t>
      </w:r>
      <w:r w:rsidRPr="00806FC2">
        <w:rPr>
          <w:b/>
          <w:color w:val="000000" w:themeColor="text1"/>
          <w:sz w:val="24"/>
          <w:szCs w:val="24"/>
        </w:rPr>
        <w:t>DAS PESSOAS COM DEFICIÊNCIA</w:t>
      </w:r>
      <w:r w:rsidRPr="001F533F">
        <w:rPr>
          <w:color w:val="000000" w:themeColor="text1"/>
          <w:sz w:val="24"/>
          <w:szCs w:val="24"/>
        </w:rPr>
        <w:t>:</w:t>
      </w:r>
      <w:r w:rsidR="00321BFD">
        <w:rPr>
          <w:color w:val="000000" w:themeColor="text1"/>
          <w:sz w:val="24"/>
          <w:szCs w:val="24"/>
        </w:rPr>
        <w:t xml:space="preserve"> </w:t>
      </w:r>
      <w:r w:rsidR="00333069" w:rsidRPr="00333069">
        <w:rPr>
          <w:b/>
          <w:color w:val="000000" w:themeColor="text1"/>
          <w:sz w:val="24"/>
          <w:szCs w:val="24"/>
        </w:rPr>
        <w:t>A EFETIVIDADE DO DIREITO À IGUALDADE, À INCLUSÃO E À NÃO DISCRIMINAÇÃO</w:t>
      </w:r>
    </w:p>
    <w:p w14:paraId="69DE64DB" w14:textId="76A69100" w:rsidR="009C2E72" w:rsidRPr="001F533F" w:rsidRDefault="009C2E72" w:rsidP="00343984">
      <w:pPr>
        <w:spacing w:line="360" w:lineRule="auto"/>
        <w:jc w:val="center"/>
      </w:pPr>
    </w:p>
    <w:p w14:paraId="12243558" w14:textId="1ED39F0E" w:rsidR="00711457" w:rsidRPr="00711457" w:rsidRDefault="00711457" w:rsidP="00711457">
      <w:pPr>
        <w:tabs>
          <w:tab w:val="left" w:pos="1540"/>
        </w:tabs>
        <w:ind w:left="-360"/>
        <w:jc w:val="right"/>
        <w:rPr>
          <w:sz w:val="24"/>
          <w:szCs w:val="24"/>
        </w:rPr>
      </w:pPr>
      <w:r w:rsidRPr="00711457">
        <w:rPr>
          <w:sz w:val="24"/>
          <w:szCs w:val="24"/>
        </w:rPr>
        <w:t>Vivian Rafaelly Fortes Costa</w:t>
      </w:r>
      <w:r w:rsidRPr="00711457">
        <w:rPr>
          <w:sz w:val="24"/>
          <w:szCs w:val="24"/>
          <w:vertAlign w:val="superscript"/>
        </w:rPr>
        <w:t>1</w:t>
      </w:r>
    </w:p>
    <w:p w14:paraId="121F3EAC" w14:textId="559418F3" w:rsidR="00711457" w:rsidRPr="00711457" w:rsidRDefault="00711457" w:rsidP="00711457">
      <w:pPr>
        <w:tabs>
          <w:tab w:val="left" w:pos="2060"/>
        </w:tabs>
        <w:ind w:left="-360"/>
        <w:jc w:val="right"/>
        <w:rPr>
          <w:sz w:val="24"/>
          <w:szCs w:val="24"/>
        </w:rPr>
      </w:pPr>
      <w:r w:rsidRPr="00711457">
        <w:rPr>
          <w:sz w:val="24"/>
          <w:szCs w:val="24"/>
        </w:rPr>
        <w:t>Francisca Teresa R de Castro Pinheiro</w:t>
      </w:r>
      <w:r w:rsidRPr="00711457">
        <w:rPr>
          <w:sz w:val="24"/>
          <w:szCs w:val="24"/>
          <w:vertAlign w:val="superscript"/>
        </w:rPr>
        <w:t>1</w:t>
      </w:r>
    </w:p>
    <w:p w14:paraId="53B40DD2" w14:textId="634F0103" w:rsidR="00711457" w:rsidRPr="00711457" w:rsidRDefault="00711457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 w:rsidRPr="00711457">
        <w:rPr>
          <w:sz w:val="24"/>
          <w:szCs w:val="24"/>
        </w:rPr>
        <w:t>Kawanna Sofia Santos Alves</w:t>
      </w:r>
      <w:r w:rsidRPr="00711457">
        <w:rPr>
          <w:sz w:val="24"/>
          <w:szCs w:val="24"/>
          <w:vertAlign w:val="superscript"/>
        </w:rPr>
        <w:t>1</w:t>
      </w:r>
    </w:p>
    <w:p w14:paraId="3D831A1D" w14:textId="0DB186E9" w:rsidR="00711457" w:rsidRPr="00711457" w:rsidRDefault="00711457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 w:rsidRPr="00711457">
        <w:rPr>
          <w:sz w:val="24"/>
          <w:szCs w:val="24"/>
        </w:rPr>
        <w:t>Karla Maria Leal de Almeida</w:t>
      </w:r>
      <w:r w:rsidRPr="00711457">
        <w:rPr>
          <w:sz w:val="24"/>
          <w:szCs w:val="24"/>
          <w:vertAlign w:val="superscript"/>
        </w:rPr>
        <w:t>1</w:t>
      </w:r>
    </w:p>
    <w:p w14:paraId="1886D433" w14:textId="5F0E3E29" w:rsidR="009C2E72" w:rsidRPr="00711457" w:rsidRDefault="00711457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 w:rsidRPr="00711457">
        <w:rPr>
          <w:sz w:val="24"/>
          <w:szCs w:val="24"/>
        </w:rPr>
        <w:t>Guilherme Antônio Lopes de Oliveira</w:t>
      </w:r>
      <w:r w:rsidRPr="00711457">
        <w:rPr>
          <w:sz w:val="24"/>
          <w:szCs w:val="24"/>
          <w:vertAlign w:val="superscript"/>
        </w:rPr>
        <w:t>2</w:t>
      </w:r>
    </w:p>
    <w:p w14:paraId="4073A720" w14:textId="2FDF569C" w:rsidR="00711457" w:rsidRPr="00711457" w:rsidRDefault="00711457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</w:p>
    <w:p w14:paraId="260A6C4D" w14:textId="77777777" w:rsidR="00711457" w:rsidRDefault="00711457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</w:p>
    <w:p w14:paraId="629FEE78" w14:textId="77777777" w:rsidR="00333069" w:rsidRPr="00711457" w:rsidRDefault="00333069" w:rsidP="0071145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</w:p>
    <w:p w14:paraId="07877628" w14:textId="507CF9F5" w:rsidR="009C2E72" w:rsidRDefault="009214AA" w:rsidP="006C21C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5068916C" w14:textId="77CD1003" w:rsidR="00323D88" w:rsidRDefault="00333069" w:rsidP="006C21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presente artigo analisa o </w:t>
      </w:r>
      <w:r w:rsidR="00BA048B" w:rsidRPr="00BA048B">
        <w:rPr>
          <w:sz w:val="24"/>
          <w:szCs w:val="24"/>
        </w:rPr>
        <w:t>capacitismo e a proteção jurídica conferida às pessoas com deficiência no ordenamento jurídico brasileiro, com especial atenção aos princípios da dignidade da pessoa humana, da igualdade, da não discriminação, da acessibilidade e da inclusão social. Método: Para compreender essa dinâmica, o estudo foi desenvolvido por meio de uma revisão integrativa da literatura, conforme os preceitos de Whittemore e Knafl (2005). A estratégia de busca envolveu o levantamento de dados nas bases PubMed e PEDro, incluindo artigos originais publicados entre 2019 e 2026, nos idiomas português, inglês e espanhol, que debatiam as categorias analíticas do capacitismo, da proteção jurídica, dos direitos das pessoas com deficiência e da igualdade. A seleção amostral resultou em 7 artigos científicos, os quais foram organizados em um quadro sintético para posterior análise. Resultados e Discussão: A pesquisa deixa claro a complexidade em se concretizar a igualdade material em decorrência de um persistente contexto histórico-cultural discriminatório. Os textos analisados apontam que a discriminação contra as pessoas com deficiência não se limita a ofensas individuais e isoladas, operando, em verdade, como um sistema atitudinal profundamente enraizado que atua de forma contínua na produção de barreiras invisíveis e na exclusão social. Considerações Finais: No fim das contas, percebe-se que as garantias normativas formais não são autossuficientes para dirimir a problemática. Conclui-se que a consolidação de uma verdadeira inclusão pressupõe a articulação de mecanismos que trabalhem os direitos assegurados a uma desconstrução cultural e institucional profunda, garantindo a efetiva igualdade.</w:t>
      </w:r>
    </w:p>
    <w:p w14:paraId="3FD6EB85" w14:textId="77777777" w:rsidR="006C21C0" w:rsidRPr="006C21C0" w:rsidRDefault="006C21C0" w:rsidP="006C21C0">
      <w:pPr>
        <w:jc w:val="both"/>
        <w:rPr>
          <w:sz w:val="24"/>
          <w:szCs w:val="24"/>
        </w:rPr>
      </w:pPr>
    </w:p>
    <w:p w14:paraId="5DC62E09" w14:textId="0AEBF07D" w:rsidR="009C2E72" w:rsidRDefault="009214AA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BA048B">
        <w:rPr>
          <w:sz w:val="24"/>
          <w:szCs w:val="24"/>
        </w:rPr>
        <w:t>Capacitismo. Direitos da pessoa deficient</w:t>
      </w:r>
      <w:r w:rsidR="006C21C0">
        <w:rPr>
          <w:sz w:val="24"/>
          <w:szCs w:val="24"/>
        </w:rPr>
        <w:t>e. Proteção jurídica. Igualdade.</w:t>
      </w:r>
    </w:p>
    <w:p w14:paraId="1875A123" w14:textId="73B37841" w:rsidR="00633B17" w:rsidRDefault="00633B17">
      <w:pPr>
        <w:spacing w:line="360" w:lineRule="auto"/>
        <w:rPr>
          <w:sz w:val="24"/>
          <w:szCs w:val="24"/>
        </w:rPr>
      </w:pPr>
    </w:p>
    <w:p w14:paraId="30A51431" w14:textId="77777777" w:rsidR="00633B17" w:rsidRDefault="00633B17" w:rsidP="00633B17">
      <w:pPr>
        <w:rPr>
          <w:color w:val="000000"/>
          <w:sz w:val="20"/>
          <w:szCs w:val="20"/>
        </w:rPr>
      </w:pPr>
      <w:r w:rsidRPr="00E47427">
        <w:rPr>
          <w:color w:val="000000"/>
          <w:sz w:val="20"/>
          <w:szCs w:val="20"/>
        </w:rPr>
        <w:t>¹</w:t>
      </w:r>
      <w:r>
        <w:rPr>
          <w:color w:val="000000"/>
          <w:sz w:val="20"/>
          <w:szCs w:val="20"/>
        </w:rPr>
        <w:t xml:space="preserve"> </w:t>
      </w:r>
      <w:r w:rsidRPr="00E47427">
        <w:rPr>
          <w:color w:val="000000"/>
          <w:sz w:val="20"/>
          <w:szCs w:val="20"/>
        </w:rPr>
        <w:t>Graduando(a) em Direito – Centro Universitário CHRISFAP</w:t>
      </w:r>
      <w:r>
        <w:rPr>
          <w:color w:val="000000"/>
          <w:sz w:val="20"/>
          <w:szCs w:val="20"/>
        </w:rPr>
        <w:t>I</w:t>
      </w:r>
      <w:r w:rsidRPr="00E47427">
        <w:rPr>
          <w:color w:val="000000"/>
          <w:sz w:val="20"/>
          <w:szCs w:val="20"/>
        </w:rPr>
        <w:t xml:space="preserve"> </w:t>
      </w:r>
    </w:p>
    <w:p w14:paraId="480477F6" w14:textId="77777777" w:rsidR="00633B17" w:rsidRDefault="00633B17" w:rsidP="00633B17">
      <w:pPr>
        <w:rPr>
          <w:color w:val="000000"/>
          <w:sz w:val="20"/>
          <w:szCs w:val="20"/>
        </w:rPr>
      </w:pPr>
      <w:r w:rsidRPr="00CA064B">
        <w:rPr>
          <w:color w:val="000000"/>
          <w:sz w:val="20"/>
          <w:szCs w:val="20"/>
        </w:rPr>
        <w:t>² Doutor em Biotecnologia – Docente do Centro Universitário CHRISFAPI</w:t>
      </w:r>
    </w:p>
    <w:p w14:paraId="1C704638" w14:textId="6E7B023D" w:rsidR="006C21C0" w:rsidRDefault="006C21C0">
      <w:pPr>
        <w:spacing w:line="360" w:lineRule="auto"/>
        <w:rPr>
          <w:b/>
          <w:sz w:val="24"/>
          <w:szCs w:val="24"/>
        </w:rPr>
      </w:pPr>
    </w:p>
    <w:p w14:paraId="10EC37C2" w14:textId="77777777" w:rsidR="00333069" w:rsidRDefault="00333069">
      <w:pPr>
        <w:spacing w:line="360" w:lineRule="auto"/>
        <w:rPr>
          <w:b/>
          <w:sz w:val="24"/>
          <w:szCs w:val="24"/>
        </w:rPr>
      </w:pPr>
    </w:p>
    <w:p w14:paraId="5123B9E9" w14:textId="77777777" w:rsidR="00333069" w:rsidRPr="006C21C0" w:rsidRDefault="00333069">
      <w:pPr>
        <w:spacing w:line="360" w:lineRule="auto"/>
        <w:rPr>
          <w:b/>
          <w:sz w:val="24"/>
          <w:szCs w:val="24"/>
        </w:rPr>
      </w:pPr>
    </w:p>
    <w:p w14:paraId="07FFF957" w14:textId="4F9D5D6C" w:rsidR="006C21C0" w:rsidRDefault="009214AA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 w:rsidRPr="00343984">
        <w:rPr>
          <w:b/>
          <w:bCs/>
          <w:sz w:val="24"/>
          <w:szCs w:val="24"/>
        </w:rPr>
        <w:t>1 INTRODUÇÃO</w:t>
      </w:r>
    </w:p>
    <w:p w14:paraId="5CE76B91" w14:textId="3FD89430" w:rsidR="00E10D7F" w:rsidRDefault="007C1E71" w:rsidP="00333069">
      <w:pPr>
        <w:spacing w:line="360" w:lineRule="auto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 capacitismo é o preconceito classificado a pessoas deficientes, com a concepção de que existe um corpo “perfeito” e “ideal”. De acordo com Bernades Liliane, a deficiência é uma realidade complexa que transcende as fronteiras da identidade social.</w:t>
      </w:r>
      <w:r w:rsidR="009647CE">
        <w:rPr>
          <w:bCs/>
          <w:sz w:val="24"/>
          <w:szCs w:val="24"/>
        </w:rPr>
        <w:t xml:space="preserve"> Ela não faz distinção de gênero, raça e orientação sexual, </w:t>
      </w:r>
      <w:r w:rsidR="006C21C0">
        <w:rPr>
          <w:bCs/>
          <w:sz w:val="24"/>
          <w:szCs w:val="24"/>
        </w:rPr>
        <w:t>sendo uma característica que s</w:t>
      </w:r>
      <w:r w:rsidR="009647CE">
        <w:rPr>
          <w:bCs/>
          <w:sz w:val="24"/>
          <w:szCs w:val="24"/>
        </w:rPr>
        <w:t>e manifestar em qualquer um. Muitas pessoas associam pessoas com algum tipo de deficiência como alguém com problemas mentais, atraindo o preconceito de um jeito supersticioso.</w:t>
      </w:r>
    </w:p>
    <w:p w14:paraId="7CAB9362" w14:textId="3DCC2124" w:rsidR="00732046" w:rsidRDefault="00E10D7F" w:rsidP="00333069">
      <w:pPr>
        <w:spacing w:line="360" w:lineRule="auto"/>
        <w:ind w:firstLine="709"/>
        <w:contextualSpacing/>
        <w:jc w:val="both"/>
        <w:rPr>
          <w:sz w:val="24"/>
          <w:szCs w:val="24"/>
          <w:shd w:val="clear" w:color="auto" w:fill="FFFFFF"/>
        </w:rPr>
      </w:pPr>
      <w:r w:rsidRPr="00E10D7F">
        <w:rPr>
          <w:sz w:val="24"/>
          <w:szCs w:val="24"/>
          <w:shd w:val="clear" w:color="auto" w:fill="FFFFFF"/>
        </w:rPr>
        <w:t xml:space="preserve">As autoras Gesser, Bock e Mello (2020), complementam a descrição do conceito de capacitismo, como um eixo de discriminação, na intersecção com demais sistemas opressivos como o racismo e o sexismo, que tende a potencializar o processo de exclusão social. As autoras baseiam sua escrita a partir do entendimento de que o capacitismo ao mesmo tempo em que é estrutural é estruturante, ou seja, ele constitui sujeitos, organizações e instituições, promovendo formas de se relacionar que são baseadas em um ideal, no qual alguns grupos entre eles, as mulheres, pessoas negras, indígenas, idosas, LGBTQIA+ e com deficiências são considerados ontologicamente e materialmente deficientes e </w:t>
      </w:r>
      <w:r w:rsidR="00732046">
        <w:rPr>
          <w:sz w:val="24"/>
          <w:szCs w:val="24"/>
          <w:shd w:val="clear" w:color="auto" w:fill="FFFFFF"/>
        </w:rPr>
        <w:t>inadequados a este ideal social</w:t>
      </w:r>
      <w:r w:rsidR="00CE1442">
        <w:rPr>
          <w:sz w:val="24"/>
          <w:szCs w:val="24"/>
          <w:shd w:val="clear" w:color="auto" w:fill="FFFFFF"/>
        </w:rPr>
        <w:t xml:space="preserve"> (</w:t>
      </w:r>
      <w:r w:rsidR="00732046">
        <w:rPr>
          <w:sz w:val="24"/>
          <w:szCs w:val="24"/>
          <w:shd w:val="clear" w:color="auto" w:fill="FFFFFF"/>
        </w:rPr>
        <w:t xml:space="preserve"> Foresti, Presotto e Bousfield</w:t>
      </w:r>
      <w:r w:rsidR="00CE1442">
        <w:rPr>
          <w:sz w:val="24"/>
          <w:szCs w:val="24"/>
          <w:shd w:val="clear" w:color="auto" w:fill="FFFFFF"/>
        </w:rPr>
        <w:t>,</w:t>
      </w:r>
      <w:r w:rsidR="00732046">
        <w:rPr>
          <w:sz w:val="24"/>
          <w:szCs w:val="24"/>
          <w:shd w:val="clear" w:color="auto" w:fill="FFFFFF"/>
        </w:rPr>
        <w:t xml:space="preserve"> 2024). </w:t>
      </w:r>
    </w:p>
    <w:p w14:paraId="512F8C57" w14:textId="3AFA31D6" w:rsidR="00B65906" w:rsidRDefault="00E10D7F" w:rsidP="00333069">
      <w:pPr>
        <w:spacing w:line="360" w:lineRule="auto"/>
        <w:ind w:firstLine="709"/>
        <w:contextualSpacing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</w:t>
      </w:r>
      <w:r w:rsidR="00B65906" w:rsidRPr="00B65906">
        <w:rPr>
          <w:sz w:val="24"/>
          <w:szCs w:val="24"/>
          <w:shd w:val="clear" w:color="auto" w:fill="FFFFFF"/>
        </w:rPr>
        <w:t xml:space="preserve"> deficiência sempre existiu no mundo, não passando de uma forma de existir</w:t>
      </w:r>
      <w:r w:rsidR="00D15C2D">
        <w:rPr>
          <w:sz w:val="24"/>
          <w:szCs w:val="24"/>
          <w:shd w:val="clear" w:color="auto" w:fill="FFFFFF"/>
        </w:rPr>
        <w:t xml:space="preserve"> como todas as</w:t>
      </w:r>
      <w:r w:rsidR="00333069">
        <w:rPr>
          <w:sz w:val="24"/>
          <w:szCs w:val="24"/>
          <w:shd w:val="clear" w:color="auto" w:fill="FFFFFF"/>
        </w:rPr>
        <w:t xml:space="preserve"> outras. André</w:t>
      </w:r>
      <w:r w:rsidR="00D15C2D">
        <w:rPr>
          <w:sz w:val="24"/>
          <w:szCs w:val="24"/>
          <w:shd w:val="clear" w:color="auto" w:fill="FFFFFF"/>
        </w:rPr>
        <w:t xml:space="preserve"> Leonardo Copetti Santos e Doglas Cesar </w:t>
      </w:r>
      <w:r w:rsidR="00D94A4A">
        <w:rPr>
          <w:sz w:val="24"/>
          <w:szCs w:val="24"/>
          <w:shd w:val="clear" w:color="auto" w:fill="FFFFFF"/>
        </w:rPr>
        <w:t xml:space="preserve">Lucas </w:t>
      </w:r>
      <w:r w:rsidR="00B65906" w:rsidRPr="00B65906">
        <w:rPr>
          <w:sz w:val="24"/>
          <w:szCs w:val="24"/>
          <w:shd w:val="clear" w:color="auto" w:fill="FFFFFF"/>
        </w:rPr>
        <w:t>destacam que os marcadores da diferença, como é a deficiência, sempre existiram, mas funcionavam como rótulos de inferioridade e invisibilidade de seus sujeito</w:t>
      </w:r>
      <w:r w:rsidR="00B65906">
        <w:rPr>
          <w:sz w:val="24"/>
          <w:szCs w:val="24"/>
          <w:shd w:val="clear" w:color="auto" w:fill="FFFFFF"/>
        </w:rPr>
        <w:t xml:space="preserve">. </w:t>
      </w:r>
      <w:r w:rsidR="00B65906" w:rsidRPr="00B65906">
        <w:rPr>
          <w:sz w:val="24"/>
          <w:szCs w:val="24"/>
          <w:shd w:val="clear" w:color="auto" w:fill="FFFFFF"/>
        </w:rPr>
        <w:t>As sociedades não raramente destinavam um comportamento violento e marginalizador so</w:t>
      </w:r>
      <w:r w:rsidR="00333069">
        <w:rPr>
          <w:sz w:val="24"/>
          <w:szCs w:val="24"/>
          <w:shd w:val="clear" w:color="auto" w:fill="FFFFFF"/>
        </w:rPr>
        <w:t xml:space="preserve">bre as pessoas com deficiência, </w:t>
      </w:r>
      <w:r w:rsidR="00B65906" w:rsidRPr="00B65906">
        <w:rPr>
          <w:sz w:val="24"/>
          <w:szCs w:val="24"/>
          <w:shd w:val="clear" w:color="auto" w:fill="FFFFFF"/>
        </w:rPr>
        <w:t>negando-lhes o acesso aos direitos de forma iguali</w:t>
      </w:r>
      <w:r w:rsidR="00B65906">
        <w:rPr>
          <w:sz w:val="24"/>
          <w:szCs w:val="24"/>
          <w:shd w:val="clear" w:color="auto" w:fill="FFFFFF"/>
        </w:rPr>
        <w:t>tária a</w:t>
      </w:r>
      <w:r w:rsidR="00B65906" w:rsidRPr="00B65906">
        <w:rPr>
          <w:sz w:val="24"/>
          <w:szCs w:val="24"/>
          <w:shd w:val="clear" w:color="auto" w:fill="FFFFFF"/>
        </w:rPr>
        <w:t>lém de perpetuar práticas bárbaras c</w:t>
      </w:r>
      <w:r w:rsidR="00333069">
        <w:rPr>
          <w:sz w:val="24"/>
          <w:szCs w:val="24"/>
          <w:shd w:val="clear" w:color="auto" w:fill="FFFFFF"/>
        </w:rPr>
        <w:t xml:space="preserve">ontra essas </w:t>
      </w:r>
      <w:r w:rsidR="00B65906">
        <w:rPr>
          <w:sz w:val="24"/>
          <w:szCs w:val="24"/>
          <w:shd w:val="clear" w:color="auto" w:fill="FFFFFF"/>
        </w:rPr>
        <w:t>coletividades</w:t>
      </w:r>
      <w:r w:rsidR="00333069">
        <w:rPr>
          <w:sz w:val="24"/>
          <w:szCs w:val="24"/>
          <w:shd w:val="clear" w:color="auto" w:fill="FFFFFF"/>
        </w:rPr>
        <w:t xml:space="preserve"> (</w:t>
      </w:r>
      <w:r w:rsidR="00CE1442">
        <w:rPr>
          <w:sz w:val="24"/>
          <w:szCs w:val="24"/>
          <w:shd w:val="clear" w:color="auto" w:fill="FFFFFF"/>
        </w:rPr>
        <w:t xml:space="preserve">Kreut e Lucas, </w:t>
      </w:r>
      <w:r w:rsidR="00333069">
        <w:rPr>
          <w:sz w:val="24"/>
          <w:szCs w:val="24"/>
          <w:shd w:val="clear" w:color="auto" w:fill="FFFFFF"/>
        </w:rPr>
        <w:t>2025</w:t>
      </w:r>
      <w:r w:rsidR="00B65906">
        <w:rPr>
          <w:sz w:val="24"/>
          <w:szCs w:val="24"/>
          <w:shd w:val="clear" w:color="auto" w:fill="FFFFFF"/>
        </w:rPr>
        <w:t>).</w:t>
      </w:r>
    </w:p>
    <w:p w14:paraId="1AAE4A25" w14:textId="5529D0B9" w:rsidR="00B65906" w:rsidRDefault="00E10D7F" w:rsidP="00333069">
      <w:pPr>
        <w:spacing w:line="360" w:lineRule="auto"/>
        <w:ind w:firstLine="709"/>
        <w:contextualSpacing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C</w:t>
      </w:r>
      <w:r w:rsidR="00B65906" w:rsidRPr="00E10D7F">
        <w:rPr>
          <w:sz w:val="24"/>
          <w:szCs w:val="24"/>
          <w:shd w:val="clear" w:color="auto" w:fill="FFFFFF"/>
        </w:rPr>
        <w:t>onforme com Sidney Madruga</w:t>
      </w:r>
      <w:r>
        <w:rPr>
          <w:sz w:val="24"/>
          <w:szCs w:val="24"/>
          <w:shd w:val="clear" w:color="auto" w:fill="FFFFFF"/>
        </w:rPr>
        <w:t>,</w:t>
      </w:r>
      <w:r w:rsidR="00B65906" w:rsidRPr="00E10D7F">
        <w:rPr>
          <w:sz w:val="24"/>
          <w:szCs w:val="24"/>
          <w:shd w:val="clear" w:color="auto" w:fill="FFFFFF"/>
        </w:rPr>
        <w:t xml:space="preserve"> na antiguidade a deficiência constantemente era atribuída às questões religiosas, como sendo originada através de uma espéci</w:t>
      </w:r>
      <w:r w:rsidR="00333069">
        <w:rPr>
          <w:sz w:val="24"/>
          <w:szCs w:val="24"/>
          <w:shd w:val="clear" w:color="auto" w:fill="FFFFFF"/>
        </w:rPr>
        <w:t xml:space="preserve">e de castigo ou </w:t>
      </w:r>
      <w:r w:rsidR="00B65906" w:rsidRPr="00E10D7F">
        <w:rPr>
          <w:sz w:val="24"/>
          <w:szCs w:val="24"/>
          <w:shd w:val="clear" w:color="auto" w:fill="FFFFFF"/>
        </w:rPr>
        <w:t>as</w:t>
      </w:r>
      <w:r w:rsidR="00333069">
        <w:rPr>
          <w:sz w:val="24"/>
          <w:szCs w:val="24"/>
          <w:shd w:val="clear" w:color="auto" w:fill="FFFFFF"/>
        </w:rPr>
        <w:t xml:space="preserve">sociação com demônios. Além disso, essas pessoas eram consideradas inúteis e um peso para suas comunidades, por não </w:t>
      </w:r>
      <w:r w:rsidR="00B65906" w:rsidRPr="00E10D7F">
        <w:rPr>
          <w:sz w:val="24"/>
          <w:szCs w:val="24"/>
          <w:shd w:val="clear" w:color="auto" w:fill="FFFFFF"/>
        </w:rPr>
        <w:t>conseguirem c</w:t>
      </w:r>
      <w:r w:rsidR="00BA115F">
        <w:rPr>
          <w:sz w:val="24"/>
          <w:szCs w:val="24"/>
          <w:shd w:val="clear" w:color="auto" w:fill="FFFFFF"/>
        </w:rPr>
        <w:t xml:space="preserve">ontribuir com as necessidades </w:t>
      </w:r>
      <w:r w:rsidR="00B65906" w:rsidRPr="00E10D7F">
        <w:rPr>
          <w:sz w:val="24"/>
          <w:szCs w:val="24"/>
          <w:shd w:val="clear" w:color="auto" w:fill="FFFFFF"/>
        </w:rPr>
        <w:t xml:space="preserve">sociedade em que estavam </w:t>
      </w:r>
      <w:r>
        <w:rPr>
          <w:sz w:val="24"/>
          <w:szCs w:val="24"/>
          <w:shd w:val="clear" w:color="auto" w:fill="FFFFFF"/>
        </w:rPr>
        <w:t>inseridas</w:t>
      </w:r>
      <w:r w:rsidR="00333069">
        <w:rPr>
          <w:sz w:val="24"/>
          <w:szCs w:val="24"/>
          <w:shd w:val="clear" w:color="auto" w:fill="FFFFFF"/>
        </w:rPr>
        <w:t xml:space="preserve"> (</w:t>
      </w:r>
      <w:r w:rsidR="00BA115F">
        <w:rPr>
          <w:sz w:val="24"/>
          <w:szCs w:val="24"/>
          <w:shd w:val="clear" w:color="auto" w:fill="FFFFFF"/>
        </w:rPr>
        <w:t xml:space="preserve">Kreut e Lucas, </w:t>
      </w:r>
      <w:r>
        <w:rPr>
          <w:sz w:val="24"/>
          <w:szCs w:val="24"/>
          <w:shd w:val="clear" w:color="auto" w:fill="FFFFFF"/>
        </w:rPr>
        <w:t>2025).</w:t>
      </w:r>
    </w:p>
    <w:p w14:paraId="66B2F71B" w14:textId="3FBF044A" w:rsidR="00832E8A" w:rsidRDefault="002F04E4" w:rsidP="00333069">
      <w:pPr>
        <w:spacing w:line="360" w:lineRule="auto"/>
        <w:ind w:firstLine="709"/>
        <w:contextualSpacing/>
        <w:jc w:val="both"/>
        <w:rPr>
          <w:color w:val="393939"/>
          <w:sz w:val="24"/>
          <w:szCs w:val="24"/>
          <w:shd w:val="clear" w:color="auto" w:fill="FFFFFF"/>
        </w:rPr>
      </w:pPr>
      <w:r>
        <w:rPr>
          <w:color w:val="393939"/>
          <w:sz w:val="24"/>
          <w:szCs w:val="24"/>
          <w:shd w:val="clear" w:color="auto" w:fill="FFFFFF"/>
        </w:rPr>
        <w:t>N</w:t>
      </w:r>
      <w:r w:rsidR="00832E8A" w:rsidRPr="00832E8A">
        <w:rPr>
          <w:color w:val="393939"/>
          <w:sz w:val="24"/>
          <w:szCs w:val="24"/>
          <w:shd w:val="clear" w:color="auto" w:fill="FFFFFF"/>
        </w:rPr>
        <w:t>o contexto do capacitismo contemporâneo, Campbell afirma que há uma i</w:t>
      </w:r>
      <w:r w:rsidR="00F837B8">
        <w:rPr>
          <w:color w:val="393939"/>
          <w:sz w:val="24"/>
          <w:szCs w:val="24"/>
          <w:shd w:val="clear" w:color="auto" w:fill="FFFFFF"/>
        </w:rPr>
        <w:t xml:space="preserve">maginação corporal compulsória. </w:t>
      </w:r>
      <w:r w:rsidR="00832E8A" w:rsidRPr="00832E8A">
        <w:rPr>
          <w:color w:val="393939"/>
          <w:sz w:val="24"/>
          <w:szCs w:val="24"/>
          <w:shd w:val="clear" w:color="auto" w:fill="FFFFFF"/>
        </w:rPr>
        <w:t>Tal imaginação constitui por meio do Estado de direito processos de capacitismo até a negação do reconhecimento das pessoas com deficiência como seres humanos. Ficam restritas a um rótulo como nova identidade entre semelhantes em determinada característica física, intelectual ou sensorial: “As pessoas com deficiências lidam com a dor e o fardo da violência - violência que é epistêmica, psíquica, ontológica e física”</w:t>
      </w:r>
      <w:r>
        <w:rPr>
          <w:color w:val="393939"/>
          <w:sz w:val="24"/>
          <w:szCs w:val="24"/>
          <w:shd w:val="clear" w:color="auto" w:fill="FFFFFF"/>
        </w:rPr>
        <w:t xml:space="preserve"> (2008, p.13 </w:t>
      </w:r>
      <w:r>
        <w:rPr>
          <w:i/>
          <w:color w:val="393939"/>
          <w:sz w:val="24"/>
          <w:szCs w:val="24"/>
          <w:shd w:val="clear" w:color="auto" w:fill="FFFFFF"/>
        </w:rPr>
        <w:t xml:space="preserve">apud </w:t>
      </w:r>
      <w:r>
        <w:rPr>
          <w:color w:val="393939"/>
          <w:sz w:val="24"/>
          <w:szCs w:val="24"/>
          <w:shd w:val="clear" w:color="auto" w:fill="FFFFFF"/>
        </w:rPr>
        <w:t xml:space="preserve">Santos Kabengele e Monteiro). </w:t>
      </w:r>
    </w:p>
    <w:p w14:paraId="30228FA6" w14:textId="4FE8ABF6" w:rsidR="00574A89" w:rsidRPr="00574A89" w:rsidRDefault="00574A89" w:rsidP="00574A89">
      <w:pPr>
        <w:spacing w:before="240" w:after="160" w:line="360" w:lineRule="auto"/>
        <w:ind w:firstLine="709"/>
        <w:contextualSpacing/>
        <w:jc w:val="both"/>
        <w:rPr>
          <w:color w:val="393939"/>
          <w:sz w:val="24"/>
          <w:szCs w:val="24"/>
          <w:shd w:val="clear" w:color="auto" w:fill="FFFFFF"/>
        </w:rPr>
      </w:pPr>
      <w:r>
        <w:rPr>
          <w:color w:val="393939"/>
          <w:sz w:val="24"/>
          <w:szCs w:val="24"/>
          <w:shd w:val="clear" w:color="auto" w:fill="FFFFFF"/>
        </w:rPr>
        <w:t>Nesse sentido, a</w:t>
      </w:r>
      <w:r w:rsidRPr="00574A89">
        <w:rPr>
          <w:sz w:val="24"/>
          <w:szCs w:val="24"/>
          <w:shd w:val="clear" w:color="auto" w:fill="FFFFFF"/>
        </w:rPr>
        <w:t xml:space="preserve">té recentemente, no Brasil, políticas     sociais     e     </w:t>
      </w:r>
      <w:r w:rsidR="00D15C2D">
        <w:rPr>
          <w:sz w:val="24"/>
          <w:szCs w:val="24"/>
          <w:shd w:val="clear" w:color="auto" w:fill="FFFFFF"/>
        </w:rPr>
        <w:t xml:space="preserve">mesmo     pesquisas acadêmicas incorporaram uma perspectiva de interseccionalidade entre raça e </w:t>
      </w:r>
      <w:r w:rsidRPr="00574A89">
        <w:rPr>
          <w:sz w:val="24"/>
          <w:szCs w:val="24"/>
          <w:shd w:val="clear" w:color="auto" w:fill="FFFFFF"/>
        </w:rPr>
        <w:t>gênero, mas   raramente   inc</w:t>
      </w:r>
      <w:r w:rsidR="00D15C2D">
        <w:rPr>
          <w:sz w:val="24"/>
          <w:szCs w:val="24"/>
          <w:shd w:val="clear" w:color="auto" w:fill="FFFFFF"/>
        </w:rPr>
        <w:t xml:space="preserve">luíam a deficiência. E o reverso também é verdadeiro: </w:t>
      </w:r>
      <w:r w:rsidRPr="00574A89">
        <w:rPr>
          <w:sz w:val="24"/>
          <w:szCs w:val="24"/>
          <w:shd w:val="clear" w:color="auto" w:fill="FFFFFF"/>
        </w:rPr>
        <w:t>estudos sobre deficiência não abord</w:t>
      </w:r>
      <w:r w:rsidR="00D15C2D">
        <w:rPr>
          <w:sz w:val="24"/>
          <w:szCs w:val="24"/>
          <w:shd w:val="clear" w:color="auto" w:fill="FFFFFF"/>
        </w:rPr>
        <w:t xml:space="preserve">avam, na mesma perspectiva, aquelas outras </w:t>
      </w:r>
      <w:r w:rsidRPr="00574A89">
        <w:rPr>
          <w:sz w:val="24"/>
          <w:szCs w:val="24"/>
          <w:shd w:val="clear" w:color="auto" w:fill="FFFFFF"/>
        </w:rPr>
        <w:t>categorias (MELLO; NUERNBERG, 2012, p. 636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i/>
          <w:sz w:val="24"/>
          <w:szCs w:val="24"/>
          <w:shd w:val="clear" w:color="auto" w:fill="FFFFFF"/>
        </w:rPr>
        <w:t xml:space="preserve">apud </w:t>
      </w:r>
      <w:r>
        <w:rPr>
          <w:sz w:val="24"/>
          <w:szCs w:val="24"/>
          <w:shd w:val="clear" w:color="auto" w:fill="FFFFFF"/>
        </w:rPr>
        <w:t xml:space="preserve">Lorenzo Filho). Essa dupla omissão </w:t>
      </w:r>
      <w:r w:rsidR="00AA2095">
        <w:rPr>
          <w:sz w:val="24"/>
          <w:szCs w:val="24"/>
          <w:shd w:val="clear" w:color="auto" w:fill="FFFFFF"/>
        </w:rPr>
        <w:t xml:space="preserve">destaca a invisibilidade contemporânea dessas pessoas, evidenciando como a neutralidade abstrata do ordenamento jurídico falha em proteger quem vivencia o capacitismo. </w:t>
      </w:r>
    </w:p>
    <w:p w14:paraId="391A359E" w14:textId="1B0CDE43" w:rsidR="00A7778C" w:rsidRDefault="00A7778C" w:rsidP="00D15C2D">
      <w:pPr>
        <w:spacing w:line="360" w:lineRule="auto"/>
        <w:ind w:firstLine="709"/>
        <w:contextualSpacing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Diante dessas dificuldades, </w:t>
      </w:r>
      <w:r>
        <w:rPr>
          <w:color w:val="393939"/>
          <w:sz w:val="24"/>
          <w:szCs w:val="24"/>
          <w:shd w:val="clear" w:color="auto" w:fill="FFFFFF"/>
        </w:rPr>
        <w:t>a</w:t>
      </w:r>
      <w:r w:rsidRPr="00A7778C">
        <w:rPr>
          <w:color w:val="393939"/>
          <w:sz w:val="24"/>
          <w:szCs w:val="24"/>
          <w:shd w:val="clear" w:color="auto" w:fill="FFFFFF"/>
        </w:rPr>
        <w:t>tualmente, muito se fala a respeito dos direitos e das necessidades das pessoas com deficiência. No entanto, é do conhecimento de muitos, que eles, ainda, têm encontrado barreiras para a sua aceitação e participação em vários âmbitos da vida social. A acessibilidade associa-se à condição de possibilidades, tanto para conceber a inclusão como a garantia do acesso aos espaços, assim como para a informação e para conhecimento, contribuindo desta forma para a quebra de barreiras, de preconceitos e da desinformação</w:t>
      </w:r>
      <w:r>
        <w:rPr>
          <w:sz w:val="24"/>
          <w:szCs w:val="24"/>
          <w:shd w:val="clear" w:color="auto" w:fill="FFFFFF"/>
        </w:rPr>
        <w:t xml:space="preserve"> (Lage, Lunardelli, Kawakami, 2023)</w:t>
      </w:r>
    </w:p>
    <w:p w14:paraId="0DD834E2" w14:textId="77777777" w:rsidR="005E44F2" w:rsidRDefault="00C93ACA" w:rsidP="00D15C2D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C93ACA">
        <w:rPr>
          <w:sz w:val="24"/>
          <w:szCs w:val="24"/>
        </w:rPr>
        <w:t>Nesse sentido, ainda que pareça muito difícil, é possível pensar em um ambiente organizacional e uma sociedade sem barreiras atitudinais e livre do capacitismo. Para isso, é necessário estimular práticas que sensibilizem e conscientizem os sujeitos sobre como lidar com a diversidade e com o desconhecido</w:t>
      </w:r>
      <w:r>
        <w:rPr>
          <w:sz w:val="24"/>
          <w:szCs w:val="24"/>
        </w:rPr>
        <w:t xml:space="preserve"> </w:t>
      </w:r>
      <w:r w:rsidR="005E44F2">
        <w:rPr>
          <w:sz w:val="24"/>
          <w:szCs w:val="24"/>
        </w:rPr>
        <w:t>(Mello e Cabistani,</w:t>
      </w:r>
      <w:r>
        <w:rPr>
          <w:sz w:val="24"/>
          <w:szCs w:val="24"/>
        </w:rPr>
        <w:t xml:space="preserve"> 2019</w:t>
      </w:r>
      <w:r w:rsidR="005E44F2">
        <w:rPr>
          <w:sz w:val="24"/>
          <w:szCs w:val="24"/>
        </w:rPr>
        <w:t xml:space="preserve">, p. 136), sendo o ordenamento jurídico o instrumento necessário para evitar que o preconceito intensifique as desigualdades que persistem na atualidade. </w:t>
      </w:r>
    </w:p>
    <w:p w14:paraId="76B57D67" w14:textId="62BF6B5D" w:rsidR="005E44F2" w:rsidRPr="005E44F2" w:rsidRDefault="005E44F2" w:rsidP="00D15C2D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entanto, não basta somente tentar evitar o preconceito, urge também, a informação aos que são deficientes de seus direitos, ajudando não só a diminuir o capacitismo, mas viando as suas defesas. </w:t>
      </w:r>
      <w:r w:rsidR="00005D64">
        <w:rPr>
          <w:sz w:val="24"/>
          <w:szCs w:val="24"/>
        </w:rPr>
        <w:t xml:space="preserve">Segundo à Bernades (2024), a solidariedade entre essas pessoas,na luta por seus direitos, pode ser fortalecida quando desafios semelhantes são enfretados devido à experiência compartilhada da deficiência, permitindo a implementação de iniciativas coletivas eficazes. Assim, medidas anticapacististas de natureza mais ampla podem beneficiá-las em situações comuns a várias delas. </w:t>
      </w:r>
    </w:p>
    <w:p w14:paraId="525FE46E" w14:textId="77777777" w:rsidR="00850CF7" w:rsidRDefault="00850CF7">
      <w:pPr>
        <w:spacing w:line="360" w:lineRule="auto"/>
        <w:rPr>
          <w:b/>
          <w:bCs/>
          <w:sz w:val="24"/>
          <w:szCs w:val="24"/>
        </w:rPr>
      </w:pPr>
    </w:p>
    <w:p w14:paraId="4297464F" w14:textId="06C8878A" w:rsidR="009C2E72" w:rsidRDefault="009214A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5604772C" w14:textId="4754F426" w:rsidR="00005D64" w:rsidRDefault="00005D64" w:rsidP="00F837B8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Analisar </w:t>
      </w:r>
      <w:r w:rsidR="00AD6ACA">
        <w:rPr>
          <w:sz w:val="24"/>
          <w:szCs w:val="24"/>
        </w:rPr>
        <w:t>o impacto do capacitismo e a proteção jurídica de pessoas com deficiência, analisando seus direitos à igualdade, à inclusão e à não discriminação.</w:t>
      </w:r>
    </w:p>
    <w:p w14:paraId="40711B64" w14:textId="77777777" w:rsidR="009C2E72" w:rsidRDefault="009C2E72">
      <w:pPr>
        <w:spacing w:line="360" w:lineRule="auto"/>
        <w:rPr>
          <w:b/>
          <w:bCs/>
          <w:sz w:val="24"/>
          <w:szCs w:val="24"/>
        </w:rPr>
      </w:pPr>
    </w:p>
    <w:p w14:paraId="265F6FA7" w14:textId="76865121" w:rsidR="00604B38" w:rsidRDefault="009214A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494F9A64" w14:textId="60F0CD59" w:rsidR="00604B38" w:rsidRPr="00B22550" w:rsidRDefault="00604B38" w:rsidP="00B22550">
      <w:pPr>
        <w:spacing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Trata-se de uma revisão narrativa da literatura, realizada no mês de agosto de 2026. Foi consultada a base Google acadêmico, sendo incluídos os artigos completos escritos em português, inglês e espanhol compreendidos no recorde temporal de 2021 a 2026, disponíveis de forma gratuita. Os descritores utilizados </w:t>
      </w:r>
      <w:r w:rsidR="00AD6ACA">
        <w:rPr>
          <w:bCs/>
          <w:sz w:val="24"/>
          <w:szCs w:val="24"/>
        </w:rPr>
        <w:t xml:space="preserve">foram os seguintes termos: </w:t>
      </w:r>
      <w:r w:rsidR="00AD6ACA" w:rsidRPr="00FF2588">
        <w:rPr>
          <w:bCs/>
          <w:i/>
          <w:sz w:val="24"/>
          <w:szCs w:val="24"/>
        </w:rPr>
        <w:t>ca</w:t>
      </w:r>
      <w:r w:rsidR="00476561" w:rsidRPr="00FF2588">
        <w:rPr>
          <w:bCs/>
          <w:i/>
          <w:sz w:val="24"/>
          <w:szCs w:val="24"/>
        </w:rPr>
        <w:t>pacitismo AND direito</w:t>
      </w:r>
      <w:r w:rsidR="00476561">
        <w:rPr>
          <w:bCs/>
          <w:sz w:val="24"/>
          <w:szCs w:val="24"/>
        </w:rPr>
        <w:t xml:space="preserve"> </w:t>
      </w:r>
      <w:r w:rsidR="00476561" w:rsidRPr="00FF2588">
        <w:rPr>
          <w:bCs/>
          <w:i/>
          <w:sz w:val="24"/>
          <w:szCs w:val="24"/>
        </w:rPr>
        <w:t>do deficiente</w:t>
      </w:r>
      <w:r w:rsidR="00AD6ACA" w:rsidRPr="00FF2588">
        <w:rPr>
          <w:bCs/>
          <w:i/>
          <w:sz w:val="24"/>
          <w:szCs w:val="24"/>
        </w:rPr>
        <w:t xml:space="preserve"> AND proteção jurídica</w:t>
      </w:r>
      <w:r w:rsidR="00476561" w:rsidRPr="00FF2588">
        <w:rPr>
          <w:bCs/>
          <w:i/>
          <w:sz w:val="24"/>
          <w:szCs w:val="24"/>
        </w:rPr>
        <w:t xml:space="preserve"> AND igualdade</w:t>
      </w:r>
      <w:r>
        <w:rPr>
          <w:bCs/>
          <w:sz w:val="24"/>
          <w:szCs w:val="24"/>
        </w:rPr>
        <w:t>. A seleção inicial foi feita a partir da aplicação do filtro de recorte temporal nas bases de dados. Conseguinte, foram selecionados para análise, por meio da leitura dos títulos e resumos, os artigos ci</w:t>
      </w:r>
      <w:r w:rsidR="00AD6ACA">
        <w:rPr>
          <w:bCs/>
          <w:sz w:val="24"/>
          <w:szCs w:val="24"/>
        </w:rPr>
        <w:t>entífi</w:t>
      </w:r>
      <w:r w:rsidR="002F44F7">
        <w:rPr>
          <w:bCs/>
          <w:sz w:val="24"/>
          <w:szCs w:val="24"/>
        </w:rPr>
        <w:t xml:space="preserve">cos que mencionavam capacitismo, proteção jurídica e igualdade. </w:t>
      </w:r>
    </w:p>
    <w:p w14:paraId="045F8EAA" w14:textId="77777777" w:rsidR="00B22550" w:rsidRDefault="00B22550">
      <w:pPr>
        <w:spacing w:line="360" w:lineRule="auto"/>
        <w:rPr>
          <w:b/>
          <w:bCs/>
          <w:sz w:val="24"/>
          <w:szCs w:val="24"/>
        </w:rPr>
      </w:pPr>
    </w:p>
    <w:p w14:paraId="1F83F253" w14:textId="43F85ED7" w:rsidR="005120CD" w:rsidRDefault="009214A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6C7FE6DC" w14:textId="01C873D9" w:rsidR="00B22550" w:rsidRDefault="00A36079" w:rsidP="00B22550">
      <w:pPr>
        <w:spacing w:after="160" w:line="360" w:lineRule="auto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 resultado da coleta de dados dos documentos nos portais periódicos está descrito abaixo, no quadro 1, com as seguintes características: Título do periódico, ano, autores e objetivo.</w:t>
      </w:r>
    </w:p>
    <w:p w14:paraId="0CB8DD95" w14:textId="5DA1F82F" w:rsidR="00A36079" w:rsidRDefault="00A36079" w:rsidP="00A36079">
      <w:pPr>
        <w:rPr>
          <w:rFonts w:ascii="Arial" w:hAnsi="Arial" w:cs="Arial"/>
        </w:rPr>
      </w:pPr>
      <w:r w:rsidRPr="00524748">
        <w:rPr>
          <w:rFonts w:ascii="Arial" w:hAnsi="Arial" w:cs="Arial"/>
          <w:b/>
          <w:bCs/>
        </w:rPr>
        <w:t>Quadro 1 -</w:t>
      </w:r>
      <w:r w:rsidRPr="00F544C1">
        <w:rPr>
          <w:rFonts w:ascii="Arial" w:hAnsi="Arial" w:cs="Arial"/>
        </w:rPr>
        <w:t xml:space="preserve"> Quadro demonstrativo quanto ao autor</w:t>
      </w:r>
      <w:r w:rsidR="003D1AB7">
        <w:rPr>
          <w:rFonts w:ascii="Arial" w:hAnsi="Arial" w:cs="Arial"/>
        </w:rPr>
        <w:t>/ano, título e objetivo.</w:t>
      </w:r>
    </w:p>
    <w:p w14:paraId="6560FB6B" w14:textId="77777777" w:rsidR="006C6D81" w:rsidRDefault="006C6D81" w:rsidP="00A36079">
      <w:pPr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551"/>
        <w:gridCol w:w="1966"/>
        <w:gridCol w:w="3987"/>
      </w:tblGrid>
      <w:tr w:rsidR="00E7343E" w:rsidRPr="006C6D81" w14:paraId="0D96841C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8E80D1" w14:textId="77777777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 w:rsidRPr="006C6D81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TÍTULO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F08D59" w14:textId="77777777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 w:rsidRPr="006C6D81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6B4462" w14:textId="77777777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 w:rsidRPr="006C6D81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AUTORES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2B2E28" w14:textId="77777777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 w:rsidRPr="006C6D81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OBJETIVO</w:t>
            </w:r>
          </w:p>
        </w:tc>
      </w:tr>
      <w:tr w:rsidR="00E7343E" w:rsidRPr="006C6D81" w14:paraId="2723B8C6" w14:textId="77777777" w:rsidTr="00691633">
        <w:trPr>
          <w:trHeight w:val="139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56D5E6" w14:textId="30C0B507" w:rsidR="006C6D81" w:rsidRPr="006C6D81" w:rsidRDefault="00323D88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 xml:space="preserve">Deficiência, inclusão e capacitismo realidade </w:t>
            </w:r>
            <w:r w:rsidR="001A40AE">
              <w:rPr>
                <w:rFonts w:ascii="Arial" w:eastAsiaTheme="minorEastAsia" w:hAnsi="Arial" w:cs="Arial"/>
                <w:sz w:val="18"/>
                <w:szCs w:val="18"/>
              </w:rPr>
              <w:t>histórica e desafios contemporâneos na efetivação dos direitos das pessoas com deficiência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8CD72" w14:textId="6F6AEFA8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 w:rsidRPr="006C6D81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  <w:r w:rsidR="001A40AE">
              <w:rPr>
                <w:rFonts w:ascii="Arial" w:eastAsiaTheme="minorEastAsia" w:hAnsi="Arial" w:cs="Arial"/>
                <w:sz w:val="18"/>
                <w:szCs w:val="18"/>
              </w:rPr>
              <w:t>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CE4FAD" w14:textId="2509756E" w:rsidR="006C6D81" w:rsidRPr="006C6D81" w:rsidRDefault="009F5BA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KREUTZ</w:t>
            </w:r>
            <w:r w:rsidR="00D15C2D">
              <w:rPr>
                <w:rFonts w:ascii="Arial" w:eastAsiaTheme="minorEastAsia" w:hAnsi="Arial" w:cs="Arial"/>
                <w:sz w:val="18"/>
                <w:szCs w:val="18"/>
              </w:rPr>
              <w:t>,</w:t>
            </w:r>
            <w:r w:rsidR="001A40AE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Eduarda Franke; LUCAS, Douglas Cesar.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D381B5" w14:textId="3F597FC8" w:rsidR="006C6D81" w:rsidRPr="006C6D81" w:rsidRDefault="009F5BA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Compreender a trajetória histórica de exclusão, invisibilidade e silenciamento das pessoas com deficiência, analisando as manifestações contemporâneas do capacitismo e os desafios práticos enfrentados para a efetivação de seus direitos fundamentais.</w:t>
            </w:r>
          </w:p>
        </w:tc>
      </w:tr>
      <w:tr w:rsidR="00E7343E" w:rsidRPr="006C6D81" w14:paraId="4F753B09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44A5D" w14:textId="3B8DD3FB" w:rsidR="006C6D81" w:rsidRPr="006C6D81" w:rsidRDefault="00C54A5F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O impacto do capacitismo: A discriminação contra pes</w:t>
            </w:r>
            <w:r w:rsidR="00691633">
              <w:rPr>
                <w:rFonts w:ascii="Arial" w:eastAsiaTheme="minorEastAsia" w:hAnsi="Arial" w:cs="Arial"/>
                <w:sz w:val="18"/>
                <w:szCs w:val="18"/>
              </w:rPr>
              <w:t xml:space="preserve">soas com deficiência que amplia 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desigualdades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55A1BC" w14:textId="3B1A9A94" w:rsidR="006C6D81" w:rsidRPr="006C6D81" w:rsidRDefault="00C54A5F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2A7BDD" w14:textId="0BF1A13C" w:rsidR="006C6D81" w:rsidRPr="006C6D81" w:rsidRDefault="00C54A5F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 xml:space="preserve">BERNADES, </w:t>
            </w:r>
            <w:r w:rsidR="00293461">
              <w:rPr>
                <w:rFonts w:ascii="Arial" w:eastAsiaTheme="minorEastAsia" w:hAnsi="Arial" w:cs="Arial"/>
                <w:sz w:val="18"/>
                <w:szCs w:val="18"/>
              </w:rPr>
              <w:t>Liliane Cristina Gonçalves.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DED3EF" w14:textId="2E95429B" w:rsidR="006C6D81" w:rsidRPr="006C6D81" w:rsidRDefault="00C54A5F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Discutir, por meio de uma revisão de literatura e análise de dados estatísticos, como o capacitismo atua como causa e catalisador na geração e perpetuação d</w:t>
            </w:r>
            <w:r w:rsidR="00622FB9">
              <w:rPr>
                <w:rFonts w:ascii="Arial" w:eastAsiaTheme="minorEastAsia" w:hAnsi="Arial" w:cs="Arial"/>
                <w:sz w:val="18"/>
                <w:szCs w:val="18"/>
              </w:rPr>
              <w:t>e desigualdade social no Brasil.</w:t>
            </w:r>
          </w:p>
        </w:tc>
      </w:tr>
      <w:tr w:rsidR="00E7343E" w:rsidRPr="006C6D81" w14:paraId="57DA79B7" w14:textId="77777777" w:rsidTr="00691633">
        <w:trPr>
          <w:trHeight w:val="20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669F7C" w14:textId="7138EED5" w:rsidR="006C6D81" w:rsidRPr="006C6D81" w:rsidRDefault="0029346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-webkit-standard" w:eastAsiaTheme="minorEastAsia" w:hAnsi="-webkit-standard"/>
                <w:sz w:val="18"/>
                <w:szCs w:val="18"/>
              </w:rPr>
              <w:t>Necropolítica e crítica interseccional ao capacitismo: um estudo comparativo da convenção dos direitos das pessoas com deficiência e do estatuto das pessoas com deficiência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01425E" w14:textId="302F6687" w:rsidR="006C6D81" w:rsidRPr="006C6D81" w:rsidRDefault="0029346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C06AF" w14:textId="76EACDBB" w:rsidR="006C6D81" w:rsidRPr="006C6D81" w:rsidRDefault="0029346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SANTOS, Sérgio; KABENLEGE, Daniela; MONTEIRO, Lorena Madruga.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94F0D" w14:textId="39778023" w:rsidR="006C6D81" w:rsidRPr="006C6D81" w:rsidRDefault="0029346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Sistematizar as reflexões teóricas das vertentes anticapacitistas interseccionais e da necropolít</w:t>
            </w:r>
            <w:r w:rsidR="00E7343E">
              <w:rPr>
                <w:rFonts w:ascii="Arial" w:eastAsiaTheme="minorEastAsia" w:hAnsi="Arial" w:cs="Arial"/>
                <w:sz w:val="18"/>
                <w:szCs w:val="18"/>
              </w:rPr>
              <w:t xml:space="preserve">icas para analisar, como a 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 xml:space="preserve">Convenção </w:t>
            </w:r>
            <w:r w:rsidR="00E7343E">
              <w:rPr>
                <w:rFonts w:ascii="Arial" w:eastAsiaTheme="minorEastAsia" w:hAnsi="Arial" w:cs="Arial"/>
                <w:sz w:val="18"/>
                <w:szCs w:val="18"/>
              </w:rPr>
              <w:t>Internacional sobre os Direitos das Pessoas com Deficiência e o Estat</w:t>
            </w:r>
            <w:r w:rsidR="00D15C2D">
              <w:rPr>
                <w:rFonts w:ascii="Arial" w:eastAsiaTheme="minorEastAsia" w:hAnsi="Arial" w:cs="Arial"/>
                <w:sz w:val="18"/>
                <w:szCs w:val="18"/>
              </w:rPr>
              <w:t>uto da Pessoa com Deficiência (</w:t>
            </w:r>
            <w:r w:rsidR="00E7343E">
              <w:rPr>
                <w:rFonts w:ascii="Arial" w:eastAsiaTheme="minorEastAsia" w:hAnsi="Arial" w:cs="Arial"/>
                <w:sz w:val="18"/>
                <w:szCs w:val="18"/>
              </w:rPr>
              <w:t>Lei Brasileira de Inclusão) abordam as múltiplas opressões (gênero, raça, classe) que afetam esses indivíduos.</w:t>
            </w:r>
          </w:p>
        </w:tc>
      </w:tr>
      <w:tr w:rsidR="00E7343E" w:rsidRPr="006C6D81" w14:paraId="4B4FD481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7C5312" w14:textId="1FC5989B" w:rsidR="006C6D81" w:rsidRPr="006C6D81" w:rsidRDefault="00E7343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Direito, cidadania e deficiência: Apostes teóricos para o uso da categoria c</w:t>
            </w:r>
            <w:r w:rsidR="004011F1">
              <w:rPr>
                <w:rFonts w:ascii="Arial" w:eastAsiaTheme="minorEastAsia" w:hAnsi="Arial" w:cs="Arial"/>
                <w:sz w:val="18"/>
                <w:szCs w:val="18"/>
              </w:rPr>
              <w:t>apacitismo no discurso judicial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BC178" w14:textId="7EE108B8" w:rsidR="006C6D81" w:rsidRPr="006C6D81" w:rsidRDefault="00E7343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89C9AD" w14:textId="3F8B0D8C" w:rsidR="006C6D81" w:rsidRPr="006C6D81" w:rsidRDefault="00E7343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-webkit-standard" w:eastAsiaTheme="minorEastAsia" w:hAnsi="-webkit-standard"/>
                <w:sz w:val="18"/>
                <w:szCs w:val="18"/>
              </w:rPr>
              <w:t>LOURENZO FILHO, Ricardo.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0AA459" w14:textId="54938049" w:rsidR="006C6D81" w:rsidRPr="006C6D81" w:rsidRDefault="004011F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Fornecer aportes teóricos fundamentados nos Direitos Humanos para justificar e estruturar o uso do conceito de capacitismo no discurso judicial brasileiro, visando qualificar as decisões que envolvem a cidadania e a inclusão das pessoas deficientes.</w:t>
            </w:r>
          </w:p>
        </w:tc>
      </w:tr>
      <w:tr w:rsidR="00E7343E" w:rsidRPr="006C6D81" w14:paraId="57353F03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98418A" w14:textId="6E1276E7" w:rsidR="006C6D81" w:rsidRPr="006C6D81" w:rsidRDefault="004011F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O capacitismo e suas formas de opressão nas ações do dia a 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71B74" w14:textId="7F9E410F" w:rsidR="006C6D81" w:rsidRPr="006C6D81" w:rsidRDefault="004011F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5268E" w14:textId="2A74EC99" w:rsidR="006C6D81" w:rsidRPr="006C6D81" w:rsidRDefault="004011F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1F1F1F"/>
                <w:sz w:val="18"/>
                <w:szCs w:val="18"/>
              </w:rPr>
              <w:t>LAGE, Sandra, Regina Moitinho; LUNARDELLI, Rosane, Suely, Alvares; KAWAKAMI, Tatiana, Tissa.</w:t>
            </w:r>
          </w:p>
          <w:p w14:paraId="1824E157" w14:textId="39AD54D9" w:rsidR="006C6D81" w:rsidRPr="006C6D81" w:rsidRDefault="006C6D8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E59295" w14:textId="499CEAFD" w:rsidR="004011F1" w:rsidRPr="006C6D81" w:rsidRDefault="004011F1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-webkit-standard" w:eastAsiaTheme="minorEastAsia" w:hAnsi="-webkit-standard"/>
                <w:sz w:val="18"/>
                <w:szCs w:val="18"/>
              </w:rPr>
              <w:t xml:space="preserve">Apresentar o conceito de capacitismo </w:t>
            </w:r>
            <w:r w:rsidR="00365C24">
              <w:rPr>
                <w:rFonts w:ascii="-webkit-standard" w:eastAsiaTheme="minorEastAsia" w:hAnsi="-webkit-standard"/>
                <w:sz w:val="18"/>
                <w:szCs w:val="18"/>
              </w:rPr>
              <w:t>e mapear suas diferentes formas de opressão estruturadas e reproduzidas no cotidiano social, visando democratizar o acesso à informação como ferramenta de combate a preconceitos e discriminações direcionados às pessoas com deficiência.</w:t>
            </w:r>
          </w:p>
        </w:tc>
      </w:tr>
      <w:tr w:rsidR="00E7343E" w:rsidRPr="006C6D81" w14:paraId="46D776CE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BF2A9C" w14:textId="58D4FAAD" w:rsidR="006C6D81" w:rsidRPr="006C6D81" w:rsidRDefault="00365C24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Capacitismo e lugar de fala: r</w:t>
            </w:r>
            <w:r w:rsidR="007B4060">
              <w:rPr>
                <w:rFonts w:ascii="Arial" w:eastAsiaTheme="minorEastAsia" w:hAnsi="Arial" w:cs="Arial"/>
                <w:sz w:val="18"/>
                <w:szCs w:val="18"/>
              </w:rPr>
              <w:t>epensando barreiras atitudinais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27851" w14:textId="7965162C" w:rsidR="006C6D81" w:rsidRPr="006C6D81" w:rsidRDefault="008B73E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5E8682" w14:textId="26D62FD5" w:rsidR="006C6D81" w:rsidRPr="006C6D81" w:rsidRDefault="008B73E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1F1F1F"/>
                <w:sz w:val="18"/>
                <w:szCs w:val="18"/>
              </w:rPr>
              <w:t>MELLO, L.S; CABISTANI, L.G.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5ADCDA" w14:textId="09455191" w:rsidR="006C6D81" w:rsidRPr="006C6D81" w:rsidRDefault="008B73EE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Analisar criticamente os conceitos de capacitismo e lugar de fala para propor caminhos que desconstruam barreiras atitudinais e promovam a inclusão de pessoas com deficiência.</w:t>
            </w:r>
          </w:p>
        </w:tc>
      </w:tr>
      <w:tr w:rsidR="00E7343E" w:rsidRPr="006C6D81" w14:paraId="0DB25623" w14:textId="77777777" w:rsidTr="006916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F58DFC" w14:textId="40E93151" w:rsidR="006C6D81" w:rsidRPr="006C6D81" w:rsidRDefault="007B4060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A pessoa com deficiência e os Direitos Humanos: desafios e perspectivas para a inclusão e igualdade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54CB86" w14:textId="0F1EE4F7" w:rsidR="006C6D81" w:rsidRPr="006C6D81" w:rsidRDefault="007B4060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109864" w14:textId="262EEC55" w:rsidR="006C6D81" w:rsidRPr="006C6D81" w:rsidRDefault="007B4060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1F1F1F"/>
                <w:sz w:val="18"/>
                <w:szCs w:val="18"/>
              </w:rPr>
              <w:t>ULIANA, Lilian Leticia Silva.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B2FD76" w14:textId="047E30DA" w:rsidR="006C6D81" w:rsidRPr="006C6D81" w:rsidRDefault="007B4060" w:rsidP="00691633">
            <w:pPr>
              <w:spacing w:line="360" w:lineRule="auto"/>
              <w:jc w:val="center"/>
              <w:rPr>
                <w:rFonts w:ascii="-webkit-standard" w:eastAsiaTheme="minorEastAsia" w:hAnsi="-webkit-standard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Desenvolver uma visão crítica sobre as bases conceituais das pessoas com deficiências sob a ótica dos Direitos Humanos, analisando ações governamentais e desafios no mercado de trabalho.</w:t>
            </w:r>
          </w:p>
        </w:tc>
      </w:tr>
    </w:tbl>
    <w:p w14:paraId="366C9BDE" w14:textId="36ECC387" w:rsidR="006C6D81" w:rsidRDefault="006C6D81" w:rsidP="00A36079">
      <w:pPr>
        <w:rPr>
          <w:rFonts w:ascii="Arial" w:hAnsi="Arial" w:cs="Arial"/>
          <w:b/>
          <w:bCs/>
          <w:sz w:val="24"/>
          <w:szCs w:val="24"/>
        </w:rPr>
      </w:pPr>
    </w:p>
    <w:p w14:paraId="6047CF0C" w14:textId="30B5731D" w:rsidR="00351402" w:rsidRDefault="00351402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 w:rsidRPr="00351402">
        <w:rPr>
          <w:bCs/>
          <w:sz w:val="24"/>
          <w:szCs w:val="24"/>
        </w:rPr>
        <w:t>No âmbito das discussões acerca dos direitos sociais, torna-se imperativo compreender a trajetória histórica de exclusão, invisibilidade e silenciamento enfrentada pelas pessoas com deficiência ao longo do tempo. Sob essa perspectiva, Kreutz e Lucas (2026) analisam como essa herança segregacionista se desdobra em manifestações contemporâneas do capacitismo, operando como uma barreira cultural que subestima a capacidade funcional e a dignidade desses indivíduos. Os autores argumentam que a superação desses estigmas atitudinais constitui um dos principais desafios práticos enfrentados para a efetivação de seus direitos fundamentais na atualidade. Dessa forma, o estudo evidencia que a igualdade jurídica pressupõe uma desconstrução ativa dos mecanismos discriminatórios que historicamente naturalizaram a marginalização desse grupo nos espaços sociais.</w:t>
      </w:r>
    </w:p>
    <w:p w14:paraId="3415E6CA" w14:textId="76DAC54D" w:rsidR="00FF2588" w:rsidRDefault="00351402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De forma análoga, c</w:t>
      </w:r>
      <w:r w:rsidR="00D15C2D">
        <w:rPr>
          <w:bCs/>
          <w:sz w:val="24"/>
          <w:szCs w:val="24"/>
        </w:rPr>
        <w:t>onsoante à Bernades (</w:t>
      </w:r>
      <w:r w:rsidR="00FF2588">
        <w:rPr>
          <w:bCs/>
          <w:sz w:val="24"/>
          <w:szCs w:val="24"/>
        </w:rPr>
        <w:t xml:space="preserve">2024, p.15) esclarece </w:t>
      </w:r>
      <w:r w:rsidR="003D1AB7">
        <w:rPr>
          <w:bCs/>
          <w:sz w:val="24"/>
          <w:szCs w:val="24"/>
        </w:rPr>
        <w:t>que “</w:t>
      </w:r>
      <w:r w:rsidR="00FF2588">
        <w:rPr>
          <w:bCs/>
          <w:sz w:val="24"/>
          <w:szCs w:val="24"/>
        </w:rPr>
        <w:t>o capacitismo interpessoal</w:t>
      </w:r>
      <w:r w:rsidR="003D1AB7">
        <w:rPr>
          <w:bCs/>
          <w:sz w:val="24"/>
          <w:szCs w:val="24"/>
        </w:rPr>
        <w:t xml:space="preserve"> ocorre quando o preconceito consciente ou inconsciente de uma pessoa influencia suas percepções e interações com outras pessoas”. E que esse fenômeno acontece de dois modos: Capacitismo Vedado, tem caráter sutil, o opressor não possui consciência das ações produzida. Capacitismo Explícito, configura-se como uma opressão direta e hostil, o objetivo é intencional, a ideia é segregar ou prejudicar o indivíduo com deficiência.</w:t>
      </w:r>
      <w:r>
        <w:rPr>
          <w:bCs/>
          <w:sz w:val="24"/>
          <w:szCs w:val="24"/>
        </w:rPr>
        <w:t xml:space="preserve"> </w:t>
      </w:r>
    </w:p>
    <w:p w14:paraId="7549F949" w14:textId="541A8364" w:rsidR="00351402" w:rsidRDefault="00DB4C35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 w:rsidRPr="00DB4C35">
        <w:rPr>
          <w:bCs/>
          <w:sz w:val="24"/>
          <w:szCs w:val="24"/>
        </w:rPr>
        <w:t>A ampliação do debate acerca das opressões estruturais exige ferramentas teóricas capazes de capturar a complexidade das exclusões sociais. Diante disso, Santos, Kabengele e Monteiro (2022) propõem uma expansão conceitual fundamentada nas vertentes anticapacitistas interseccionais e na categoria de necropolítica para analisar como o ordenamento jurídico brasileiro lida com as vulnerabilidades das pessoas com deficiência. Por meio de um estudo comparativo da Convenção Internacional sobre os Direitos das Pessoas com Deficiência e do Estatuto da Pessoa com Deficiência, os autores evidenciam que as garantias legais vigentes servem como bases fundamentais para o enfrentamento ao racismo</w:t>
      </w:r>
      <w:r>
        <w:rPr>
          <w:bCs/>
          <w:sz w:val="24"/>
          <w:szCs w:val="24"/>
        </w:rPr>
        <w:t xml:space="preserve"> e ao capacitismo estruturais. </w:t>
      </w:r>
    </w:p>
    <w:p w14:paraId="606D04B3" w14:textId="77777777" w:rsidR="00F814F9" w:rsidRDefault="00DB4C35" w:rsidP="00D15C2D">
      <w:pPr>
        <w:spacing w:line="360" w:lineRule="auto"/>
        <w:ind w:firstLine="709"/>
        <w:contextualSpacing/>
        <w:rPr>
          <w:bCs/>
          <w:sz w:val="24"/>
          <w:szCs w:val="24"/>
        </w:rPr>
      </w:pPr>
      <w:r w:rsidRPr="00DB4C35">
        <w:rPr>
          <w:bCs/>
          <w:sz w:val="24"/>
          <w:szCs w:val="24"/>
        </w:rPr>
        <w:t>A consolidação de salvaguardas voltadas à inclusão social repercute de forma direta nos espaços institucionais de poder, exigindo o refinamento das práticas interpretativas nas esferas de julgamento. Sob essa ótica, Lourenzo Filho (2023) busca fornecer aportes teóricos fundamentados nos Direitos Humanos para justificar e estruturar o uso do conceito de capacitismo no discurso judicial brasileiro. O autor argumenta que a incorporação dessa categoria analítica pelo Poder Judiciário é indispensável para qualificar as decisões que envolvem a cidadania e a inclusão das pessoas com deficiência. Por conseguinte, o estudo demonstra que a aplicação consciente desse referencial hermenêutico funciona como um instrumento de justiça social, viabilizando sentenças aptas a identificar opressões estruturais e a assegurar a efetiva igualdade material preconizada pelos tratados internacionais.</w:t>
      </w:r>
    </w:p>
    <w:p w14:paraId="1871662C" w14:textId="515A1E51" w:rsidR="00A36079" w:rsidRDefault="00A36079" w:rsidP="00D15C2D">
      <w:pPr>
        <w:spacing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F814F9" w:rsidRPr="00F814F9">
        <w:rPr>
          <w:bCs/>
          <w:sz w:val="24"/>
          <w:szCs w:val="24"/>
        </w:rPr>
        <w:t>A desconstrução de preconceitos voltados às pessoas com deficiência depende diretamente da difusão do conhecimento e da revisão de hábitos cotidianos. Diante disso, Lage et al. (2023) realizam um estudo teórico-reflexivo de natureza exploratória para conceituar o capacitismo e mapear suas variadas formas de opressão estruturadas na rotina social. Os autores defendem o amplo acesso à informação como uma ferramenta indispensável no combate a discriminações, evidenciando que as barreiras atitudinais diárias limitam a cidadania. Conclui-se, portanto, ser urgente a disseminação de saberes reflexivos para desnaturalizar essas condutas discriminatórias, democratizar o espaço social e assegurar uma inclusão genuína.</w:t>
      </w:r>
    </w:p>
    <w:p w14:paraId="0949FAB9" w14:textId="7205D8C5" w:rsidR="00F814F9" w:rsidRDefault="00F814F9" w:rsidP="00F814F9">
      <w:pPr>
        <w:spacing w:after="160" w:line="360" w:lineRule="auto"/>
        <w:ind w:firstLine="709"/>
        <w:contextualSpacing/>
        <w:rPr>
          <w:bCs/>
          <w:sz w:val="24"/>
          <w:szCs w:val="24"/>
        </w:rPr>
      </w:pPr>
      <w:r w:rsidRPr="00F814F9">
        <w:rPr>
          <w:bCs/>
          <w:sz w:val="24"/>
          <w:szCs w:val="24"/>
        </w:rPr>
        <w:t xml:space="preserve">A quebra de paradigmas discriminatórios exige uma imersão teórica capaz de reposicionar o protagonismo das populações historicamente marginalizadas. Sob esse prisma, Mello e Cabistani (2019) propõem uma análise crítica acerca dos conceitos de capacitismo e lugar de fala para fundamentar a desconstrução de barreiras atitudinais. Utilizando a perspectiva do modelo social da deficiência, as autoras defendem a necessidade de assegurar o protagonismo discursivo a esse grupo social subalterno, desestabilizando visões hegemônicas que os reduzem a uma suposta invalidez funcional. Conclui-se que o reconhecimento do lugar de fala das pessoas com deficiência atua como um vetor político indispensável para interromper estigmas comportamentais cotidianos, traçando novos caminhos institucionais que promovam, efetivamente, a </w:t>
      </w:r>
      <w:r>
        <w:rPr>
          <w:bCs/>
          <w:sz w:val="24"/>
          <w:szCs w:val="24"/>
        </w:rPr>
        <w:t>inclusão social e a igualdade.</w:t>
      </w:r>
    </w:p>
    <w:p w14:paraId="7AEB31CD" w14:textId="36D2656F" w:rsidR="00A36079" w:rsidRDefault="00F814F9" w:rsidP="00F814F9">
      <w:pPr>
        <w:spacing w:after="160"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 por fim, a </w:t>
      </w:r>
      <w:r w:rsidRPr="00F814F9">
        <w:rPr>
          <w:bCs/>
          <w:sz w:val="24"/>
          <w:szCs w:val="24"/>
        </w:rPr>
        <w:t>garantia da cidadania para grupos vulneráveis exige a análise contínua de políticas públicas sob a ótica das garantias fundamentais. Diante disso, Uliana (2025) desenvolve uma visão crítica sobre as bases conceituais das pessoas com deficiência a partir dos Direitos Humanos. A autora examina as ações governamentais nacionais e os desafios estruturais que impedem a inclusão, conferindo especial destaque às barreiras enfrentadas por essa população no mercado de trabalho. O estudo conclui que superar essa exclusão institucional requer mecanismos jurídicos eficazes para assegurar a igualdade de oportunidades e a dignidade no ambiente laboral.</w:t>
      </w:r>
    </w:p>
    <w:p w14:paraId="408A3541" w14:textId="77777777" w:rsidR="00F814F9" w:rsidRPr="00F814F9" w:rsidRDefault="00F814F9" w:rsidP="00F814F9">
      <w:pPr>
        <w:spacing w:after="160" w:line="360" w:lineRule="auto"/>
        <w:ind w:firstLine="709"/>
        <w:contextualSpacing/>
        <w:rPr>
          <w:bCs/>
          <w:sz w:val="24"/>
          <w:szCs w:val="24"/>
        </w:rPr>
      </w:pPr>
    </w:p>
    <w:p w14:paraId="038798B2" w14:textId="6A85A3FF" w:rsidR="009C2E72" w:rsidRDefault="0003782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691633">
        <w:rPr>
          <w:b/>
          <w:bCs/>
          <w:sz w:val="24"/>
          <w:szCs w:val="24"/>
        </w:rPr>
        <w:t>NSIDERAÇÕES</w:t>
      </w:r>
      <w:r w:rsidR="009214AA">
        <w:rPr>
          <w:b/>
          <w:bCs/>
          <w:sz w:val="24"/>
          <w:szCs w:val="24"/>
        </w:rPr>
        <w:t xml:space="preserve"> FINAIS</w:t>
      </w:r>
    </w:p>
    <w:p w14:paraId="130FAB99" w14:textId="4AC01376" w:rsidR="0003782A" w:rsidRDefault="00F814F9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A análise de literatura científica permite concluir que o capacitismo não se resume somente ao preconceito</w:t>
      </w:r>
      <w:r w:rsidR="00941B19">
        <w:rPr>
          <w:bCs/>
          <w:sz w:val="24"/>
          <w:szCs w:val="24"/>
        </w:rPr>
        <w:t xml:space="preserve"> clássico, mas a um contexto histórico-cultural, dados socioeconômicos empíricos,</w:t>
      </w:r>
      <w:r w:rsidR="0003782A">
        <w:rPr>
          <w:bCs/>
          <w:sz w:val="24"/>
          <w:szCs w:val="24"/>
        </w:rPr>
        <w:t xml:space="preserve"> interseccionalidade, </w:t>
      </w:r>
      <w:r w:rsidR="00941B19">
        <w:rPr>
          <w:bCs/>
          <w:sz w:val="24"/>
          <w:szCs w:val="24"/>
        </w:rPr>
        <w:t xml:space="preserve">que é também observado nas instituições jurídicas e governamentais. Ademais, evidencia-se que a inclusão da pessoa com deficiência não se resume somente a uma adequação formal da lei, mas de diversos fatores que tratam </w:t>
      </w:r>
      <w:r w:rsidR="0003782A">
        <w:rPr>
          <w:bCs/>
          <w:sz w:val="24"/>
          <w:szCs w:val="24"/>
        </w:rPr>
        <w:t>de opressão de gênero, raça e classe, além disso, tratar dos direitos humanos.</w:t>
      </w:r>
    </w:p>
    <w:p w14:paraId="45B777F3" w14:textId="2D7A82AE" w:rsidR="0003782A" w:rsidRDefault="0003782A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Além disso, restou claro que o Poder Judiciário e as ações governamentais enfrentam o desafio urgente de adotar o conceito de capacitismo como ferramenta hermenêutica e de escrutínio público, qualificando o discurso judicial e as políticas estatais para assegurar uma igualdade que ultrapasse a esfera puramente formal.</w:t>
      </w:r>
    </w:p>
    <w:p w14:paraId="03F99D3D" w14:textId="46955E17" w:rsidR="009C2E72" w:rsidRDefault="0003782A" w:rsidP="00F837B8">
      <w:pPr>
        <w:spacing w:line="360" w:lineRule="auto"/>
        <w:ind w:firstLine="709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 suma, </w:t>
      </w:r>
      <w:r w:rsidR="00827AF1">
        <w:rPr>
          <w:bCs/>
          <w:sz w:val="24"/>
          <w:szCs w:val="24"/>
        </w:rPr>
        <w:t>l</w:t>
      </w:r>
      <w:r w:rsidR="00827AF1" w:rsidRPr="00827AF1">
        <w:rPr>
          <w:bCs/>
          <w:sz w:val="24"/>
          <w:szCs w:val="24"/>
        </w:rPr>
        <w:t>onge de esgotar a temática, este trabalho espera ter fornecido subsídios teóricos relevantes para o campo jurídico e social, estimulando novas investigações que continuem a dar voz ao protagonismo discursivo desse grupo e a pavimentar caminhos para uma sociedade genuinamente inclusiva e emancipatória.</w:t>
      </w:r>
    </w:p>
    <w:p w14:paraId="6445A52E" w14:textId="77777777" w:rsidR="00D15C2D" w:rsidRPr="00633B17" w:rsidRDefault="00D15C2D" w:rsidP="00633B17">
      <w:pPr>
        <w:spacing w:after="160" w:line="360" w:lineRule="auto"/>
        <w:ind w:firstLine="709"/>
        <w:contextualSpacing/>
        <w:rPr>
          <w:bCs/>
          <w:sz w:val="24"/>
          <w:szCs w:val="24"/>
        </w:rPr>
      </w:pPr>
    </w:p>
    <w:p w14:paraId="48AC6234" w14:textId="2DBB7592" w:rsidR="00827AF1" w:rsidRDefault="009214AA" w:rsidP="00633B17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81DDC62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>BERNADES, Liliane Cristina Gonçalves. O impacto do capacitismo: A discriminação contra pessoas com deficiência que amplia desigualdades</w:t>
      </w:r>
      <w:r w:rsidRPr="00D15C2D">
        <w:rPr>
          <w:b/>
          <w:bCs/>
          <w:sz w:val="24"/>
          <w:szCs w:val="24"/>
        </w:rPr>
        <w:t>. Revista Eletrônica de Direitos Humanos</w:t>
      </w:r>
      <w:r w:rsidRPr="00827AF1">
        <w:rPr>
          <w:bCs/>
          <w:sz w:val="24"/>
          <w:szCs w:val="24"/>
        </w:rPr>
        <w:t>, [S. l.], v. 4, n. 2, p. 45-62, 2024.</w:t>
      </w:r>
    </w:p>
    <w:p w14:paraId="62EDC664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2C9C8660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CAMPBELL, Fiona Kumari. Reflexões sobre a imaginação corporal compulsória. Tradução de Santos Kabengele e Monteiro. São Paulo: </w:t>
      </w:r>
      <w:r w:rsidRPr="00F837B8">
        <w:rPr>
          <w:b/>
          <w:bCs/>
          <w:sz w:val="24"/>
          <w:szCs w:val="24"/>
        </w:rPr>
        <w:t>Expressão Acadêmica</w:t>
      </w:r>
      <w:r w:rsidRPr="00827AF1">
        <w:rPr>
          <w:bCs/>
          <w:sz w:val="24"/>
          <w:szCs w:val="24"/>
        </w:rPr>
        <w:t>, 2008.</w:t>
      </w:r>
    </w:p>
    <w:p w14:paraId="56E0C358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0BDBE493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FIOREZE, Cristina; HENRICH, [Nome Completo]. O familismo na ciranda da... </w:t>
      </w:r>
      <w:r w:rsidRPr="00F837B8">
        <w:rPr>
          <w:b/>
          <w:bCs/>
          <w:sz w:val="24"/>
          <w:szCs w:val="24"/>
        </w:rPr>
        <w:t>Revista de Estudos Familiares</w:t>
      </w:r>
      <w:r w:rsidRPr="00827AF1">
        <w:rPr>
          <w:bCs/>
          <w:sz w:val="24"/>
          <w:szCs w:val="24"/>
        </w:rPr>
        <w:t xml:space="preserve"> e Sociais, [S. l.], v. 11, n. 1, p. 89-104, 2026.</w:t>
      </w:r>
    </w:p>
    <w:p w14:paraId="07B2D8B8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0DDC8AC3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GESSER, Marivete; BOCK, Geisa Letícia Kempfer; MELLO, Anahi Guedes de (org.). </w:t>
      </w:r>
      <w:r w:rsidRPr="00F837B8">
        <w:rPr>
          <w:b/>
          <w:bCs/>
          <w:sz w:val="24"/>
          <w:szCs w:val="24"/>
        </w:rPr>
        <w:t>Estudos sobre capacitismo: uma introdução.</w:t>
      </w:r>
      <w:r w:rsidRPr="00827AF1">
        <w:rPr>
          <w:bCs/>
          <w:sz w:val="24"/>
          <w:szCs w:val="24"/>
        </w:rPr>
        <w:t xml:space="preserve"> Rio de Janeiro: Lumen Juris, 2020.</w:t>
      </w:r>
    </w:p>
    <w:p w14:paraId="7330C4D6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60C40685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KREUTZ, Eduarda Franke; LUCAS, Douglas Cesar. Deficiência, inclusão e capacitismo: realidade histórica e desafios contemporâneos na efetivação dos direitos das pessoas com deficiência. </w:t>
      </w:r>
      <w:r w:rsidRPr="00F837B8">
        <w:rPr>
          <w:b/>
          <w:bCs/>
          <w:sz w:val="24"/>
          <w:szCs w:val="24"/>
        </w:rPr>
        <w:t>Revista Jurídica da IMED</w:t>
      </w:r>
      <w:r w:rsidRPr="00827AF1">
        <w:rPr>
          <w:bCs/>
          <w:sz w:val="24"/>
          <w:szCs w:val="24"/>
        </w:rPr>
        <w:t>, Passo Fundo, v. 15, n. 1, p. 112-135, jan./jun. 2026.</w:t>
      </w:r>
    </w:p>
    <w:p w14:paraId="30FC3636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5B3B188C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>KREUTZ, Eduarda Franke; LUCAS, Douglas Cesar. A trajetória histórica de exclusão da pessoa com deficiência</w:t>
      </w:r>
      <w:r w:rsidRPr="00F837B8">
        <w:rPr>
          <w:b/>
          <w:bCs/>
          <w:sz w:val="24"/>
          <w:szCs w:val="24"/>
        </w:rPr>
        <w:t>. Revista de Direitos Fundamentais</w:t>
      </w:r>
      <w:r w:rsidRPr="00827AF1">
        <w:rPr>
          <w:bCs/>
          <w:sz w:val="24"/>
          <w:szCs w:val="24"/>
        </w:rPr>
        <w:t>, [S. l.], v. 14, n. 2, p. 201-224, 2025.</w:t>
      </w:r>
    </w:p>
    <w:p w14:paraId="56B881D1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052992D9" w14:textId="77777777" w:rsidR="00827AF1" w:rsidRP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>LAGE, Sandra Regina Moitinho; LUNARDELLI, Rosane Suely Alvares; KAWAKAMI, Tatiana Tissa. O capacitismo e suas formas de opressão nas ações do dia a dia</w:t>
      </w:r>
      <w:r w:rsidRPr="00F837B8">
        <w:rPr>
          <w:b/>
          <w:bCs/>
          <w:sz w:val="24"/>
          <w:szCs w:val="24"/>
        </w:rPr>
        <w:t>. Informação &amp; Sociedade</w:t>
      </w:r>
      <w:r w:rsidRPr="00827AF1">
        <w:rPr>
          <w:bCs/>
          <w:sz w:val="24"/>
          <w:szCs w:val="24"/>
        </w:rPr>
        <w:t>, João Pessoa, v. 33, n. 3, p. 1-22, 2023.</w:t>
      </w:r>
    </w:p>
    <w:p w14:paraId="26F33619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>LOURENZO FILHO, Ricardo. Direito, cidadania e deficiência: Aportes teóricos para o uso da categoria capacitismo no discurso judicial</w:t>
      </w:r>
      <w:r w:rsidRPr="00F837B8">
        <w:rPr>
          <w:b/>
          <w:bCs/>
          <w:sz w:val="24"/>
          <w:szCs w:val="24"/>
        </w:rPr>
        <w:t>. Revista de Direito do Trabalho e Seguridade Social</w:t>
      </w:r>
      <w:r w:rsidRPr="00827AF1">
        <w:rPr>
          <w:bCs/>
          <w:sz w:val="24"/>
          <w:szCs w:val="24"/>
        </w:rPr>
        <w:t>, São Paulo, v. 49, n. 4, p. 145-168, 2023.</w:t>
      </w:r>
    </w:p>
    <w:p w14:paraId="19E248A4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4FE383B9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MELLO, L. S.; CABISTANI, L. G. Capacitismo e lugar de fala: repensando barreiras atitudinais. </w:t>
      </w:r>
      <w:r w:rsidRPr="00F837B8">
        <w:rPr>
          <w:b/>
          <w:bCs/>
          <w:sz w:val="24"/>
          <w:szCs w:val="24"/>
        </w:rPr>
        <w:t>Cadernos de Psicologia Social e do Trabalho</w:t>
      </w:r>
      <w:r w:rsidRPr="00827AF1">
        <w:rPr>
          <w:bCs/>
          <w:sz w:val="24"/>
          <w:szCs w:val="24"/>
        </w:rPr>
        <w:t>, São Paulo, v. 22, n. 2, p. 135-148, 2019.</w:t>
      </w:r>
    </w:p>
    <w:p w14:paraId="0B73576E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66412E17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MELLO, Anahi Guedes de; NUERNBERG, Adriano Henrique. Direitos humanos, deficiência e intersecções. </w:t>
      </w:r>
      <w:r w:rsidRPr="00F837B8">
        <w:rPr>
          <w:b/>
          <w:bCs/>
          <w:sz w:val="24"/>
          <w:szCs w:val="24"/>
        </w:rPr>
        <w:t>Revista Katálysis</w:t>
      </w:r>
      <w:r w:rsidRPr="00827AF1">
        <w:rPr>
          <w:bCs/>
          <w:sz w:val="24"/>
          <w:szCs w:val="24"/>
        </w:rPr>
        <w:t>, Florianópolis, v. 15, n. 2, p. 631-642, 2012.</w:t>
      </w:r>
    </w:p>
    <w:p w14:paraId="19096C0F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6D92190C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SANTOS, André Leonardo Copetti; LUCAS, Douglas Cesar. </w:t>
      </w:r>
      <w:r w:rsidRPr="00F837B8">
        <w:rPr>
          <w:bCs/>
          <w:sz w:val="24"/>
          <w:szCs w:val="24"/>
        </w:rPr>
        <w:t>Marcadores da diferença e a invisibilidade do sujeito</w:t>
      </w:r>
      <w:r w:rsidRPr="00827AF1">
        <w:rPr>
          <w:bCs/>
          <w:sz w:val="24"/>
          <w:szCs w:val="24"/>
        </w:rPr>
        <w:t xml:space="preserve">. Porto Alegre: </w:t>
      </w:r>
      <w:r w:rsidRPr="00F837B8">
        <w:rPr>
          <w:b/>
          <w:bCs/>
          <w:sz w:val="24"/>
          <w:szCs w:val="24"/>
        </w:rPr>
        <w:t>Livraria do Advogado</w:t>
      </w:r>
      <w:r w:rsidRPr="00827AF1">
        <w:rPr>
          <w:bCs/>
          <w:sz w:val="24"/>
          <w:szCs w:val="24"/>
        </w:rPr>
        <w:t>, 2024.</w:t>
      </w:r>
    </w:p>
    <w:p w14:paraId="198342EF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18D7C265" w14:textId="77777777" w:rsid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 xml:space="preserve">SANTOS, Sérgio; KABENGELE, Daniela; MONTEIRO, Lorena Madruga. Necropolítica e crítica interseccional ao capacitismo: um estudo comparativo da convenção dos direitos das pessoas com deficiência e do estatuto das pessoas com deficiência. </w:t>
      </w:r>
      <w:r w:rsidRPr="00D15C2D">
        <w:rPr>
          <w:b/>
          <w:bCs/>
          <w:sz w:val="24"/>
          <w:szCs w:val="24"/>
        </w:rPr>
        <w:t>Revista Brasileira de Estudos Constitucionais</w:t>
      </w:r>
      <w:r w:rsidRPr="00827AF1">
        <w:rPr>
          <w:bCs/>
          <w:sz w:val="24"/>
          <w:szCs w:val="24"/>
        </w:rPr>
        <w:t>, Belo Horizonte, v. 16, n. 54, p. 87-114, mai./ago. 2022.</w:t>
      </w:r>
    </w:p>
    <w:p w14:paraId="5BAB893D" w14:textId="77777777" w:rsidR="00D15C2D" w:rsidRPr="00827AF1" w:rsidRDefault="00D15C2D" w:rsidP="00D15C2D">
      <w:pPr>
        <w:rPr>
          <w:bCs/>
          <w:sz w:val="24"/>
          <w:szCs w:val="24"/>
        </w:rPr>
      </w:pPr>
    </w:p>
    <w:p w14:paraId="7320C433" w14:textId="284958DC" w:rsidR="00827AF1" w:rsidRPr="00827AF1" w:rsidRDefault="00827AF1" w:rsidP="00D15C2D">
      <w:pPr>
        <w:rPr>
          <w:bCs/>
          <w:sz w:val="24"/>
          <w:szCs w:val="24"/>
        </w:rPr>
      </w:pPr>
      <w:r w:rsidRPr="00827AF1">
        <w:rPr>
          <w:bCs/>
          <w:sz w:val="24"/>
          <w:szCs w:val="24"/>
        </w:rPr>
        <w:t>ULIANA, Lilian Leticia Silva</w:t>
      </w:r>
      <w:r w:rsidRPr="00F837B8">
        <w:rPr>
          <w:bCs/>
          <w:sz w:val="24"/>
          <w:szCs w:val="24"/>
        </w:rPr>
        <w:t>. A pessoa com deficiência e os Direitos Humanos: desafios e perspectivas para a inclusão e igualdade</w:t>
      </w:r>
      <w:r w:rsidRPr="00827AF1">
        <w:rPr>
          <w:bCs/>
          <w:sz w:val="24"/>
          <w:szCs w:val="24"/>
        </w:rPr>
        <w:t xml:space="preserve">. 2025. 78 f. Trabalho de Conclusão de Curso (Bacharelado em Direito) – </w:t>
      </w:r>
      <w:r w:rsidRPr="00F837B8">
        <w:rPr>
          <w:b/>
          <w:bCs/>
          <w:sz w:val="24"/>
          <w:szCs w:val="24"/>
        </w:rPr>
        <w:t>Unidade Universitária de Iporá, Universidade Estadual de Goiás, Iporá</w:t>
      </w:r>
      <w:r w:rsidRPr="00827AF1">
        <w:rPr>
          <w:bCs/>
          <w:sz w:val="24"/>
          <w:szCs w:val="24"/>
        </w:rPr>
        <w:t>, 2025. Disponível em: ueg.br. Acesso em: 9 set. 2026.</w:t>
      </w:r>
    </w:p>
    <w:p w14:paraId="57168480" w14:textId="480E9251" w:rsidR="00827AF1" w:rsidRPr="00827AF1" w:rsidRDefault="00F837B8" w:rsidP="00F837B8">
      <w:pPr>
        <w:tabs>
          <w:tab w:val="left" w:pos="7515"/>
        </w:tabs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sectPr w:rsidR="00827AF1" w:rsidRPr="00827AF1" w:rsidSect="00323D88">
      <w:headerReference w:type="default" r:id="rId7"/>
      <w:footerReference w:type="default" r:id="rId8"/>
      <w:type w:val="continuous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70ECEE" w14:textId="77777777" w:rsidR="00C43ED3" w:rsidRDefault="00C43ED3">
      <w:r>
        <w:separator/>
      </w:r>
    </w:p>
  </w:endnote>
  <w:endnote w:type="continuationSeparator" w:id="0">
    <w:p w14:paraId="6EEDBEE0" w14:textId="77777777" w:rsidR="00C43ED3" w:rsidRDefault="00C4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F0CF08A-8348-4091-B146-68D5DBCCDFD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2" w:fontKey="{C061B18A-6D18-4A4F-8FAA-94528D0C5D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F4F3FCE-3B27-B048-942D-5BAD8EA41E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009ADB" w14:textId="77777777" w:rsidR="009C2E72" w:rsidRDefault="009214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80B759B" wp14:editId="6AABB9C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418B44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6888306" w14:textId="77777777" w:rsidR="009C2E72" w:rsidRDefault="009C2E72" w:rsidP="00323D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6CAF6" w14:textId="77777777" w:rsidR="00C43ED3" w:rsidRDefault="00C43ED3">
      <w:r>
        <w:separator/>
      </w:r>
    </w:p>
  </w:footnote>
  <w:footnote w:type="continuationSeparator" w:id="0">
    <w:p w14:paraId="711C42CA" w14:textId="77777777" w:rsidR="00C43ED3" w:rsidRDefault="00C4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EEC74" w14:textId="77777777" w:rsidR="009C2E72" w:rsidRDefault="009214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4EE41D3" wp14:editId="636014D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embedTrueTypeFonts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72"/>
    <w:rsid w:val="00005D64"/>
    <w:rsid w:val="0003782A"/>
    <w:rsid w:val="000416AD"/>
    <w:rsid w:val="001018C5"/>
    <w:rsid w:val="0011000E"/>
    <w:rsid w:val="001A40AE"/>
    <w:rsid w:val="001F533F"/>
    <w:rsid w:val="00276074"/>
    <w:rsid w:val="00293461"/>
    <w:rsid w:val="002F04E4"/>
    <w:rsid w:val="002F04F0"/>
    <w:rsid w:val="002F44F7"/>
    <w:rsid w:val="00321BFD"/>
    <w:rsid w:val="00323D88"/>
    <w:rsid w:val="00333069"/>
    <w:rsid w:val="00343984"/>
    <w:rsid w:val="00351402"/>
    <w:rsid w:val="00365C24"/>
    <w:rsid w:val="003C7EAF"/>
    <w:rsid w:val="003D1AB7"/>
    <w:rsid w:val="004011F1"/>
    <w:rsid w:val="0044413A"/>
    <w:rsid w:val="00476561"/>
    <w:rsid w:val="005120CD"/>
    <w:rsid w:val="00527C0C"/>
    <w:rsid w:val="005320E9"/>
    <w:rsid w:val="00552887"/>
    <w:rsid w:val="00574A89"/>
    <w:rsid w:val="005E44F2"/>
    <w:rsid w:val="005F452E"/>
    <w:rsid w:val="00604B38"/>
    <w:rsid w:val="00622FB9"/>
    <w:rsid w:val="00633B17"/>
    <w:rsid w:val="00691633"/>
    <w:rsid w:val="006C21C0"/>
    <w:rsid w:val="006C309D"/>
    <w:rsid w:val="006C6D81"/>
    <w:rsid w:val="00711457"/>
    <w:rsid w:val="00732046"/>
    <w:rsid w:val="00765F10"/>
    <w:rsid w:val="007B4060"/>
    <w:rsid w:val="007C1E71"/>
    <w:rsid w:val="007E299D"/>
    <w:rsid w:val="00806FC2"/>
    <w:rsid w:val="00827AF1"/>
    <w:rsid w:val="00832E8A"/>
    <w:rsid w:val="00850CF7"/>
    <w:rsid w:val="008B73EE"/>
    <w:rsid w:val="008E0C3C"/>
    <w:rsid w:val="009214AA"/>
    <w:rsid w:val="00941B19"/>
    <w:rsid w:val="00952DA8"/>
    <w:rsid w:val="009647CE"/>
    <w:rsid w:val="009C2E72"/>
    <w:rsid w:val="009F5BAE"/>
    <w:rsid w:val="00A36079"/>
    <w:rsid w:val="00A7778C"/>
    <w:rsid w:val="00A93DB1"/>
    <w:rsid w:val="00AA2095"/>
    <w:rsid w:val="00AD6ACA"/>
    <w:rsid w:val="00B22550"/>
    <w:rsid w:val="00B50D97"/>
    <w:rsid w:val="00B65906"/>
    <w:rsid w:val="00BA048B"/>
    <w:rsid w:val="00BA115F"/>
    <w:rsid w:val="00BA7C8C"/>
    <w:rsid w:val="00C43ED3"/>
    <w:rsid w:val="00C54A5F"/>
    <w:rsid w:val="00C93ACA"/>
    <w:rsid w:val="00CD3FD9"/>
    <w:rsid w:val="00CE1442"/>
    <w:rsid w:val="00D15C2D"/>
    <w:rsid w:val="00D625D5"/>
    <w:rsid w:val="00D8002A"/>
    <w:rsid w:val="00D94A4A"/>
    <w:rsid w:val="00DB4C35"/>
    <w:rsid w:val="00E10D7F"/>
    <w:rsid w:val="00E7343E"/>
    <w:rsid w:val="00F814F9"/>
    <w:rsid w:val="00F837B8"/>
    <w:rsid w:val="00F860A4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E99E60"/>
  <w15:docId w15:val="{1ADB17FD-DC45-4DF7-8894-1E114AC6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299D"/>
  </w:style>
  <w:style w:type="paragraph" w:styleId="Rodap">
    <w:name w:val="footer"/>
    <w:basedOn w:val="Normal"/>
    <w:link w:val="Rodap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99D"/>
  </w:style>
  <w:style w:type="paragraph" w:styleId="SemEspaamento">
    <w:name w:val="No Spacing"/>
    <w:uiPriority w:val="1"/>
    <w:qFormat/>
    <w:rsid w:val="00321BFD"/>
  </w:style>
  <w:style w:type="character" w:customStyle="1" w:styleId="ref">
    <w:name w:val="ref"/>
    <w:basedOn w:val="Fontepargpadro"/>
    <w:rsid w:val="00832E8A"/>
  </w:style>
  <w:style w:type="character" w:styleId="Hyperlink">
    <w:name w:val="Hyperlink"/>
    <w:basedOn w:val="Fontepargpadro"/>
    <w:uiPriority w:val="99"/>
    <w:semiHidden/>
    <w:unhideWhenUsed/>
    <w:rsid w:val="00832E8A"/>
    <w:rPr>
      <w:color w:val="0000FF"/>
      <w:u w:val="single"/>
    </w:rPr>
  </w:style>
  <w:style w:type="character" w:customStyle="1" w:styleId="xref">
    <w:name w:val="xref"/>
    <w:basedOn w:val="Fontepargpadro"/>
    <w:rsid w:val="00832E8A"/>
  </w:style>
  <w:style w:type="paragraph" w:customStyle="1" w:styleId="s16">
    <w:name w:val="s16"/>
    <w:basedOn w:val="Normal"/>
    <w:rsid w:val="006C6D81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15">
    <w:name w:val="s15"/>
    <w:basedOn w:val="Fontepargpadro"/>
    <w:rsid w:val="006C6D81"/>
  </w:style>
  <w:style w:type="paragraph" w:customStyle="1" w:styleId="s19">
    <w:name w:val="s19"/>
    <w:basedOn w:val="Normal"/>
    <w:rsid w:val="006C6D81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18">
    <w:name w:val="s18"/>
    <w:basedOn w:val="Fontepargpadro"/>
    <w:rsid w:val="006C6D81"/>
  </w:style>
  <w:style w:type="character" w:customStyle="1" w:styleId="apple-converted-space">
    <w:name w:val="apple-converted-space"/>
    <w:basedOn w:val="Fontepargpadro"/>
    <w:rsid w:val="006C6D81"/>
  </w:style>
  <w:style w:type="character" w:customStyle="1" w:styleId="s20">
    <w:name w:val="s20"/>
    <w:basedOn w:val="Fontepargpadro"/>
    <w:rsid w:val="006C6D81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23D8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23D8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23D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073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E55B226-E39E-4D1F-9D8C-10486B95ECC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3184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viatiny87@gmail.com</cp:lastModifiedBy>
  <cp:revision>2</cp:revision>
  <dcterms:created xsi:type="dcterms:W3CDTF">2026-09-10T11:48:00Z</dcterms:created>
  <dcterms:modified xsi:type="dcterms:W3CDTF">2026-09-10T11:48:00Z</dcterms:modified>
</cp:coreProperties>
</file>